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04519e22ebf145b841e3ff08590fdb155eb0b54"/>
    <w:p>
      <w:pPr>
        <w:pStyle w:val="Heading1"/>
      </w:pPr>
      <w:r>
        <w:t xml:space="preserve">The Atrophy Tax: Operator-Level Cadence Elasticity to Licensing Friction in U.S. Commercial Launch (2013-2024)</w:t>
      </w:r>
    </w:p>
    <w:bookmarkStart w:id="61" w:name="introduction"/>
    <w:p>
      <w:pPr>
        <w:pStyle w:val="Heading2"/>
      </w:pPr>
      <w:r>
        <w:t xml:space="preserve">1. Introduction</w:t>
      </w:r>
    </w:p>
    <w:p>
      <w:pPr>
        <w:pStyle w:val="FirstParagraph"/>
      </w:pPr>
      <w:r>
        <w:t xml:space="preserve">The commercial launch enterprise is conventionally read through the lens of cost. The dominant forecast literature treats falling cost per kilogram to low Earth orbit as the principal driver of sectoral expansion</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and the policy roadmap that surrounds that forecast cites regulatory streamlining as a complementary recommendation rather than a measured channel</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This paper isolates the administrative channel and asks a narrower question. Holding cost trends fixed, does the time a launch operator must wait between filing an application with the U.S. Federal Aviation Administration Office of Commercial Space Transportation and receiving the authorization that lets it fly translate, on its own, into a measurable reduction in the rate at which that operator launches.</w:t>
      </w:r>
    </w:p>
    <w:p>
      <w:pPr>
        <w:pStyle w:val="FirstParagraph"/>
      </w:pPr>
      <w:r>
        <w:t xml:space="preserve">The literature gives the channel a label without giving it a coefficient. Smith, Jah, and Wood, in their decision-support treatment of commercial in-space servicing, flag burdensome regulatory pathways and regulatory inefficiencies as constraints on commercial operations alongside fluctuating launch cost</w:t>
      </w:r>
      <w:r>
        <w:t xml:space="preserve"> </w:t>
      </w:r>
      <w:hyperlink w:anchor="ref-4">
        <m:oMathPara>
          <m:oMathParaPr>
            <m:jc m:val="center"/>
          </m:oMathParaPr>
          <m:oMath>
            <m:r>
              <m:t>4</m:t>
            </m:r>
          </m:oMath>
        </m:oMathPara>
      </w:hyperlink>
      <w:r>
        <w:t xml:space="preserve">. The same diagnosis appears in the rapid-launch architecture literature, which treats more efficient processes as a precondition for any near-term increase in tempo</w:t>
      </w:r>
      <w:r>
        <w:t xml:space="preserve"> </w:t>
      </w:r>
      <w:hyperlink w:anchor="ref-5">
        <m:oMathPara>
          <m:oMathParaPr>
            <m:jc m:val="center"/>
          </m:oMathParaPr>
          <m:oMath>
            <m:r>
              <m:t>5</m:t>
            </m:r>
          </m:oMath>
        </m:oMathPara>
      </w:hyperlink>
      <w:r>
        <w:t xml:space="preserve">. Neither treatment estimates the elasticity. The contribution of this paper is one such estimate, drawn from the FAA AST licensing record over twelve years and thirty-eight operator-year observations, and offered against a null of zero responsiveness.</w:t>
      </w:r>
    </w:p>
    <w:bookmarkEnd w:id="61"/>
    <w:bookmarkStart w:id="62" w:name="theory-and-hypotheses"/>
    <w:p>
      <w:pPr>
        <w:pStyle w:val="Heading2"/>
      </w:pPr>
      <w:r>
        <w:t xml:space="preserve">2. Theory and Hypotheses</w:t>
      </w:r>
    </w:p>
    <w:p>
      <w:pPr>
        <w:pStyle w:val="FirstParagraph"/>
      </w:pPr>
      <w:r>
        <w:t xml:space="preserve">The argument rests on three propositions that are individually unobjectionable and that jointly produce a testable elasticity. First, an operator that has filed a license application and is awaiting issuance cannot fly under it. Cadence in any given year is bounded above by the count of valid authorizations the operator holds in that year. Second, the time required to convert an application into an issued authorization, what this paper calls licensing processing time, is the rate-limiting step of that conversion when the operator is otherwise ready to manifest. Third, because the launch manifest is forward-planned in calendar quarters, the relevant measure is the median processing time prevailing in the operator-year regime, not the time observed on any single license.</w:t>
      </w:r>
    </w:p>
    <w:p>
      <w:pPr>
        <w:pStyle w:val="BodyText"/>
      </w:pPr>
      <w:r>
        <w:t xml:space="preserve">From these three propositions the prediction follows that cadence in operator-year cells should fall as median processing time rises, and that the relationship should be detectable in logarithms because both cadence and processing time vary across two orders of magnitude in the modern era. The hypothesis is stated as a single coefficient. H1 asserts that the elasticity of operator-year launch count with respect to median FAA AST license processing time is negative and statistically distinguishable from zero. H0 asserts that the elasticity is indistinguishable from zero, that is, that whatever determines operator cadence does not run through the administrative channel net of cost and demand. The atrophy tax label, used in the dissertation prospectus, names the magnitude of the H1 coefficient if H1 holds.</w:t>
      </w:r>
    </w:p>
    <w:p>
      <w:pPr>
        <w:pStyle w:val="BodyText"/>
      </w:pPr>
      <w:r>
        <w:t xml:space="preserve">The space-economy corpus that anchors the dissertation provides the cost-trend benchmark against which any administrative coefficient must be defended. SD08 and SD13 establish that the historical cost per kilogram to LEO has fallen by roughly an order of magnitude over the panel window</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SD03 frames the resulting expansion of accessible markets as a demand-side phenomenon</w:t>
      </w:r>
      <w:r>
        <w:t xml:space="preserve"> </w:t>
      </w:r>
      <w:hyperlink w:anchor="ref-3">
        <m:oMathPara>
          <m:oMathParaPr>
            <m:jc m:val="center"/>
          </m:oMathParaPr>
          <m:oMath>
            <m:r>
              <m:t>3</m:t>
            </m:r>
          </m:oMath>
        </m:oMathPara>
      </w:hyperlink>
      <w:r>
        <w:t xml:space="preserve">. The elasticity estimated here is conditional on the same cost-and-demand environment those sources describe.</w:t>
      </w:r>
    </w:p>
    <w:bookmarkEnd w:id="62"/>
    <w:bookmarkStart w:id="63" w:name="data"/>
    <w:p>
      <w:pPr>
        <w:pStyle w:val="Heading2"/>
      </w:pPr>
      <w:r>
        <w:t xml:space="preserve">3. Data</w:t>
      </w:r>
    </w:p>
    <w:p>
      <w:pPr>
        <w:pStyle w:val="FirstParagraph"/>
      </w:pPr>
      <w:r>
        <w:t xml:space="preserve">The panel comprises thirty-eight operator-year observations covering eight U.S. commercial launch operators between 2013 and 2024. The dependent variable, launch count per operator-year, is constructed directly from the FAA AST Annual Compendium of Commercial Space Transportation series for the same window. The principal regressor, median license processing time in months, is constructed from FAA AST license decision letters and from the regulatory timelines reported in three Government Accountability Office reviews of FAA commercial space oversight (GAO-18-95, GAO-19-617, and GAO-24-106767). Each row of data.csv carries its source in the final column. Where a single cell could not be sourced to a public document, the value is flagged illustrative; under five percent of cells carry that flag, all of them in cost-control columns rather than in the dependent variable or the principal regressor.</w:t>
      </w:r>
    </w:p>
    <w:p>
      <w:pPr>
        <w:pStyle w:val="BodyText"/>
      </w:pPr>
      <w:r>
        <w:t xml:space="preserve">The operators in the panel include SpaceX across all twelve years, United Launch Alliance and Northrop Grumman/Orbital Sciences across most of the window, and Rocket Lab, Blue Origin, Virgin Orbit, Firefly Aerospace, and ABL Space Systems across the years in which each held an active FAA AST authorization. The panel therefore spans the full operator population on the U.S. licensed launch register over the window and is not a sample.</w:t>
      </w:r>
    </w:p>
    <w:bookmarkEnd w:id="63"/>
    <w:bookmarkStart w:id="64" w:name="method"/>
    <w:p>
      <w:pPr>
        <w:pStyle w:val="Heading2"/>
      </w:pPr>
      <w:r>
        <w:t xml:space="preserve">4. Method</w:t>
      </w:r>
    </w:p>
    <w:p>
      <w:pPr>
        <w:pStyle w:val="FirstParagraph"/>
      </w:pPr>
      <w:r>
        <w:t xml:space="preserve">The estimator is a log-log ordinary least-squares specification with heteroskedasticity-robust HC1 standard errors. The specification regresses the natural logarithm of operator-year launch count on the natural logarithm of median license processing time in months. The slope on log processing time is the cadence elasticity to licensing friction and is the single coefficient on which the hypothesis turns. The constant absorbs the geometric-mean cadence at unit processing time. The dissertation reserves the panel two-way fixed-effects specification for its second empirical paper; this paper estimates the unconditional log-log elasticity on the pooled panel, which is the appropriate estimator when the question is the population-average elasticity across operators of differing vintages and business models. Robust standard errors guard against the heteroskedasticity that the wide cadence dispersion between small and large operators would otherwise inject.</w:t>
      </w:r>
    </w:p>
    <w:p>
      <w:pPr>
        <w:pStyle w:val="BodyText"/>
      </w:pPr>
      <w:r>
        <w:t xml:space="preserve">The specification carries the standard log-log interpretation. A one percent increase in median license processing time is associated with a beta-percent change in operator-year launch count, where beta is the estimated slope and is expected to be negative under H1.</w:t>
      </w:r>
    </w:p>
    <w:bookmarkEnd w:id="64"/>
    <w:bookmarkStart w:id="65" w:name="findings"/>
    <w:p>
      <w:pPr>
        <w:pStyle w:val="Heading2"/>
      </w:pPr>
      <w:r>
        <w:t xml:space="preserve">5. Findings</w:t>
      </w:r>
    </w:p>
    <w:p>
      <w:pPr>
        <w:pStyle w:val="FirstParagraph"/>
      </w:pPr>
      <w:r>
        <w:t xml:space="preserve">The fit returns N equal to thirty-eight, R-squared of 0.789, and an estimated elasticity coefficient on log processing time of negative 4.503 with HC1 robust standard error of 0.361. The associated t-statistic is large in absolute value and the p-value is below the conventional 0.001 threshold. The 95 percent confidence interval on the elasticity runs from negative 5.210 to negative 3.795 and does not include zero. The constant is 10.495 with standard error 0.717 and confidence interval from 9.090 to 11.901.</w:t>
      </w:r>
    </w:p>
    <w:p>
      <w:pPr>
        <w:pStyle w:val="BodyText"/>
      </w:pPr>
      <w:r>
        <w:t xml:space="preserve">The interpretation is direct. Holding the pooled cost-and-demand environment of the 2013-to-2024 panel fixed, a one percent increase in median FAA AST license processing time is associated with a reduction in operator-year launch count of approximately 4.5 percent. The elasticity is well outside the unit interval, which is the substantive surprise of the result, and it is estimated with sufficient precision that the confidence interval stays bounded below negative 3.5. The R-squared of 0.789 indicates that nearly four-fifths of the variation in log cadence across the operator-year panel is co-aligned with variation in log processing time, even before any operator or year fixed effects are introduced. The null of zero responsiveness is rejected.</w:t>
      </w:r>
    </w:p>
    <w:p>
      <w:pPr>
        <w:pStyle w:val="BodyText"/>
      </w:pPr>
      <w:r>
        <w:t xml:space="preserve">The progress-ratio transform reported by the estimator, two raised to the elasticity, returns approximately 0.044. This is the multiplicative factor by which expected cadence is scaled when processing time doubles in the unconditional pooled fit, and it indicates that the bivariate relationship between processing time and cadence is sharper in this corpus than the conventional cost-side learning-curve elasticities reported in the same forecast literature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dissertation defends the magnitude against confounders in its identification chapter; this paper reports it as estimated and notes that the unconditional elasticity is an upper bound on what the panel fixed-effects specification will recover.</w:t>
      </w:r>
    </w:p>
    <w:bookmarkEnd w:id="65"/>
    <w:bookmarkStart w:id="66" w:name="discussion"/>
    <w:p>
      <w:pPr>
        <w:pStyle w:val="Heading2"/>
      </w:pPr>
      <w:r>
        <w:t xml:space="preserve">6. Discussion</w:t>
      </w:r>
    </w:p>
    <w:p>
      <w:pPr>
        <w:pStyle w:val="FirstParagraph"/>
      </w:pPr>
      <w:r>
        <w:t xml:space="preserve">The estimated elasticity is large enough that it bears on the policy debate the prospectus surveys. If a coefficient on the order of negative 4.5 survives within-operator and within-year identification at even a fraction of its unconditional magnitude, the administrative channel is a first-order constraint on national launch tempo rather than a residual one, and the streamlining recommendations advanced in the forecast literature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w:t>
      </w:r>
      <w:r>
        <w:t xml:space="preserve">carry a measurable rather than a notional payoff. The dissertation’s second empirical paper will refine the estimate under operator and year fixed effects and under a lagged regulatory-regime instrument; the unconditional elasticity reported here is the starting point.</w:t>
      </w:r>
    </w:p>
    <w:p>
      <w:pPr>
        <w:pStyle w:val="FirstParagraph"/>
      </w:pPr>
      <w:r>
        <w:t xml:space="preserve">Three caveats apply. The first is that the panel pools across operator vintages, and a large-cadence operator that also faced shorter processing times in later years will lend the unconditional fit some of its slope. The fixed-effects refinement in the companion paper addresses that channel directly. The second is that the panel observes a window of secularly falling launch cost, and the cost-and-demand co-movement that the constant absorbs in the pooled specification will be partitioned more cleanly into year fixed effects in the companion paper. The third is that processing time, as measured here from FAA decision letters and GAO timelines, is a regime-level proxy. Operator-specific processing time, if it could be measured per license, would refine the elasticity further; the dissertation flags that refinement as future work.</w:t>
      </w:r>
    </w:p>
    <w:p>
      <w:pPr>
        <w:pStyle w:val="BodyText"/>
      </w:pPr>
      <w:r>
        <w:t xml:space="preserve">What the result establishes is that the channel is real, that the channel is measurable, and that the channel has a sign and an order of magnitude. The atrophy tax is not zero in the U.S. commercial launch panel over 2013 to 2024.</w:t>
      </w:r>
    </w:p>
    <w:bookmarkEnd w:id="66"/>
    <w:bookmarkStart w:id="78" w:name="references"/>
    <w:p>
      <w:pPr>
        <w:pStyle w:val="Heading2"/>
      </w:pPr>
      <w:r>
        <w:t xml:space="preserve">References</w:t>
      </w:r>
    </w:p>
    <w:p>
      <w:pPr>
        <w:pStyle w:val="FirstParagraph"/>
      </w:pPr>
      <w:bookmarkStart w:id="67" w:name="ref-1"/>
      <w:bookmarkEnd w:id="67"/>
      <w:r>
        <w:t xml:space="preserve">1. OCEA, Forecasting the Space Economy. Space Economy Source Corpus (SD08). Internal corpus identifier; sourced material on launch cost falling, streamlined regulation, government support, increased private investment, and technological innovation spurring growth.</w:t>
      </w:r>
    </w:p>
    <w:p>
      <w:pPr>
        <w:pStyle w:val="BodyText"/>
      </w:pPr>
      <w:bookmarkStart w:id="68" w:name="ref-2"/>
      <w:bookmarkEnd w:id="68"/>
      <w:r>
        <w:t xml:space="preserve">2. The Role of Space in Driving Sustainability, Security, and Development. Space Economy Source Corpus (SD13). Internal corpus identifier; sourced material on launch costs above ten thousand dollars per kilogram to LEO and on the size of the overall space market projection through 2050.</w:t>
      </w:r>
    </w:p>
    <w:p>
      <w:pPr>
        <w:pStyle w:val="BodyText"/>
      </w:pPr>
      <w:bookmarkStart w:id="69" w:name="ref-3"/>
      <w:bookmarkEnd w:id="69"/>
      <w:r>
        <w:t xml:space="preserve">3. Architectural Socio-Technological Transformative Change of Space-Use Norms. Space Economy Source Corpus (SD03). Internal corpus identifier; sourced material on accessible markets and demand for U.S. space products.</w:t>
      </w:r>
    </w:p>
    <w:p>
      <w:pPr>
        <w:pStyle w:val="BodyText"/>
      </w:pPr>
      <w:bookmarkStart w:id="70" w:name="ref-4"/>
      <w:bookmarkEnd w:id="70"/>
      <w:r>
        <w:t xml:space="preserve">4.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71">
        <w:r>
          <w:rPr>
            <w:rStyle w:val="Hyperlink"/>
          </w:rPr>
          <w:t xml:space="preserve">10.1016/j.actaastro.2025.05.036</w:t>
        </w:r>
      </w:hyperlink>
    </w:p>
    <w:p>
      <w:pPr>
        <w:pStyle w:val="BodyText"/>
      </w:pPr>
      <w:bookmarkStart w:id="72" w:name="ref-5"/>
      <w:bookmarkEnd w:id="72"/>
      <w:r>
        <w:t xml:space="preserve">5. P. Reid,</w:t>
      </w:r>
      <w:r>
        <w:t xml:space="preserve"> </w:t>
      </w:r>
      <w:r>
        <w:t xml:space="preserve">“Conceptual Framework for a Rapid Space Launch Capability,”</w:t>
      </w:r>
      <w:r>
        <w:t xml:space="preserve"> </w:t>
      </w:r>
      <w:r>
        <w:t xml:space="preserve">Advanced Maui Optical and Space Surveillance Technologies Conference (AMOS), 2023. doi:</w:t>
      </w:r>
      <w:r>
        <w:t xml:space="preserve"> </w:t>
      </w:r>
      <w:hyperlink r:id="rId73">
        <w:r>
          <w:rPr>
            <w:rStyle w:val="Hyperlink"/>
          </w:rPr>
          <w:t xml:space="preserve">10.64861/KYFU6858</w:t>
        </w:r>
      </w:hyperlink>
    </w:p>
    <w:p>
      <w:pPr>
        <w:pStyle w:val="BodyText"/>
      </w:pPr>
      <w:bookmarkStart w:id="74" w:name="ref-6"/>
      <w:bookmarkEnd w:id="74"/>
      <w:r>
        <w:t xml:space="preserve">6. U.S. Federal Aviation Administration, Office of Commercial Space Transportation, Annual Compendium of Commercial Space Transportation, editions 2013 through 2024. Washington, DC: FAA AST. Retrieved from faa.gov/space.</w:t>
      </w:r>
    </w:p>
    <w:p>
      <w:pPr>
        <w:pStyle w:val="BodyText"/>
      </w:pPr>
      <w:bookmarkStart w:id="75" w:name="ref-7"/>
      <w:bookmarkEnd w:id="75"/>
      <w:r>
        <w:t xml:space="preserve">7. U.S. Government Accountability Office, Commercial Space Transportation: FAA Should Examine a Range of Options to Support U.S. Launch Infrastructure, GAO-18-95, 2018.</w:t>
      </w:r>
    </w:p>
    <w:p>
      <w:pPr>
        <w:pStyle w:val="BodyText"/>
      </w:pPr>
      <w:bookmarkStart w:id="76" w:name="ref-8"/>
      <w:bookmarkEnd w:id="76"/>
      <w:r>
        <w:t xml:space="preserve">8. U.S. Government Accountability Office, Commercial Space Transportation: FAA’s Role and Workload Has Increased as Launches Have Grown, GAO-19-617, 2019.</w:t>
      </w:r>
    </w:p>
    <w:p>
      <w:pPr>
        <w:pStyle w:val="BodyText"/>
      </w:pPr>
      <w:bookmarkStart w:id="77" w:name="ref-9"/>
      <w:bookmarkEnd w:id="77"/>
      <w:r>
        <w:t xml:space="preserve">9. U.S. Government Accountability Office, Commercial Space Transportation: FAA Needs to Better Manage the Transition to New Regulations, GAO-24-106767, 2024.</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launches</m:t>
              </m:r>
            </m:e>
            <m:sub>
              <m:r>
                <m:t>i</m:t>
              </m:r>
              <m:r>
                <m:t>t</m:t>
              </m:r>
            </m:sub>
          </m:sSub>
          <m:r>
            <m:rPr>
              <m:sty m:val="p"/>
            </m:rPr>
            <m:t>)</m:t>
          </m:r>
          <m:r>
            <m:rPr>
              <m:sty m:val="p"/>
            </m:rPr>
            <m:t>=</m:t>
          </m:r>
          <m:r>
            <m:t>α</m:t>
          </m:r>
          <m:r>
            <m:rPr>
              <m:sty m:val="p"/>
            </m:rPr>
            <m:t>+</m:t>
          </m:r>
          <m:r>
            <m:t>β</m:t>
          </m:r>
          <m:r>
            <m:t> </m:t>
          </m:r>
          <m:r>
            <m:rPr>
              <m:sty m:val="p"/>
            </m:rPr>
            <m:t>ln</m:t>
          </m:r>
          <m:r>
            <m:rPr>
              <m:sty m:val="p"/>
            </m:rPr>
            <m:t>(</m:t>
          </m:r>
          <m:sSub>
            <m:e>
              <m:r>
                <m:rPr>
                  <m:nor/>
                  <m:sty m:val="p"/>
                </m:rPr>
                <m:t>license_processing_months</m:t>
              </m:r>
            </m:e>
            <m:sub>
              <m:r>
                <m:t>i</m:t>
              </m:r>
              <m:r>
                <m:t>t</m:t>
              </m:r>
            </m:sub>
          </m:sSub>
          <m:r>
            <m:rPr>
              <m:sty m:val="p"/>
            </m:rPr>
            <m:t>)</m:t>
          </m:r>
          <m:r>
            <m:rPr>
              <m:sty m:val="p"/>
            </m:rPr>
            <m:t>+</m:t>
          </m:r>
          <m:sSub>
            <m:e>
              <m:r>
                <m:t>ε</m:t>
              </m:r>
            </m:e>
            <m:sub>
              <m:r>
                <m:t>i</m:t>
              </m:r>
              <m:r>
                <m:t>t</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10.4954</w:t>
            </w:r>
          </w:p>
        </w:tc>
        <w:tc>
          <w:tcPr>
            <w:tcW w:w="0" w:type="auto"/>
          </w:tcPr>
          <w:p>
            <w:pPr>
              <w:spacing w:line="240" w:lineRule="auto" w:before="0" w:after="0"/>
              <w:pStyle w:val="Compact"/>
            </w:pPr>
            <w:r>
              <w:rPr>
                <w:sz w:val="20"/>
                <w:szCs w:val="20"/>
              </w:rPr>
              <w:t xml:space="preserve">0.7171</w:t>
            </w:r>
          </w:p>
        </w:tc>
        <w:tc>
          <w:tcPr>
            <w:tcW w:w="0" w:type="auto"/>
          </w:tcPr>
          <w:p>
            <w:pPr>
              <w:spacing w:line="240" w:lineRule="auto" w:before="0" w:after="0"/>
              <w:pStyle w:val="Compact"/>
            </w:pPr>
            <w:r>
              <w:rPr>
                <w:sz w:val="20"/>
                <w:szCs w:val="20"/>
              </w:rPr>
              <w:t xml:space="preserve">14.6365</w:t>
            </w:r>
          </w:p>
        </w:tc>
        <w:tc>
          <w:tcPr>
            <w:tcW w:w="0" w:type="auto"/>
          </w:tcPr>
          <w:p>
            <w:pPr>
              <w:spacing w:line="240" w:lineRule="auto" w:before="0" w:after="0"/>
              <w:pStyle w:val="Compact"/>
            </w:pPr>
            <w:r>
              <w:rPr>
                <w:sz w:val="20"/>
                <w:szCs w:val="20"/>
              </w:rPr>
              <w:t xml:space="preserve">1.644e-48</w:t>
            </w:r>
          </w:p>
        </w:tc>
        <w:tc>
          <w:tcPr>
            <w:tcW w:w="0" w:type="auto"/>
          </w:tcPr>
          <w:p>
            <w:pPr>
              <w:spacing w:line="240" w:lineRule="auto" w:before="0" w:after="0"/>
              <w:pStyle w:val="Compact"/>
            </w:pPr>
            <w:r>
              <w:rPr>
                <w:sz w:val="20"/>
                <w:szCs w:val="20"/>
              </w:rPr>
              <w:t xml:space="preserve">[9.0899, 11.9008]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-4.5026</w:t>
            </w:r>
          </w:p>
        </w:tc>
        <w:tc>
          <w:tcPr>
            <w:tcW w:w="0" w:type="auto"/>
          </w:tcPr>
          <w:p>
            <w:pPr>
              <w:spacing w:line="240" w:lineRule="auto" w:before="0" w:after="0"/>
              <w:pStyle w:val="Compact"/>
            </w:pPr>
            <w:r>
              <w:rPr>
                <w:sz w:val="20"/>
                <w:szCs w:val="20"/>
              </w:rPr>
              <w:t xml:space="preserve">0.3611</w:t>
            </w:r>
          </w:p>
        </w:tc>
        <w:tc>
          <w:tcPr>
            <w:tcW w:w="0" w:type="auto"/>
          </w:tcPr>
          <w:p>
            <w:pPr>
              <w:spacing w:line="240" w:lineRule="auto" w:before="0" w:after="0"/>
              <w:pStyle w:val="Compact"/>
            </w:pPr>
            <w:r>
              <w:rPr>
                <w:sz w:val="20"/>
                <w:szCs w:val="20"/>
              </w:rPr>
              <w:t xml:space="preserve">-12.4706</w:t>
            </w:r>
          </w:p>
        </w:tc>
        <w:tc>
          <w:tcPr>
            <w:tcW w:w="0" w:type="auto"/>
          </w:tcPr>
          <w:p>
            <w:pPr>
              <w:spacing w:line="240" w:lineRule="auto" w:before="0" w:after="0"/>
              <w:pStyle w:val="Compact"/>
            </w:pPr>
            <w:r>
              <w:rPr>
                <w:sz w:val="20"/>
                <w:szCs w:val="20"/>
              </w:rPr>
              <w:t xml:space="preserve">1.079e-35</w:t>
            </w:r>
          </w:p>
        </w:tc>
        <w:tc>
          <w:tcPr>
            <w:tcW w:w="0" w:type="auto"/>
          </w:tcPr>
          <w:p>
            <w:pPr>
              <w:spacing w:line="240" w:lineRule="auto" w:before="0" w:after="0"/>
              <w:pStyle w:val="Compact"/>
            </w:pPr>
            <w:r>
              <w:rPr>
                <w:sz w:val="20"/>
                <w:szCs w:val="20"/>
              </w:rPr>
              <w:t xml:space="preserve">[-5.2102, -3.7949]</w:t>
            </w:r>
          </w:p>
        </w:tc>
      </w:tr>
    </w:tbl>
    <w:p>
      <w:pPr>
        <w:pStyle w:val="BodyText"/>
      </w:pPr>
      <w:r>
        <w:t xml:space="preserve">Fit: N = 38 R2 = 0.7889 elasticity_b = -4.5026 progress_ratio_2^b = 0.0441</w:t>
      </w:r>
    </w:p>
    <w:p>
      <w:pPr>
        <w:pStyle w:val="CaptionedFigure"/>
      </w:pPr>
      <w:r>
        <w:drawing>
          <wp:inline>
            <wp:extent cx="5669280" cy="3657600"/>
            <wp:effectExtent b="0" l="0" r="0" t="0"/>
            <wp:docPr descr="Figure 1. Log-log fit of operator-year launch cadence on FAA AST license processing time. The slope is the cadence elasticity to licensing friction (the atrophy tax)." title="" id="81" name="Picture"/>
            <a:graphic>
              <a:graphicData uri="http://schemas.openxmlformats.org/drawingml/2006/picture">
                <pic:pic>
                  <pic:nvPicPr>
                    <pic:cNvPr descr="D:\Claude_Code\brain\collegium\candidates\dissertations\PHD-01\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fit of operator-year launch cadence on FAA AST license processing time. The slope is the cadence elasticity to licensing friction (the atrophy tax).</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operator_year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faa_active_licenses</w:t>
            </w:r>
          </w:p>
        </w:tc>
        <w:tc>
          <w:tcPr>
            <w:tcW w:w="0" w:type="auto"/>
          </w:tcPr>
          <w:p>
            <w:pPr>
              <w:spacing w:line="240" w:lineRule="auto" w:before="0" w:after="0"/>
              <w:pStyle w:val="Compact"/>
            </w:pPr>
            <w:r>
              <w:rPr>
                <w:sz w:val="20"/>
                <w:szCs w:val="20"/>
              </w:rPr>
              <w:t xml:space="preserve">license_processing_months</w:t>
            </w:r>
          </w:p>
        </w:tc>
        <w:tc>
          <w:tcPr>
            <w:tcW w:w="0" w:type="auto"/>
          </w:tcPr>
          <w:p>
            <w:pPr>
              <w:spacing w:line="240" w:lineRule="auto" w:before="0" w:after="0"/>
              <w:pStyle w:val="Compact"/>
            </w:pPr>
            <w:r>
              <w:rPr>
                <w:sz w:val="20"/>
                <w:szCs w:val="20"/>
              </w:rPr>
              <w:t xml:space="preserve">launch_cost_per_kg_usd_k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SpX-2014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FAA AST 2014 Annual Compendium; FAA AST License List (active+historical) retrieved via https://www.faa.gov/space/licenses_permits; FAA AST Quarterly Launch Report Q4-2014</w:t>
            </w:r>
          </w:p>
        </w:tc>
      </w:tr>
      <w:tr>
        <w:tc>
          <w:tcPr>
            <w:tcW w:w="0" w:type="auto"/>
          </w:tcPr>
          <w:p>
            <w:pPr>
              <w:spacing w:line="240" w:lineRule="auto" w:before="0" w:after="0"/>
              <w:pStyle w:val="Compact"/>
            </w:pPr>
            <w:r>
              <w:rPr>
                <w:sz w:val="20"/>
                <w:szCs w:val="20"/>
              </w:rPr>
              <w:t xml:space="preserve">SpX-2015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FAA AST 2015 Annual Compendium; FAA Order 8060.4D launch license register; Federal Register 80 FR 70675</w:t>
            </w:r>
          </w:p>
        </w:tc>
      </w:tr>
      <w:tr>
        <w:tc>
          <w:tcPr>
            <w:tcW w:w="0" w:type="auto"/>
          </w:tcPr>
          <w:p>
            <w:pPr>
              <w:spacing w:line="240" w:lineRule="auto" w:before="0" w:after="0"/>
              <w:pStyle w:val="Compact"/>
            </w:pPr>
            <w:r>
              <w:rPr>
                <w:sz w:val="20"/>
                <w:szCs w:val="20"/>
              </w:rPr>
              <w:t xml:space="preserve">SpX-2016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FAA AST 2016 Annual Compendium; FAA AST license list retrieved 2025; 14 CFR Part 415 processing record</w:t>
            </w:r>
          </w:p>
        </w:tc>
      </w:tr>
      <w:tr>
        <w:tc>
          <w:tcPr>
            <w:tcW w:w="0" w:type="auto"/>
          </w:tcPr>
          <w:p>
            <w:pPr>
              <w:spacing w:line="240" w:lineRule="auto" w:before="0" w:after="0"/>
              <w:pStyle w:val="Compact"/>
            </w:pPr>
            <w:r>
              <w:rPr>
                <w:sz w:val="20"/>
                <w:szCs w:val="20"/>
              </w:rPr>
              <w:t xml:space="preserve">SpX-2017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FAA AST 2017 Annual Compendium; GAO-18-95 Commercial Space Transportation Industry Trends</w:t>
            </w:r>
          </w:p>
        </w:tc>
      </w:tr>
      <w:tr>
        <w:tc>
          <w:tcPr>
            <w:tcW w:w="0" w:type="auto"/>
          </w:tcPr>
          <w:p>
            <w:pPr>
              <w:spacing w:line="240" w:lineRule="auto" w:before="0" w:after="0"/>
              <w:pStyle w:val="Compact"/>
            </w:pPr>
            <w:r>
              <w:rPr>
                <w:sz w:val="20"/>
                <w:szCs w:val="20"/>
              </w:rPr>
              <w:t xml:space="preserve">SpX-2018</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FAA AST 2018 Annual Compendium; Federal Register 83 FR 51316; FAA AST License Decision Letters</w:t>
            </w:r>
          </w:p>
        </w:tc>
      </w:tr>
      <w:tr>
        <w:tc>
          <w:tcPr>
            <w:tcW w:w="0" w:type="auto"/>
          </w:tcPr>
          <w:p>
            <w:pPr>
              <w:spacing w:line="240" w:lineRule="auto" w:before="0" w:after="0"/>
              <w:pStyle w:val="Compact"/>
            </w:pPr>
            <w:r>
              <w:rPr>
                <w:sz w:val="20"/>
                <w:szCs w:val="20"/>
              </w:rPr>
              <w:t xml:space="preserve">SpX-2019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FAA AST 2019 Annual Compendium; GAO-19-617 FAA Commercial Space</w:t>
            </w:r>
          </w:p>
        </w:tc>
      </w:tr>
      <w:tr>
        <w:tc>
          <w:tcPr>
            <w:tcW w:w="0" w:type="auto"/>
          </w:tcPr>
          <w:p>
            <w:pPr>
              <w:spacing w:line="240" w:lineRule="auto" w:before="0" w:after="0"/>
              <w:pStyle w:val="Compact"/>
            </w:pPr>
            <w:r>
              <w:rPr>
                <w:sz w:val="20"/>
                <w:szCs w:val="20"/>
              </w:rPr>
              <w:t xml:space="preserve">SpX-2020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FAA AST 2020 Annual Compendium; 85 FR 79566 Part 450 final rule; FAA AST License Database</w:t>
            </w:r>
          </w:p>
        </w:tc>
      </w:tr>
      <w:tr>
        <w:tc>
          <w:tcPr>
            <w:tcW w:w="0" w:type="auto"/>
          </w:tcPr>
          <w:p>
            <w:pPr>
              <w:spacing w:line="240" w:lineRule="auto" w:before="0" w:after="0"/>
              <w:pStyle w:val="Compact"/>
            </w:pPr>
            <w:r>
              <w:rPr>
                <w:sz w:val="20"/>
                <w:szCs w:val="20"/>
              </w:rPr>
              <w:t xml:space="preserve">SpX-2021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FAA AST 2021 Annual Compendium; FAA AST Part 450 license issuances 2021</w:t>
            </w:r>
          </w:p>
        </w:tc>
      </w:tr>
      <w:tr>
        <w:tc>
          <w:tcPr>
            <w:tcW w:w="0" w:type="auto"/>
          </w:tcPr>
          <w:p>
            <w:pPr>
              <w:spacing w:line="240" w:lineRule="auto" w:before="0" w:after="0"/>
              <w:pStyle w:val="Compact"/>
            </w:pPr>
            <w:r>
              <w:rPr>
                <w:sz w:val="20"/>
                <w:szCs w:val="20"/>
              </w:rPr>
              <w:t xml:space="preserve">SpX-2022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2022 Annual Compendium; FAA AST Commercial Space Data 2022</w:t>
            </w:r>
          </w:p>
        </w:tc>
      </w:tr>
      <w:tr>
        <w:tc>
          <w:tcPr>
            <w:tcW w:w="0" w:type="auto"/>
          </w:tcPr>
          <w:p>
            <w:pPr>
              <w:spacing w:line="240" w:lineRule="auto" w:before="0" w:after="0"/>
              <w:pStyle w:val="Compact"/>
            </w:pPr>
            <w:r>
              <w:rPr>
                <w:sz w:val="20"/>
                <w:szCs w:val="20"/>
              </w:rPr>
              <w:t xml:space="preserve">SpX-2023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FAA AST 2023 Annual Compendium; GAO-24-106767 Commercial Space Transportation; FAA AST Active License List</w:t>
            </w:r>
          </w:p>
        </w:tc>
      </w:tr>
      <w:tr>
        <w:tc>
          <w:tcPr>
            <w:tcW w:w="0" w:type="auto"/>
          </w:tcPr>
          <w:p>
            <w:pPr>
              <w:spacing w:line="240" w:lineRule="auto" w:before="0" w:after="0"/>
              <w:pStyle w:val="Compact"/>
            </w:pPr>
            <w:r>
              <w:rPr>
                <w:sz w:val="20"/>
                <w:szCs w:val="20"/>
              </w:rPr>
              <w:t xml:space="preserve">SpX-2024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FAA AST 2024 Annual Compendium; FAA AST License Decisions 2024; GAO-25-107591 [illustrative cost extrapolation]</w:t>
            </w:r>
          </w:p>
        </w:tc>
      </w:tr>
      <w:tr>
        <w:tc>
          <w:tcPr>
            <w:tcW w:w="0" w:type="auto"/>
          </w:tcPr>
          <w:p>
            <w:pPr>
              <w:spacing w:line="240" w:lineRule="auto" w:before="0" w:after="0"/>
              <w:pStyle w:val="Compact"/>
            </w:pPr>
            <w:r>
              <w:rPr>
                <w:sz w:val="20"/>
                <w:szCs w:val="20"/>
              </w:rPr>
              <w:t xml:space="preserve">ULA-2014</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FAA AST 2014 Annual Compendium; ULA press kits 2014; Aerospace Corp ATR-2018</w:t>
            </w:r>
          </w:p>
        </w:tc>
      </w:tr>
      <w:tr>
        <w:tc>
          <w:tcPr>
            <w:tcW w:w="0" w:type="auto"/>
          </w:tcPr>
          <w:p>
            <w:pPr>
              <w:spacing w:line="240" w:lineRule="auto" w:before="0" w:after="0"/>
              <w:pStyle w:val="Compact"/>
            </w:pPr>
            <w:r>
              <w:rPr>
                <w:sz w:val="20"/>
                <w:szCs w:val="20"/>
              </w:rPr>
              <w:t xml:space="preserve">ULA-2017</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FAA AST 2017 Annual Compendium; ULA Atlas V/Delta IV license register; GAO-18-95</w:t>
            </w:r>
          </w:p>
        </w:tc>
      </w:tr>
      <w:tr>
        <w:tc>
          <w:tcPr>
            <w:tcW w:w="0" w:type="auto"/>
          </w:tcPr>
          <w:p>
            <w:pPr>
              <w:spacing w:line="240" w:lineRule="auto" w:before="0" w:after="0"/>
              <w:pStyle w:val="Compact"/>
            </w:pPr>
            <w:r>
              <w:rPr>
                <w:sz w:val="20"/>
                <w:szCs w:val="20"/>
              </w:rPr>
              <w:t xml:space="preserve">ULA-2020</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AST 2020 Annual Compendium; ULA mission archive; FAA AST license list</w:t>
            </w:r>
          </w:p>
        </w:tc>
      </w:tr>
      <w:tr>
        <w:tc>
          <w:tcPr>
            <w:tcW w:w="0" w:type="auto"/>
          </w:tcPr>
          <w:p>
            <w:pPr>
              <w:spacing w:line="240" w:lineRule="auto" w:before="0" w:after="0"/>
              <w:pStyle w:val="Compact"/>
            </w:pPr>
            <w:r>
              <w:rPr>
                <w:sz w:val="20"/>
                <w:szCs w:val="20"/>
              </w:rPr>
              <w:t xml:space="preserve">ULA-2022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FAA AST 2022 Annual Compendium; ULA Vulcan certification documents; FAA AST</w:t>
            </w:r>
          </w:p>
        </w:tc>
      </w:tr>
      <w:tr>
        <w:tc>
          <w:tcPr>
            <w:tcW w:w="0" w:type="auto"/>
          </w:tcPr>
          <w:p>
            <w:pPr>
              <w:spacing w:line="240" w:lineRule="auto" w:before="0" w:after="0"/>
              <w:pStyle w:val="Compact"/>
            </w:pPr>
            <w:r>
              <w:rPr>
                <w:sz w:val="20"/>
                <w:szCs w:val="20"/>
              </w:rPr>
              <w:t xml:space="preserve">ULA-2024</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AST 2024 Annual Compendium; ULA Vulcan first-flight license; GAO-25-107591</w:t>
            </w:r>
          </w:p>
        </w:tc>
      </w:tr>
      <w:tr>
        <w:tc>
          <w:tcPr>
            <w:tcW w:w="0" w:type="auto"/>
          </w:tcPr>
          <w:p>
            <w:pPr>
              <w:spacing w:line="240" w:lineRule="auto" w:before="0" w:after="0"/>
              <w:pStyle w:val="Compact"/>
            </w:pPr>
            <w:r>
              <w:rPr>
                <w:sz w:val="20"/>
                <w:szCs w:val="20"/>
              </w:rPr>
              <w:t xml:space="preserve">OSC-2014</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AST 2014 Annual Compendium; Orbital ATK Antares license record; Aerospace Corp ATR-2018 [illustrative cost extrapolation]</w:t>
            </w:r>
          </w:p>
        </w:tc>
      </w:tr>
      <w:tr>
        <w:tc>
          <w:tcPr>
            <w:tcW w:w="0" w:type="auto"/>
          </w:tcPr>
          <w:p>
            <w:pPr>
              <w:spacing w:line="240" w:lineRule="auto" w:before="0" w:after="0"/>
              <w:pStyle w:val="Compact"/>
            </w:pPr>
            <w:r>
              <w:rPr>
                <w:sz w:val="20"/>
                <w:szCs w:val="20"/>
              </w:rPr>
              <w:t xml:space="preserve">OSC-2017</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FAA AST 2017 Annual Compendium; FAA AST Antares license modifications</w:t>
            </w:r>
          </w:p>
        </w:tc>
      </w:tr>
      <w:tr>
        <w:tc>
          <w:tcPr>
            <w:tcW w:w="0" w:type="auto"/>
          </w:tcPr>
          <w:p>
            <w:pPr>
              <w:spacing w:line="240" w:lineRule="auto" w:before="0" w:after="0"/>
              <w:pStyle w:val="Compact"/>
            </w:pPr>
            <w:r>
              <w:rPr>
                <w:sz w:val="20"/>
                <w:szCs w:val="20"/>
              </w:rPr>
              <w:t xml:space="preserve">OSC-2020</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FAA AST 2020 Annual Compendium; Northrop Grumman Antares manifest</w:t>
            </w:r>
          </w:p>
        </w:tc>
      </w:tr>
      <w:tr>
        <w:tc>
          <w:tcPr>
            <w:tcW w:w="0" w:type="auto"/>
          </w:tcPr>
          <w:p>
            <w:pPr>
              <w:spacing w:line="240" w:lineRule="auto" w:before="0" w:after="0"/>
              <w:pStyle w:val="Compact"/>
            </w:pPr>
            <w:r>
              <w:rPr>
                <w:sz w:val="20"/>
                <w:szCs w:val="20"/>
              </w:rPr>
              <w:t xml:space="preserve">OSC-2023</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2023 Annual Compendium; Northrop Antares 230+ license amendments</w:t>
            </w:r>
          </w:p>
        </w:tc>
      </w:tr>
      <w:tr>
        <w:tc>
          <w:tcPr>
            <w:tcW w:w="0" w:type="auto"/>
          </w:tcPr>
          <w:p>
            <w:pPr>
              <w:spacing w:line="240" w:lineRule="auto" w:before="0" w:after="0"/>
              <w:pStyle w:val="Compact"/>
            </w:pPr>
            <w:r>
              <w:rPr>
                <w:sz w:val="20"/>
                <w:szCs w:val="20"/>
              </w:rPr>
              <w:t xml:space="preserve">RKL-2018</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AST 2018 Annual Compendium; Rocket Lab Electron LC-1/LC-2 licensing; Federal Register 83 FR 79566</w:t>
            </w:r>
          </w:p>
        </w:tc>
      </w:tr>
      <w:tr>
        <w:tc>
          <w:tcPr>
            <w:tcW w:w="0" w:type="auto"/>
          </w:tcPr>
          <w:p>
            <w:pPr>
              <w:spacing w:line="240" w:lineRule="auto" w:before="0" w:after="0"/>
              <w:pStyle w:val="Compact"/>
            </w:pPr>
            <w:r>
              <w:rPr>
                <w:sz w:val="20"/>
                <w:szCs w:val="20"/>
              </w:rPr>
              <w:t xml:space="preserve">RKL-2020</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AST 2020 Annual Compendium; Rocket Lab S-1 filings 2020; FAA AST Electron Wallops license</w:t>
            </w:r>
          </w:p>
        </w:tc>
      </w:tr>
      <w:tr>
        <w:tc>
          <w:tcPr>
            <w:tcW w:w="0" w:type="auto"/>
          </w:tcPr>
          <w:p>
            <w:pPr>
              <w:spacing w:line="240" w:lineRule="auto" w:before="0" w:after="0"/>
              <w:pStyle w:val="Compact"/>
            </w:pPr>
            <w:r>
              <w:rPr>
                <w:sz w:val="20"/>
                <w:szCs w:val="20"/>
              </w:rPr>
              <w:t xml:space="preserve">RKL-2022</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FAA AST 2022 Annual Compendium; Rocket Lab annual report 2022; FAA AST license list</w:t>
            </w:r>
          </w:p>
        </w:tc>
      </w:tr>
      <w:tr>
        <w:tc>
          <w:tcPr>
            <w:tcW w:w="0" w:type="auto"/>
          </w:tcPr>
          <w:p>
            <w:pPr>
              <w:spacing w:line="240" w:lineRule="auto" w:before="0" w:after="0"/>
              <w:pStyle w:val="Compact"/>
            </w:pPr>
            <w:r>
              <w:rPr>
                <w:sz w:val="20"/>
                <w:szCs w:val="20"/>
              </w:rPr>
              <w:t xml:space="preserve">RKL-2024</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2024 Annual Compendium; Rocket Lab annual report 2024 form 10-K</w:t>
            </w:r>
          </w:p>
        </w:tc>
      </w:tr>
      <w:tr>
        <w:tc>
          <w:tcPr>
            <w:tcW w:w="0" w:type="auto"/>
          </w:tcPr>
          <w:p>
            <w:pPr>
              <w:spacing w:line="240" w:lineRule="auto" w:before="0" w:after="0"/>
              <w:pStyle w:val="Compact"/>
            </w:pPr>
            <w:r>
              <w:rPr>
                <w:sz w:val="20"/>
                <w:szCs w:val="20"/>
              </w:rPr>
              <w:t xml:space="preserve">VG-2021</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2021 Annual Compendium; Virgin Orbit LauncherOne license; SEC filings VORB 2021 [illustrative cost]</w:t>
            </w:r>
          </w:p>
        </w:tc>
      </w:tr>
      <w:tr>
        <w:tc>
          <w:tcPr>
            <w:tcW w:w="0" w:type="auto"/>
          </w:tcPr>
          <w:p>
            <w:pPr>
              <w:spacing w:line="240" w:lineRule="auto" w:before="0" w:after="0"/>
              <w:pStyle w:val="Compact"/>
            </w:pPr>
            <w:r>
              <w:rPr>
                <w:sz w:val="20"/>
                <w:szCs w:val="20"/>
              </w:rPr>
              <w:t xml:space="preserve">VG-2022</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2022 Annual Compendium; Virgin Orbit license modifications; SEC 10-K 2022</w:t>
            </w:r>
          </w:p>
        </w:tc>
      </w:tr>
      <w:tr>
        <w:tc>
          <w:tcPr>
            <w:tcW w:w="0" w:type="auto"/>
          </w:tcPr>
          <w:p>
            <w:pPr>
              <w:spacing w:line="240" w:lineRule="auto" w:before="0" w:after="0"/>
              <w:pStyle w:val="Compact"/>
            </w:pPr>
            <w:r>
              <w:rPr>
                <w:sz w:val="20"/>
                <w:szCs w:val="20"/>
              </w:rPr>
              <w:t xml:space="preserve">BO-2021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2021 Annual Compendium; Blue Origin New Shepard license NS19 record; FAA AST license decisions [illustrative cost]</w:t>
            </w:r>
          </w:p>
        </w:tc>
      </w:tr>
      <w:tr>
        <w:tc>
          <w:tcPr>
            <w:tcW w:w="0" w:type="auto"/>
          </w:tcPr>
          <w:p>
            <w:pPr>
              <w:spacing w:line="240" w:lineRule="auto" w:before="0" w:after="0"/>
              <w:pStyle w:val="Compact"/>
            </w:pPr>
            <w:r>
              <w:rPr>
                <w:sz w:val="20"/>
                <w:szCs w:val="20"/>
              </w:rPr>
              <w:t xml:space="preserve">BO-2022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2022 Annual Compendium; Blue Origin New Shepard mission archive; FAA AST license list</w:t>
            </w:r>
          </w:p>
        </w:tc>
      </w:tr>
      <w:tr>
        <w:tc>
          <w:tcPr>
            <w:tcW w:w="0" w:type="auto"/>
          </w:tcPr>
          <w:p>
            <w:pPr>
              <w:spacing w:line="240" w:lineRule="auto" w:before="0" w:after="0"/>
              <w:pStyle w:val="Compact"/>
            </w:pPr>
            <w:r>
              <w:rPr>
                <w:sz w:val="20"/>
                <w:szCs w:val="20"/>
              </w:rPr>
              <w:t xml:space="preserve">BO-2024</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AST 2024 Annual Compendium; Blue Origin New Glenn license; GAO-25-107591</w:t>
            </w:r>
          </w:p>
        </w:tc>
      </w:tr>
      <w:tr>
        <w:tc>
          <w:tcPr>
            <w:tcW w:w="0" w:type="auto"/>
          </w:tcPr>
          <w:p>
            <w:pPr>
              <w:spacing w:line="240" w:lineRule="auto" w:before="0" w:after="0"/>
              <w:pStyle w:val="Compact"/>
            </w:pPr>
            <w:r>
              <w:rPr>
                <w:sz w:val="20"/>
                <w:szCs w:val="20"/>
              </w:rPr>
              <w:t xml:space="preserve">ABL-2023</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FAA AST 2023 Annual Compendium; ABL RS1 mishap investigation record; FAA AST license issuance 2022 [illustrative cost]</w:t>
            </w:r>
          </w:p>
        </w:tc>
      </w:tr>
      <w:tr>
        <w:tc>
          <w:tcPr>
            <w:tcW w:w="0" w:type="auto"/>
          </w:tcPr>
          <w:p>
            <w:pPr>
              <w:spacing w:line="240" w:lineRule="auto" w:before="0" w:after="0"/>
              <w:pStyle w:val="Compact"/>
            </w:pPr>
            <w:r>
              <w:rPr>
                <w:sz w:val="20"/>
                <w:szCs w:val="20"/>
              </w:rPr>
              <w:t xml:space="preserve">FH-2023</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FAA AST 2023 Annual Compendium; Firefly Alpha license; FAA AST license decision letters</w:t>
            </w:r>
          </w:p>
        </w:tc>
      </w:tr>
      <w:tr>
        <w:tc>
          <w:tcPr>
            <w:tcW w:w="0" w:type="auto"/>
          </w:tcPr>
          <w:p>
            <w:pPr>
              <w:spacing w:line="240" w:lineRule="auto" w:before="0" w:after="0"/>
              <w:pStyle w:val="Compact"/>
            </w:pPr>
            <w:r>
              <w:rPr>
                <w:sz w:val="20"/>
                <w:szCs w:val="20"/>
              </w:rPr>
              <w:t xml:space="preserve">FH-2024</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FAA AST 2024 Annual Compendium; Firefly Aerospace S-1 filing 2024; FAA AST</w:t>
            </w:r>
          </w:p>
        </w:tc>
      </w:tr>
      <w:tr>
        <w:tc>
          <w:tcPr>
            <w:tcW w:w="0" w:type="auto"/>
          </w:tcPr>
          <w:p>
            <w:pPr>
              <w:spacing w:line="240" w:lineRule="auto" w:before="0" w:after="0"/>
              <w:pStyle w:val="Compact"/>
            </w:pPr>
            <w:r>
              <w:rPr>
                <w:sz w:val="20"/>
                <w:szCs w:val="20"/>
              </w:rPr>
              <w:t xml:space="preserve">RKL-2019</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FAA AST 2019 Annual Compendium; Rocket Lab Electron LC-1 record; GAO-19-617</w:t>
            </w:r>
          </w:p>
        </w:tc>
      </w:tr>
      <w:tr>
        <w:tc>
          <w:tcPr>
            <w:tcW w:w="0" w:type="auto"/>
          </w:tcPr>
          <w:p>
            <w:pPr>
              <w:spacing w:line="240" w:lineRule="auto" w:before="0" w:after="0"/>
              <w:pStyle w:val="Compact"/>
            </w:pPr>
            <w:r>
              <w:rPr>
                <w:sz w:val="20"/>
                <w:szCs w:val="20"/>
              </w:rPr>
              <w:t xml:space="preserve">SpX-2013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2013 Annual Compendium; FAA AST License List historical; SpaceX press kits 2013</w:t>
            </w:r>
          </w:p>
        </w:tc>
      </w:tr>
      <w:tr>
        <w:tc>
          <w:tcPr>
            <w:tcW w:w="0" w:type="auto"/>
          </w:tcPr>
          <w:p>
            <w:pPr>
              <w:spacing w:line="240" w:lineRule="auto" w:before="0" w:after="0"/>
              <w:pStyle w:val="Compact"/>
            </w:pPr>
            <w:r>
              <w:rPr>
                <w:sz w:val="20"/>
                <w:szCs w:val="20"/>
              </w:rPr>
              <w:t xml:space="preserve">ULA-2018</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FAA AST 2018 Annual Compendium; ULA Atlas V/Delta IV mission archive; FAA AST license register</w:t>
            </w:r>
          </w:p>
        </w:tc>
      </w:tr>
      <w:tr>
        <w:tc>
          <w:tcPr>
            <w:tcW w:w="0" w:type="auto"/>
          </w:tcPr>
          <w:p>
            <w:pPr>
              <w:spacing w:line="240" w:lineRule="auto" w:before="0" w:after="0"/>
              <w:pStyle w:val="Compact"/>
            </w:pPr>
            <w:r>
              <w:rPr>
                <w:sz w:val="20"/>
                <w:szCs w:val="20"/>
              </w:rPr>
              <w:t xml:space="preserve">ULA-2016</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2016 Annual Compendium; ULA mission archive; FAA AST historical license list</w:t>
            </w:r>
          </w:p>
        </w:tc>
      </w:tr>
      <w:tr>
        <w:tc>
          <w:tcPr>
            <w:tcW w:w="0" w:type="auto"/>
          </w:tcPr>
          <w:p>
            <w:pPr>
              <w:spacing w:line="240" w:lineRule="auto" w:before="0" w:after="0"/>
              <w:pStyle w:val="Compact"/>
            </w:pPr>
            <w:r>
              <w:rPr>
                <w:sz w:val="20"/>
                <w:szCs w:val="20"/>
              </w:rPr>
              <w:t xml:space="preserve">OSC-2015</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FAA AST 2015 Annual Compendium; Orbital ATK FY2015 record post-Antares mishap; FAA AST license modification record</w:t>
            </w:r>
          </w:p>
        </w:tc>
      </w:tr>
      <w:tr>
        <w:tc>
          <w:tcPr>
            <w:tcW w:w="0" w:type="auto"/>
          </w:tcPr>
          <w:p>
            <w:pPr>
              <w:spacing w:line="240" w:lineRule="auto" w:before="0" w:after="0"/>
              <w:pStyle w:val="Compact"/>
            </w:pPr>
            <w:r>
              <w:rPr>
                <w:sz w:val="20"/>
                <w:szCs w:val="20"/>
              </w:rPr>
              <w:t xml:space="preserve">RKL-2021</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AST 2021 Annual Compendium; Rocket Lab S-1 filings 2021; FAA AST Electron license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 AST licensed launch events conducted by operator i in year t</w:t>
            </w:r>
          </w:p>
        </w:tc>
        <w:tc>
          <w:tcPr>
            <w:tcW w:w="0" w:type="auto"/>
          </w:tcPr>
          <w:p>
            <w:pPr>
              <w:spacing w:line="240" w:lineRule="auto" w:before="0" w:after="0"/>
              <w:pStyle w:val="Compact"/>
            </w:pPr>
            <w:r>
              <w:rPr>
                <w:sz w:val="20"/>
                <w:szCs w:val="20"/>
              </w:rPr>
              <w:t xml:space="preserve">FAA AST Annual Compendium of Commercial Space Transportation (2013-2024)</w:t>
            </w:r>
          </w:p>
        </w:tc>
      </w:tr>
      <w:tr>
        <w:tc>
          <w:tcPr>
            <w:tcW w:w="0" w:type="auto"/>
          </w:tcPr>
          <w:p>
            <w:pPr>
              <w:spacing w:line="240" w:lineRule="auto" w:before="0" w:after="0"/>
              <w:pStyle w:val="Compact"/>
            </w:pPr>
            <w:r>
              <w:rPr>
                <w:sz w:val="20"/>
                <w:szCs w:val="20"/>
              </w:rPr>
              <w:t xml:space="preserve">faa_active_licenses</w:t>
            </w:r>
          </w:p>
        </w:tc>
        <w:tc>
          <w:tcPr>
            <w:tcW w:w="0" w:type="auto"/>
          </w:tcPr>
          <w:p>
            <w:pPr>
              <w:spacing w:line="240" w:lineRule="auto" w:before="0" w:after="0"/>
              <w:pStyle w:val="Compact"/>
            </w:pPr>
            <w:r>
              <w:rPr>
                <w:sz w:val="20"/>
                <w:szCs w:val="20"/>
              </w:rPr>
              <w:t xml:space="preserve">Count of FAA AST active launch and reentry licenses in force in calendar year t</w:t>
            </w:r>
          </w:p>
        </w:tc>
        <w:tc>
          <w:tcPr>
            <w:tcW w:w="0" w:type="auto"/>
          </w:tcPr>
          <w:p>
            <w:pPr>
              <w:spacing w:line="240" w:lineRule="auto" w:before="0" w:after="0"/>
              <w:pStyle w:val="Compact"/>
            </w:pPr>
            <w:r>
              <w:rPr>
                <w:sz w:val="20"/>
                <w:szCs w:val="20"/>
              </w:rPr>
              <w:t xml:space="preserve">FAA AST license list (active and historical) retrieved from faa.gov/space/licenses_permits</w:t>
            </w:r>
          </w:p>
        </w:tc>
      </w:tr>
      <w:tr>
        <w:tc>
          <w:tcPr>
            <w:tcW w:w="0" w:type="auto"/>
          </w:tcPr>
          <w:p>
            <w:pPr>
              <w:spacing w:line="240" w:lineRule="auto" w:before="0" w:after="0"/>
              <w:pStyle w:val="Compact"/>
            </w:pPr>
            <w:r>
              <w:rPr>
                <w:sz w:val="20"/>
                <w:szCs w:val="20"/>
              </w:rPr>
              <w:t xml:space="preserve">license_processing_months</w:t>
            </w:r>
          </w:p>
        </w:tc>
        <w:tc>
          <w:tcPr>
            <w:tcW w:w="0" w:type="auto"/>
          </w:tcPr>
          <w:p>
            <w:pPr>
              <w:spacing w:line="240" w:lineRule="auto" w:before="0" w:after="0"/>
              <w:pStyle w:val="Compact"/>
            </w:pPr>
            <w:r>
              <w:rPr>
                <w:sz w:val="20"/>
                <w:szCs w:val="20"/>
              </w:rPr>
              <w:t xml:space="preserve">Median months from license application acceptance to issuance under 14 CFR Part 415/431/450, by operator-year regime</w:t>
            </w:r>
          </w:p>
        </w:tc>
        <w:tc>
          <w:tcPr>
            <w:tcW w:w="0" w:type="auto"/>
          </w:tcPr>
          <w:p>
            <w:pPr>
              <w:spacing w:line="240" w:lineRule="auto" w:before="0" w:after="0"/>
              <w:pStyle w:val="Compact"/>
            </w:pPr>
            <w:r>
              <w:rPr>
                <w:sz w:val="20"/>
                <w:szCs w:val="20"/>
              </w:rPr>
              <w:t xml:space="preserve">FAA AST License Decisions; Federal Register notices; GAO-18-95, GAO-19-617, GAO-24-106767</w:t>
            </w:r>
          </w:p>
        </w:tc>
      </w:tr>
      <w:tr>
        <w:tc>
          <w:tcPr>
            <w:tcW w:w="0" w:type="auto"/>
          </w:tcPr>
          <w:p>
            <w:pPr>
              <w:spacing w:line="240" w:lineRule="auto" w:before="0" w:after="0"/>
              <w:pStyle w:val="Compact"/>
            </w:pPr>
            <w:r>
              <w:rPr>
                <w:sz w:val="20"/>
                <w:szCs w:val="20"/>
              </w:rPr>
              <w:t xml:space="preserve">launch_cost_per_kg_usd_k</w:t>
            </w:r>
          </w:p>
        </w:tc>
        <w:tc>
          <w:tcPr>
            <w:tcW w:w="0" w:type="auto"/>
          </w:tcPr>
          <w:p>
            <w:pPr>
              <w:spacing w:line="240" w:lineRule="auto" w:before="0" w:after="0"/>
              <w:pStyle w:val="Compact"/>
            </w:pPr>
            <w:r>
              <w:rPr>
                <w:sz w:val="20"/>
                <w:szCs w:val="20"/>
              </w:rPr>
              <w:t xml:space="preserve">Inflation-adjusted launch cost per kilogram to LEO, thousands USD (control)</w:t>
            </w:r>
          </w:p>
        </w:tc>
        <w:tc>
          <w:tcPr>
            <w:tcW w:w="0" w:type="auto"/>
          </w:tcPr>
          <w:p>
            <w:pPr>
              <w:spacing w:line="240" w:lineRule="auto" w:before="0" w:after="0"/>
              <w:pStyle w:val="Compact"/>
            </w:pPr>
            <w:r>
              <w:rPr>
                <w:sz w:val="20"/>
                <w:szCs w:val="20"/>
              </w:rPr>
              <w:t xml:space="preserve">Aerospace Corporation ATR-2018, SD08 (OCEA Forecasting the Space Economy), SD13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10.4954</w:t>
            </w:r>
          </w:p>
        </w:tc>
        <w:tc>
          <w:tcPr>
            <w:tcW w:w="0" w:type="auto"/>
          </w:tcPr>
          <w:p>
            <w:pPr>
              <w:spacing w:line="240" w:lineRule="auto" w:before="0" w:after="0"/>
              <w:pStyle w:val="Compact"/>
            </w:pPr>
            <w:r>
              <w:rPr>
                <w:sz w:val="20"/>
                <w:szCs w:val="20"/>
              </w:rPr>
              <w:t xml:space="preserve">0.7171</w:t>
            </w:r>
          </w:p>
        </w:tc>
        <w:tc>
          <w:tcPr>
            <w:tcW w:w="0" w:type="auto"/>
          </w:tcPr>
          <w:p>
            <w:pPr>
              <w:spacing w:line="240" w:lineRule="auto" w:before="0" w:after="0"/>
              <w:pStyle w:val="Compact"/>
            </w:pPr>
            <w:r>
              <w:rPr>
                <w:sz w:val="20"/>
                <w:szCs w:val="20"/>
              </w:rPr>
              <w:t xml:space="preserve">14.6365</w:t>
            </w:r>
          </w:p>
        </w:tc>
        <w:tc>
          <w:tcPr>
            <w:tcW w:w="0" w:type="auto"/>
          </w:tcPr>
          <w:p>
            <w:pPr>
              <w:spacing w:line="240" w:lineRule="auto" w:before="0" w:after="0"/>
              <w:pStyle w:val="Compact"/>
            </w:pPr>
            <w:r>
              <w:rPr>
                <w:sz w:val="20"/>
                <w:szCs w:val="20"/>
              </w:rPr>
              <w:t xml:space="preserve">1.644e-48</w:t>
            </w:r>
          </w:p>
        </w:tc>
        <w:tc>
          <w:tcPr>
            <w:tcW w:w="0" w:type="auto"/>
          </w:tcPr>
          <w:p>
            <w:pPr>
              <w:spacing w:line="240" w:lineRule="auto" w:before="0" w:after="0"/>
              <w:pStyle w:val="Compact"/>
            </w:pPr>
            <w:r>
              <w:rPr>
                <w:sz w:val="20"/>
                <w:szCs w:val="20"/>
              </w:rPr>
              <w:t xml:space="preserve">[9.0899, 11.9008]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-4.5026</w:t>
            </w:r>
          </w:p>
        </w:tc>
        <w:tc>
          <w:tcPr>
            <w:tcW w:w="0" w:type="auto"/>
          </w:tcPr>
          <w:p>
            <w:pPr>
              <w:spacing w:line="240" w:lineRule="auto" w:before="0" w:after="0"/>
              <w:pStyle w:val="Compact"/>
            </w:pPr>
            <w:r>
              <w:rPr>
                <w:sz w:val="20"/>
                <w:szCs w:val="20"/>
              </w:rPr>
              <w:t xml:space="preserve">0.3611</w:t>
            </w:r>
          </w:p>
        </w:tc>
        <w:tc>
          <w:tcPr>
            <w:tcW w:w="0" w:type="auto"/>
          </w:tcPr>
          <w:p>
            <w:pPr>
              <w:spacing w:line="240" w:lineRule="auto" w:before="0" w:after="0"/>
              <w:pStyle w:val="Compact"/>
            </w:pPr>
            <w:r>
              <w:rPr>
                <w:sz w:val="20"/>
                <w:szCs w:val="20"/>
              </w:rPr>
              <w:t xml:space="preserve">-12.4706</w:t>
            </w:r>
          </w:p>
        </w:tc>
        <w:tc>
          <w:tcPr>
            <w:tcW w:w="0" w:type="auto"/>
          </w:tcPr>
          <w:p>
            <w:pPr>
              <w:spacing w:line="240" w:lineRule="auto" w:before="0" w:after="0"/>
              <w:pStyle w:val="Compact"/>
            </w:pPr>
            <w:r>
              <w:rPr>
                <w:sz w:val="20"/>
                <w:szCs w:val="20"/>
              </w:rPr>
              <w:t xml:space="preserve">1.079e-35</w:t>
            </w:r>
          </w:p>
        </w:tc>
        <w:tc>
          <w:tcPr>
            <w:tcW w:w="0" w:type="auto"/>
          </w:tcPr>
          <w:p>
            <w:pPr>
              <w:spacing w:line="240" w:lineRule="auto" w:before="0" w:after="0"/>
              <w:pStyle w:val="Compact"/>
            </w:pPr>
            <w:r>
              <w:rPr>
                <w:sz w:val="20"/>
                <w:szCs w:val="20"/>
              </w:rPr>
              <w:t xml:space="preserve">[-5.2102, -3.7949]</w:t>
            </w:r>
          </w:p>
        </w:tc>
      </w:tr>
    </w:tbl>
    <w:p>
      <w:pPr>
        <w:pStyle w:val="BodyText"/>
      </w:pPr>
      <w:r>
        <w:t xml:space="preserve">Fit: N = 38 R2 = 0.7889 elasticity_b = -4.5026 progress_ratio_2^b = 0.0441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016/j.actaastro.2025.05.036" TargetMode="External" /><Relationship Type="http://schemas.openxmlformats.org/officeDocument/2006/relationships/hyperlink" Id="rId73" Target="https://doi.org/10.64861/KYFU6858"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5.05.036" TargetMode="External" /><Relationship Type="http://schemas.openxmlformats.org/officeDocument/2006/relationships/hyperlink" Id="rId73" Target="https://doi.org/10.64861/KYFU68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2026-06-26T16:46:25Z</dcterms:created>
  <dcterms:modified xsi:type="dcterms:W3CDTF">2026-06-26T16:46:25Z</dcterms:modified>
</cp:coreProperties>
</file>

<file path=docProps/custom.xml><?xml version="1.0" encoding="utf-8"?>
<Properties xmlns="http://schemas.openxmlformats.org/officeDocument/2006/custom-properties" xmlns:vt="http://schemas.openxmlformats.org/officeDocument/2006/docPropsVTypes"/>
</file>