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ATROPHY TAX: CADENCE ELASTICITY TO LICENSING FRICTION</w:t>
      </w:r>
    </w:p>
    <w:p>
      <w:pPr>
        <w:jc w:val="center"/>
      </w:pPr>
    </w:p>
    <w:p>
      <w:pPr>
        <w:jc w:val="center"/>
      </w:pPr>
      <w:r>
        <w:rPr>
          <w:rFonts w:ascii="Times New Roman" w:hAnsi="Times New Roman"/>
          <w:sz w:val="24"/>
        </w:rPr>
        <w:t>by</w:t>
      </w:r>
    </w:p>
    <w:p>
      <w:pPr>
        <w:jc w:val="center"/>
      </w:pPr>
      <w:r>
        <w:rPr>
          <w:rFonts w:ascii="Times New Roman" w:hAnsi="Times New Roman"/>
          <w:b/>
          <w:sz w:val="28"/>
        </w:rPr>
        <w:t>Ananya Vaughn</w:t>
      </w:r>
    </w:p>
    <w:p>
      <w:pPr>
        <w:jc w:val="center"/>
      </w:pPr>
      <w:r>
        <w:rPr>
          <w:rFonts w:ascii="Times New Roman" w:hAnsi="Times New Roman"/>
          <w:sz w:val="24"/>
        </w:rPr>
        <w:t>1B-INF-080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6"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The modern U.S. commercial launch enterprise is conventionally narrated as a story about cost. Forecast and roadmap literatures treat the falling cost of mass to low Earth orbit as the central driver of sectoral expansion, and they organize their projections of activity around the continuation of that decline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narrative is empirically defensible at the level of the cost series itself, which has fallen by roughly an order of magnitude across the panel window this dissertation studies. It is also incomplete. Between an operator’s readiness to fly and its authorization to do so stands an administrative apparatus whose properties are not modeled in the cost-centric account. That apparatus, the U.S. Federal Aviation Administration Office of Commercial Space Transportation licensing regime, governs the conversion of operator intent into legal permission, and it does so with a processing time, a conditioning load, and a queue of pending modifications that vary across operators and across years. The cost-centric account assumes, but does not estimate, the contribution of that apparatus to the rate at which the launch enterprise operates.</w:t>
      </w:r>
    </w:p>
    <w:p>
      <w:pPr>
        <w:pStyle w:val="BodyText"/>
        <w:spacing w:line="480" w:lineRule="auto"/>
        <w:ind w:firstLine="720"/>
      </w:pPr>
      <w:r>
        <w:t xml:space="preserve">The omission has become consequential. Operator-level launch cadence in the United States now spans two orders of magnitude across the licensed population in a single calendar year. License application clocks have lengthened in some periods and shortened in others, mishap pauses under 14 CFR Part 450 Subpart E have produced multi-week to multi-month suspensions of activity for individual licensees, and the backlog of pending Part 450 amendments has fluctuated as the regulator has absorbed new vehicle variants, new pads, and new trajectories</w:t>
      </w:r>
      <w:r>
        <w:t xml:space="preserve"> </w:t>
      </w:r>
      <w:hyperlink w:anchor="ref-12">
        <w:r>
          <w:rPr>
            <w:rStyle w:val="Hyperlink"/>
          </w:rPr>
          <w:t xml:space="preserve">[12]</w:t>
        </w:r>
      </w:hyperlink>
      <w:r>
        <w:t xml:space="preserve">,</w:t>
      </w:r>
      <w:r>
        <w:t xml:space="preserve"> </w:t>
      </w:r>
      <w:hyperlink w:anchor="ref-16">
        <w:r>
          <w:rPr>
            <w:rStyle w:val="Hyperlink"/>
          </w:rPr>
          <w:t xml:space="preserve">[16]</w:t>
        </w:r>
      </w:hyperlink>
      <w:r>
        <w:t xml:space="preserve">. Each of these movements has been read, in the trade press and in the policy debate, as a constraint on national launch tempo. None of them has been measured against an empirical coefficient.</w:t>
      </w:r>
    </w:p>
    <w:p>
      <w:pPr>
        <w:pStyle w:val="BodyText"/>
        <w:spacing w:line="480" w:lineRule="auto"/>
        <w:ind w:firstLine="720"/>
      </w:pPr>
      <w:r>
        <w:t xml:space="preserve">This dissertation supplies the missing coefficient. It estimates the elasticity of operator-year launch cadence to a measured index of licensing friction in the U.S. commercial launch regime, and it defends that estimate against the principal confounders that the cost-and-demand environment of the panel window introduces. The estimand is a single number. The contribution is the sign, the magnitude, and the precision of that number, reported against a null hypothesis of zero responsiveness. The label the prospectus attaches to that number, the atrophy tax, names the cadence foregone per unit increase in licensing friction if the null is rejected, and the empirical claim of indifference if it is not.</w:t>
      </w:r>
    </w:p>
    <w:bookmarkEnd w:id="61"/>
    <w:bookmarkStart w:id="62" w:name="X75239aac2e8b9e214a46c3a6161f02e737ac065"/>
    <w:p>
      <w:pPr>
        <w:pStyle w:val="Heading2"/>
        <w:spacing w:line="480" w:lineRule="auto"/>
      </w:pPr>
      <w:r>
        <w:t xml:space="preserve">1.2 Stakes for NASA and the Jet Propulsion Laboratory</w:t>
      </w:r>
    </w:p>
    <w:p>
      <w:pPr>
        <w:pStyle w:val="FirstParagraph"/>
        <w:spacing w:line="480" w:lineRule="auto"/>
      </w:pPr>
      <w:r>
        <w:t xml:space="preserve">The estimand bears directly on the operating logic of two of the dissertation’s principal stakeholders. The first is the National Aeronautics and Space Administration, which buys launch services as a customer of the licensed commercial fleet across its science, exploration, and human spaceflight portfolios. The agency’s mission-planning horizons assume an operator population that can manifest at the rate the agency’s manifests require, and the assumption is conditioned, implicitly, on the regulatory environment that governs operator throughput. If the elasticity of cadence to licensing friction is statistically indistinguishable from zero, the agency can plan against the cost trajectory alone and treat the regulatory environment as background. If the elasticity is negative and material, the agency’s procurement and integration schedules carry an exposure to the administrative state that the cost-centric account does not surface. The exposure is not theoretical: cadence shortfalls in the operator population translate directly into launch-slot scarcity, into longer integration queues, and into manifest pressure on the agency’s own missions, whether those missions are carried by a single dominant operator or distributed across the field</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 second stakeholder is the Jet Propulsion Laboratory. The laboratory’s portfolio of planetary, heliophysics, and Earth-observing missions sits downstream of the launch market it does not itself operate, and the cadence of the U.S. licensed fleet conditions the laboratory’s launch-vehicle availability, its launch-window flexibility, and the resilience of its manifested missions to slip. A laboratory whose mission cadence is keyed to the rate at which the commercial fleet can be authorized to fly has a direct interest in the empirical magnitude of the regulatory channel. The interest sharpens when the laboratory contemplates emerging mission classes, including in-space servicing and assembly, that are themselves subject to the licensing regime under which their carrier vehicles operate and whose decision-support architectures explicitly flag burdensome regulatory pathways as constraints on commercial operations</w:t>
      </w:r>
      <w:r>
        <w:t xml:space="preserve"> </w:t>
      </w:r>
      <w:hyperlink w:anchor="ref-8">
        <w:r>
          <w:rPr>
            <w:rStyle w:val="Hyperlink"/>
          </w:rPr>
          <w:t xml:space="preserve">[8]</w:t>
        </w:r>
      </w:hyperlink>
      <w:r>
        <w:t xml:space="preserve">. For both NASA and the laboratory, the elasticity is not a policy abstraction. It is a parameter in the mission-planning environment that has been assumed without being measured.</w:t>
      </w:r>
    </w:p>
    <w:p>
      <w:pPr>
        <w:pStyle w:val="BodyText"/>
        <w:spacing w:line="480" w:lineRule="auto"/>
        <w:ind w:firstLine="720"/>
      </w:pPr>
      <w:r>
        <w:t xml:space="preserve">The stakes extend beyond these two institutions. The space-traffic-management literature has begun to treat license conditions as binding instruments on operator behavior, and recent work on large constellations and on space capacity management treats the regulatory regime as the operative channel through which orbital governance reaches the operator</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cislunar and Moon-to-Mars framework literature extends this to the regulatory architecture of future operations</w:t>
      </w:r>
      <w:r>
        <w:t xml:space="preserve"> </w:t>
      </w:r>
      <w:hyperlink w:anchor="ref-3">
        <w:r>
          <w:rPr>
            <w:rStyle w:val="Hyperlink"/>
          </w:rPr>
          <w:t xml:space="preserve">[3]</w:t>
        </w:r>
      </w:hyperlink>
      <w:r>
        <w:t xml:space="preserve">. Each of these literatures has identified the mechanism. None has supplied an estimate of how strongly that mechanism transmits to the rate of operations, which is the dissertation’s contribution.</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The gap this dissertation closes is not a gap in the domain literature alone, nor a gap in the econometric method literature alone. It is a gap between them.</w:t>
      </w:r>
    </w:p>
    <w:p>
      <w:pPr>
        <w:pStyle w:val="BodyText"/>
        <w:spacing w:line="480" w:lineRule="auto"/>
        <w:ind w:firstLine="720"/>
      </w:pPr>
      <w:r>
        <w:t xml:space="preserve">The domain literature on the commercial launch sector has identified the administrative channel and has labeled it. The forecast and roadmap sources that anchor the space-economy corpus cite regulatory streamlining as a complementary recommendation alongside continued cost reduction</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and the architectural-transformation literature treats accessible markets as a demand-side phenomenon conditioned on the regulatory environment that supports them</w:t>
      </w:r>
      <w:r>
        <w:t xml:space="preserve"> </w:t>
      </w:r>
      <w:hyperlink w:anchor="ref-7">
        <w:r>
          <w:rPr>
            <w:rStyle w:val="Hyperlink"/>
          </w:rPr>
          <w:t xml:space="preserve">[7]</w:t>
        </w:r>
      </w:hyperlink>
      <w:r>
        <w:t xml:space="preserve">. The space-traffic-management literature has gone further, identifying license conditions as the operative requirements imposed on operators rather than as passive formalities</w:t>
      </w:r>
      <w:r>
        <w:t xml:space="preserve"> </w:t>
      </w:r>
      <w:hyperlink w:anchor="ref-2">
        <w:r>
          <w:rPr>
            <w:rStyle w:val="Hyperlink"/>
          </w:rPr>
          <w:t xml:space="preserve">[2]</w:t>
        </w:r>
      </w:hyperlink>
      <w:r>
        <w:t xml:space="preserve">, and the capacity-management literature has located inter-regulator coordination as a governance variable in its own right</w:t>
      </w:r>
      <w:r>
        <w:t xml:space="preserve"> </w:t>
      </w:r>
      <w:hyperlink w:anchor="ref-1">
        <w:r>
          <w:rPr>
            <w:rStyle w:val="Hyperlink"/>
          </w:rPr>
          <w:t xml:space="preserve">[1]</w:t>
        </w:r>
      </w:hyperlink>
      <w:r>
        <w:t xml:space="preserve">. The decision-support literature on commercial in-space servicing has flagged regulatory inefficiency as a constraint on operations alongside fluctuating launch cost</w:t>
      </w:r>
      <w:r>
        <w:t xml:space="preserve"> </w:t>
      </w:r>
      <w:hyperlink w:anchor="ref-8">
        <w:r>
          <w:rPr>
            <w:rStyle w:val="Hyperlink"/>
          </w:rPr>
          <w:t xml:space="preserve">[8]</w:t>
        </w:r>
      </w:hyperlink>
      <w:r>
        <w:t xml:space="preserve">. The rapid-launch architecture literature treats more efficient processes as a precondition for any near-term increase in tempo</w:t>
      </w:r>
      <w:r>
        <w:t xml:space="preserve"> </w:t>
      </w:r>
      <w:hyperlink w:anchor="ref-9">
        <w:r>
          <w:rPr>
            <w:rStyle w:val="Hyperlink"/>
          </w:rPr>
          <w:t xml:space="preserve">[9]</w:t>
        </w:r>
      </w:hyperlink>
      <w:r>
        <w:t xml:space="preserve">. These sources, individually and collectively, name the channel. They do not estimate its elasticity.</w:t>
      </w:r>
    </w:p>
    <w:p>
      <w:pPr>
        <w:pStyle w:val="BodyText"/>
        <w:spacing w:line="480" w:lineRule="auto"/>
        <w:ind w:firstLine="720"/>
      </w:pPr>
      <w:r>
        <w:t xml:space="preserve">The econometric method literature has, in parallel, supplied the estimator the channel demands. The pooled log-log specification with heteroskedasticity-robust standard errors is the canonical tool for unconditional elasticity estimation when the dependent variable and the principal regressor each span multiple orders of magnitude across the panel, and the two-way fixed-effects panel design absorbs operator-level heterogeneity and period-level common shocks without requiring the analyst to specify a structural model of the full launch-supply curve. The learning-curve and progress-ratio literature supplies the interpretive frame against which elasticities of cadence to regulatory inputs can be benchmarked</w:t>
      </w:r>
      <w:r>
        <w:t xml:space="preserve"> </w:t>
      </w:r>
      <w:hyperlink w:anchor="ref-14">
        <w:r>
          <w:rPr>
            <w:rStyle w:val="Hyperlink"/>
          </w:rPr>
          <w:t xml:space="preserve">[14]</w:t>
        </w:r>
      </w:hyperlink>
      <w:r>
        <w:t xml:space="preserve">. The applied-econometric infrastructure, including HC1 robust variance estimation and the Poisson pseudo-maximum-likelihood estimator for count data with zeros, is mature and routinely deployed in the analysis of regulated industries. Neither the estimator nor the diagnostic apparatus that surrounds it requires invention.</w:t>
      </w:r>
    </w:p>
    <w:p>
      <w:pPr>
        <w:pStyle w:val="BodyText"/>
        <w:spacing w:line="480" w:lineRule="auto"/>
        <w:ind w:firstLine="720"/>
      </w:pPr>
      <w:r>
        <w:t xml:space="preserve">The gap is therefore precise. The domain literature has named the friction channel and has documented its qualitative features without estimating it. The method literature has supplied the tools for the estimate without ever having been applied to this channel. The dissertation closes the gap by importing the method literature into the domain literature, constructing a licensing-friction index from the FAA AST record</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and reporting the elasticity that results. The contribution is therefore methodological in its application and substantive in its result. It transfers a measurement instrument that the cost-side literature has used for decades onto the regulatory-friction channel that the domain literature has, until now, treated only in qualitative terms.</w:t>
      </w:r>
    </w:p>
    <w:p>
      <w:pPr>
        <w:pStyle w:val="BodyText"/>
        <w:spacing w:line="480" w:lineRule="auto"/>
        <w:ind w:firstLine="720"/>
      </w:pPr>
      <w:r>
        <w:t xml:space="preserve">The choice of estimand is constrained by the data the regime makes available. The FAA AST publishes its active and historical license and permit list together with the dates that license amendments, modifications, and conditions attach to each authorization, and the U.S. Government Accountability Office has documented the regulator’s processing timelines and workload across three successive reviews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The Annual Compendium of Commercial Space Transportation provides the dependent-variable counts at the operator-year unit of observation</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The Federal Register provides the mishap-pause record under the streamlined launch and reentry rule</w:t>
      </w:r>
      <w:r>
        <w:t xml:space="preserve"> </w:t>
      </w:r>
      <w:hyperlink w:anchor="ref-16">
        <w:r>
          <w:rPr>
            <w:rStyle w:val="Hyperlink"/>
          </w:rPr>
          <w:t xml:space="preserve">[16]</w:t>
        </w:r>
      </w:hyperlink>
      <w:r>
        <w:t xml:space="preserve">. The Launch Site Operator License roster provides the active-pad inventory that conditions the physical capacity envelope above which administrative friction operates</w:t>
      </w:r>
      <w:r>
        <w:t xml:space="preserve"> </w:t>
      </w:r>
      <w:hyperlink w:anchor="ref-15">
        <w:r>
          <w:rPr>
            <w:rStyle w:val="Hyperlink"/>
          </w:rPr>
          <w:t xml:space="preserve">[15]</w:t>
        </w:r>
      </w:hyperlink>
      <w:r>
        <w:t xml:space="preserve">. None of these sources is synthetic. Each is named and obtainable. The dissertation’s data appendix logs every constructed variable to its source.</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contribution is one falsifiable coefficient. Let the atrophy tax be operationalized as the elasticity of operator-year launch cadence with respect to a measured index of licensing friction in the U.S. Federal Aviation Administration Office of Commercial Space Transportation licensing regime, denoted as the coefficient on log licensing friction in a panel regression of log operator-year launch cadence. The hypotheses are:</w:t>
      </w:r>
    </w:p>
    <w:p>
      <w:pPr>
        <w:pStyle w:val="BodyText"/>
        <w:spacing w:line="480" w:lineRule="auto"/>
        <w:ind w:firstLine="720"/>
      </w:pPr>
      <w:r>
        <w:rPr>
          <w:b/>
          <w:bCs/>
        </w:rPr>
        <w:t xml:space="preserve">H0 (null).</w:t>
      </w:r>
      <w:r>
        <w:t xml:space="preserve"> </w:t>
      </w:r>
      <w:r>
        <w:t xml:space="preserve">The elasticity of operator-year launch cadence to licensing friction is statistically indistinguishable from zero. Operators do not measurably slow their tempo of operations in response to increased administrative burden in the licensing regime, once the cost and demand environment of the panel window is held fixed.</w:t>
      </w:r>
    </w:p>
    <w:p>
      <w:pPr>
        <w:pStyle w:val="BodyText"/>
        <w:spacing w:line="480" w:lineRule="auto"/>
        <w:ind w:firstLine="720"/>
      </w:pPr>
      <w:r>
        <w:rPr>
          <w:b/>
          <w:bCs/>
        </w:rPr>
        <w:t xml:space="preserve">H1 (alternative).</w:t>
      </w:r>
      <w:r>
        <w:t xml:space="preserve"> </w:t>
      </w:r>
      <w:r>
        <w:t xml:space="preserve">The elasticity of operator-year launch cadence to licensing friction is negative and statistically distinguishable from zero. A measurable increase in licensing friction is associated with a measurable reduction in operator-year cadence, holding cost and demand fixed.</w:t>
      </w:r>
    </w:p>
    <w:p>
      <w:pPr>
        <w:pStyle w:val="BodyText"/>
        <w:spacing w:line="480" w:lineRule="auto"/>
        <w:ind w:firstLine="720"/>
      </w:pPr>
      <w:r>
        <w:t xml:space="preserve">The claim is falsifiable because the data permit a confidence interval that either does or does not contain zero, and the dissertation reports that interval in both the pooled unconditional specification and the two-way fixed-effects specification. The dissertation does not claim to estimate the full structural model of launch supply, and it does not claim to recover the welfare consequences of regulatory action. It claims to identify one elasticity and to defend it against the principal confounders that the cost-and-demand environment of the panel window introduces. Those confounders are enumerated in Chapter 4, and the identification strategy that addresses them is set out in Chapter 5. The contribution stands or falls on whether the reported elasticity is statistically distinguishable from zero in the sign predicted by H1 and on whether the principal confounders can be ruled out at the level the chapter’s identification strategy permits.</w:t>
      </w:r>
    </w:p>
    <w:p>
      <w:pPr>
        <w:pStyle w:val="BodyText"/>
        <w:spacing w:line="480" w:lineRule="auto"/>
        <w:ind w:firstLine="720"/>
      </w:pPr>
      <w:r>
        <w:t xml:space="preserve">The dissertation makes a second, subordinate contribution, which is to decompose the licensing-friction channel into its constituent frictions and to report which of them transmit to cadence and which do not. The companion-paper specification reported in the empirical chapters widens the model beyond processing time to include mishap-pause days, Part 450 backlog, active pad count, and vehicle-family age, and the resulting partial slopes locate the central elasticity within the family of frictions that operators experience. That decomposition is supplementary to the central claim. It does not alter the falsifiability of the single coefficient on which H0 and H1 turn, but it informs the interpretation of which administrative levers a regulatory streamlining agenda would have to operate on in order to realize the cadence gains the forecast literature implicitly attributes to it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bookmarkEnd w:id="64"/>
    <w:bookmarkStart w:id="65" w:name="roadmap"/>
    <w:p>
      <w:pPr>
        <w:pStyle w:val="Heading2"/>
        <w:spacing w:line="480" w:lineRule="auto"/>
      </w:pPr>
      <w:r>
        <w:t xml:space="preserve">1.5 Roadmap</w:t>
      </w:r>
    </w:p>
    <w:p>
      <w:pPr>
        <w:pStyle w:val="FirstParagraph"/>
        <w:spacing w:line="480" w:lineRule="auto"/>
      </w:pPr>
      <w:r>
        <w:t xml:space="preserve">The remainder of the dissertation is organized as follows.</w:t>
      </w:r>
    </w:p>
    <w:p>
      <w:pPr>
        <w:pStyle w:val="BodyText"/>
        <w:spacing w:line="480" w:lineRule="auto"/>
        <w:ind w:firstLine="720"/>
      </w:pPr>
      <w:r>
        <w:rPr>
          <w:b/>
          <w:bCs/>
        </w:rPr>
        <w:t xml:space="preserve">Chapter 2</w:t>
      </w:r>
      <w:r>
        <w:t xml:space="preserve"> </w:t>
      </w:r>
      <w:r>
        <w:t xml:space="preserve">develops the conceptual frame of the atrophy tax. It situates the cadence elasticity within the cost-and-demand environment that the space-economy corpus describes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and it derives the testable prediction that an operator’s realized cadence in a year is bounded above by the count of valid authorizations the operator holds in that year, with the rate at which applications convert to authorizations as the rate-limiting administrative step. The chapter formalizes the licensing-friction index, defines the operator-year unit of observation, and locates the elasticity within the family of regulated-industry coefficients to which the econometric method literature has historically applied.</w:t>
      </w:r>
    </w:p>
    <w:p>
      <w:pPr>
        <w:pStyle w:val="BodyText"/>
        <w:spacing w:line="480" w:lineRule="auto"/>
        <w:ind w:firstLine="720"/>
      </w:pPr>
      <w:r>
        <w:rPr>
          <w:b/>
          <w:bCs/>
        </w:rPr>
        <w:t xml:space="preserve">Chapter 3</w:t>
      </w:r>
      <w:r>
        <w:t xml:space="preserve"> </w:t>
      </w:r>
      <w:r>
        <w:t xml:space="preserve">reviews the three literatures that bear on the question. It treats the space-economy literature, the space-traffic-management literature, and the space-infrastructure and debris-economics literature in sequence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and it identifies the precise location at which each stops short of the elasticity the dissertation estimates. The chapter establishes that the cost channel has been estimated, the friction channel has been named, and the connection between the two has not been measured. The chapter also reviews the temporal-economics intuition that the debris-remediation literature supplies, in which the timing of action carries economic weight independent of the unit cost of the action itself</w:t>
      </w:r>
      <w:r>
        <w:t xml:space="preserve"> </w:t>
      </w:r>
      <w:hyperlink w:anchor="ref-4">
        <w:r>
          <w:rPr>
            <w:rStyle w:val="Hyperlink"/>
          </w:rPr>
          <w:t xml:space="preserve">[4]</w:t>
        </w:r>
      </w:hyperlink>
      <w:r>
        <w:t xml:space="preserve">.</w:t>
      </w:r>
    </w:p>
    <w:p>
      <w:pPr>
        <w:pStyle w:val="BodyText"/>
        <w:spacing w:line="480" w:lineRule="auto"/>
        <w:ind w:firstLine="720"/>
      </w:pPr>
      <w:r>
        <w:rPr>
          <w:b/>
          <w:bCs/>
        </w:rPr>
        <w:t xml:space="preserve">Chapter 4</w:t>
      </w:r>
      <w:r>
        <w:t xml:space="preserve"> </w:t>
      </w:r>
      <w:r>
        <w:t xml:space="preserve">sets out the data. It documents the construction of the operator-year panel from the FAA AST Annual Compendium series</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the construction of the licensing-friction index from FAA AST license decision letters and from three successive Government Accountability Office reviews of FAA commercial space oversight</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and the construction of the auxiliary controls from the space-economy source corpus and from the FAA AST Launch Site Operator License roster</w:t>
      </w:r>
      <w:r>
        <w:t xml:space="preserve"> </w:t>
      </w:r>
      <w:hyperlink w:anchor="ref-15">
        <w:r>
          <w:rPr>
            <w:rStyle w:val="Hyperlink"/>
          </w:rPr>
          <w:t xml:space="preserve">[15]</w:t>
        </w:r>
      </w:hyperlink>
      <w:r>
        <w:t xml:space="preserve">. The chapter reports the panel’s coverage and identifies the small fraction of cells that are flagged illustrative, in line with the dissertation’s source-traceability protocol. It establishes that the panel spans the full population of U.S.-licensed operators across the relevant window rather than a sample.</w:t>
      </w:r>
    </w:p>
    <w:p>
      <w:pPr>
        <w:pStyle w:val="BodyText"/>
        <w:spacing w:line="480" w:lineRule="auto"/>
        <w:ind w:firstLine="720"/>
      </w:pPr>
      <w:r>
        <w:rPr>
          <w:b/>
          <w:bCs/>
        </w:rPr>
        <w:t xml:space="preserve">Chapter 5</w:t>
      </w:r>
      <w:r>
        <w:t xml:space="preserve"> </w:t>
      </w:r>
      <w:r>
        <w:t xml:space="preserve">sets out the identification strategy and the estimators. The unconditional pooled log-log specification with HC1 robust standard errors is reported first as the population-average elasticity. The two-way fixed-effects specification, absorbing operator-level heterogeneity and period-level common shocks, is reported as the within-operator and within-period refinement. The Poisson pseudo-maximum-likelihood fixed-effects estimator is reported as the count-data robustness check that accommodates zero-cadence operator-years. The chapter addresses the reverse-causality threat by lagging the friction index and by exploiting regime-level changes in licensing rule structure as identifying variation external to any single operator’s behavior</w:t>
      </w:r>
      <w:r>
        <w:t xml:space="preserve"> </w:t>
      </w:r>
      <w:hyperlink w:anchor="ref-16">
        <w:r>
          <w:rPr>
            <w:rStyle w:val="Hyperlink"/>
          </w:rPr>
          <w:t xml:space="preserve">[16]</w:t>
        </w:r>
      </w:hyperlink>
      <w:r>
        <w:t xml:space="preserve">, and it addresses the construct-validity threat by reporting the elasticity separately for each component of the friction index and treating sign-stability across components as the construct-validity test.</w:t>
      </w:r>
    </w:p>
    <w:p>
      <w:pPr>
        <w:pStyle w:val="BodyText"/>
        <w:spacing w:line="480" w:lineRule="auto"/>
        <w:ind w:firstLine="720"/>
      </w:pPr>
      <w:r>
        <w:rPr>
          <w:b/>
          <w:bCs/>
        </w:rPr>
        <w:t xml:space="preserve">Chapter 6</w:t>
      </w:r>
      <w:r>
        <w:t xml:space="preserve"> </w:t>
      </w:r>
      <w:r>
        <w:t xml:space="preserve">reports the unconditional pooled elasticity on the operator-year panel. The estimate is the dissertation’s first empirical anchor, and it is the elasticity to which the fixed-effects refinement and the multi-friction decomposition are subsequently compared.</w:t>
      </w:r>
    </w:p>
    <w:p>
      <w:pPr>
        <w:pStyle w:val="BodyText"/>
        <w:spacing w:line="480" w:lineRule="auto"/>
        <w:ind w:firstLine="720"/>
      </w:pPr>
      <w:r>
        <w:rPr>
          <w:b/>
          <w:bCs/>
        </w:rPr>
        <w:t xml:space="preserve">Chapter 7</w:t>
      </w:r>
      <w:r>
        <w:t xml:space="preserve"> </w:t>
      </w:r>
      <w:r>
        <w:t xml:space="preserve">reports the two-way fixed-effects refinement and the count-data robustness check. The chapter assesses the persistence of the elasticity once operator and year fixed effects absorb the cost-and-demand co-movement and the operator-level heterogeneity that the pooled specification leaves in the residual.</w:t>
      </w:r>
    </w:p>
    <w:p>
      <w:pPr>
        <w:pStyle w:val="BodyText"/>
        <w:spacing w:line="480" w:lineRule="auto"/>
        <w:ind w:firstLine="720"/>
      </w:pPr>
      <w:r>
        <w:rPr>
          <w:b/>
          <w:bCs/>
        </w:rPr>
        <w:t xml:space="preserve">Chapter 8</w:t>
      </w:r>
      <w:r>
        <w:t xml:space="preserve"> </w:t>
      </w:r>
      <w:r>
        <w:t xml:space="preserve">reports the multi-friction decomposition. The chapter widens the specification to include mishap-pause days, Part 450 backlog, active pad count, and vehicle-family age, and it reports the partial slopes that locate the central elasticity within the family of frictions operators experience. The chapter takes particular care with the Part 450 backlog coefficient, whose year-end stock measure is endogenously co-determined with cadence and which the chapter treats as a measurement warning rather than as a causal estimate.</w:t>
      </w:r>
    </w:p>
    <w:p>
      <w:pPr>
        <w:pStyle w:val="BodyText"/>
        <w:spacing w:line="480" w:lineRule="auto"/>
        <w:ind w:firstLine="720"/>
      </w:pPr>
      <w:r>
        <w:rPr>
          <w:b/>
          <w:bCs/>
        </w:rPr>
        <w:t xml:space="preserve">Chapter 9</w:t>
      </w:r>
      <w:r>
        <w:t xml:space="preserve"> </w:t>
      </w:r>
      <w:r>
        <w:t xml:space="preserve">discusses the implications of the result for NASA mission planning, for Jet Propulsion Laboratory portfolio management, and for the policy debate over Part 450 reform and regulatory streamlining more broadly</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w:t>
      </w:r>
      <w:r>
        <w:t xml:space="preserve"> </w:t>
      </w:r>
      <w:hyperlink w:anchor="ref-12">
        <w:r>
          <w:rPr>
            <w:rStyle w:val="Hyperlink"/>
          </w:rPr>
          <w:t xml:space="preserve">[12]</w:t>
        </w:r>
      </w:hyperlink>
      <w:r>
        <w:t xml:space="preserve">. The chapter situates the elasticity against the cost-side learning-curve elasticities reported in the forecast literature</w:t>
      </w:r>
      <w:r>
        <w:t xml:space="preserve"> </w:t>
      </w:r>
      <w:hyperlink w:anchor="ref-14">
        <w:r>
          <w:rPr>
            <w:rStyle w:val="Hyperlink"/>
          </w:rPr>
          <w:t xml:space="preserve">[14]</w:t>
        </w:r>
      </w:hyperlink>
      <w:r>
        <w:t xml:space="preserve"> </w:t>
      </w:r>
      <w:r>
        <w:t xml:space="preserve">and against the temporal-economics intuition the debris-economics literature supplies</w:t>
      </w:r>
      <w:r>
        <w:t xml:space="preserve"> </w:t>
      </w:r>
      <w:hyperlink w:anchor="ref-4">
        <w:r>
          <w:rPr>
            <w:rStyle w:val="Hyperlink"/>
          </w:rPr>
          <w:t xml:space="preserve">[4]</w:t>
        </w:r>
      </w:hyperlink>
      <w:r>
        <w:t xml:space="preserve">. The chapter is explicit about the boundaries of external validity, scoping the claim to the U.S. regime and treating cross-jurisdictional generalization as out of scope.</w:t>
      </w:r>
    </w:p>
    <w:p>
      <w:pPr>
        <w:pStyle w:val="BodyText"/>
        <w:spacing w:line="480" w:lineRule="auto"/>
        <w:ind w:firstLine="720"/>
      </w:pPr>
      <w:r>
        <w:rPr>
          <w:b/>
          <w:bCs/>
        </w:rPr>
        <w:t xml:space="preserve">Chapter 10</w:t>
      </w:r>
      <w:r>
        <w:t xml:space="preserve"> </w:t>
      </w:r>
      <w:r>
        <w:t xml:space="preserve">concludes. It restates the single falsifiable contribution, reports the disposition of H0 against H1, and identifies the refinements the data and the regime would have to admit in order to extend the estimate to operator-specific processing time, to within-operator regime-change identification with the granularity that license-event timing would supply, and to the comparative regulatory analysis the international launch-licensing record would, in principle, permit.</w:t>
      </w:r>
    </w:p>
    <w:p>
      <w:pPr>
        <w:pStyle w:val="BodyText"/>
        <w:spacing w:line="480" w:lineRule="auto"/>
        <w:ind w:firstLine="720"/>
      </w:pPr>
      <w:r>
        <w:t xml:space="preserve">The dissertation’s organizing claim is narrow by design. The administrative channel that the cost-centric account omits is one channel among several, and the elasticity the dissertation estimates is one parameter in a larger structural model that no single dissertation can hope to identify in full. What the dissertation contributes is the parameter the existing literature most needs and most lacks: the empirical answer to whether the rate at which the U.S. commercial launch enterprise operates responds, measurably, to the administrative friction the regime imposes on it, and by how much.</w:t>
      </w:r>
    </w:p>
    <w:bookmarkEnd w:id="65"/>
    <w:bookmarkEnd w:id="66"/>
    <w:bookmarkStart w:id="73" w:name="chapter-2.-literature-review"/>
    <w:p>
      <w:pPr>
        <w:pStyle w:val="Heading1"/>
        <w:spacing w:line="480" w:lineRule="auto"/>
      </w:pPr>
      <w:r>
        <w:t xml:space="preserve">Chapter 2. Literature Review</w:t>
      </w:r>
    </w:p>
    <w:bookmarkStart w:id="67" w:name="orientation-and-scope-of-the-review"/>
    <w:p>
      <w:pPr>
        <w:pStyle w:val="Heading2"/>
        <w:spacing w:line="480" w:lineRule="auto"/>
      </w:pPr>
      <w:r>
        <w:t xml:space="preserve">2.1 Orientation and Scope of the Review</w:t>
      </w:r>
    </w:p>
    <w:p>
      <w:pPr>
        <w:pStyle w:val="FirstParagraph"/>
        <w:spacing w:line="480" w:lineRule="auto"/>
      </w:pPr>
      <w:r>
        <w:t xml:space="preserve">This chapter reviews the two literatures that the dissertation proposes to join, and it does so in a sequence that mirrors the analytic problem the project confronts. The first literature is the domain technical and policy corpus on commercial space transportation, in which the licensing regime is treated as a substantive institutional fact whose conditions, processing times, and conditional obligations shape operator behavior. The second literature is the cliometric and econometric methodology corpus that provides the estimation apparatus through which a single causal coefficient on administrative friction can be identified from panel data. Each literature is internally rigorous. Neither has been brought to bear on the elasticity that the prospectus names as the atrophy tax. The purpose of this chapter is to show that the two corpora are presently unjoined, to characterize the precise shape of the gap between them, and to motivate the empirical strategy that the subsequent chapters operationalize.</w:t>
      </w:r>
    </w:p>
    <w:p>
      <w:pPr>
        <w:pStyle w:val="BodyText"/>
        <w:spacing w:line="480" w:lineRule="auto"/>
        <w:ind w:firstLine="720"/>
      </w:pPr>
      <w:r>
        <w:t xml:space="preserve">The review is organized in five sections after this orientation. Section 2.2 reconstructs the space-economy and forecast literature that treats launch cost as the principal modeled driver of sectoral expansion. Section 2.3 turns to the space traffic management and regulatory-conditions literature, which has the mechanism for the friction channel but not the estimand. Section 2.4 surveys the FAA AST documentary record and the Government Accountability Office oversight reviews that make the friction channel administratively observable. Section 2.5 reviews the cliometric and econometric methodology corpus on which any credible estimate of cadence elasticity must rest, including learning-curve identification, two-way fixed-effects panel estimation, and count-data estimators appropriate for sparse manifests. Section 2.6 synthesizes the two literatures and states the gap as a single missing coefficient. The chapter cites only the shared reference pool established for the project and does not reproduce a references list, since the dissertation will consolidate citations at the document level.</w:t>
      </w:r>
    </w:p>
    <w:bookmarkEnd w:id="67"/>
    <w:bookmarkStart w:id="68" w:name="X0eb095a0d625d318683e92258f3e457989c49ba"/>
    <w:p>
      <w:pPr>
        <w:pStyle w:val="Heading2"/>
        <w:spacing w:line="480" w:lineRule="auto"/>
      </w:pPr>
      <w:r>
        <w:t xml:space="preserve">2.2 The Space-Economy and Forecast Literature</w:t>
      </w:r>
    </w:p>
    <w:p>
      <w:pPr>
        <w:pStyle w:val="FirstParagraph"/>
        <w:spacing w:line="480" w:lineRule="auto"/>
      </w:pPr>
      <w:r>
        <w:t xml:space="preserve">The domain literature most often invoked to motivate launch-sector analysis is the space-economy forecast corpus. This corpus treats the launch enterprise as the upstream segment of a sectoral value chain whose growth is principally driven by reductions in the marginal cost of access to low Earth orbit. The OCEA forecasting document, the source identified within the project corpus as SD08 and indexed in the shared pool as reference</w:t>
      </w:r>
      <w:r>
        <w:t xml:space="preserve"> </w:t>
      </w:r>
      <w:hyperlink w:anchor="ref-5">
        <w:r>
          <w:rPr>
            <w:rStyle w:val="Hyperlink"/>
          </w:rPr>
          <w:t xml:space="preserve">[5]</w:t>
        </w:r>
      </w:hyperlink>
      <w:r>
        <w:t xml:space="preserve">, frames sectoral expansion as a joint function of falling launch cost, streamlined regulation, government support, increased private investment, and technological innovation</w:t>
      </w:r>
      <w:r>
        <w:t xml:space="preserve"> </w:t>
      </w:r>
      <w:hyperlink w:anchor="ref-5">
        <w:r>
          <w:rPr>
            <w:rStyle w:val="Hyperlink"/>
          </w:rPr>
          <w:t xml:space="preserve">[5]</w:t>
        </w:r>
      </w:hyperlink>
      <w:r>
        <w:t xml:space="preserve">. The frame is unobjectionable as a list of channels, but it is consequential in what it foregrounds. The first item in that list, falling launch cost, is the one that receives the bulk of the modeling attention in the corpus and in its derivatives. The second item, streamlined regulation, appears as a recommendation rather than as a regressor.</w:t>
      </w:r>
    </w:p>
    <w:p>
      <w:pPr>
        <w:pStyle w:val="BodyText"/>
        <w:spacing w:line="480" w:lineRule="auto"/>
        <w:ind w:firstLine="720"/>
      </w:pPr>
      <w:r>
        <w:t xml:space="preserve">The companion source SD13, indexed in the pool as reference</w:t>
      </w:r>
      <w:r>
        <w:t xml:space="preserve"> </w:t>
      </w:r>
      <w:hyperlink w:anchor="ref-6">
        <w:r>
          <w:rPr>
            <w:rStyle w:val="Hyperlink"/>
          </w:rPr>
          <w:t xml:space="preserve">[6]</w:t>
        </w:r>
      </w:hyperlink>
      <w:r>
        <w:t xml:space="preserve">, anchors the cost frame quantitatively. It records that historical launch costs to low Earth orbit have stood above ten thousand dollars per kilogram in the legacy expendable era and projects a sectoral market trajectory extending through mid-century that is conditional on the secular decline of that unit cost</w:t>
      </w:r>
      <w:r>
        <w:t xml:space="preserve"> </w:t>
      </w:r>
      <w:hyperlink w:anchor="ref-6">
        <w:r>
          <w:rPr>
            <w:rStyle w:val="Hyperlink"/>
          </w:rPr>
          <w:t xml:space="preserve">[6]</w:t>
        </w:r>
      </w:hyperlink>
      <w:r>
        <w:t xml:space="preserve">. The aggregate forecast and the unit-cost trajectory are bound together; the implied logic is that quantity follows price. This is the framing within which the prospectus must defend its alternative thesis, since any administrative coefficient that the project estimates will be evaluated against the prevailing presumption that cost dominates and that everything else is residual.</w:t>
      </w:r>
    </w:p>
    <w:p>
      <w:pPr>
        <w:pStyle w:val="BodyText"/>
        <w:spacing w:line="480" w:lineRule="auto"/>
        <w:ind w:firstLine="720"/>
      </w:pPr>
      <w:r>
        <w:t xml:space="preserve">A third source from the corpus, SD03, indexed as reference</w:t>
      </w:r>
      <w:r>
        <w:t xml:space="preserve"> </w:t>
      </w:r>
      <w:hyperlink w:anchor="ref-7">
        <w:r>
          <w:rPr>
            <w:rStyle w:val="Hyperlink"/>
          </w:rPr>
          <w:t xml:space="preserve">[7]</w:t>
        </w:r>
      </w:hyperlink>
      <w:r>
        <w:t xml:space="preserve">, characterizes the demand side of the same frame, situating the expansion of accessible markets and the growth of U.S. demand for space products as the consequence of the cost trajectory rather than as an independent regressor</w:t>
      </w:r>
      <w:r>
        <w:t xml:space="preserve"> </w:t>
      </w:r>
      <w:hyperlink w:anchor="ref-7">
        <w:r>
          <w:rPr>
            <w:rStyle w:val="Hyperlink"/>
          </w:rPr>
          <w:t xml:space="preserve">[7]</w:t>
        </w:r>
      </w:hyperlink>
      <w:r>
        <w:t xml:space="preserve">. The demand framing is important to the present project because it identifies the principal confounder that any cadence analysis must absorb. If demand is endogenous to cost, and cost is moving secularly across the panel window, then a naive regression of cadence on any administrative regressor risks picking up the cost-demand co-movement that the period environment supplies. The space-economy corpus thus tells us not only what the dominant narrative is but also what the principal threat to identification will be.</w:t>
      </w:r>
    </w:p>
    <w:p>
      <w:pPr>
        <w:pStyle w:val="BodyText"/>
        <w:spacing w:line="480" w:lineRule="auto"/>
        <w:ind w:firstLine="720"/>
      </w:pPr>
      <w:r>
        <w:t xml:space="preserve">Two further features of the space-economy literature bear directly on the present project. The first is its tendency to treat regulatory reform as a recommendation that follows from the modeled cost story rather than as a separable channel that operates on a different margin. The Australian roadmap document, classified within the project corpus as SD16, and the broader sustainability-and-development synthesis classified as SD15, both express the regulatory dimension as a complementary instrument whose function is to lower transactions costs around the dominant cost trajectory rather than as a friction channel that operates on cadence directly. The corpus, in other words, has the policy lever but not the estimand. It does not estimate how much cadence is foregone per unit of administrative friction; it asserts that streamlining should help and proceeds to model cost.</w:t>
      </w:r>
    </w:p>
    <w:p>
      <w:pPr>
        <w:pStyle w:val="BodyText"/>
        <w:spacing w:line="480" w:lineRule="auto"/>
        <w:ind w:firstLine="720"/>
      </w:pPr>
      <w:r>
        <w:t xml:space="preserve">The second feature is the framing supplied by Weinzierl’s foundational treatment of the space economy, classified in the project corpus as SD18, which establishes the analytic vocabulary in which sectoral activity is conceived as a function of governing institutional and economic conditions beyond raw scale. That vocabulary is hospitable to a friction-channel argument in principle. The project’s contribution is to operationalize the vocabulary against a measured regulatory regressor, which the Weinzierl frame anticipates but does not itself estimate.</w:t>
      </w:r>
    </w:p>
    <w:p>
      <w:pPr>
        <w:pStyle w:val="BodyText"/>
        <w:spacing w:line="480" w:lineRule="auto"/>
        <w:ind w:firstLine="720"/>
      </w:pPr>
      <w:r>
        <w:t xml:space="preserve">Taken together, the space-economy corpus performs three functions for the dissertation. It supplies the cost-trend benchmark against which any administrative coefficient must be defended. It identifies the demand confounder that the period environment will inject into any naive regression. And it names regulatory friction as a channel without offering a coefficient on it. The first two functions discipline the identification strategy. The third defines the gap.</w:t>
      </w:r>
    </w:p>
    <w:bookmarkEnd w:id="68"/>
    <w:bookmarkStart w:id="69" w:name="X500a7fe471be8ccc08d9eae094b922784a06e08"/>
    <w:p>
      <w:pPr>
        <w:pStyle w:val="Heading2"/>
        <w:spacing w:line="480" w:lineRule="auto"/>
      </w:pPr>
      <w:r>
        <w:t xml:space="preserve">2.3 The Space Traffic Management and Regulatory-Conditions Literature</w:t>
      </w:r>
    </w:p>
    <w:p>
      <w:pPr>
        <w:pStyle w:val="FirstParagraph"/>
        <w:spacing w:line="480" w:lineRule="auto"/>
      </w:pPr>
      <w:r>
        <w:t xml:space="preserve">A second domain literature relevant to the project has emerged from the space traffic management and on-orbit oversight community. This corpus has done what the space-economy corpus has not, which is to treat regulatory conditions imposed through license terms as substantive instruments that shape operator behavior rather than as procedural formalities. The most pertinent recent contribution is Sorge, Alary, Lacomba, Tung, and Singh’s treatment of large-constellation traffic management, reference</w:t>
      </w:r>
      <w:r>
        <w:t xml:space="preserve"> </w:t>
      </w:r>
      <w:hyperlink w:anchor="ref-2">
        <w:r>
          <w:rPr>
            <w:rStyle w:val="Hyperlink"/>
          </w:rPr>
          <w:t xml:space="preserve">[2]</w:t>
        </w:r>
      </w:hyperlink>
      <w:r>
        <w:t xml:space="preserve"> </w:t>
      </w:r>
      <w:r>
        <w:t xml:space="preserve">in the pool, which frames requirements imposed through regulation or through individual license conditions as the operative levers by which national authorities discipline operator conduct in the modern orbital environment</w:t>
      </w:r>
      <w:r>
        <w:t xml:space="preserve"> </w:t>
      </w:r>
      <w:hyperlink w:anchor="ref-2">
        <w:r>
          <w:rPr>
            <w:rStyle w:val="Hyperlink"/>
          </w:rPr>
          <w:t xml:space="preserve">[2]</w:t>
        </w:r>
      </w:hyperlink>
      <w:r>
        <w:t xml:space="preserve">. The position is consequential. It rejects the older treatment of license conditions as paperwork and replaces it with the recognition that conditions are constraints with operational consequences.</w:t>
      </w:r>
    </w:p>
    <w:p>
      <w:pPr>
        <w:pStyle w:val="BodyText"/>
        <w:spacing w:line="480" w:lineRule="auto"/>
        <w:ind w:firstLine="720"/>
      </w:pPr>
      <w:r>
        <w:t xml:space="preserve">Colombo and colleagues, in their work on space capacity management and its interaction with space traffic management, reference</w:t>
      </w:r>
      <w:r>
        <w:t xml:space="preserve"> </w:t>
      </w:r>
      <w:hyperlink w:anchor="ref-1">
        <w:r>
          <w:rPr>
            <w:rStyle w:val="Hyperlink"/>
          </w:rPr>
          <w:t xml:space="preserve">[1]</w:t>
        </w:r>
      </w:hyperlink>
      <w:r>
        <w:t xml:space="preserve"> </w:t>
      </w:r>
      <w:r>
        <w:t xml:space="preserve">in the pool, situate the same problem within an inter-regulator coordination frame and treat the architecture of coordination as itself a governance variable</w:t>
      </w:r>
      <w:r>
        <w:t xml:space="preserve"> </w:t>
      </w:r>
      <w:hyperlink w:anchor="ref-1">
        <w:r>
          <w:rPr>
            <w:rStyle w:val="Hyperlink"/>
          </w:rPr>
          <w:t xml:space="preserve">[1]</w:t>
        </w:r>
      </w:hyperlink>
      <w:r>
        <w:t xml:space="preserve">. The implication for cadence analysis is direct. If coordination friction across regulators is a binding institutional fact, then the administrative environment within which an operator plans its manifest is not a constant but a regressor that varies with the state of the regime. The Colombo treatment thus extends the friction concept from the bilateral regulator-operator relationship to the multilateral regulator-regulator relationship, and it does so in language that the present project can recruit for the construction of its friction index.</w:t>
      </w:r>
    </w:p>
    <w:p>
      <w:pPr>
        <w:pStyle w:val="BodyText"/>
        <w:spacing w:line="480" w:lineRule="auto"/>
        <w:ind w:firstLine="720"/>
      </w:pPr>
      <w:r>
        <w:t xml:space="preserve">The cislunar and Moon-to-Mars frameworks developed by Anilkumar and colleagues, reference</w:t>
      </w:r>
      <w:r>
        <w:t xml:space="preserve"> </w:t>
      </w:r>
      <w:hyperlink w:anchor="ref-3">
        <w:r>
          <w:rPr>
            <w:rStyle w:val="Hyperlink"/>
          </w:rPr>
          <w:t xml:space="preserve">[3]</w:t>
        </w:r>
      </w:hyperlink>
      <w:r>
        <w:t xml:space="preserve"> </w:t>
      </w:r>
      <w:r>
        <w:t xml:space="preserve">in the pool, project the same friction-as-instrument logic forward to the regulatory architectures of future operations</w:t>
      </w:r>
      <w:r>
        <w:t xml:space="preserve"> </w:t>
      </w:r>
      <w:hyperlink w:anchor="ref-3">
        <w:r>
          <w:rPr>
            <w:rStyle w:val="Hyperlink"/>
          </w:rPr>
          <w:t xml:space="preserve">[3]</w:t>
        </w:r>
      </w:hyperlink>
      <w:r>
        <w:t xml:space="preserve">. Although the cislunar focus places that work outside the immediate scope of the dissertation’s empirical window, its framing reinforces the central point that license conditions are the binding interface between regulatory intent and operator action. The literature on commercial in-space servicing makes the same point in the present tense. Smith, Jah, and Wood, in their decision-support treatment of continuing supervision for commercial servicing operations, reference</w:t>
      </w:r>
      <w:r>
        <w:t xml:space="preserve"> </w:t>
      </w:r>
      <w:hyperlink w:anchor="ref-8">
        <w:r>
          <w:rPr>
            <w:rStyle w:val="Hyperlink"/>
          </w:rPr>
          <w:t xml:space="preserve">[8]</w:t>
        </w:r>
      </w:hyperlink>
      <w:r>
        <w:t xml:space="preserve"> </w:t>
      </w:r>
      <w:r>
        <w:t xml:space="preserve">in the pool, name burdensome regulatory pathways and regulatory inefficiencies as constraints on commercial operations alongside cost, and they do so with the explicit recognition that supervision regimes operate through the same conditional-license channel that Sorge and colleagues describe</w:t>
      </w:r>
      <w:r>
        <w:t xml:space="preserve"> </w:t>
      </w:r>
      <w:hyperlink w:anchor="ref-8">
        <w:r>
          <w:rPr>
            <w:rStyle w:val="Hyperlink"/>
          </w:rPr>
          <w:t xml:space="preserve">[8]</w:t>
        </w:r>
      </w:hyperlink>
      <w:r>
        <w:t xml:space="preserve">.</w:t>
      </w:r>
    </w:p>
    <w:p>
      <w:pPr>
        <w:pStyle w:val="BodyText"/>
        <w:spacing w:line="480" w:lineRule="auto"/>
        <w:ind w:firstLine="720"/>
      </w:pPr>
      <w:r>
        <w:t xml:space="preserve">The rapid-launch architecture literature, represented in the pool by Reid’s conceptual framework for a rapid space launch capability, reference</w:t>
      </w:r>
      <w:r>
        <w:t xml:space="preserve"> </w:t>
      </w:r>
      <w:hyperlink w:anchor="ref-9">
        <w:r>
          <w:rPr>
            <w:rStyle w:val="Hyperlink"/>
          </w:rPr>
          <w:t xml:space="preserve">[9]</w:t>
        </w:r>
      </w:hyperlink>
      <w:r>
        <w:t xml:space="preserve">, makes the cadence implication explicit. Reid treats more efficient processes as a precondition for any near-term increase in launch tempo</w:t>
      </w:r>
      <w:r>
        <w:t xml:space="preserve"> </w:t>
      </w:r>
      <w:hyperlink w:anchor="ref-9">
        <w:r>
          <w:rPr>
            <w:rStyle w:val="Hyperlink"/>
          </w:rPr>
          <w:t xml:space="preserve">[9]</w:t>
        </w:r>
      </w:hyperlink>
      <w:r>
        <w:t xml:space="preserve">. The hypothesis embedded in Reid’s framework is essentially the hypothesis the dissertation proposes to test, but Reid does not estimate the elasticity. The framework names the relationship; the project measures it.</w:t>
      </w:r>
    </w:p>
    <w:p>
      <w:pPr>
        <w:pStyle w:val="BodyText"/>
        <w:spacing w:line="480" w:lineRule="auto"/>
        <w:ind w:firstLine="720"/>
      </w:pPr>
      <w:r>
        <w:t xml:space="preserve">A second strand within the traffic management literature deserves attention because it bears on the construction of the friction index. The work of Roberts and Linares on international telecommunication union space station license applications in the geosynchronous regime, reference</w:t>
      </w:r>
      <w:r>
        <w:t xml:space="preserve"> </w:t>
      </w:r>
      <w:hyperlink w:anchor="ref-18">
        <w:r>
          <w:rPr>
            <w:rStyle w:val="Hyperlink"/>
          </w:rPr>
          <w:t xml:space="preserve">[18]</w:t>
        </w:r>
      </w:hyperlink>
      <w:r>
        <w:t xml:space="preserve"> </w:t>
      </w:r>
      <w:r>
        <w:t xml:space="preserve">in the pool, demonstrates that license-application records are themselves an analytic data substrate from which administrative behavior can be reconstructed across multiple regulatory regimes</w:t>
      </w:r>
      <w:r>
        <w:t xml:space="preserve"> </w:t>
      </w:r>
      <w:hyperlink w:anchor="ref-18">
        <w:r>
          <w:rPr>
            <w:rStyle w:val="Hyperlink"/>
          </w:rPr>
          <w:t xml:space="preserve">[18]</w:t>
        </w:r>
      </w:hyperlink>
      <w:r>
        <w:t xml:space="preserve">. The project does not rely on the ITU GEO record, since its empirical window is the U.S. FAA AST commercial launch register, but the methodological precedent matters. The Roberts and Linares survey establishes that license records support comparative quantitative analysis, which is the substantive precondition for the dissertation’s measurement strategy.</w:t>
      </w:r>
    </w:p>
    <w:p>
      <w:pPr>
        <w:pStyle w:val="BodyText"/>
        <w:spacing w:line="480" w:lineRule="auto"/>
        <w:ind w:firstLine="720"/>
      </w:pPr>
      <w:r>
        <w:t xml:space="preserve">A third strand within the broader space-policy literature treats taxation and progressive regulatory burdens as instruments in their own right. Bhatnagar and Dey’s argument for a progressive tax regime on space activity, reference</w:t>
      </w:r>
      <w:r>
        <w:t xml:space="preserve"> </w:t>
      </w:r>
      <w:hyperlink w:anchor="ref-32">
        <w:r>
          <w:rPr>
            <w:rStyle w:val="Hyperlink"/>
          </w:rPr>
          <w:t xml:space="preserve">[32]</w:t>
        </w:r>
      </w:hyperlink>
      <w:r>
        <w:t xml:space="preserve"> </w:t>
      </w:r>
      <w:r>
        <w:t xml:space="preserve">in the pool, and Beal, Deschamps, and Moulin’s analysis of taxing congestion of the space commons, reference</w:t>
      </w:r>
      <w:r>
        <w:t xml:space="preserve"> </w:t>
      </w:r>
      <w:hyperlink w:anchor="ref-26">
        <w:r>
          <w:rPr>
            <w:rStyle w:val="Hyperlink"/>
          </w:rPr>
          <w:t xml:space="preserve">[26]</w:t>
        </w:r>
      </w:hyperlink>
      <w:r>
        <w:t xml:space="preserve">, both treat regulatory and fiscal burden as channels that operate on operator behavior at the margin</w:t>
      </w:r>
      <w:r>
        <w:t xml:space="preserve"> </w:t>
      </w:r>
      <w:hyperlink w:anchor="ref-32">
        <w:r>
          <w:rPr>
            <w:rStyle w:val="Hyperlink"/>
          </w:rPr>
          <w:t xml:space="preserve">[32]</w:t>
        </w:r>
      </w:hyperlink>
      <w:r>
        <w:t xml:space="preserve">,</w:t>
      </w:r>
      <w:r>
        <w:t xml:space="preserve"> </w:t>
      </w:r>
      <w:hyperlink w:anchor="ref-26">
        <w:r>
          <w:rPr>
            <w:rStyle w:val="Hyperlink"/>
          </w:rPr>
          <w:t xml:space="preserve">[26]</w:t>
        </w:r>
      </w:hyperlink>
      <w:r>
        <w:t xml:space="preserve">. The relevance is conceptual rather than methodological. These contributions establish that the policy literature already accepts the principle that administrative or fiscal burdens have measurable consequences for operator conduct, even where the empirical infrastructure for measuring those consequences in the specific context of launch cadence has not been built.</w:t>
      </w:r>
    </w:p>
    <w:p>
      <w:pPr>
        <w:pStyle w:val="BodyText"/>
        <w:spacing w:line="480" w:lineRule="auto"/>
        <w:ind w:firstLine="720"/>
      </w:pPr>
      <w:r>
        <w:t xml:space="preserve">A fourth contribution, Allison’s account of the World Radiocommunication Conference of 2019 and the new space law enabling the sustainability of low Earth orbit, reference</w:t>
      </w:r>
      <w:r>
        <w:t xml:space="preserve"> </w:t>
      </w:r>
      <w:hyperlink w:anchor="ref-22">
        <w:r>
          <w:rPr>
            <w:rStyle w:val="Hyperlink"/>
          </w:rPr>
          <w:t xml:space="preserve">[22]</w:t>
        </w:r>
      </w:hyperlink>
      <w:r>
        <w:t xml:space="preserve"> </w:t>
      </w:r>
      <w:r>
        <w:t xml:space="preserve">in the pool, establishes the international regulatory environment within which national licensing regimes operate</w:t>
      </w:r>
      <w:r>
        <w:t xml:space="preserve"> </w:t>
      </w:r>
      <w:hyperlink w:anchor="ref-22">
        <w:r>
          <w:rPr>
            <w:rStyle w:val="Hyperlink"/>
          </w:rPr>
          <w:t xml:space="preserve">[22]</w:t>
        </w:r>
      </w:hyperlink>
      <w:r>
        <w:t xml:space="preserve">. The international layer is not the project’s empirical target, but the Allison contribution is useful because it documents the regulatory complexity that operators face above and beyond the FAA AST clock. The project’s choice to restrict the empirical window to the U.S. domestic regime is a scope choice that the Allison treatment makes defensible by demonstrating how thick the surrounding international layer has become.</w:t>
      </w:r>
    </w:p>
    <w:p>
      <w:pPr>
        <w:pStyle w:val="BodyText"/>
        <w:spacing w:line="480" w:lineRule="auto"/>
        <w:ind w:firstLine="720"/>
      </w:pPr>
      <w:r>
        <w:t xml:space="preserve">Finally, the temporal-economics intuition that the prospectus borrows from the debris literature has its own anchor in this corpus. McKnight’s argument that deferred action on the orbital catalog raises later cost, the pay-me-now-or-pay-me-more-later thesis, reference</w:t>
      </w:r>
      <w:r>
        <w:t xml:space="preserve"> </w:t>
      </w:r>
      <w:hyperlink w:anchor="ref-4">
        <w:r>
          <w:rPr>
            <w:rStyle w:val="Hyperlink"/>
          </w:rPr>
          <w:t xml:space="preserve">[4]</w:t>
        </w:r>
      </w:hyperlink>
      <w:r>
        <w:t xml:space="preserve"> </w:t>
      </w:r>
      <w:r>
        <w:t xml:space="preserve">in the pool, establishes that the timing of regulatory action carries economic weight</w:t>
      </w:r>
      <w:r>
        <w:t xml:space="preserve"> </w:t>
      </w:r>
      <w:hyperlink w:anchor="ref-4">
        <w:r>
          <w:rPr>
            <w:rStyle w:val="Hyperlink"/>
          </w:rPr>
          <w:t xml:space="preserve">[4]</w:t>
        </w:r>
      </w:hyperlink>
      <w:r>
        <w:t xml:space="preserve">. The McKnight argument is not about cadence, but it is the closest precedent in the corpus for a thesis that explicitly couples regulatory timing to a quantitative economic outcome. It is the precedent that the dissertation extends.</w:t>
      </w:r>
    </w:p>
    <w:p>
      <w:pPr>
        <w:pStyle w:val="BodyText"/>
        <w:spacing w:line="480" w:lineRule="auto"/>
        <w:ind w:firstLine="720"/>
      </w:pPr>
      <w:r>
        <w:t xml:space="preserve">What the space traffic management corpus contributes, then, is the mechanism. License conditions are instruments. Administrative pathways are operative constraints. Regulatory timing carries economic weight. None of this is contested. What is missing is the estimate.</w:t>
      </w:r>
    </w:p>
    <w:bookmarkEnd w:id="69"/>
    <w:bookmarkStart w:id="70" w:name="X498517708bcb5d3ea9a2a4f560c91a649c6b2ca"/>
    <w:p>
      <w:pPr>
        <w:pStyle w:val="Heading2"/>
        <w:spacing w:line="480" w:lineRule="auto"/>
      </w:pPr>
      <w:r>
        <w:t xml:space="preserve">2.4 The FAA AST Documentary Record and the GAO Oversight Reviews</w:t>
      </w:r>
    </w:p>
    <w:p>
      <w:pPr>
        <w:pStyle w:val="FirstParagraph"/>
        <w:spacing w:line="480" w:lineRule="auto"/>
      </w:pPr>
      <w:r>
        <w:t xml:space="preserve">A third strand of the domain literature is documentary rather than scholarly, but it is essential because it provides the data substrate from which the friction regressor will be constructed. The FAA AST Annual Compendium of Commercial Space Transportation series, references</w:t>
      </w:r>
      <w:r>
        <w:t xml:space="preserve"> </w:t>
      </w:r>
      <w:hyperlink w:anchor="ref-10">
        <w:r>
          <w:rPr>
            <w:rStyle w:val="Hyperlink"/>
          </w:rPr>
          <w:t xml:space="preserve">[10]</w:t>
        </w:r>
      </w:hyperlink>
      <w:r>
        <w:t xml:space="preserve"> </w:t>
      </w:r>
      <w:r>
        <w:t xml:space="preserve">and</w:t>
      </w:r>
      <w:r>
        <w:t xml:space="preserve"> </w:t>
      </w:r>
      <w:hyperlink w:anchor="ref-13">
        <w:r>
          <w:rPr>
            <w:rStyle w:val="Hyperlink"/>
          </w:rPr>
          <w:t xml:space="preserve">[13]</w:t>
        </w:r>
      </w:hyperlink>
      <w:r>
        <w:t xml:space="preserve"> </w:t>
      </w:r>
      <w:r>
        <w:t xml:space="preserve">in the pool, supplies the canonical operator-year launch count across the panel window</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The Annual Compendium series is the authoritative public register of licensed launch activity by U.S. operators and is the source from which the dependent variable in the dissertation’s empirical chapters is constructed. The companion FAA AST Launch Site Operator License list, reference</w:t>
      </w:r>
      <w:r>
        <w:t xml:space="preserve"> </w:t>
      </w:r>
      <w:hyperlink w:anchor="ref-15">
        <w:r>
          <w:rPr>
            <w:rStyle w:val="Hyperlink"/>
          </w:rPr>
          <w:t xml:space="preserve">[15]</w:t>
        </w:r>
      </w:hyperlink>
      <w:r>
        <w:t xml:space="preserve"> </w:t>
      </w:r>
      <w:r>
        <w:t xml:space="preserve">in the pool, supplies the pad-capacity covariate that the second empirical paper uses to discipline the friction estimate</w:t>
      </w:r>
      <w:r>
        <w:t xml:space="preserve"> </w:t>
      </w:r>
      <w:hyperlink w:anchor="ref-15">
        <w:r>
          <w:rPr>
            <w:rStyle w:val="Hyperlink"/>
          </w:rPr>
          <w:t xml:space="preserve">[15]</w:t>
        </w:r>
      </w:hyperlink>
      <w:r>
        <w:t xml:space="preserve">.</w:t>
      </w:r>
    </w:p>
    <w:p>
      <w:pPr>
        <w:pStyle w:val="BodyText"/>
        <w:spacing w:line="480" w:lineRule="auto"/>
        <w:ind w:firstLine="720"/>
      </w:pPr>
      <w:r>
        <w:t xml:space="preserve">The Government Accountability Office oversight reviews are the most consequential documentary contribution because they make the friction channel administratively observable. The 2018 review, reference</w:t>
      </w:r>
      <w:r>
        <w:t xml:space="preserve"> </w:t>
      </w:r>
      <w:hyperlink w:anchor="ref-11">
        <w:r>
          <w:rPr>
            <w:rStyle w:val="Hyperlink"/>
          </w:rPr>
          <w:t xml:space="preserve">[11]</w:t>
        </w:r>
      </w:hyperlink>
      <w:r>
        <w:t xml:space="preserve"> </w:t>
      </w:r>
      <w:r>
        <w:t xml:space="preserve">in the pool, examined a range of options to support U.S. launch infrastructure and noted the workload and processing-burden trajectories the FAA was facing under the licensing regime in force at that point</w:t>
      </w:r>
      <w:r>
        <w:t xml:space="preserve"> </w:t>
      </w:r>
      <w:hyperlink w:anchor="ref-11">
        <w:r>
          <w:rPr>
            <w:rStyle w:val="Hyperlink"/>
          </w:rPr>
          <w:t xml:space="preserve">[11]</w:t>
        </w:r>
      </w:hyperlink>
      <w:r>
        <w:t xml:space="preserve">. The 2024 review, reference</w:t>
      </w:r>
      <w:r>
        <w:t xml:space="preserve"> </w:t>
      </w:r>
      <w:hyperlink w:anchor="ref-12">
        <w:r>
          <w:rPr>
            <w:rStyle w:val="Hyperlink"/>
          </w:rPr>
          <w:t xml:space="preserve">[12]</w:t>
        </w:r>
      </w:hyperlink>
      <w:r>
        <w:t xml:space="preserve"> </w:t>
      </w:r>
      <w:r>
        <w:t xml:space="preserve">in the pool, returned to the same question after the 2020 streamlined launch and reentry license rule had been in place for several years and examined the consequences of the rule’s implementation, including the transition costs and the queueing dynamics it produced</w:t>
      </w:r>
      <w:r>
        <w:t xml:space="preserve"> </w:t>
      </w:r>
      <w:hyperlink w:anchor="ref-12">
        <w:r>
          <w:rPr>
            <w:rStyle w:val="Hyperlink"/>
          </w:rPr>
          <w:t xml:space="preserve">[12]</w:t>
        </w:r>
      </w:hyperlink>
      <w:r>
        <w:t xml:space="preserve">. The 2020 Federal Register publication of the streamlined rule itself, reference</w:t>
      </w:r>
      <w:r>
        <w:t xml:space="preserve"> </w:t>
      </w:r>
      <w:hyperlink w:anchor="ref-16">
        <w:r>
          <w:rPr>
            <w:rStyle w:val="Hyperlink"/>
          </w:rPr>
          <w:t xml:space="preserve">[16]</w:t>
        </w:r>
      </w:hyperlink>
      <w:r>
        <w:t xml:space="preserve"> </w:t>
      </w:r>
      <w:r>
        <w:t xml:space="preserve">in the pool, supplies the discrete regulatory event that the dissertation’s identification strategy uses to introduce regime-level variation in friction that is plausibly exogenous to any individual operator’s cadence decision</w:t>
      </w:r>
      <w:r>
        <w:t xml:space="preserve"> </w:t>
      </w:r>
      <w:hyperlink w:anchor="ref-16">
        <w:r>
          <w:rPr>
            <w:rStyle w:val="Hyperlink"/>
          </w:rPr>
          <w:t xml:space="preserve">[16]</w:t>
        </w:r>
      </w:hyperlink>
      <w:r>
        <w:t xml:space="preserve">.</w:t>
      </w:r>
    </w:p>
    <w:p>
      <w:pPr>
        <w:pStyle w:val="BodyText"/>
        <w:spacing w:line="480" w:lineRule="auto"/>
        <w:ind w:firstLine="720"/>
      </w:pPr>
      <w:r>
        <w:t xml:space="preserve">The GAO reviews matter for the project in two distinct ways. The first is that they document the friction channel as institutionally real. Both reviews treat processing time, conditional obligations, and regulatory transitions as binding features of the regime that affect operator outcomes, and they do so in a manner that triangulates against the diagnostic language used by the scholarly literature on traffic management</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The second is that they supply the timing landmarks against which the identification strategy is built. The 2020 rule transition, in particular, is a discrete event that shifts the friction environment for reasons external to any single operator’s behavior, which is the precondition for a credible event-study or difference-in-differences interpretation of regime-level friction variation.</w:t>
      </w:r>
    </w:p>
    <w:p>
      <w:pPr>
        <w:pStyle w:val="BodyText"/>
        <w:spacing w:line="480" w:lineRule="auto"/>
        <w:ind w:firstLine="720"/>
      </w:pPr>
      <w:r>
        <w:t xml:space="preserve">The Aerospace Corporation report on cost-estimating methodologies for space launch vehicles, reference</w:t>
      </w:r>
      <w:r>
        <w:t xml:space="preserve"> </w:t>
      </w:r>
      <w:hyperlink w:anchor="ref-17">
        <w:r>
          <w:rPr>
            <w:rStyle w:val="Hyperlink"/>
          </w:rPr>
          <w:t xml:space="preserve">[17]</w:t>
        </w:r>
      </w:hyperlink>
      <w:r>
        <w:t xml:space="preserve"> </w:t>
      </w:r>
      <w:r>
        <w:t xml:space="preserve">in the pool, supplies the cost-side calibration that any cadence model must accommodate as a control</w:t>
      </w:r>
      <w:r>
        <w:t xml:space="preserve"> </w:t>
      </w:r>
      <w:hyperlink w:anchor="ref-17">
        <w:r>
          <w:rPr>
            <w:rStyle w:val="Hyperlink"/>
          </w:rPr>
          <w:t xml:space="preserve">[17]</w:t>
        </w:r>
      </w:hyperlink>
      <w:r>
        <w:t xml:space="preserve">. Aerospace’s methodology is widely used in the cost-engineering community and provides a defensible reference for the cost-channel control that the prospectus identifies as the principal omitted-variable concern. The project does not adopt Aerospace’s full methodology, but it cites the report as the documentary anchor for the cost control that the regression specification absorbs through period fixed effects and explicit cost series drawn from the space-economy corpus.</w:t>
      </w:r>
    </w:p>
    <w:p>
      <w:pPr>
        <w:pStyle w:val="BodyText"/>
        <w:spacing w:line="480" w:lineRule="auto"/>
        <w:ind w:firstLine="720"/>
      </w:pPr>
      <w:r>
        <w:t xml:space="preserve">The documentary record thus does three things. It supplies the dependent variable, it supplies the timing landmarks for identification, and it supplies the cost calibration for the control specification. What it does not do, and cannot do, is estimate the elasticity. Documentary records are inputs to an econometric exercise, not substitutes for it.</w:t>
      </w:r>
    </w:p>
    <w:bookmarkEnd w:id="70"/>
    <w:bookmarkStart w:id="71"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The second of the two unjoined literatures is the cliometric and econometric methodology corpus from which the dissertation draws its estimation apparatus. This literature is older, broader, and methodologically tighter than the domain corpus, and it is the literature against which the credibility of the project’s empirical strategy will be judged.</w:t>
      </w:r>
    </w:p>
    <w:p>
      <w:pPr>
        <w:pStyle w:val="BodyText"/>
        <w:spacing w:line="480" w:lineRule="auto"/>
        <w:ind w:firstLine="720"/>
      </w:pPr>
      <w:r>
        <w:t xml:space="preserve">The foundational methodological reference for the project is Wright’s 1936 analysis of factors affecting the cost of airplanes, reference</w:t>
      </w:r>
      <w:r>
        <w:t xml:space="preserve"> </w:t>
      </w:r>
      <w:hyperlink w:anchor="ref-14">
        <w:r>
          <w:rPr>
            <w:rStyle w:val="Hyperlink"/>
          </w:rPr>
          <w:t xml:space="preserve">[14]</w:t>
        </w:r>
      </w:hyperlink>
      <w:r>
        <w:t xml:space="preserve"> </w:t>
      </w:r>
      <w:r>
        <w:t xml:space="preserve">in the pool, which established the empirical regularity that came to be known as the learning curve and that has since structured a large portion of the production-economics literature</w:t>
      </w:r>
      <w:r>
        <w:t xml:space="preserve"> </w:t>
      </w:r>
      <w:hyperlink w:anchor="ref-14">
        <w:r>
          <w:rPr>
            <w:rStyle w:val="Hyperlink"/>
          </w:rPr>
          <w:t xml:space="preserve">[14]</w:t>
        </w:r>
      </w:hyperlink>
      <w:r>
        <w:t xml:space="preserve">. Wright’s substantive finding was that unit production cost declined as cumulative output rose, and that the relationship could be expressed as a power law whose exponent, the progress ratio, characterized the rate of cost decline. The methodological contribution that bears on the dissertation is not the substantive content of the airplane learning curve but the analytic frame Wright established, which is that a log-log specification can yield a single interpretable elasticity that summarizes a structural relationship between two economically meaningful quantities. The first empirical paper of the dissertation explicitly adopts this frame, estimating an unconditional log-log elasticity of operator-year launch count with respect to median license processing time and interpreting the slope coefficient as a cadence-to-friction elasticity in the same way that Wright interpreted his slope as a cost-to-cumulative-output elasticity.</w:t>
      </w:r>
    </w:p>
    <w:p>
      <w:pPr>
        <w:pStyle w:val="BodyText"/>
        <w:spacing w:line="480" w:lineRule="auto"/>
        <w:ind w:firstLine="720"/>
      </w:pPr>
      <w:r>
        <w:t xml:space="preserve">The methodological literature that grew out of Wright’s frame established the conditions under which a log-log elasticity can be defended against the principal threats to identification. The first threat is that the slope is the product of an unmodeled third variable that moves both regressor and dependent variable in tandem. The standard methodological response, which the dissertation adopts in its second empirical paper, is the two-way fixed-effects panel specification that absorbs time-invariant operator heterogeneity through operator fixed effects and absorbs common period shocks through year fixed effects. The space-economy corpus identifies the most important period shocks for the present application, principally the secular decline in launch cost over the panel window</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and the two-way fixed-effects strategy is the methodologically standard response to that confounding pattern.</w:t>
      </w:r>
    </w:p>
    <w:p>
      <w:pPr>
        <w:pStyle w:val="BodyText"/>
        <w:spacing w:line="480" w:lineRule="auto"/>
        <w:ind w:firstLine="720"/>
      </w:pPr>
      <w:r>
        <w:t xml:space="preserve">The second threat is that the dependent variable has a count structure with a non-trivial mass at zero, which violates the homoskedasticity and continuous-support assumptions of ordinary least squares estimation in logs. The methodological literature on count-data estimation supplies the appropriate response, which is the Poisson pseudo-maximum-likelihood estimator with operator fixed effects. The Poisson pseudo-maximum-likelihood estimator yields consistent estimates of the elasticity under far weaker distributional assumptions than the Poisson maximum likelihood estimator and accommodates zero observations directly, which is essential when the panel contains operator-years with sparse manifests. The dissertation’s identification chapter will adopt the convention of estimating both the log-linear two-way fixed-effects specification and the Poisson pseudo-maximum-likelihood fixed-effects specification, reporting the elasticity from each, and treating their agreement as a robustness condition.</w:t>
      </w:r>
    </w:p>
    <w:p>
      <w:pPr>
        <w:pStyle w:val="BodyText"/>
        <w:spacing w:line="480" w:lineRule="auto"/>
        <w:ind w:firstLine="720"/>
      </w:pPr>
      <w:r>
        <w:t xml:space="preserve">The third threat is reverse causality. The methodological literature on regulator-firm interaction is clear that high-activity firms attract more regulatory engagement, and the threat in the present application is that high-cadence operators may simultaneously face longer median processing times because their applications draw heavier scrutiny. The standard methodological responses are lagged regressors and instrumented or event-study identification around discrete regime changes. The dissertation adopts both. The friction index is lagged so that the regressor reflects the administrative environment the operator faced during planning rather than the scrutiny its realized cadence subsequently provoked. The 2020 streamlined rule, documented in</w:t>
      </w:r>
      <w:r>
        <w:t xml:space="preserve"> </w:t>
      </w:r>
      <w:hyperlink w:anchor="ref-16">
        <w:r>
          <w:rPr>
            <w:rStyle w:val="Hyperlink"/>
          </w:rPr>
          <w:t xml:space="preserve">[16]</w:t>
        </w:r>
      </w:hyperlink>
      <w:r>
        <w:t xml:space="preserve">, supplies the discrete regulatory event that anchors a difference-in-differences interpretation of regime-level friction variation. The combination of lagged friction, regime-driven identifying variation, and operator and period fixed effects is the standard methodological package for credible identification in panels of this structure.</w:t>
      </w:r>
    </w:p>
    <w:p>
      <w:pPr>
        <w:pStyle w:val="BodyText"/>
        <w:spacing w:line="480" w:lineRule="auto"/>
        <w:ind w:firstLine="720"/>
      </w:pPr>
      <w:r>
        <w:t xml:space="preserve">A fourth methodological consideration concerns construct validity. Licensing friction is a latent construct that the dissertation operationalizes through a composite index of processing time, condition counts, and modification frequency. The methodological literature on composite-index construction is clear that the credibility of a composite estimate depends on the sign-stability of the component estimates. The dissertation adopts this convention by reporting the elasticity separately for each component of the friction index alongside the composite, and treating sign-stability across components as the construct-validity test. The space traffic management literature supports the underlying premise that license conditions are operative constraints rather than formalities</w:t>
      </w:r>
      <w:r>
        <w:t xml:space="preserve"> </w:t>
      </w:r>
      <w:hyperlink w:anchor="ref-2">
        <w:r>
          <w:rPr>
            <w:rStyle w:val="Hyperlink"/>
          </w:rPr>
          <w:t xml:space="preserve">[2]</w:t>
        </w:r>
      </w:hyperlink>
      <w:r>
        <w:t xml:space="preserve">, which justifies including the conditions component in the index, but the methodological credibility of the composite still depends on the sign-stability test.</w:t>
      </w:r>
    </w:p>
    <w:p>
      <w:pPr>
        <w:pStyle w:val="BodyText"/>
        <w:spacing w:line="480" w:lineRule="auto"/>
        <w:ind w:firstLine="720"/>
      </w:pPr>
      <w:r>
        <w:t xml:space="preserve">A fifth methodological consideration concerns the panel’s external validity. The cliometric methodology literature is clear that estimates from a single regulatory regime should not be generalized across regimes without explicit comparative-evidence support. The dissertation accordingly scopes its claim to the U.S. FAA AST regime and treats cross-jurisdictional generalization as out of scope, while acknowledging that comparative roadmap evidence from other jurisdictions suggests that jurisdiction-specific regulatory advantage matters [SD16]. The Roberts and Linares precedent on ITU GEO records</w:t>
      </w:r>
      <w:r>
        <w:t xml:space="preserve"> </w:t>
      </w:r>
      <w:hyperlink w:anchor="ref-18">
        <w:r>
          <w:rPr>
            <w:rStyle w:val="Hyperlink"/>
          </w:rPr>
          <w:t xml:space="preserve">[18]</w:t>
        </w:r>
      </w:hyperlink>
      <w:r>
        <w:t xml:space="preserve"> </w:t>
      </w:r>
      <w:r>
        <w:t xml:space="preserve">indicates that the methodological apparatus is portable in principle to other regulatory registers, but the dissertation does not claim that the specific elasticity estimated from the U.S. panel translates to other jurisdictions.</w:t>
      </w:r>
    </w:p>
    <w:p>
      <w:pPr>
        <w:pStyle w:val="BodyText"/>
        <w:spacing w:line="480" w:lineRule="auto"/>
        <w:ind w:firstLine="720"/>
      </w:pPr>
      <w:r>
        <w:t xml:space="preserve">The cliometric and econometric methodology corpus thus supplies five resources to the project. It supplies the log-log elasticity framing from Wright</w:t>
      </w:r>
      <w:r>
        <w:t xml:space="preserve"> </w:t>
      </w:r>
      <w:hyperlink w:anchor="ref-14">
        <w:r>
          <w:rPr>
            <w:rStyle w:val="Hyperlink"/>
          </w:rPr>
          <w:t xml:space="preserve">[14]</w:t>
        </w:r>
      </w:hyperlink>
      <w:r>
        <w:t xml:space="preserve">. It supplies the two-way fixed-effects panel specification as the standard response to the principal confounding threat. It supplies the Poisson pseudo-maximum-likelihood estimator as the appropriate response to the count structure of the dependent variable. It supplies the lagged-regressor and regime-event identification strategies as the standard response to reverse causality. And it supplies the composite-index sign-stability test as the standard response to construct-validity concerns.</w:t>
      </w:r>
    </w:p>
    <w:p>
      <w:pPr>
        <w:pStyle w:val="BodyText"/>
        <w:spacing w:line="480" w:lineRule="auto"/>
        <w:ind w:firstLine="720"/>
      </w:pPr>
      <w:r>
        <w:t xml:space="preserve">What the methodology corpus does not supply is any application of these tools to the friction-cadence question. The methodology is established. The application is novel.</w:t>
      </w:r>
    </w:p>
    <w:bookmarkEnd w:id="71"/>
    <w:bookmarkStart w:id="72" w:name="synthesis-and-the-gap"/>
    <w:p>
      <w:pPr>
        <w:pStyle w:val="Heading2"/>
        <w:spacing w:line="480" w:lineRule="auto"/>
      </w:pPr>
      <w:r>
        <w:t xml:space="preserve">2.6 Synthesis and the Gap</w:t>
      </w:r>
    </w:p>
    <w:p>
      <w:pPr>
        <w:pStyle w:val="FirstParagraph"/>
        <w:spacing w:line="480" w:lineRule="auto"/>
      </w:pPr>
      <w:r>
        <w:t xml:space="preserve">The two literatures the dissertation proposes to join can now be characterized precisely. The space-economy and forecast literature treats launch cost as the dominant modeled driver of sectoral expansion and treats regulatory friction as a complementary policy lever whose payoff is asserted rather than measured</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space traffic management and regulatory-conditions literature treats license conditions and administrative pathways as operative instruments that shape operator behavior, but it does not treat cadence as the dependent variable responding to those instruments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r>
        <w:t xml:space="preserve"> </w:t>
      </w:r>
      <w:hyperlink w:anchor="ref-8">
        <w:r>
          <w:rPr>
            <w:rStyle w:val="Hyperlink"/>
          </w:rPr>
          <w:t xml:space="preserve">[8]</w:t>
        </w:r>
      </w:hyperlink>
      <w:r>
        <w:t xml:space="preserve">,</w:t>
      </w:r>
      <w:r>
        <w:t xml:space="preserve"> </w:t>
      </w:r>
      <w:hyperlink w:anchor="ref-9">
        <w:r>
          <w:rPr>
            <w:rStyle w:val="Hyperlink"/>
          </w:rPr>
          <w:t xml:space="preserve">[9]</w:t>
        </w:r>
      </w:hyperlink>
      <w:r>
        <w:t xml:space="preserve">. The FAA AST and GAO documentary record makes the friction channel observable but does not itself estimate the elasticity</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w:t>
      </w:r>
      <w:r>
        <w:t xml:space="preserve"> </w:t>
      </w:r>
      <w:hyperlink w:anchor="ref-16">
        <w:r>
          <w:rPr>
            <w:rStyle w:val="Hyperlink"/>
          </w:rPr>
          <w:t xml:space="preserve">[16]</w:t>
        </w:r>
      </w:hyperlink>
      <w:r>
        <w:t xml:space="preserve">,</w:t>
      </w:r>
      <w:r>
        <w:t xml:space="preserve"> </w:t>
      </w:r>
      <w:hyperlink w:anchor="ref-17">
        <w:r>
          <w:rPr>
            <w:rStyle w:val="Hyperlink"/>
          </w:rPr>
          <w:t xml:space="preserve">[17]</w:t>
        </w:r>
      </w:hyperlink>
      <w:r>
        <w:t xml:space="preserve">. The cliometric and econometric methodology corpus supplies the estimation apparatus and the identification standards but has not been applied to the friction-cadence question</w:t>
      </w:r>
      <w:r>
        <w:t xml:space="preserve"> </w:t>
      </w:r>
      <w:hyperlink w:anchor="ref-14">
        <w:r>
          <w:rPr>
            <w:rStyle w:val="Hyperlink"/>
          </w:rPr>
          <w:t xml:space="preserve">[14]</w:t>
        </w:r>
      </w:hyperlink>
      <w:r>
        <w:t xml:space="preserve">.</w:t>
      </w:r>
    </w:p>
    <w:p>
      <w:pPr>
        <w:pStyle w:val="BodyText"/>
        <w:spacing w:line="480" w:lineRule="auto"/>
        <w:ind w:firstLine="720"/>
      </w:pPr>
      <w:r>
        <w:t xml:space="preserve">The gap is therefore not a generic absence of attention to regulation in the launch literature. The gap is precise. It is the absence of any estimate of the elasticity of operator-level launch cadence with respect to a measured index of licensing friction, estimated on a credible panel and defended against the principal confounders that the period environment introduces.</w:t>
      </w:r>
    </w:p>
    <w:p>
      <w:pPr>
        <w:pStyle w:val="BodyText"/>
        <w:spacing w:line="480" w:lineRule="auto"/>
        <w:ind w:firstLine="720"/>
      </w:pPr>
      <w:r>
        <w:t xml:space="preserve">Three observations sharpen the characterization of the gap. The first is that the cost channel is estimated repeatedly across the space-economy corpus, with the result that the modeling community has a defensible point estimate of the cost elasticity of demand for launch services but no comparable estimate of the friction elasticity of supply</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asymmetry is consequential because policy debate over licensing reform is conducted as though the friction elasticity were known, when in fact only the cost elasticity has been estimated. The dissertation’s first empirical paper, reported in Chapter 5, addresses this asymmetry by estimating an unconditional log-log elasticity on the operator-year panel and finding a coefficient that is large in absolute value and tightly bounded above zero, but it does so as a pooled estimate that is open to the confounding threats the methodology literature catalogues. The dissertation’s second empirical paper, reported in Chapter 6, widens the friction model and finds that the proximate cadence effect of mishap-pause days is statistically indistinguishable from zero once pad capacity and vehicle-family age are controlled for, while the Part 450 backlog coefficient is contaminated by activity-volume endogeneity that demands the within-operator and instrumented refinement Chapter 7 develops.</w:t>
      </w:r>
    </w:p>
    <w:p>
      <w:pPr>
        <w:pStyle w:val="BodyText"/>
        <w:spacing w:line="480" w:lineRule="auto"/>
        <w:ind w:firstLine="720"/>
      </w:pPr>
      <w:r>
        <w:t xml:space="preserve">The second observation is that the mechanism literature in space traffic management has named the friction channel as operative without offering a quantitative estimate, while the documentary record has supplied the substrate for measurement without supplying the analytic apparatus. The two are complementary in principle but have not been joined. The dissertation’s contribution is to perform that joining by estimating the friction-cadence elasticity using the FAA AST register as the identifying dataset, the GAO oversight reviews as the regime-event landmarks, and the two-way fixed-effects panel specification supported by Poisson pseudo-maximum-likelihood robustness as the estimation strategy.</w:t>
      </w:r>
    </w:p>
    <w:p>
      <w:pPr>
        <w:pStyle w:val="BodyText"/>
        <w:spacing w:line="480" w:lineRule="auto"/>
        <w:ind w:firstLine="720"/>
      </w:pPr>
      <w:r>
        <w:t xml:space="preserve">The third observation is that the temporal-economics intuition implicit in the dissertation’s central thesis has a precedent in the debris literature</w:t>
      </w:r>
      <w:r>
        <w:t xml:space="preserve"> </w:t>
      </w:r>
      <w:hyperlink w:anchor="ref-4">
        <w:r>
          <w:rPr>
            <w:rStyle w:val="Hyperlink"/>
          </w:rPr>
          <w:t xml:space="preserve">[4]</w:t>
        </w:r>
      </w:hyperlink>
      <w:r>
        <w:t xml:space="preserve"> </w:t>
      </w:r>
      <w:r>
        <w:t xml:space="preserve">but no parallel in the launch literature. The McKnight pay-me-now-or-pay-me-more-later thesis explicitly coupled regulatory timing to a quantitative economic outcome, but it did so for the debris remediation problem rather than for the launch tempo problem. The dissertation extends the temporal-economics frame from debris remediation to launch licensing, applying the same logical structure, that the timing of administrative action carries economic weight, to a different empirical target.</w:t>
      </w:r>
    </w:p>
    <w:p>
      <w:pPr>
        <w:pStyle w:val="BodyText"/>
        <w:spacing w:line="480" w:lineRule="auto"/>
        <w:ind w:firstLine="720"/>
      </w:pPr>
      <w:r>
        <w:t xml:space="preserve">The synthesis can be stated as a single sentence. The space-economy literature has the cost coefficient and asserts the friction recommendation. The traffic management literature has the friction mechanism and lacks the cadence estimand. The documentary record has the data substrate and lacks the analytic apparatus. The cliometric methodology corpus has the analytic apparatus and lacks the application. The dissertation is the application. It uses the analytic apparatus the methodology corpus supplies, applied to the data substrate the documentary record supplies, motivated by the friction mechanism the traffic management corpus supplies, and disciplined by the cost-and-demand environment the space-economy corpus describes. The resulting coefficient is the single empirical contribution the project offers.</w:t>
      </w:r>
    </w:p>
    <w:p>
      <w:pPr>
        <w:pStyle w:val="BodyText"/>
        <w:spacing w:line="480" w:lineRule="auto"/>
        <w:ind w:firstLine="720"/>
      </w:pPr>
      <w:r>
        <w:t xml:space="preserve">A further note on what the gap does not include is warranted because boundary clarity is itself a contribution of the review. The dissertation does not claim to estimate the full structural model of launch supply. It does not claim to estimate cost elasticity. It does not claim to estimate demand elasticity. It does not claim to transfer the U.S. estimate to other jurisdictions. It does not claim to identify the optimal level of licensing friction. It claims, narrowly, to estimate one elasticity, with one sign, with one defensible identification strategy, against one null of zero responsiveness. The narrowness of the claim is a methodological discipline that the cliometric corpus reinforces, and it is the discipline that the subsequent chapters of the dissertation adopt and defend.</w:t>
      </w:r>
    </w:p>
    <w:p>
      <w:pPr>
        <w:pStyle w:val="BodyText"/>
        <w:spacing w:line="480" w:lineRule="auto"/>
        <w:ind w:firstLine="720"/>
      </w:pPr>
      <w:r>
        <w:t xml:space="preserve">Chapter 3 turns from the literature gap to the conceptual framework that links the two literatures into a single testable proposition. Chapter 4 specifies the panel and the estimator. Chapters 5 and 6 report the two empirical papers that constitute the dissertation’s quantitative contribution. Chapter 7 returns to the gap identified here and evaluates whether the joined-literature contribution survives the within-operator and instrumented refinements that the methodology corpus demands.</w:t>
      </w:r>
    </w:p>
    <w:bookmarkEnd w:id="72"/>
    <w:bookmarkEnd w:id="73"/>
    <w:bookmarkStart w:id="83" w:name="Xcfcc00a3ded59aed0c781c16bfc121f2a509603"/>
    <w:p>
      <w:pPr>
        <w:pStyle w:val="Heading1"/>
        <w:spacing w:line="480" w:lineRule="auto"/>
      </w:pPr>
      <w:r>
        <w:t xml:space="preserve">Chapter 3. Theoretical Framework and Hypotheses</w:t>
      </w:r>
    </w:p>
    <w:bookmarkStart w:id="74" w:name="purpose-and-scope-of-the-chapter"/>
    <w:p>
      <w:pPr>
        <w:pStyle w:val="Heading2"/>
        <w:spacing w:line="480" w:lineRule="auto"/>
      </w:pPr>
      <w:r>
        <w:t xml:space="preserve">3.1 Purpose and Scope of the Chapter</w:t>
      </w:r>
    </w:p>
    <w:p>
      <w:pPr>
        <w:pStyle w:val="FirstParagraph"/>
        <w:spacing w:line="480" w:lineRule="auto"/>
      </w:pPr>
      <w:r>
        <w:t xml:space="preserve">This chapter develops the theoretical scaffolding that links a single regulatory primitive, the duration and condition-density of the licensing pathway through which a commercial launch operator must pass before flying, to a single economic outcome, the cadence at which that operator conducts launches. The chapter does three things in sequence. It first locates the causal logic in the three literatures that bear on the question: the space-economy cost-driver tradition, the space-traffic-management treatment of license conditions as binding instruments, and the temporal-economics intuition that the timing of regulatory action carries weight. It then assembles the mechanism into a stylized model of operator cadence under administrative friction, deriving the prediction that cadence elasticity with respect to licensing friction is negative and bounded. It closes by stating the null and alternative hypotheses, H0 and H1, in the precise form in which they will be confronted by the panel evidence in Chapters 5 and 6.</w:t>
      </w:r>
    </w:p>
    <w:p>
      <w:pPr>
        <w:pStyle w:val="BodyText"/>
        <w:spacing w:line="480" w:lineRule="auto"/>
        <w:ind w:firstLine="720"/>
      </w:pPr>
      <w:r>
        <w:t xml:space="preserve">The chapter does not specify the estimator, the dataset, or the identification strategy; those tasks belong to Chapter 4. Its sole burden is theoretical: to make the elasticity in question conceptually well-posed, to defend its economic interpretation, and to render the hypotheses falsifiable in a form the data can adjudicate.</w:t>
      </w:r>
    </w:p>
    <w:bookmarkEnd w:id="74"/>
    <w:bookmarkStart w:id="75" w:name="X206a1f78bbbeb737df932d693fa7b1c175f542d"/>
    <w:p>
      <w:pPr>
        <w:pStyle w:val="Heading2"/>
        <w:spacing w:line="480" w:lineRule="auto"/>
      </w:pPr>
      <w:r>
        <w:t xml:space="preserve">3.2 Three Literatures, One Missing Coefficient</w:t>
      </w:r>
    </w:p>
    <w:p>
      <w:pPr>
        <w:pStyle w:val="FirstParagraph"/>
        <w:spacing w:line="480" w:lineRule="auto"/>
      </w:pPr>
      <w:r>
        <w:t xml:space="preserve">The conceptual problem this dissertation engages sits at the intersection of three established research traditions, none of which has yet produced the coefficient the title of the dissertation names.</w:t>
      </w:r>
    </w:p>
    <w:p>
      <w:pPr>
        <w:pStyle w:val="BodyText"/>
        <w:spacing w:line="480" w:lineRule="auto"/>
        <w:ind w:firstLine="720"/>
      </w:pPr>
      <w:r>
        <w:t xml:space="preserve">The first tradition is the space-economy literature, which organizes its account of sectoral growth around the marginal cost of mass to orbit. The forecast and roadmap documents that anchor this tradition treat falling launch cost as the principal viability metric for the commercial launch enterprise and project sectoral expansion as a function of further cost reductions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Within this framing, regulatory streamlining appears as a complementary recommendation rather than as a measured channel; it is asserted to matter but is not assigned a coefficient. Weinzierl’s foundational treatment of the space economy frames the sector’s development in terms of what governs activity beyond raw scale [SD18], and norm-transformation work in the same corpus argues that accessible markets expand demand for space products</w:t>
      </w:r>
      <w:r>
        <w:t xml:space="preserve"> </w:t>
      </w:r>
      <w:hyperlink w:anchor="ref-7">
        <w:r>
          <w:rPr>
            <w:rStyle w:val="Hyperlink"/>
          </w:rPr>
          <w:t xml:space="preserve">[7]</w:t>
        </w:r>
      </w:hyperlink>
      <w:r>
        <w:t xml:space="preserve">. None of this work isolates the administrative channel or attaches an elasticity to it.</w:t>
      </w:r>
    </w:p>
    <w:p>
      <w:pPr>
        <w:pStyle w:val="BodyText"/>
        <w:spacing w:line="480" w:lineRule="auto"/>
        <w:ind w:firstLine="720"/>
      </w:pPr>
      <w:r>
        <w:t xml:space="preserve">The second tradition is the space-traffic-management literature, which has advanced furthest on the mechanism by which licensing conditions translate into operator behavior. Recent work on large constellations treats requirements imposed through regulation or individual license conditions as the operative instruments that shape operator conduct</w:t>
      </w:r>
      <w:r>
        <w:t xml:space="preserve"> </w:t>
      </w:r>
      <w:hyperlink w:anchor="ref-2">
        <w:r>
          <w:rPr>
            <w:rStyle w:val="Hyperlink"/>
          </w:rPr>
          <w:t xml:space="preserve">[2]</w:t>
        </w:r>
      </w:hyperlink>
      <w:r>
        <w:t xml:space="preserve">, and work on space-capacity management situates inter-regulator coordination as a governance variable in its own right</w:t>
      </w:r>
      <w:r>
        <w:t xml:space="preserve"> </w:t>
      </w:r>
      <w:hyperlink w:anchor="ref-1">
        <w:r>
          <w:rPr>
            <w:rStyle w:val="Hyperlink"/>
          </w:rPr>
          <w:t xml:space="preserve">[1]</w:t>
        </w:r>
      </w:hyperlink>
      <w:r>
        <w:t xml:space="preserve">. Cislunar and Moon-to-Mars frameworks extend the same logic to anticipate the regulatory architecture of future operations</w:t>
      </w:r>
      <w:r>
        <w:t xml:space="preserve"> </w:t>
      </w:r>
      <w:hyperlink w:anchor="ref-3">
        <w:r>
          <w:rPr>
            <w:rStyle w:val="Hyperlink"/>
          </w:rPr>
          <w:t xml:space="preserve">[3]</w:t>
        </w:r>
      </w:hyperlink>
      <w:r>
        <w:t xml:space="preserve">. Recent decision-support work on commercial in-space servicing flags burdensome regulatory pathways and regulatory inefficiencies as constraints on commercial operations alongside fluctuating launch cost</w:t>
      </w:r>
      <w:r>
        <w:t xml:space="preserve"> </w:t>
      </w:r>
      <w:hyperlink w:anchor="ref-8">
        <w:r>
          <w:rPr>
            <w:rStyle w:val="Hyperlink"/>
          </w:rPr>
          <w:t xml:space="preserve">[8]</w:t>
        </w:r>
      </w:hyperlink>
      <w:r>
        <w:t xml:space="preserve">, and rapid-launch architecture work treats more efficient processes as a precondition for any near-term increase in tempo</w:t>
      </w:r>
      <w:r>
        <w:t xml:space="preserve"> </w:t>
      </w:r>
      <w:hyperlink w:anchor="ref-9">
        <w:r>
          <w:rPr>
            <w:rStyle w:val="Hyperlink"/>
          </w:rPr>
          <w:t xml:space="preserve">[9]</w:t>
        </w:r>
      </w:hyperlink>
      <w:r>
        <w:t xml:space="preserve">. This literature gives the channel its name and its qualitative content. It does not, however, treat cadence as a dependent variable responding to the friction it describes.</w:t>
      </w:r>
    </w:p>
    <w:p>
      <w:pPr>
        <w:pStyle w:val="BodyText"/>
        <w:spacing w:line="480" w:lineRule="auto"/>
        <w:ind w:firstLine="720"/>
      </w:pPr>
      <w:r>
        <w:t xml:space="preserve">The third tradition is the temporal-economics literature on space infrastructure, of which the most useful representative is McKnight’s debris-economics argument that deferred action on the orbital catalog raises later cost</w:t>
      </w:r>
      <w:r>
        <w:t xml:space="preserve"> </w:t>
      </w:r>
      <w:hyperlink w:anchor="ref-4">
        <w:r>
          <w:rPr>
            <w:rStyle w:val="Hyperlink"/>
          </w:rPr>
          <w:t xml:space="preserve">[4]</w:t>
        </w:r>
      </w:hyperlink>
      <w:r>
        <w:t xml:space="preserve">. The intuition this tradition supplies is general rather than narrow: the timing of administrative action carries economic weight, and the cost of inaction accrues over the interval during which the action is delayed. Applied to the licensing pathway rather than to debris remediation, the same intuition predicts that the interval between application and authorization is itself an economic quantity, not merely an administrative one.</w:t>
      </w:r>
    </w:p>
    <w:p>
      <w:pPr>
        <w:pStyle w:val="BodyText"/>
        <w:spacing w:line="480" w:lineRule="auto"/>
        <w:ind w:firstLine="720"/>
      </w:pPr>
      <w:r>
        <w:t xml:space="preserve">The gap is therefore precise. The cost channel has been estimated and re-estimated; the friction channel has been named, theorized, and assumed, but it has not been measured as an elasticity. The dissertation seeks to fill the missing coefficient.</w:t>
      </w:r>
    </w:p>
    <w:bookmarkEnd w:id="75"/>
    <w:bookmarkStart w:id="76" w:name="the-atrophy-tax-a-definition"/>
    <w:p>
      <w:pPr>
        <w:pStyle w:val="Heading2"/>
        <w:spacing w:line="480" w:lineRule="auto"/>
      </w:pPr>
      <w:r>
        <w:t xml:space="preserve">3.3 The Atrophy Tax: A Definition</w:t>
      </w:r>
    </w:p>
    <w:p>
      <w:pPr>
        <w:pStyle w:val="FirstParagraph"/>
        <w:spacing w:line="480" w:lineRule="auto"/>
      </w:pPr>
      <w:r>
        <w:t xml:space="preserve">The dissertation introduces the term atrophy tax to denote a specific theoretical object. The atrophy tax is the cadence foregone per unit increase in licensing friction, holding the cost and demand environment fixed. In its operational form it is the elasticity coefficient on log licensing friction in a regression whose dependent variable is log operator-period launch count. The term is chosen for two reasons. First, it captures the qualitative claim that the rate of operations atrophies under sustained administrative load, in a manner analogous to the atrophy of any capability that goes unexercised. Second, it captures the redistributive logic that distinguishes a tax from a cost: the burden falls on those who attempt to use the regime, the proceeds accrue to no one in particular, and the magnitude of the burden is a policy choice rather than a technological constant.</w:t>
      </w:r>
    </w:p>
    <w:p>
      <w:pPr>
        <w:pStyle w:val="BodyText"/>
        <w:spacing w:line="480" w:lineRule="auto"/>
        <w:ind w:firstLine="720"/>
      </w:pPr>
      <w:r>
        <w:t xml:space="preserve">The atrophy tax is not the same as the regulatory cost of compliance in the conventional sense. Conventional compliance cost is a flow of expenditures the operator incurs in the course of preparing applications, retaining counsel, and satisfying conditions. The atrophy tax, as defined here, is a flow of foregone launches that the operator would have conducted had the administrative channel converted its application into an authorization more rapidly. The two are related, in that compliance expenditures and processing delays often move together, but they are conceptually distinct and the dissertation addresses only the second.</w:t>
      </w:r>
    </w:p>
    <w:p>
      <w:pPr>
        <w:pStyle w:val="BodyText"/>
        <w:spacing w:line="480" w:lineRule="auto"/>
        <w:ind w:firstLine="720"/>
      </w:pPr>
      <w:r>
        <w:t xml:space="preserve">The label is also chosen deliberately to invite falsification. The atrophy tax may be zero. The hypotheses set out in Section 3.6 are written so that a zero result, that is, a confidence interval on the elasticity that contains zero, is a substantive finding rather than a failure of the research design. A null result would discipline the prevailing assumption that streamlining materially accelerates the launch enterprise and would redirect attention to the cost channel and to physical-capacity constraints as the binding instruments on cadence.</w:t>
      </w:r>
    </w:p>
    <w:bookmarkEnd w:id="76"/>
    <w:bookmarkStart w:id="77" w:name="the-causal-mechanism"/>
    <w:p>
      <w:pPr>
        <w:pStyle w:val="Heading2"/>
        <w:spacing w:line="480" w:lineRule="auto"/>
      </w:pPr>
      <w:r>
        <w:t xml:space="preserve">3.4 The Causal Mechanism</w:t>
      </w:r>
    </w:p>
    <w:p>
      <w:pPr>
        <w:pStyle w:val="FirstParagraph"/>
        <w:spacing w:line="480" w:lineRule="auto"/>
      </w:pPr>
      <w:r>
        <w:t xml:space="preserve">The mechanism by which licensing friction translates into reduced cadence rests on three propositions, each of which is individually unobjectionable and which together produce a testable elasticity.</w:t>
      </w:r>
    </w:p>
    <w:p>
      <w:pPr>
        <w:pStyle w:val="BodyText"/>
        <w:spacing w:line="480" w:lineRule="auto"/>
        <w:ind w:firstLine="720"/>
      </w:pPr>
      <w:r>
        <w:t xml:space="preserve">The first proposition is that an operator that has filed a license application and is awaiting issuance cannot fly under it. Cadence in any given period is bounded above by the count of valid authorizations the operator holds in that period. This is not a behavioral assumption but a legal one: the U.S. Federal Aviation Administration Office of Commercial Space Transportation regime requires that each launch be conducted under an issued authorization, and the count of issued authorizations is mechanically the ceiling on the count of conducted launches. The cadence floor under friction is therefore lower than the cadence floor in the absence of friction whenever the application queue contains items the operator would otherwise fly.</w:t>
      </w:r>
    </w:p>
    <w:p>
      <w:pPr>
        <w:pStyle w:val="BodyText"/>
        <w:spacing w:line="480" w:lineRule="auto"/>
        <w:ind w:firstLine="720"/>
      </w:pPr>
      <w:r>
        <w:t xml:space="preserve">The second proposition is that the time required to convert an application into an issued authorization, which the dissertation labels licensing processing time, is the rate-limiting step of that conversion when the operator is otherwise ready to manifest. The conditional in this proposition matters. When the operator is constrained by pad availability, vehicle production, or payload manifest, processing time is not on the critical path and a marginal reduction in processing time has no proximate cadence effect. When the operator is constrained only by the administrative pathway, processing time is on the critical path and a marginal reduction in processing time translates directly into a marginal increase in realized cadence. The mechanism is therefore conditional on the operator’s position relative to its non-administrative capacity envelope, which is a point the second empirical paper of the portfolio investigates by introducing pad count and vehicle-family age as covariates.</w:t>
      </w:r>
    </w:p>
    <w:p>
      <w:pPr>
        <w:pStyle w:val="BodyText"/>
        <w:spacing w:line="480" w:lineRule="auto"/>
        <w:ind w:firstLine="720"/>
      </w:pPr>
      <w:r>
        <w:t xml:space="preserve">The third proposition is that, because launch manifests are forward-planned in calendar quarters and years, the relevant measure of friction is the regime-prevailing median processing time over the operator-period, not the time observed on any single license. Operators do not respond to the realized processing time of a particular license, which they cannot know in advance; they respond to the expected processing time implied by the regime they face when planning. This proposition justifies the construction of the friction index as a regime-level quantity and forecloses the criticism that the friction variable is endogenous to the realized timing of any specific license.</w:t>
      </w:r>
    </w:p>
    <w:p>
      <w:pPr>
        <w:pStyle w:val="BodyText"/>
        <w:spacing w:line="480" w:lineRule="auto"/>
        <w:ind w:firstLine="720"/>
      </w:pPr>
      <w:r>
        <w:t xml:space="preserve">From these three propositions the prediction follows that operator-period cadence should fall as the regime-prevailing median processing time rises, holding the operator’s non-administrative capacity envelope fixed. Because both cadence and processing time vary across two orders of magnitude in the modern era, the relationship is naturally posed in logarithms, and the slope coefficient in such a specification is the cadence elasticity to licensing friction. This is the coefficient on which H1 turns.</w:t>
      </w:r>
    </w:p>
    <w:bookmarkEnd w:id="77"/>
    <w:bookmarkStart w:id="78" w:name="Xc7cc08a0126889a4a29c60d8bf1cabb16f4af70"/>
    <w:p>
      <w:pPr>
        <w:pStyle w:val="Heading2"/>
        <w:spacing w:line="480" w:lineRule="auto"/>
      </w:pPr>
      <w:r>
        <w:t xml:space="preserve">3.5 A Stylized Model of Operator Cadence Under Friction</w:t>
      </w:r>
    </w:p>
    <w:p>
      <w:pPr>
        <w:pStyle w:val="FirstParagraph"/>
        <w:spacing w:line="480" w:lineRule="auto"/>
      </w:pPr>
      <w:r>
        <w:t xml:space="preserve">To formalize the mechanism, consider an operator i facing a planning period t. Let q_it denote the operator’s realized launch count in the period and let q*_it denote the operator’s notional unconstrained cadence, that is, the count the operator would manifest in the absence of the administrative channel. The unconstrained cadence q*_it is a function of cost c_t and demand d_t through the channels the forecast literature identifies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plus operator-specific capacity through pads, vehicles, and integration throughput.</w:t>
      </w:r>
    </w:p>
    <w:p>
      <w:pPr>
        <w:pStyle w:val="BodyText"/>
        <w:spacing w:line="480" w:lineRule="auto"/>
        <w:ind w:firstLine="720"/>
      </w:pPr>
      <w:r>
        <w:t xml:space="preserve">Let f_it denote the licensing-friction index facing the operator in the period, constructed from the regime-prevailing median processing time and from the count of conditions and modifications imposed in the regime. Let the realized cadence be related to the unconstrained cadence through a multiplicative friction factor, so that</w:t>
      </w:r>
    </w:p>
    <w:p>
      <w:pPr>
        <w:pStyle w:val="BodyText"/>
        <w:spacing w:line="480" w:lineRule="auto"/>
        <w:ind w:firstLine="720"/>
      </w:pPr>
      <w:r>
        <w:t xml:space="preserve">log q_it = log q*_it + beta log f_it + u_it,</w:t>
      </w:r>
    </w:p>
    <w:p>
      <w:pPr>
        <w:pStyle w:val="BodyText"/>
        <w:spacing w:line="480" w:lineRule="auto"/>
        <w:ind w:firstLine="720"/>
      </w:pPr>
      <w:r>
        <w:t xml:space="preserve">where beta is the cadence elasticity to licensing friction and u_it is a mean-zero disturbance absorbing idiosyncratic factors. Under H1 the elasticity beta is negative and bounded away from zero; under H0 the elasticity is indistinguishable from zero.</w:t>
      </w:r>
    </w:p>
    <w:p>
      <w:pPr>
        <w:pStyle w:val="BodyText"/>
        <w:spacing w:line="480" w:lineRule="auto"/>
        <w:ind w:firstLine="720"/>
      </w:pPr>
      <w:r>
        <w:t xml:space="preserve">The multiplicative form is not arbitrary. It encodes three substantive claims. First, the friction factor scales the unconstrained cadence rather than subtracting from it, so that an operator with twice the unconstrained cadence loses twice as many launches at any given level of friction. This is consistent with the observation that large-cadence operators absorb a disproportionate share of regulatory attention. Second, the elasticity is the same across operators within the regime, so that the friction regime is a common shifter rather than an operator-specific tax. This claim is testable by allowing the elasticity to vary across operator strata in robustness analysis, and the conditions under which it is plausible are bounded by the assumption that the regime treats applications symmetrically across operators with similar attributes. Third, the disturbance u_it is mean-zero conditional on f_it, which is the identifying assumption the empirical strategy in Chapter 4 must defend.</w:t>
      </w:r>
    </w:p>
    <w:p>
      <w:pPr>
        <w:pStyle w:val="BodyText"/>
        <w:spacing w:line="480" w:lineRule="auto"/>
        <w:ind w:firstLine="720"/>
      </w:pPr>
      <w:r>
        <w:t xml:space="preserve">The constant in the implied regression absorbs the geometric-mean cadence at unit friction and is not a parameter of substantive interest. The elasticity beta is the parameter of interest, and the hypothesis is stated as a single sign-and-magnitude claim about it.</w:t>
      </w:r>
    </w:p>
    <w:p>
      <w:pPr>
        <w:pStyle w:val="BodyText"/>
        <w:spacing w:line="480" w:lineRule="auto"/>
        <w:ind w:firstLine="720"/>
      </w:pPr>
      <w:r>
        <w:t xml:space="preserve">The stylized model also clarifies what the elasticity is not. It is not the partial elasticity of cadence with respect to license-by-license processing time, which would require an operator-license-period specification and which would be vulnerable to the within-license endogeneity that the third proposition rules out. It is the elasticity of operator-period cadence to the regime-prevailing friction the operator faces when planning. This is the quantity that bears on the policy debate over license-by-rule reform and consolidated processing, because those reforms shift the regime-prevailing friction rather than the realized timing of any specific license.</w:t>
      </w:r>
    </w:p>
    <w:bookmarkEnd w:id="78"/>
    <w:bookmarkStart w:id="79" w:name="formal-hypotheses"/>
    <w:p>
      <w:pPr>
        <w:pStyle w:val="Heading2"/>
        <w:spacing w:line="480" w:lineRule="auto"/>
      </w:pPr>
      <w:r>
        <w:t xml:space="preserve">3.6 Formal Hypotheses</w:t>
      </w:r>
    </w:p>
    <w:p>
      <w:pPr>
        <w:pStyle w:val="FirstParagraph"/>
        <w:spacing w:line="480" w:lineRule="auto"/>
      </w:pPr>
      <w:r>
        <w:t xml:space="preserve">The dissertation states one falsifiable claim and renders it as a pair of complementary hypotheses on a single elasticity coefficient.</w:t>
      </w:r>
    </w:p>
    <w:p>
      <w:pPr>
        <w:pStyle w:val="BodyText"/>
        <w:spacing w:line="480" w:lineRule="auto"/>
        <w:ind w:firstLine="720"/>
      </w:pPr>
      <w:r>
        <w:rPr>
          <w:b/>
          <w:bCs/>
        </w:rPr>
        <w:t xml:space="preserve">H0 (null).</w:t>
      </w:r>
      <w:r>
        <w:t xml:space="preserve"> </w:t>
      </w:r>
      <w:r>
        <w:t xml:space="preserve">The elasticity of operator-period launch cadence to regime-prevailing licensing friction, beta in the specification above, is statistically indistinguishable from zero. Operators do not measurably slow their tempo of operations in response to increased administrative burden in the licensing regime, once cost and demand are held fixed.</w:t>
      </w:r>
    </w:p>
    <w:p>
      <w:pPr>
        <w:pStyle w:val="BodyText"/>
        <w:spacing w:line="480" w:lineRule="auto"/>
        <w:ind w:firstLine="720"/>
      </w:pPr>
      <w:r>
        <w:rPr>
          <w:b/>
          <w:bCs/>
        </w:rPr>
        <w:t xml:space="preserve">H1 (alternative).</w:t>
      </w:r>
      <w:r>
        <w:t xml:space="preserve"> </w:t>
      </w:r>
      <w:r>
        <w:t xml:space="preserve">The elasticity of operator-period launch cadence to regime-prevailing licensing friction, beta in the specification above, is negative and statistically distinguishable from zero. A measurable increase in licensing friction is associated with a measurable reduction in operator-period cadence, holding cost and demand fixed.</w:t>
      </w:r>
    </w:p>
    <w:p>
      <w:pPr>
        <w:pStyle w:val="BodyText"/>
        <w:spacing w:line="480" w:lineRule="auto"/>
        <w:ind w:firstLine="720"/>
      </w:pPr>
      <w:r>
        <w:t xml:space="preserve">The hypotheses are stated as a single coefficient claim rather than as a set of partial-slope claims. The reason is methodological. The dissertation aims to identify one elasticity and to defend it against confounders, rather than to estimate a full structural model of launch supply. The second empirical paper in the portfolio widens the specification to include mishap-pause days, Part 450 backlog, active pad count, and vehicle-family age as covariates, and produces partial-slope hypotheses H1a through H1d that bear on each of those channels. The wider specification is reported as a robustness extension of the central elasticity rather than as a competing test of the same hypothesis. The headline coefficient is the cadence elasticity to licensing processing time, and the headline hypotheses are H0 and H1 as stated.</w:t>
      </w:r>
    </w:p>
    <w:p>
      <w:pPr>
        <w:pStyle w:val="BodyText"/>
        <w:spacing w:line="480" w:lineRule="auto"/>
        <w:ind w:firstLine="720"/>
      </w:pPr>
      <w:r>
        <w:t xml:space="preserve">The hypotheses are falsifiable in the strict sense. The empirical strategy in Chapter 4 specifies a confidence interval on beta. The confidence interval either contains zero or does not. If it contains zero, H0 is not rejected and the substantive claim is that the administrative channel does not measurably constrain cadence in the U.S. regime over the panel window. If it does not contain zero and the point estimate is negative, H1 is supported and the substantive claim is that the administrative channel constrains cadence at a magnitude given by the point estimate. If it does not contain zero and the point estimate is positive, both H0 and H1 are rejected and the substantive claim is that the regime exhibits a perverse relationship that the theory does not anticipate, in which case the dissertation will treat the result as a puzzle for the discussion chapter rather than as confirmation of either stated hypothesis.</w:t>
      </w:r>
    </w:p>
    <w:bookmarkEnd w:id="79"/>
    <w:bookmarkStart w:id="80" w:name="the-sign-and-magnitude-predictions"/>
    <w:p>
      <w:pPr>
        <w:pStyle w:val="Heading2"/>
        <w:spacing w:line="480" w:lineRule="auto"/>
      </w:pPr>
      <w:r>
        <w:t xml:space="preserve">3.7 The Sign and Magnitude Predictions</w:t>
      </w:r>
    </w:p>
    <w:p>
      <w:pPr>
        <w:pStyle w:val="FirstParagraph"/>
        <w:spacing w:line="480" w:lineRule="auto"/>
      </w:pPr>
      <w:r>
        <w:t xml:space="preserve">The theory predicts the sign of beta but does not predict its magnitude. The sign prediction is direct: under the mechanism articulated in Section 3.4, an increase in regime-prevailing processing time mechanically reduces the count of valid authorizations the operator holds at any given moment when the operator is otherwise ready to manifest, and the reduction in valid authorizations bounds realized cadence from above. The sign of beta is therefore negative under the maintained mechanism.</w:t>
      </w:r>
    </w:p>
    <w:p>
      <w:pPr>
        <w:pStyle w:val="BodyText"/>
        <w:spacing w:line="480" w:lineRule="auto"/>
        <w:ind w:firstLine="720"/>
      </w:pPr>
      <w:r>
        <w:t xml:space="preserve">The magnitude is not pinned down by the theory. The mechanism is consistent with a small elasticity if most operators in the panel are bound by non-administrative constraints most of the time, and it is consistent with a large elasticity if most operators are bound by the administrative channel most of the time. The companion learning-curve paper estimates an unconditional pooled elasticity that is substantially larger in absolute value than the cost-side learning-curve elasticities reported in the forecast literature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and the dissertation treats that unconditional estimate as an upper bound on what the panel fixed-effects specification will recover. The within-operator and within-period specification in Chapter 5 will attenuate the unconditional elasticity, and the question for the dissertation is whether the attenuated elasticity remains bounded away from zero.</w:t>
      </w:r>
    </w:p>
    <w:p>
      <w:pPr>
        <w:pStyle w:val="BodyText"/>
        <w:spacing w:line="480" w:lineRule="auto"/>
        <w:ind w:firstLine="720"/>
      </w:pPr>
      <w:r>
        <w:t xml:space="preserve">The theory therefore makes a directional rather than a magnitude prediction, which is the appropriate form of prediction for a research question whose principal contribution is to estimate a quantity the literature has assumed but not measured.</w:t>
      </w:r>
    </w:p>
    <w:bookmarkEnd w:id="80"/>
    <w:bookmarkStart w:id="81" w:name="boundary-conditions-and-scope"/>
    <w:p>
      <w:pPr>
        <w:pStyle w:val="Heading2"/>
        <w:spacing w:line="480" w:lineRule="auto"/>
      </w:pPr>
      <w:r>
        <w:t xml:space="preserve">3.8 Boundary Conditions and Scope</w:t>
      </w:r>
    </w:p>
    <w:p>
      <w:pPr>
        <w:pStyle w:val="FirstParagraph"/>
        <w:spacing w:line="480" w:lineRule="auto"/>
      </w:pPr>
      <w:r>
        <w:t xml:space="preserve">The theory is scoped in three respects, and the hypotheses inherit those scope conditions.</w:t>
      </w:r>
    </w:p>
    <w:p>
      <w:pPr>
        <w:pStyle w:val="BodyText"/>
        <w:spacing w:line="480" w:lineRule="auto"/>
        <w:ind w:firstLine="720"/>
      </w:pPr>
      <w:r>
        <w:t xml:space="preserve">The first scope condition is jurisdictional. The hypotheses concern the U.S. Federal Aviation Administration Office of Commercial Space Transportation regime over the window for which the licensing record is publicly obtainable. Cross-jurisdictional generalization is treated as out of scope. Comparative roadmap evidence suggests that jurisdiction-specific regulatory architecture matters for sectoral activity [SD16], and the dissertation will note this scope condition explicitly in its discussion of external validity rather than claim a coefficient that travels across regimes.</w:t>
      </w:r>
    </w:p>
    <w:p>
      <w:pPr>
        <w:pStyle w:val="BodyText"/>
        <w:spacing w:line="480" w:lineRule="auto"/>
        <w:ind w:firstLine="720"/>
      </w:pPr>
      <w:r>
        <w:t xml:space="preserve">The second scope condition is sectoral. The hypotheses concern commercial launch cadence, that is, the count of authorized launches conducted by U.S. licensed operators in the panel window. They do not concern in-space servicing, payload deployment, reentry, or the broader set of commercial space activities whose licensing pathways differ in structure. The space-traffic-management literature that informs the mechanism treats license conditions as binding instruments across these adjacent domains</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 and the theoretical mechanism articulated here could in principle extend to them. The dissertation does not claim such an extension, and the hypotheses are written so that a result on launch cadence is not silently a result on the broader commercial space economy.</w:t>
      </w:r>
    </w:p>
    <w:p>
      <w:pPr>
        <w:pStyle w:val="BodyText"/>
        <w:spacing w:line="480" w:lineRule="auto"/>
        <w:ind w:firstLine="720"/>
      </w:pPr>
      <w:r>
        <w:t xml:space="preserve">The third scope condition is temporal. The hypotheses concern the cadence response to friction within the panel window in which the modern commercial launch enterprise has operated. They do not concern the steady-state cadence the sector would attain in the long run under a counterfactual regime. The temporal-economics intuition the dissertation borrows from the debris literature suggests that deferred action accrues cost over the interval of delay</w:t>
      </w:r>
      <w:r>
        <w:t xml:space="preserve"> </w:t>
      </w:r>
      <w:hyperlink w:anchor="ref-4">
        <w:r>
          <w:rPr>
            <w:rStyle w:val="Hyperlink"/>
          </w:rPr>
          <w:t xml:space="preserve">[4]</w:t>
        </w:r>
      </w:hyperlink>
      <w:r>
        <w:t xml:space="preserve">, and the cadence elasticity estimated here is the proximate response within the planning horizon of operators in the panel rather than the long-run general-equilibrium response of the sector.</w:t>
      </w:r>
    </w:p>
    <w:bookmarkEnd w:id="81"/>
    <w:bookmarkStart w:id="82" w:name="theoretical-falsifiers"/>
    <w:p>
      <w:pPr>
        <w:pStyle w:val="Heading2"/>
        <w:spacing w:line="480" w:lineRule="auto"/>
      </w:pPr>
      <w:r>
        <w:t xml:space="preserve">3.9 Theoretical Falsifiers</w:t>
      </w:r>
    </w:p>
    <w:p>
      <w:pPr>
        <w:pStyle w:val="FirstParagraph"/>
        <w:spacing w:line="480" w:lineRule="auto"/>
      </w:pPr>
      <w:r>
        <w:t xml:space="preserve">The dissertation closes this chapter by identifying the substantive findings that would falsify each hypothesis, in addition to the statistical criteria that govern the confidence interval on beta.</w:t>
      </w:r>
    </w:p>
    <w:p>
      <w:pPr>
        <w:pStyle w:val="BodyText"/>
        <w:spacing w:line="480" w:lineRule="auto"/>
        <w:ind w:firstLine="720"/>
      </w:pPr>
      <w:r>
        <w:t xml:space="preserve">H1 would be falsified if the elasticity were indistinguishable from zero in the central specification and remained indistinguishable from zero under the robustness extensions enumerated in Chapter 4. A single non-result in a brittle specification would not falsify H1; sign-stability across specifications is the standard. H1 would also be falsified if the elasticity were of the predicted sign but its confidence interval were so wide that the magnitude could not be distinguished from a substantively negligible quantity. The dissertation will report the confidence interval and discuss its width relative to the magnitudes the forecast literature treats as policy-relevant.</w:t>
      </w:r>
    </w:p>
    <w:p>
      <w:pPr>
        <w:pStyle w:val="BodyText"/>
        <w:spacing w:line="480" w:lineRule="auto"/>
        <w:ind w:firstLine="720"/>
      </w:pPr>
      <w:r>
        <w:t xml:space="preserve">H0 would be falsified, in the sense of being rejected in favor of H1, if the elasticity were negative and bounded away from zero in the central specification and if the sign and magnitude survived the robustness extensions. The dissertation will treat a sign-stable, magnitude-stable, statistically distinguishable elasticity as the substantive result and will report its policy implications in the discussion chapter. H0 would also be rejected in a non-standard direction if the elasticity were positive and bounded away from zero in the central specification, in which case the discussion chapter will treat the result as a theoretical puzzle and propose mechanisms under which a positive elasticity could be reconciled with the regulatory and capacity-management literatures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p>
    <w:p>
      <w:pPr>
        <w:pStyle w:val="BodyText"/>
        <w:spacing w:line="480" w:lineRule="auto"/>
        <w:ind w:firstLine="720"/>
      </w:pPr>
      <w:r>
        <w:t xml:space="preserve">The chapter therefore closes with hypotheses that are sharp in their sign predictions, agnostic in their magnitude predictions, scoped in their domain of application, and falsifiable in the strict sense that the data can adjudicate them. Chapter 4 turns to the empirical strategy by which that adjudication will be conducted.</w:t>
      </w:r>
    </w:p>
    <w:bookmarkEnd w:id="82"/>
    <w:bookmarkEnd w:id="83"/>
    <w:bookmarkStart w:id="93" w:name="chapter-4.-data-and-measurement"/>
    <w:p>
      <w:pPr>
        <w:pStyle w:val="Heading1"/>
        <w:spacing w:line="480" w:lineRule="auto"/>
      </w:pPr>
      <w:r>
        <w:t xml:space="preserve">Chapter 4. Data and Measurement</w:t>
      </w:r>
    </w:p>
    <w:bookmarkStart w:id="84" w:name="purpose-of-the-chapter"/>
    <w:p>
      <w:pPr>
        <w:pStyle w:val="Heading2"/>
        <w:spacing w:line="480" w:lineRule="auto"/>
      </w:pPr>
      <w:r>
        <w:t xml:space="preserve">4.1 Purpose of the Chapter</w:t>
      </w:r>
    </w:p>
    <w:p>
      <w:pPr>
        <w:pStyle w:val="FirstParagraph"/>
        <w:spacing w:line="480" w:lineRule="auto"/>
      </w:pPr>
      <w:r>
        <w:t xml:space="preserve">The empirical claim of this dissertation is a single elasticity coefficient on the licensing channel, estimated against a null of zero responsiveness. That coefficient rests entirely on what the underlying records measure, how the operator-period unit is constructed from those records, and what counts as a defensible mapping from raw bureaucratic artifacts to a regressor labeled licensing friction. The two empirical papers that compose the substantive contribution of this project both rely on the same authoritative federal register and the same auxiliary sources, but they apply different windows, operator rosters, and variable constructions. This chapter documents those sources, the unit of analysis, and the variable-by-variable construction logic, so that any reader can reproduce each cell of each panel from the primary record without recourse to internal files. The chapter does not present results; results sit in Chapters 5 and 6. It is solely concerned with provenance and construction.</w:t>
      </w:r>
    </w:p>
    <w:p>
      <w:pPr>
        <w:pStyle w:val="BodyText"/>
        <w:spacing w:line="480" w:lineRule="auto"/>
        <w:ind w:firstLine="720"/>
      </w:pPr>
      <w:r>
        <w:t xml:space="preserve">The motivation for treating data and measurement as a stand-alone chapter rather than as a paragraph appended to method is twofold. First, the literature on space-economy growth treats falling cost as the modeled lever and treats regulatory friction as a qualitative recommendation rather than a measured regressor</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Translating that qualitative variable into a quantity that admits an elasticity is the core measurement contribution of this dissertation, and it bears scrutiny. Second, the traffic-management literature has begun to treat license conditions and regulatory pauses as binding instruments on operator behavior</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 but has not specified how those instruments would be coded from public records into a panel regressor. The construction logic in this chapter supplies that specification.</w:t>
      </w:r>
    </w:p>
    <w:bookmarkEnd w:id="84"/>
    <w:bookmarkStart w:id="85" w:name="the-identifying-dataset"/>
    <w:p>
      <w:pPr>
        <w:pStyle w:val="Heading2"/>
        <w:spacing w:line="480" w:lineRule="auto"/>
      </w:pPr>
      <w:r>
        <w:t xml:space="preserve">4.2 The Identifying Dataset</w:t>
      </w:r>
    </w:p>
    <w:p>
      <w:pPr>
        <w:pStyle w:val="FirstParagraph"/>
        <w:spacing w:line="480" w:lineRule="auto"/>
      </w:pPr>
      <w:r>
        <w:t xml:space="preserve">The identifying dataset across both empirical papers is the U.S. Federal Aviation Administration Office of Commercial Space Transportation register of commercial launch and reentry licenses, permits, and their associated authorization records. Two FAA AST publications and one set of FAA AST operational logs constitute the primary corpus. The first is the Annual Compendium of Commercial Space Transportation, published in successive editions covering the calendar years from 2013 through 2024</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The Compendium reports, by calendar year and by licensed operator, the count and class of authorized launch and reentry events, the vehicle families involved, and the launch sites used. It is the authoritative public record of operator-year launch counts for the U.S. licensed industry and is the source from which the dependent variable in both papers is constructed. The second is the FAA AST set of license decision letters, issued for each license and permit action, which carries the application date, the issuance date, any modification dates, and the enumerated license conditions attached to the authorization. Decision letters supply the date fields from which processing-time friction is constructed without imputation. The third is the FAA AST Launch Site Operator License List</w:t>
      </w:r>
      <w:r>
        <w:t xml:space="preserve"> </w:t>
      </w:r>
      <w:hyperlink w:anchor="ref-15">
        <w:r>
          <w:rPr>
            <w:rStyle w:val="Hyperlink"/>
          </w:rPr>
          <w:t xml:space="preserve">[15]</w:t>
        </w:r>
      </w:hyperlink>
      <w:r>
        <w:t xml:space="preserve">, which records each licensed launch site, the operator that holds the license, and the date the site became operationally available. The site roster supplies the active-pad covariate used in the second empirical paper.</w:t>
      </w:r>
    </w:p>
    <w:p>
      <w:pPr>
        <w:pStyle w:val="BodyText"/>
        <w:spacing w:line="480" w:lineRule="auto"/>
        <w:ind w:firstLine="720"/>
      </w:pPr>
      <w:r>
        <w:t xml:space="preserve">A separate auxiliary corpus supplies independent corroboration of the dates that appear in the FAA AST record. Three Government Accountability Office reviews of FAA commercial space oversight, GAO-18-95</w:t>
      </w:r>
      <w:r>
        <w:t xml:space="preserve"> </w:t>
      </w:r>
      <w:hyperlink w:anchor="ref-11">
        <w:r>
          <w:rPr>
            <w:rStyle w:val="Hyperlink"/>
          </w:rPr>
          <w:t xml:space="preserve">[11]</w:t>
        </w:r>
      </w:hyperlink>
      <w:r>
        <w:t xml:space="preserve">, GAO-19-617</w:t>
      </w:r>
      <w:r>
        <w:t xml:space="preserve"> </w:t>
      </w:r>
      <w:hyperlink w:anchor="ref-11">
        <w:r>
          <w:rPr>
            <w:rStyle w:val="Hyperlink"/>
          </w:rPr>
          <w:t xml:space="preserve">[11]</w:t>
        </w:r>
      </w:hyperlink>
      <w:r>
        <w:t xml:space="preserve"> </w:t>
      </w:r>
      <w:r>
        <w:t xml:space="preserve">in its successor edition for the licensing-workload window, and GAO-24-106767</w:t>
      </w:r>
      <w:r>
        <w:t xml:space="preserve"> </w:t>
      </w:r>
      <w:hyperlink w:anchor="ref-12">
        <w:r>
          <w:rPr>
            <w:rStyle w:val="Hyperlink"/>
          </w:rPr>
          <w:t xml:space="preserve">[12]</w:t>
        </w:r>
      </w:hyperlink>
      <w:r>
        <w:t xml:space="preserve">, cross-tabulate FAA AST processing timelines and queue counts during the panel window. Where a Compendium edition reports an operator-year launch count and a decision letter reports an issuance date for that operator’s vehicle, the GAO timeline is used as the third corroborating source, and discrepancies between any two of the three are flagged in the construction log. The third auxiliary source is the Federal Register notice for the December 2020 streamlined launch and reentry license rule</w:t>
      </w:r>
      <w:r>
        <w:t xml:space="preserve"> </w:t>
      </w:r>
      <w:hyperlink w:anchor="ref-16">
        <w:r>
          <w:rPr>
            <w:rStyle w:val="Hyperlink"/>
          </w:rPr>
          <w:t xml:space="preserve">[16]</w:t>
        </w:r>
      </w:hyperlink>
      <w:r>
        <w:t xml:space="preserve">, which records the rule transition that separates the first portion of the panel window from the Part 450 regime that governs the latter portion. This notice is the source of the regime-transition indicator used to support the identification strategy described in Chapter 3.</w:t>
      </w:r>
    </w:p>
    <w:p>
      <w:pPr>
        <w:pStyle w:val="BodyText"/>
        <w:spacing w:line="480" w:lineRule="auto"/>
        <w:ind w:firstLine="720"/>
      </w:pPr>
      <w:r>
        <w:t xml:space="preserve">For the cost and demand control variables, the dissertation draws on the space-economy source corpus that anchors the prospectus. The inflation-adjusted launch-cost-per-kilogram-to-LEO series is constructed from OCEA’s space-economy forecast material</w:t>
      </w:r>
      <w:r>
        <w:t xml:space="preserve"> </w:t>
      </w:r>
      <w:hyperlink w:anchor="ref-5">
        <w:r>
          <w:rPr>
            <w:rStyle w:val="Hyperlink"/>
          </w:rPr>
          <w:t xml:space="preserve">[5]</w:t>
        </w:r>
      </w:hyperlink>
      <w:r>
        <w:t xml:space="preserve"> </w:t>
      </w:r>
      <w:r>
        <w:t xml:space="preserve">and from the sustainability-and-development corpus entry that catalogs the cost-above-ten-thousand-dollars-per-kilogram benchmark across the panel window</w:t>
      </w:r>
      <w:r>
        <w:t xml:space="preserve"> </w:t>
      </w:r>
      <w:hyperlink w:anchor="ref-6">
        <w:r>
          <w:rPr>
            <w:rStyle w:val="Hyperlink"/>
          </w:rPr>
          <w:t xml:space="preserve">[6]</w:t>
        </w:r>
      </w:hyperlink>
      <w:r>
        <w:t xml:space="preserve">. The demand-side covariate is constructed from the same corpus, anchored on the accessible-markets and demand-for-U.S.-space-products material</w:t>
      </w:r>
      <w:r>
        <w:t xml:space="preserve"> </w:t>
      </w:r>
      <w:hyperlink w:anchor="ref-7">
        <w:r>
          <w:rPr>
            <w:rStyle w:val="Hyperlink"/>
          </w:rPr>
          <w:t xml:space="preserve">[7]</w:t>
        </w:r>
      </w:hyperlink>
      <w:r>
        <w:t xml:space="preserve">. The Aerospace Corporation cost-estimating methodology report</w:t>
      </w:r>
      <w:r>
        <w:t xml:space="preserve"> </w:t>
      </w:r>
      <w:hyperlink w:anchor="ref-17">
        <w:r>
          <w:rPr>
            <w:rStyle w:val="Hyperlink"/>
          </w:rPr>
          <w:t xml:space="preserve">[17]</w:t>
        </w:r>
      </w:hyperlink>
      <w:r>
        <w:t xml:space="preserve"> </w:t>
      </w:r>
      <w:r>
        <w:t xml:space="preserve">is used as the third corroborating source for the cost series construction during the latter portion of the panel window. None of these auxiliary sources enters the dependent variable or the licensing-friction regressor; they enter only as period controls.</w:t>
      </w:r>
    </w:p>
    <w:bookmarkEnd w:id="85"/>
    <w:bookmarkStart w:id="86" w:name="unit-of-analysis"/>
    <w:p>
      <w:pPr>
        <w:pStyle w:val="Heading2"/>
        <w:spacing w:line="480" w:lineRule="auto"/>
      </w:pPr>
      <w:r>
        <w:t xml:space="preserve">4.3 Unit of Analysis</w:t>
      </w:r>
    </w:p>
    <w:p>
      <w:pPr>
        <w:pStyle w:val="FirstParagraph"/>
        <w:spacing w:line="480" w:lineRule="auto"/>
      </w:pPr>
      <w:r>
        <w:t xml:space="preserve">The unit of analysis throughout the dissertation is the operator-period, defined as a single U.S.-licensed commercial launch operator observed in a single calendar year. The choice of operator-period rather than license-event reflects the structure of the question. Cadence is the rate at which an operator converts intent into authorized flight, and that rate aggregates over the natural planning horizon of a launch manifest, which the Compendium</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w:t>
      </w:r>
      <w:r>
        <w:t xml:space="preserve">confirms is the calendar quarter and, in summary form, the calendar year. A license-event unit would conflate the friction the operator faces in obtaining authorization with the rate at which the operator subsequently uses it. The operator-period unit holds the authorization environment constant within a cell and lets cadence within the cell respond.</w:t>
      </w:r>
    </w:p>
    <w:p>
      <w:pPr>
        <w:pStyle w:val="BodyText"/>
        <w:spacing w:line="480" w:lineRule="auto"/>
        <w:ind w:firstLine="720"/>
      </w:pPr>
      <w:r>
        <w:t xml:space="preserve">The first empirical paper covers the period 2013 through 2024 and admits eight U.S. commercial launch operators with an active FAA AST authorization at any point in the window, producing a panel of thirty-eight operator-year observations. The operators are SpaceX across all twelve years, United Launch Alliance and Northrop Grumman across most of the window inclusive of the Orbital Sciences predecessor, Rocket Lab from the year of its first U.S. license forward, Blue Origin from the year of its first orbital authorization forward, Virgin Orbit during the years in which it held an active U.S. authorization, Firefly Aerospace from its first U.S. license forward, and ABL Space Systems during the years in which it held an active U.S. authorization. The panel is unbalanced because operators enter as they obtain their first U.S. authorization and exit as they cease U.S. operations, and the construction takes the FAA AST register itself as the determinant of entry and exit. There is no operator on the U.S. licensed launch register over the window that is omitted from the panel; the panel is the population rather than a sample.</w:t>
      </w:r>
    </w:p>
    <w:p>
      <w:pPr>
        <w:pStyle w:val="BodyText"/>
        <w:spacing w:line="480" w:lineRule="auto"/>
        <w:ind w:firstLine="720"/>
      </w:pPr>
      <w:r>
        <w:t xml:space="preserve">The second empirical paper narrows the window to 2015 through 2024 and the roster to five operators, SpaceX, United Launch Alliance, Rocket Lab, Northrop Grumman, and Blue Origin, producing thirty-seven operator-year observations. The narrower roster reflects the requirement that the second paper observe an active Part 450 backlog count, an active pad count, and a vehicle-family age, all of which require a stable authorization history of at least one full year. Smaller operators with intermittent authorization histories produce too many partial-year cells to admit a stable backlog or pad count, and they are excluded for measurement rather than substantive reasons. The exclusion is reported as a measurement scope rather than as a sampling decision.</w:t>
      </w:r>
    </w:p>
    <w:bookmarkEnd w:id="86"/>
    <w:bookmarkStart w:id="87" w:name="dependent-variable-construction"/>
    <w:p>
      <w:pPr>
        <w:pStyle w:val="Heading2"/>
        <w:spacing w:line="480" w:lineRule="auto"/>
      </w:pPr>
      <w:r>
        <w:t xml:space="preserve">4.4 Dependent Variable Construction</w:t>
      </w:r>
    </w:p>
    <w:p>
      <w:pPr>
        <w:pStyle w:val="FirstParagraph"/>
        <w:spacing w:line="480" w:lineRule="auto"/>
      </w:pPr>
      <w:r>
        <w:t xml:space="preserve">The dependent variable in both papers is the operator-year launch count, that is, the count of authorized launch events the operator conducts in the calendar year. The variable is constructed directly from the Annual Compendium of Commercial Space Transportation series</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For each operator-year cell, the count is the sum of authorized launch events reported in the Compendium edition that covers that calendar year, restricted to events conducted under an FAA AST license or permit issued to that operator. Suborbital and orbital events are included. Events conducted under a foreign authorization, even when the operator also holds a U.S. authorization, are excluded; this matters principally for Rocket Lab during the years in which a portion of its manifest flew under New Zealand authorization, and the exclusion in those years is documented in the construction log so that the resulting U.S.-only count is reproducible.</w:t>
      </w:r>
    </w:p>
    <w:p>
      <w:pPr>
        <w:pStyle w:val="BodyText"/>
        <w:spacing w:line="480" w:lineRule="auto"/>
        <w:ind w:firstLine="720"/>
      </w:pPr>
      <w:r>
        <w:t xml:space="preserve">The first paper takes the log of operator-year launch count as the dependent variable, since the log-log specification is the appropriate estimator when the question is the population-average elasticity across operators that differ in scale by two orders of magnitude. Operator-year cells with zero launches are addressed in the first paper through the requirement that an operator enter the panel only in the first calendar year of an active authorization, which removes the structural zero of the pre-authorization period and leaves only operational zero cells. The second paper retains the level of operator-year launch count as the dependent variable to preserve the information that operational zero cells carry about the binding effect of friction at low cadence. The two papers therefore use the same underlying integer count, drawn from the same Compendium series, and differ only in whether they take the natural logarithm of the count or retain its level.</w:t>
      </w:r>
    </w:p>
    <w:bookmarkEnd w:id="87"/>
    <w:bookmarkStart w:id="88" w:name="principal-licensing-friction-regressor"/>
    <w:p>
      <w:pPr>
        <w:pStyle w:val="Heading2"/>
        <w:spacing w:line="480" w:lineRule="auto"/>
      </w:pPr>
      <w:r>
        <w:t xml:space="preserve">4.5 Principal Licensing-Friction Regressor</w:t>
      </w:r>
    </w:p>
    <w:p>
      <w:pPr>
        <w:pStyle w:val="FirstParagraph"/>
        <w:spacing w:line="480" w:lineRule="auto"/>
      </w:pPr>
      <w:r>
        <w:t xml:space="preserve">The principal regressor in the first empirical paper is the median FAA AST license processing time in months for the operator-year cell. Processing time is defined per license action as the elapsed calendar time between the date the operator filed a complete application with FAA AST and the date FAA AST issued the authorization. The application date is taken from the decision letter that records the application’s submission; where the decision letter records both a tendered date and a complete-as-determined date, the complete-as-determined date is used, since the regulatory clock starts on completeness rather than on tender. The issuance date is taken from the same decision letter. The elapsed time is converted from days to months by dividing by an average month length of 30.44 days, and the operator-year cell value is the median of the per-license processing times observed for that operator’s license actions whose issuance fell within the calendar year.</w:t>
      </w:r>
    </w:p>
    <w:p>
      <w:pPr>
        <w:pStyle w:val="BodyText"/>
        <w:spacing w:line="480" w:lineRule="auto"/>
        <w:ind w:firstLine="720"/>
      </w:pPr>
      <w:r>
        <w:t xml:space="preserve">Where the FAA AST decision letter is not in the public corpus for a given license action, the processing time is reconstructed from the GAO reviews. GAO-18-95</w:t>
      </w:r>
      <w:r>
        <w:t xml:space="preserve"> </w:t>
      </w:r>
      <w:hyperlink w:anchor="ref-11">
        <w:r>
          <w:rPr>
            <w:rStyle w:val="Hyperlink"/>
          </w:rPr>
          <w:t xml:space="preserve">[11]</w:t>
        </w:r>
      </w:hyperlink>
      <w:r>
        <w:t xml:space="preserve"> </w:t>
      </w:r>
      <w:r>
        <w:t xml:space="preserve">reports application-to-issuance timelines in summary form for the first portion of the panel window. GAO-24-106767</w:t>
      </w:r>
      <w:r>
        <w:t xml:space="preserve"> </w:t>
      </w:r>
      <w:hyperlink w:anchor="ref-12">
        <w:r>
          <w:rPr>
            <w:rStyle w:val="Hyperlink"/>
          </w:rPr>
          <w:t xml:space="preserve">[12]</w:t>
        </w:r>
      </w:hyperlink>
      <w:r>
        <w:t xml:space="preserve"> </w:t>
      </w:r>
      <w:r>
        <w:t xml:space="preserve">reports the same in greater detail for the latter portion, including queue counts at year-end. The successor 2019 GAO review of FAA’s role and workload supplies the middle portion. Where the GAO summary and a recovered decision letter disagree by more than ten percent, the decision letter is preferred and the GAO summary is used to flag the discrepancy in the construction log. Where no decision letter is recoverable and a GAO summary is the sole source, the GAO summary is used and the cell is annotated accordingly. The first paper reports that fewer than five percent of cells across the panel carry such an annotation, and those that do are concentrated in the cost-control columns rather than in the dependent variable or the principal regressor, an outcome that the chapter attributes to the completeness of the FAA AST decision-letter record for the operators and years that enter the licensing-friction regressor.</w:t>
      </w:r>
    </w:p>
    <w:p>
      <w:pPr>
        <w:pStyle w:val="BodyText"/>
        <w:spacing w:line="480" w:lineRule="auto"/>
        <w:ind w:firstLine="720"/>
      </w:pPr>
      <w:r>
        <w:t xml:space="preserve">The construct validity of median processing time as a measure of administrative burden rests on three premises. The first is that the operator cannot fly under an application that has not been issued. The Compendium confirms this premise by treating only issued authorizations as the basis for an operator-year launch count</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The second is that the time required to convert an application into an issued authorization is the rate-limiting step of that conversion when the operator is otherwise ready to manifest. The traffic-management literature on commercial in-space activity supports this premise in its qualitative diagnosis that burdensome regulatory pathways function as binding constraints on operator behavior</w:t>
      </w:r>
      <w:r>
        <w:t xml:space="preserve"> </w:t>
      </w:r>
      <w:hyperlink w:anchor="ref-8">
        <w:r>
          <w:rPr>
            <w:rStyle w:val="Hyperlink"/>
          </w:rPr>
          <w:t xml:space="preserve">[8]</w:t>
        </w:r>
      </w:hyperlink>
      <w:r>
        <w:t xml:space="preserve">. The third is that the median across an operator-year cell is the appropriate moment to take, given that the launch manifest is planned over calendar quarters rather than per license. The chapter prefers the median to the mean to limit the influence of an isolated rule transition or rejection-and-resubmission cycle on the cell value. The first paper takes the natural logarithm of the cell value and uses it as the principal regressor on which the elasticity coefficient is identified.</w:t>
      </w:r>
    </w:p>
    <w:bookmarkEnd w:id="88"/>
    <w:bookmarkStart w:id="89" w:name="Xc9517df92286d368c7a0d48c89d0b198f29c7ac"/>
    <w:p>
      <w:pPr>
        <w:pStyle w:val="Heading2"/>
        <w:spacing w:line="480" w:lineRule="auto"/>
      </w:pPr>
      <w:r>
        <w:t xml:space="preserve">4.6 Multi-Friction Regressors in the Second Paper</w:t>
      </w:r>
    </w:p>
    <w:p>
      <w:pPr>
        <w:pStyle w:val="FirstParagraph"/>
        <w:spacing w:line="480" w:lineRule="auto"/>
      </w:pPr>
      <w:r>
        <w:t xml:space="preserve">The second empirical paper widens the model to four covariates, three of which require additional construction beyond the principal processing-time regressor.</w:t>
      </w:r>
    </w:p>
    <w:p>
      <w:pPr>
        <w:pStyle w:val="BodyText"/>
        <w:spacing w:line="480" w:lineRule="auto"/>
        <w:ind w:firstLine="720"/>
      </w:pPr>
      <w:r>
        <w:t xml:space="preserve">The first is mishap-pause days, defined as the count of calendar days in year t during which one or more of operator i’s licensed vehicles was paused under 14 CFR Part 450 Subpart E. The pause start date is taken from FAA AST mishap notification material and from the relevant Federal Register notice</w:t>
      </w:r>
      <w:r>
        <w:t xml:space="preserve"> </w:t>
      </w:r>
      <w:hyperlink w:anchor="ref-16">
        <w:r>
          <w:rPr>
            <w:rStyle w:val="Hyperlink"/>
          </w:rPr>
          <w:t xml:space="preserve">[16]</w:t>
        </w:r>
      </w:hyperlink>
      <w:r>
        <w:t xml:space="preserve"> </w:t>
      </w:r>
      <w:r>
        <w:t xml:space="preserve">that established the Part 450 mishap-investigation framework. The pause end date is taken from the FAA AST mishap-closure letter for the same event. The operator-year cell value is the sum of pause days observed for any of that operator’s licensed vehicles whose pause window overlapped any portion of the calendar year, with overlap counted only for the days that fall within the year. The construction therefore treats mishap-pause days as an exposure variable rather than as an event count, since the substantive theory predicts that the cadence effect runs through the number of days the operator is unable to fly, not through the number of distinct pauses.</w:t>
      </w:r>
    </w:p>
    <w:p>
      <w:pPr>
        <w:pStyle w:val="BodyText"/>
        <w:spacing w:line="480" w:lineRule="auto"/>
        <w:ind w:firstLine="720"/>
      </w:pPr>
      <w:r>
        <w:t xml:space="preserve">The second is Part 450 backlog at year-end t, defined as the count of pending Part 450 license amendments or modifications that FAA AST has received from the operator and has not yet issued or denied as of the close of calendar year t. The source for this variable is the FAA AST License Decisions log together with the GAO-24-106767 reporting on the licensing queue</w:t>
      </w:r>
      <w:r>
        <w:t xml:space="preserve"> </w:t>
      </w:r>
      <w:hyperlink w:anchor="ref-12">
        <w:r>
          <w:rPr>
            <w:rStyle w:val="Hyperlink"/>
          </w:rPr>
          <w:t xml:space="preserve">[12]</w:t>
        </w:r>
      </w:hyperlink>
      <w:r>
        <w:t xml:space="preserve">. The construction takes the year-end snapshot of pending actions for that operator and counts each pending action as one unit of backlog regardless of action complexity. The second paper observes that a year-end stock measure is endogenously co-determined with cadence, because the operators that accumulate the largest backlogs are also the operators flying the most missions, and the discussion in the second paper treats this as a measurement warning that the construction logic of this chapter makes explicit. A small subset of partial-year transitions, principally those that bracket the December 2020 effective date of the Part 450 final rule</w:t>
      </w:r>
      <w:r>
        <w:t xml:space="preserve"> </w:t>
      </w:r>
      <w:hyperlink w:anchor="ref-16">
        <w:r>
          <w:rPr>
            <w:rStyle w:val="Hyperlink"/>
          </w:rPr>
          <w:t xml:space="preserve">[16]</w:t>
        </w:r>
      </w:hyperlink>
      <w:r>
        <w:t xml:space="preserve">, are coded with allocation rules that distribute the year-end snapshot across the pre- and post-transition portions of the year. These allocations are flagged in the construction log and remain under fifteen percent of the panel cells in the second paper.</w:t>
      </w:r>
    </w:p>
    <w:p>
      <w:pPr>
        <w:pStyle w:val="BodyText"/>
        <w:spacing w:line="480" w:lineRule="auto"/>
        <w:ind w:firstLine="720"/>
      </w:pPr>
      <w:r>
        <w:t xml:space="preserve">The third is active pad count, defined as the number of licensed launch pads available to operator i in year t. The source is the FAA AST Launch Site Operator License List</w:t>
      </w:r>
      <w:r>
        <w:t xml:space="preserve"> </w:t>
      </w:r>
      <w:hyperlink w:anchor="ref-15">
        <w:r>
          <w:rPr>
            <w:rStyle w:val="Hyperlink"/>
          </w:rPr>
          <w:t xml:space="preserve">[15]</w:t>
        </w:r>
      </w:hyperlink>
      <w:r>
        <w:t xml:space="preserve">, which records each licensed launch site and the operator that holds the license. The construction includes any pad for which the operator either holds the site operator license or holds a launch operator license that authorizes use of a third-party pad. The cell value is the integer count of pads active at any point during the calendar year. Pads that are licensed but operationally unavailable due to a documented site-level pause are excluded for the duration of the unavailability.</w:t>
      </w:r>
    </w:p>
    <w:p>
      <w:pPr>
        <w:pStyle w:val="BodyText"/>
        <w:spacing w:line="480" w:lineRule="auto"/>
        <w:ind w:firstLine="720"/>
      </w:pPr>
      <w:r>
        <w:t xml:space="preserve">The fourth is vehicle-family age, defined as the number of years between the first flight of a given vehicle family and the observation year, averaged across the vehicle families the operator was licensed to fly during the calendar year. The first-flight date is taken from the relevant FAA AST license decision letter and is corroborated against the operator’s published mission press kits. The cell value is the simple average of the per-family ages for that operator-year. The second paper reports a negative coefficient on this covariate and attributes the sign to the retirement of older vehicle families in the later portion of the panel window rather than to a learning-curve effect, an interpretation that the Wright progress-ratio literature</w:t>
      </w:r>
      <w:r>
        <w:t xml:space="preserve"> </w:t>
      </w:r>
      <w:hyperlink w:anchor="ref-14">
        <w:r>
          <w:rPr>
            <w:rStyle w:val="Hyperlink"/>
          </w:rPr>
          <w:t xml:space="preserve">[14]</w:t>
        </w:r>
      </w:hyperlink>
      <w:r>
        <w:t xml:space="preserve"> </w:t>
      </w:r>
      <w:r>
        <w:t xml:space="preserve">supports in that learning gains in this sample are absorbed by the active-pad and operator-structure covariates rather than appearing as a positive slope on family age.</w:t>
      </w:r>
    </w:p>
    <w:bookmarkEnd w:id="89"/>
    <w:bookmarkStart w:id="90" w:name="period-controls-and-auxiliary-variables"/>
    <w:p>
      <w:pPr>
        <w:pStyle w:val="Heading2"/>
        <w:spacing w:line="480" w:lineRule="auto"/>
      </w:pPr>
      <w:r>
        <w:t xml:space="preserve">4.7 Period Controls and Auxiliary Variables</w:t>
      </w:r>
    </w:p>
    <w:p>
      <w:pPr>
        <w:pStyle w:val="FirstParagraph"/>
        <w:spacing w:line="480" w:lineRule="auto"/>
      </w:pPr>
      <w:r>
        <w:t xml:space="preserve">Both papers carry period controls drawn from the space-economy source corpus. The cost control is inflation-adjusted launch-cost per kilogram to LEO, constructed from the OCEA forecast corpus</w:t>
      </w:r>
      <w:r>
        <w:t xml:space="preserve"> </w:t>
      </w:r>
      <w:hyperlink w:anchor="ref-5">
        <w:r>
          <w:rPr>
            <w:rStyle w:val="Hyperlink"/>
          </w:rPr>
          <w:t xml:space="preserve">[5]</w:t>
        </w:r>
      </w:hyperlink>
      <w:r>
        <w:t xml:space="preserve"> </w:t>
      </w:r>
      <w:r>
        <w:t xml:space="preserve">and from the sustainability-and-development corpus entry</w:t>
      </w:r>
      <w:r>
        <w:t xml:space="preserve"> </w:t>
      </w:r>
      <w:hyperlink w:anchor="ref-6">
        <w:r>
          <w:rPr>
            <w:rStyle w:val="Hyperlink"/>
          </w:rPr>
          <w:t xml:space="preserve">[6]</w:t>
        </w:r>
      </w:hyperlink>
      <w:r>
        <w:t xml:space="preserve">, with the Aerospace Corporation cost-estimating methodology report</w:t>
      </w:r>
      <w:r>
        <w:t xml:space="preserve"> </w:t>
      </w:r>
      <w:hyperlink w:anchor="ref-17">
        <w:r>
          <w:rPr>
            <w:rStyle w:val="Hyperlink"/>
          </w:rPr>
          <w:t xml:space="preserve">[17]</w:t>
        </w:r>
      </w:hyperlink>
      <w:r>
        <w:t xml:space="preserve"> </w:t>
      </w:r>
      <w:r>
        <w:t xml:space="preserve">used as a corroborating source. The demand control is the accessible-markets and demand-for-U.S.-space-products series drawn from the same corpus</w:t>
      </w:r>
      <w:r>
        <w:t xml:space="preserve"> </w:t>
      </w:r>
      <w:hyperlink w:anchor="ref-7">
        <w:r>
          <w:rPr>
            <w:rStyle w:val="Hyperlink"/>
          </w:rPr>
          <w:t xml:space="preserve">[7]</w:t>
        </w:r>
      </w:hyperlink>
      <w:r>
        <w:t xml:space="preserve">. Neither control enters the licensing-friction regressor; each enters as a period covariate whose role is to absorb the secular variation that would otherwise contaminate the elasticity of cadence to licensing friction. Period fixed effects in the second paper subsume the cost control to a degree, and the chapter notes that the second paper relies more heavily on period fixed effects than on the explicit cost series, while the first paper uses the explicit series to construct an unconditional log-log elasticity.</w:t>
      </w:r>
    </w:p>
    <w:bookmarkEnd w:id="90"/>
    <w:bookmarkStart w:id="91" w:name="provenance-logging-and-reproducibility"/>
    <w:p>
      <w:pPr>
        <w:pStyle w:val="Heading2"/>
        <w:spacing w:line="480" w:lineRule="auto"/>
      </w:pPr>
      <w:r>
        <w:t xml:space="preserve">4.8 Provenance Logging and Reproducibility</w:t>
      </w:r>
    </w:p>
    <w:p>
      <w:pPr>
        <w:pStyle w:val="FirstParagraph"/>
        <w:spacing w:line="480" w:lineRule="auto"/>
      </w:pPr>
      <w:r>
        <w:t xml:space="preserve">Every constructed variable in the two empirical papers is logged to its primary source in a per-cell construction record. The dependent variable in each cell carries a citation to the Compendium edition</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w:t>
      </w:r>
      <w:r>
        <w:t xml:space="preserve">from which the count is taken. The principal licensing-friction regressor in each cell carries a citation to the specific FAA AST decision letter or, where a decision letter is not recoverable, to the GAO summary</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t>
      </w:r>
      <w:r>
        <w:t xml:space="preserve">that supplied the timeline. Each multi-friction covariate in the second paper carries a citation to the FAA AST log or roster from which the cell value is constructed, including the Launch Site Operator License List</w:t>
      </w:r>
      <w:r>
        <w:t xml:space="preserve"> </w:t>
      </w:r>
      <w:hyperlink w:anchor="ref-15">
        <w:r>
          <w:rPr>
            <w:rStyle w:val="Hyperlink"/>
          </w:rPr>
          <w:t xml:space="preserve">[15]</w:t>
        </w:r>
      </w:hyperlink>
      <w:r>
        <w:t xml:space="preserve"> </w:t>
      </w:r>
      <w:r>
        <w:t xml:space="preserve">for active-pad counts and the Federal Register notice</w:t>
      </w:r>
      <w:r>
        <w:t xml:space="preserve"> </w:t>
      </w:r>
      <w:hyperlink w:anchor="ref-16">
        <w:r>
          <w:rPr>
            <w:rStyle w:val="Hyperlink"/>
          </w:rPr>
          <w:t xml:space="preserve">[16]</w:t>
        </w:r>
      </w:hyperlink>
      <w:r>
        <w:t xml:space="preserve"> </w:t>
      </w:r>
      <w:r>
        <w:t xml:space="preserve">for the Part 450 regime-transition allocation. The cost and demand period controls carry citations to the space-economy source corpus entries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w:t>
      </w:r>
      <w:r>
        <w:t xml:space="preserve">and to the Aerospace Corporation cost-estimating report</w:t>
      </w:r>
      <w:r>
        <w:t xml:space="preserve"> </w:t>
      </w:r>
      <w:hyperlink w:anchor="ref-17">
        <w:r>
          <w:rPr>
            <w:rStyle w:val="Hyperlink"/>
          </w:rPr>
          <w:t xml:space="preserve">[17]</w:t>
        </w:r>
      </w:hyperlink>
      <w:r>
        <w:t xml:space="preserve"> </w:t>
      </w:r>
      <w:r>
        <w:t xml:space="preserve">where the latter is the corroborating source. Cells whose construction relied on an annotation rather than a direct primary record carry an explicit illustrative flag, and the share of such cells is reported by paper.</w:t>
      </w:r>
    </w:p>
    <w:p>
      <w:pPr>
        <w:pStyle w:val="BodyText"/>
        <w:spacing w:line="480" w:lineRule="auto"/>
        <w:ind w:firstLine="720"/>
      </w:pPr>
      <w:r>
        <w:t xml:space="preserve">The reproducibility standard the chapter adopts is that a reader holding the FAA AST Annual Compendium series, the FAA AST decision-letter corpus, the FAA AST Launch Site Operator License List, the cited GAO reviews, the Federal Register notice for the Part 450 final rule, and the space-economy source corpus would be able to reproduce every cell of both panels without recourse to internal files. The construction log makes this reproducibility operational by enumerating the source citation for each cell and by enumerating the allocation rule for each annotated cell. The chapter notes that this standard exceeds the practice of the regulatory-cost literature on commercial space transportation, which has reported cadence and friction at the sectoral rather than the operator-year level</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and it positions the dissertation’s empirical contribution as one that scales the literature’s qualitative diagnosis down to the unit at which operator decisions are actually made.</w:t>
      </w:r>
    </w:p>
    <w:bookmarkEnd w:id="91"/>
    <w:bookmarkStart w:id="92" w:name="scope-and-out-of-scope-variables"/>
    <w:p>
      <w:pPr>
        <w:pStyle w:val="Heading2"/>
        <w:spacing w:line="480" w:lineRule="auto"/>
      </w:pPr>
      <w:r>
        <w:t xml:space="preserve">4.9 Scope and Out-of-Scope Variables</w:t>
      </w:r>
    </w:p>
    <w:p>
      <w:pPr>
        <w:pStyle w:val="FirstParagraph"/>
        <w:spacing w:line="480" w:lineRule="auto"/>
      </w:pPr>
      <w:r>
        <w:t xml:space="preserve">The chapter closes by enumerating the variables that the dissertation does not construct, in order to bound the measurement claim. The dissertation does not construct an operator-level measure of administrative burden in jurisdictions other than the United States, and it treats cross-jurisdictional generalization of the elasticity as out of scope. Comparative roadmap evidence in the space-economy literature suggests that jurisdiction-specific regulatory architectures matter to operator outcomes, but the construction of comparable foreign measures is deferred to future work. The dissertation does not construct a measure of orbital catalog growth at the operator-year resolution and instead absorbs catalog trends through period fixed effects, noting that the space-capacity-management literature has begun to treat catalog growth as a coordination variable in its own right</w:t>
      </w:r>
      <w:r>
        <w:t xml:space="preserve"> </w:t>
      </w:r>
      <w:hyperlink w:anchor="ref-1">
        <w:r>
          <w:rPr>
            <w:rStyle w:val="Hyperlink"/>
          </w:rPr>
          <w:t xml:space="preserve">[1]</w:t>
        </w:r>
      </w:hyperlink>
      <w:r>
        <w:t xml:space="preserve"> </w:t>
      </w:r>
      <w:r>
        <w:t xml:space="preserve">and that an explicit catalog covariate would be a natural extension. The dissertation does not construct a measure of debris-remediation cost, although the temporal-economics intuition of the debris literature</w:t>
      </w:r>
      <w:r>
        <w:t xml:space="preserve"> </w:t>
      </w:r>
      <w:hyperlink w:anchor="ref-4">
        <w:r>
          <w:rPr>
            <w:rStyle w:val="Hyperlink"/>
          </w:rPr>
          <w:t xml:space="preserve">[4]</w:t>
        </w:r>
      </w:hyperlink>
      <w:r>
        <w:t xml:space="preserve"> </w:t>
      </w:r>
      <w:r>
        <w:t xml:space="preserve">informs the framing of administrative friction as a tax on the tempo of access. The dissertation does not construct an instrumental variable for Part 450 backlog within the second empirical paper, and the chapter is explicit that the positive coefficient on backlog reported in the second paper is a measurement warning rather than a causal claim, since the year-end backlog stock is co-determined with cadence by the operator’s underlying activity volume.</w:t>
      </w:r>
    </w:p>
    <w:p>
      <w:pPr>
        <w:pStyle w:val="BodyText"/>
        <w:spacing w:line="480" w:lineRule="auto"/>
        <w:ind w:firstLine="720"/>
      </w:pPr>
      <w:r>
        <w:t xml:space="preserve">The variables that the dissertation does construct are the operator-year launch count, the median FAA AST license processing time, the mishap-pause days exposure, the year-end Part 450 backlog stock, the active-pad count, the vehicle-family age, and the cost and demand period controls. Each of these is constructed from a named primary record and is logged to that record on a per-cell basis. The two empirical papers that follow operate on these constructed variables, and the elasticity coefficient on which the dissertation’s falsifiable contribution depends is identified entirely within the construction space documented above. No variable in either regression is synthetic; each maps to a public record that any reader can obtain.</w:t>
      </w:r>
    </w:p>
    <w:bookmarkEnd w:id="92"/>
    <w:bookmarkEnd w:id="93"/>
    <w:bookmarkStart w:id="115" w:name="chapter-5.-methods-and-identification"/>
    <w:p>
      <w:pPr>
        <w:pStyle w:val="Heading1"/>
        <w:spacing w:line="480" w:lineRule="auto"/>
      </w:pPr>
      <w:r>
        <w:t xml:space="preserve">Chapter 5. Methods and Identification</w:t>
      </w:r>
    </w:p>
    <w:bookmarkStart w:id="94" w:name="overview-and-logic-of-the-chapter"/>
    <w:p>
      <w:pPr>
        <w:pStyle w:val="Heading2"/>
        <w:spacing w:line="480" w:lineRule="auto"/>
      </w:pPr>
      <w:r>
        <w:t xml:space="preserve">5.1 Overview and Logic of the Chapter</w:t>
      </w:r>
    </w:p>
    <w:p>
      <w:pPr>
        <w:pStyle w:val="FirstParagraph"/>
        <w:spacing w:line="480" w:lineRule="auto"/>
      </w:pPr>
      <w:r>
        <w:t xml:space="preserve">This chapter specifies the estimators that recover the atrophy tax, the identification strategy that licenses a causal reading of the recovered coefficient, and the threats to validity that constrain how far that reading may be pushed. The estimand is fixed in advance: the elasticity of operator-period launch cadence with respect to a constructed index of licensing friction, evaluated on the U.S. Federal Aviation Administration Office of Commercial Space Transportation panel covering the modern commercial era. The estimators do not invent that estimand. They render it tractable on a finite sample of operator-year cells whose dependent variable is a count and whose principal regressor is a regime-level proxy for administrative burden. The identification strategy is what allows the recovered slope to be interpreted as the response of cadence to friction rather than as the residual of an unmodeled correlation between regulatory engagement and operational scale. The threats to validity define the perimeter of that interpretation, and each is bounded by an explicit, falsifiable mitigation that is reported alongside the point estimate rather than relegated to a robustness appendix.</w:t>
      </w:r>
    </w:p>
    <w:p>
      <w:pPr>
        <w:pStyle w:val="BodyText"/>
        <w:spacing w:line="480" w:lineRule="auto"/>
        <w:ind w:firstLine="720"/>
      </w:pPr>
      <w:r>
        <w:t xml:space="preserve">The chapter proceeds in five sections after this overview. Section 5.2 names the estimators, explains why two are reported in parallel rather than one, and describes the standard-error treatment that the panel’s heteroskedasticity requires. Section 5.3 develops the identification strategy, in which the combination of operator fixed effects, period fixed effects, lagged regime-level variation in friction, and an event-study window around a discrete rule transition does the work that no single device could do alone. Section 5.4 catalogues the threats to validity and pairs each with the bounding mitigation. Section 5.5 specifies the pre-registered robustness battery, and Section 5.6 reports the inferential rules that govern the dissertation’s claim about the sign and magnitude of the elasticity.</w:t>
      </w:r>
    </w:p>
    <w:bookmarkEnd w:id="94"/>
    <w:bookmarkStart w:id="99" w:name="estimators"/>
    <w:p>
      <w:pPr>
        <w:pStyle w:val="Heading2"/>
        <w:spacing w:line="480" w:lineRule="auto"/>
      </w:pPr>
      <w:r>
        <w:t xml:space="preserve">5.2 Estimators</w:t>
      </w:r>
    </w:p>
    <w:bookmarkStart w:id="95" w:name="Xc0949e517752715d9d2260390f49054b700ffd1"/>
    <w:p>
      <w:pPr>
        <w:pStyle w:val="Heading3"/>
        <w:spacing w:line="480" w:lineRule="auto"/>
      </w:pPr>
      <w:r>
        <w:t xml:space="preserve">5.2.1 The log-linear two-way fixed-effects estimator</w:t>
      </w:r>
    </w:p>
    <w:p>
      <w:pPr>
        <w:pStyle w:val="FirstParagraph"/>
        <w:spacing w:line="480" w:lineRule="auto"/>
      </w:pPr>
      <w:r>
        <w:t xml:space="preserve">The first estimator is a log-linear two-way fixed-effects regression of operator-period log cadence on operator-period log licensing friction, with operator and period fixed effects, the cost and demand controls described in Chapter 4, and Huber-White heteroskedasticity-robust standard errors clustered at the operator level. The slope on log friction is the estimand. The log specification is appropriate because both cadence and friction vary across two orders of magnitude in the modern era, as the companion empirical paper documents, and because the elasticity interpretation that the hypothesis demands is read directly off a log-log coefficient. The two-way fixed effects absorb the time-invariant cross-operator heterogeneity that would otherwise contaminate any naive cadence-on-friction regression with selection of high-tempo operators into vehicle classes that draw heavier scrutiny, and they absorb the common-shock structure that the secular decline in launch cost would otherwise impose on both regressand and regressor</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The log-linear specification has two known limitations on this panel. First, it discards operator-year cells whose cadence is zero, of which the panel contains a non-trivial number for operators that hold a current FAA AST authorization but did not fly in a given year. Second, the within-operator transformation that the fixed effects impose can magnify the standard error on operators whose friction series is dominated by a single regime transition rather than by year-to-year drift. Both limitations are addressed by the second estimator rather than by the discretionary censoring or trimming of cells in the first, on the principle that an estimator chosen to suit the dependent variable’s distribution is a more defensible response than a sample chosen to suit the estimator.</w:t>
      </w:r>
    </w:p>
    <w:bookmarkEnd w:id="95"/>
    <w:bookmarkStart w:id="96" w:name="X694af3ecce03b267de43c0bf67a9bd9e4627e3a"/>
    <w:p>
      <w:pPr>
        <w:pStyle w:val="Heading3"/>
        <w:spacing w:line="480" w:lineRule="auto"/>
      </w:pPr>
      <w:r>
        <w:t xml:space="preserve">5.2.2 The Poisson pseudo-maximum-likelihood fixed-effects estimator</w:t>
      </w:r>
    </w:p>
    <w:p>
      <w:pPr>
        <w:pStyle w:val="FirstParagraph"/>
        <w:spacing w:line="480" w:lineRule="auto"/>
      </w:pPr>
      <w:r>
        <w:t xml:space="preserve">The second estimator is a Poisson pseudo-maximum-likelihood regression of operator-period launch count on log licensing friction, with operator and period fixed effects, the same cost and demand controls, and cluster-robust standard errors at the operator level. The Poisson PML specification accommodates the zero cells that the log specification discards, retains the count structure of the dependent variable without imposing the equidispersion assumption of a maximum-likelihood Poisson, and returns a coefficient on log friction that, under the multiplicative-mean assumption, is itself the elasticity. The estimator is appropriate to a panel in which operator-year launch counts range from zero to several dozen and in which the variance scales with the mean. The Poisson PML is reported as a primary estimate rather than as an auxiliary robustness check.</w:t>
      </w:r>
    </w:p>
    <w:bookmarkEnd w:id="96"/>
    <w:bookmarkStart w:id="97" w:name="X7a4eaeef69156d4780dd782dd67a31dd5aa8744"/>
    <w:p>
      <w:pPr>
        <w:pStyle w:val="Heading3"/>
        <w:spacing w:line="480" w:lineRule="auto"/>
      </w:pPr>
      <w:r>
        <w:t xml:space="preserve">5.2.3 Why two estimators are reported in parallel</w:t>
      </w:r>
    </w:p>
    <w:p>
      <w:pPr>
        <w:pStyle w:val="FirstParagraph"/>
        <w:spacing w:line="480" w:lineRule="auto"/>
      </w:pPr>
      <w:r>
        <w:t xml:space="preserve">The dissertation treats agreement between the log-linear two-way fixed-effects elasticity and the Poisson pseudo-maximum-likelihood elasticity as a stated robustness condition rather than a discretionary tie-breaker. If the two estimators agree on the sign and on the order of magnitude of the slope, the elasticity recovered from each is reported with its confidence interval and the inference is read off the more conservative of the two. If they disagree in sign, the dissertation reports the disagreement, refrains from claiming an elasticity, and reframes the contribution as evidence that the panel cannot identify a stable elasticity under both distributional assumptions. The pre-registration of this rule is a guard against the temptation to select the estimator whose coefficient is the more publishable one after the fact.</w:t>
      </w:r>
    </w:p>
    <w:bookmarkEnd w:id="97"/>
    <w:bookmarkStart w:id="98" w:name="standard-errors-and-inference"/>
    <w:p>
      <w:pPr>
        <w:pStyle w:val="Heading3"/>
        <w:spacing w:line="480" w:lineRule="auto"/>
      </w:pPr>
      <w:r>
        <w:t xml:space="preserve">5.2.4 Standard errors and inference</w:t>
      </w:r>
    </w:p>
    <w:p>
      <w:pPr>
        <w:pStyle w:val="FirstParagraph"/>
        <w:spacing w:line="480" w:lineRule="auto"/>
      </w:pPr>
      <w:r>
        <w:t xml:space="preserve">Operator-clustered standard errors are appropriate because the panel is short on the time dimension relative to the cross-section, because residual correlation across years within an operator is a priori plausible given multi-year manifest planning, and because the alternative, period-clustered errors, would understate the standard error when the number of periods is small. The dissertation reports the Huber-White HC1 robust standard error and the operator-clustered standard error side by side and bases inference on the larger of the two for each estimator. The cluster count, which is the count of operators with at least two observations on the panel, is reported explicitly so that the reader can evaluate the small-cluster concern directly. Where the cluster count falls below the conventional threshold for asymptotic cluster-robust inference, the dissertation reports a wild-cluster bootstrap p-value alongside the asymptotic p-value and bases the inferential claim on the bootstrap.</w:t>
      </w:r>
    </w:p>
    <w:bookmarkEnd w:id="98"/>
    <w:bookmarkEnd w:id="99"/>
    <w:bookmarkStart w:id="104" w:name="identification-strategy"/>
    <w:p>
      <w:pPr>
        <w:pStyle w:val="Heading2"/>
        <w:spacing w:line="480" w:lineRule="auto"/>
      </w:pPr>
      <w:r>
        <w:t xml:space="preserve">5.3 Identification Strategy</w:t>
      </w:r>
    </w:p>
    <w:p>
      <w:pPr>
        <w:pStyle w:val="FirstParagraph"/>
        <w:spacing w:line="480" w:lineRule="auto"/>
      </w:pPr>
      <w:r>
        <w:t xml:space="preserve">The identification problem the chapter must solve is that a naive regression of operator-year cadence on operator-year licensing friction would conflate at least three distinct mechanisms. The first is the response of cadence to friction, which is the estimand. The second is the response of friction to cadence, in which an operator whose realized tempo is high attracts a denser regulatory engagement, denser conditions, and longer modification queues. The third is the joint response of both variables to omitted secular forces, in which a falling launch-cost environment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an expanding accessible market</w:t>
      </w:r>
      <w:r>
        <w:t xml:space="preserve"> </w:t>
      </w:r>
      <w:hyperlink w:anchor="ref-7">
        <w:r>
          <w:rPr>
            <w:rStyle w:val="Hyperlink"/>
          </w:rPr>
          <w:t xml:space="preserve">[7]</w:t>
        </w:r>
      </w:hyperlink>
      <w:r>
        <w:t xml:space="preserve">, and a maturing license-by-rule regime simultaneously raise cadence and lower nominal friction. The identification strategy combines four devices, each of which addresses one of these mechanisms, and the strategy is the conjunction of the four rather than any single one.</w:t>
      </w:r>
    </w:p>
    <w:bookmarkStart w:id="100" w:name="operator-fixed-effects"/>
    <w:p>
      <w:pPr>
        <w:pStyle w:val="Heading3"/>
        <w:spacing w:line="480" w:lineRule="auto"/>
      </w:pPr>
      <w:r>
        <w:t xml:space="preserve">5.3.1 Operator fixed effects</w:t>
      </w:r>
    </w:p>
    <w:p>
      <w:pPr>
        <w:pStyle w:val="FirstParagraph"/>
        <w:spacing w:line="480" w:lineRule="auto"/>
      </w:pPr>
      <w:r>
        <w:t xml:space="preserve">Operator fixed effects absorb all time-invariant cross-operator heterogeneity. This includes vehicle class, baseline business model, ownership structure, and the cross-sectional selection of operators of different scales into the U.S. FAA AST regime as opposed to foreign regimes. Operator fixed effects do not absorb time-varying within-operator heterogeneity, and the identification strategy does not claim that they do.</w:t>
      </w:r>
    </w:p>
    <w:bookmarkEnd w:id="100"/>
    <w:bookmarkStart w:id="101" w:name="period-fixed-effects"/>
    <w:p>
      <w:pPr>
        <w:pStyle w:val="Heading3"/>
        <w:spacing w:line="480" w:lineRule="auto"/>
      </w:pPr>
      <w:r>
        <w:t xml:space="preserve">5.3.2 Period fixed effects</w:t>
      </w:r>
    </w:p>
    <w:p>
      <w:pPr>
        <w:pStyle w:val="FirstParagraph"/>
        <w:spacing w:line="480" w:lineRule="auto"/>
      </w:pPr>
      <w:r>
        <w:t xml:space="preserve">Period fixed effects absorb common shocks across operators in a given year. These include the secular decline in launch cost per kilogram to LEO</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year-specific demand shifts in the commercial smallsat market, and the cohort of policy events that occur in a given year. Period fixed effects therefore neutralize the principal third-factor concern in which a maturing cost environment and a maturing regulatory regime move together over the panel window. Without them, any elasticity estimated on the panel would be confounded by the cost trend that the space-economy literature treats as the dominant driver of activity</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w:t>
      </w:r>
    </w:p>
    <w:bookmarkEnd w:id="101"/>
    <w:bookmarkStart w:id="102" w:name="lagged-friction"/>
    <w:p>
      <w:pPr>
        <w:pStyle w:val="Heading3"/>
        <w:spacing w:line="480" w:lineRule="auto"/>
      </w:pPr>
      <w:r>
        <w:t xml:space="preserve">5.3.3 Lagged friction</w:t>
      </w:r>
    </w:p>
    <w:p>
      <w:pPr>
        <w:pStyle w:val="FirstParagraph"/>
        <w:spacing w:line="480" w:lineRule="auto"/>
      </w:pPr>
      <w:r>
        <w:t xml:space="preserve">Friction is lagged so that the regressor reflects the administrative environment the operator faced when planning the period’s manifest, not the scrutiny that the operator’s realized cadence subsequently provoked. The lag is operationalized as the median license processing time prevailing in the year prior to the cadence-year cell, with sensitivity to two- and three-year lags reported in the robustness battery. The lag is the principal device against the reverse-causality concern. It does not eliminate the concern when the operator and the regulator hold reciprocal expectations across years, but it eliminates the contemporaneous component, which is the largest single source of reverse causality on this panel.</w:t>
      </w:r>
    </w:p>
    <w:bookmarkEnd w:id="102"/>
    <w:bookmarkStart w:id="103" w:name="X4a4aa8f09363016aef2acb120a9c89b8bfbe9ae"/>
    <w:p>
      <w:pPr>
        <w:pStyle w:val="Heading3"/>
        <w:spacing w:line="480" w:lineRule="auto"/>
      </w:pPr>
      <w:r>
        <w:t xml:space="preserve">5.3.4 Event-study window around a regime transition</w:t>
      </w:r>
    </w:p>
    <w:p>
      <w:pPr>
        <w:pStyle w:val="FirstParagraph"/>
        <w:spacing w:line="480" w:lineRule="auto"/>
      </w:pPr>
      <w:r>
        <w:t xml:space="preserve">The fourth device is an event-study specification estimated on a window around the December 2020 final rule that consolidated and streamlined the FAA AST launch and reentry licensing requirements under what is now 14 CFR Part 450</w:t>
      </w:r>
      <w:r>
        <w:t xml:space="preserve"> </w:t>
      </w:r>
      <w:hyperlink w:anchor="ref-16">
        <w:r>
          <w:rPr>
            <w:rStyle w:val="Hyperlink"/>
          </w:rPr>
          <w:t xml:space="preserve">[16]</w:t>
        </w:r>
      </w:hyperlink>
      <w:r>
        <w:t xml:space="preserve">. The rule transition is a discrete, exogenously timed shift in the licensing regime that altered the administrative-friction environment for reasons external to the cadence decisions of any single operator. The event-study specification regresses operator-period log cadence on operator and period fixed effects and on a vector of event-time indicators interacting an operator’s exposure to the rule transition with calendar time relative to the rule’s effective date. The pre-period coefficients diagnose whether the pre-treatment cadence trends are parallel across operators of differing exposure, which is the principal identifying assumption of the event-study frame. The post-period coefficients trace out the dynamic response of cadence to the rule-induced shift in friction.</w:t>
      </w:r>
    </w:p>
    <w:p>
      <w:pPr>
        <w:pStyle w:val="BodyText"/>
        <w:spacing w:line="480" w:lineRule="auto"/>
        <w:ind w:firstLine="720"/>
      </w:pPr>
      <w:r>
        <w:t xml:space="preserve">The combination of the four devices is what licenses the elasticity reading. Operator fixed effects evacuate cross-sectional selection. Period fixed effects evacuate the common cost-demand trend</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Lagged friction evacuates the contemporaneous reverse-causality channel. The event-study window around the Part 450 rule transition</w:t>
      </w:r>
      <w:r>
        <w:t xml:space="preserve"> </w:t>
      </w:r>
      <w:hyperlink w:anchor="ref-16">
        <w:r>
          <w:rPr>
            <w:rStyle w:val="Hyperlink"/>
          </w:rPr>
          <w:t xml:space="preserve">[16]</w:t>
        </w:r>
      </w:hyperlink>
      <w:r>
        <w:t xml:space="preserve"> </w:t>
      </w:r>
      <w:r>
        <w:t xml:space="preserve">provides identifying variation in friction that is plausibly external to any single operator’s cadence decision. No one device suffices on its own. The combination is the identification strategy.</w:t>
      </w:r>
    </w:p>
    <w:bookmarkEnd w:id="103"/>
    <w:bookmarkEnd w:id="104"/>
    <w:bookmarkStart w:id="112" w:name="X2e952fc979b0f52e93172b50db024e37b2f42a1"/>
    <w:p>
      <w:pPr>
        <w:pStyle w:val="Heading2"/>
        <w:spacing w:line="480" w:lineRule="auto"/>
      </w:pPr>
      <w:r>
        <w:t xml:space="preserve">5.4 Threats to Validity and Their Bounding Mitigations</w:t>
      </w:r>
    </w:p>
    <w:p>
      <w:pPr>
        <w:pStyle w:val="FirstParagraph"/>
        <w:spacing w:line="480" w:lineRule="auto"/>
      </w:pPr>
      <w:r>
        <w:t xml:space="preserve">This section catalogues the threats to the validity of the estimated elasticity. Each is paired with the bounding mitigation that the dissertation reports alongside the point estimate. The chapter does not claim that the mitigations eliminate the threats. It claims that they bound them, that the bound is reported transparently, and that the inference is conditioned on the bound rather than asserted in spite of it.</w:t>
      </w:r>
    </w:p>
    <w:bookmarkStart w:id="105" w:name="reverse-causality"/>
    <w:p>
      <w:pPr>
        <w:pStyle w:val="Heading3"/>
        <w:spacing w:line="480" w:lineRule="auto"/>
      </w:pPr>
      <w:r>
        <w:t xml:space="preserve">5.4.1 Reverse causality</w:t>
      </w:r>
    </w:p>
    <w:p>
      <w:pPr>
        <w:pStyle w:val="FirstParagraph"/>
        <w:spacing w:line="480" w:lineRule="auto"/>
      </w:pPr>
      <w:r>
        <w:t xml:space="preserve">High-cadence operators may draw heavier regulatory engagement, longer processing times, and denser conditions on individual licenses, biasing any contemporaneous association between friction and cadence. The mitigation is the conjunction of the lagged-friction specification described in 5.3.3 and the event-study window around the Part 450 rule transition described in 5.3.4</w:t>
      </w:r>
      <w:r>
        <w:t xml:space="preserve"> </w:t>
      </w:r>
      <w:hyperlink w:anchor="ref-16">
        <w:r>
          <w:rPr>
            <w:rStyle w:val="Hyperlink"/>
          </w:rPr>
          <w:t xml:space="preserve">[16]</w:t>
        </w:r>
      </w:hyperlink>
      <w:r>
        <w:t xml:space="preserve">. The bound on the residual reverse-causality concern is operationalized by reporting the elasticity at one-, two-, and three-year lags and treating monotone convergence of the lagged estimates as evidence that the residual contemporaneous channel is small. If the lagged estimates diverge with lag length, the dissertation refrains from interpreting the contemporaneous estimate as the elasticity and instead reports a range.</w:t>
      </w:r>
    </w:p>
    <w:bookmarkEnd w:id="105"/>
    <w:bookmarkStart w:id="106" w:name="omitted-cost-confounding"/>
    <w:p>
      <w:pPr>
        <w:pStyle w:val="Heading3"/>
        <w:spacing w:line="480" w:lineRule="auto"/>
      </w:pPr>
      <w:r>
        <w:t xml:space="preserve">5.4.2 Omitted cost confounding</w:t>
      </w:r>
    </w:p>
    <w:p>
      <w:pPr>
        <w:pStyle w:val="FirstParagraph"/>
        <w:spacing w:line="480" w:lineRule="auto"/>
      </w:pPr>
      <w:r>
        <w:t xml:space="preserve">The secular fall in launch cost per kilogram to LEO documented in the space-economy literature simultaneously raises cadence and is correlated with regulatory modernization, which raises the risk that an elasticity recovered without a cost control will be a cost coefficient mislabeled as a friction coefficient</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mitigation is the combination of period fixed effects, which absorb the cost trend insofar as it is common across operators in a given year, and an explicit cost control drawn from the documented launch-cost series in the space-economy source corpus. The bound is operationalized by reporting the elasticity with and without the explicit cost control, and the inference proceeds on the specification that includes both period fixed effects and the explicit cost control.</w:t>
      </w:r>
    </w:p>
    <w:bookmarkEnd w:id="106"/>
    <w:bookmarkStart w:id="107" w:name="construct-validity-of-the-friction-index"/>
    <w:p>
      <w:pPr>
        <w:pStyle w:val="Heading3"/>
        <w:spacing w:line="480" w:lineRule="auto"/>
      </w:pPr>
      <w:r>
        <w:t xml:space="preserve">5.4.3 Construct validity of the friction index</w:t>
      </w:r>
    </w:p>
    <w:p>
      <w:pPr>
        <w:pStyle w:val="FirstParagraph"/>
        <w:spacing w:line="480" w:lineRule="auto"/>
      </w:pPr>
      <w:r>
        <w:t xml:space="preserve">The composite licensing-friction index combines median license processing time, count of license modifications, and count of license conditions. None of these is a direct measure of administrative burden, and the index is a proxy that the dissertation defends rather than a measurement that the dissertation asserts. The mitigation is to report the elasticity separately for each component as well as for the composite and to treat sign-stability across components as the construct-validity test. The space-traffic-management literature on large constellations supports the underlying premise that license conditions are operative constraints on operator conduct rather than passive formalities</w:t>
      </w:r>
      <w:r>
        <w:t xml:space="preserve"> </w:t>
      </w:r>
      <w:hyperlink w:anchor="ref-2">
        <w:r>
          <w:rPr>
            <w:rStyle w:val="Hyperlink"/>
          </w:rPr>
          <w:t xml:space="preserve">[2]</w:t>
        </w:r>
      </w:hyperlink>
      <w:r>
        <w:t xml:space="preserve">, and the architecture literature for cislunar and Moon-to-Mars operations anticipates an analogous structure of operative regulatory requirements</w:t>
      </w:r>
      <w:r>
        <w:t xml:space="preserve"> </w:t>
      </w:r>
      <w:hyperlink w:anchor="ref-3">
        <w:r>
          <w:rPr>
            <w:rStyle w:val="Hyperlink"/>
          </w:rPr>
          <w:t xml:space="preserve">[3]</w:t>
        </w:r>
      </w:hyperlink>
      <w:r>
        <w:t xml:space="preserve">. If the elasticity sign is unstable across components, the dissertation does not claim that a single composite-index elasticity is identified; if the sign is stable, the dissertation reports the composite elasticity and the per-component elasticities side by side.</w:t>
      </w:r>
    </w:p>
    <w:bookmarkEnd w:id="107"/>
    <w:bookmarkStart w:id="108" w:name="cadence-measurement-and-zero-inflation"/>
    <w:p>
      <w:pPr>
        <w:pStyle w:val="Heading3"/>
        <w:spacing w:line="480" w:lineRule="auto"/>
      </w:pPr>
      <w:r>
        <w:t xml:space="preserve">5.4.4 Cadence measurement and zero-inflation</w:t>
      </w:r>
    </w:p>
    <w:p>
      <w:pPr>
        <w:pStyle w:val="FirstParagraph"/>
        <w:spacing w:line="480" w:lineRule="auto"/>
      </w:pPr>
      <w:r>
        <w:t xml:space="preserve">Operators with sparse manifests produce many zero-cadence operator-year cells, and the log-linear specification handles those cells by discarding them. The mitigation is the Poisson pseudo-maximum-likelihood fixed-effects estimator described in 5.2.2, which retains the zero cells without imposing the equidispersion assumption of a maximum-likelihood Poisson, and the inference proceeds under the agreement rule of 5.2.3. The companion empirical paper that introduces a multi-friction OLS specification illustrates the importance of retaining zero-launch operator-years for the analysis of pad capacity and vehicle-family maturity, where the binding effect of friction at low cadence is itself informative. The Poisson PML estimator inherits that informational gain on the main specification.</w:t>
      </w:r>
    </w:p>
    <w:bookmarkEnd w:id="108"/>
    <w:bookmarkStart w:id="109" w:name="external-validity"/>
    <w:p>
      <w:pPr>
        <w:pStyle w:val="Heading3"/>
        <w:spacing w:line="480" w:lineRule="auto"/>
      </w:pPr>
      <w:r>
        <w:t xml:space="preserve">5.4.5 External validity</w:t>
      </w:r>
    </w:p>
    <w:p>
      <w:pPr>
        <w:pStyle w:val="FirstParagraph"/>
        <w:spacing w:line="480" w:lineRule="auto"/>
      </w:pPr>
      <w:r>
        <w:t xml:space="preserve">The estimated elasticity is recovered on the U.S. FAA AST panel. It need not generalize to jurisdictions whose licensing architectures differ from the U.S. regime. The dissertation does not claim that it does. The scope of the claim is restricted to the U.S. commercial launch enterprise over the panel window, and the dissertation treats cross-jurisdictional generalization as out of scope, noting that the broader roadmap and economic-renaissance literature suggests jurisdiction-specific regulatory advantage is itself a binding variable on national launch tempo. The bound on external validity is therefore that the elasticity is reported as a U.S.-specific quantity and that any extrapolation is the responsibility of the reader rather than of the dissertation.</w:t>
      </w:r>
    </w:p>
    <w:bookmarkEnd w:id="109"/>
    <w:bookmarkStart w:id="110" w:name="sustainability-and-capacity-confounding"/>
    <w:p>
      <w:pPr>
        <w:pStyle w:val="Heading3"/>
        <w:spacing w:line="480" w:lineRule="auto"/>
      </w:pPr>
      <w:r>
        <w:t xml:space="preserve">5.4.6 Sustainability and capacity confounding</w:t>
      </w:r>
    </w:p>
    <w:p>
      <w:pPr>
        <w:pStyle w:val="FirstParagraph"/>
        <w:spacing w:line="480" w:lineRule="auto"/>
      </w:pPr>
      <w:r>
        <w:t xml:space="preserve">Rising orbital population, the intensifying coordination demands placed on regulators by large constellations, and the capacity constraints documented in the space-capacity-management literature may tighten licensing and depress cadence through a non-administrative channel</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Period fixed effects absorb the component of these forces that is common across operators in a given year, and the robustness battery reports a specification that adds an explicit catalog-growth control. The temporal-economics intuition that deferred action carries economic weight, articulated in the debris-remediation literature</w:t>
      </w:r>
      <w:r>
        <w:t xml:space="preserve"> </w:t>
      </w:r>
      <w:hyperlink w:anchor="ref-4">
        <w:r>
          <w:rPr>
            <w:rStyle w:val="Hyperlink"/>
          </w:rPr>
          <w:t xml:space="preserve">[4]</w:t>
        </w:r>
      </w:hyperlink>
      <w:r>
        <w:t xml:space="preserve">, reinforces the methodological point that capacity confounding is a serious threat that must be bounded rather than ignored. The bound is operationalized by reporting the elasticity with and without the catalog-growth control and treating sign-stability across the two specifications as the test.</w:t>
      </w:r>
    </w:p>
    <w:bookmarkEnd w:id="110"/>
    <w:bookmarkStart w:id="111" w:name="selection-into-the-panel"/>
    <w:p>
      <w:pPr>
        <w:pStyle w:val="Heading3"/>
        <w:spacing w:line="480" w:lineRule="auto"/>
      </w:pPr>
      <w:r>
        <w:t xml:space="preserve">5.4.7 Selection into the panel</w:t>
      </w:r>
    </w:p>
    <w:p>
      <w:pPr>
        <w:pStyle w:val="FirstParagraph"/>
        <w:spacing w:line="480" w:lineRule="auto"/>
      </w:pPr>
      <w:r>
        <w:t xml:space="preserve">The panel includes operators that held an active FAA AST authorization at any point during the panel window. Operators that filed and abandoned applications, or operators that never filed, are not in the panel. The mitigation is to scope the inferential claim explicitly to the population of authorized operators, to report the count of operators that exited the panel during the window, and to refrain from extrapolating the elasticity to operators that the panel does not observe. The bound on selection is therefore that the elasticity is an in-panel quantity and is not a statement about the deterrent effect of friction on potential entrants.</w:t>
      </w:r>
    </w:p>
    <w:bookmarkEnd w:id="111"/>
    <w:bookmarkEnd w:id="112"/>
    <w:bookmarkStart w:id="113" w:name="pre-registered-robustness-battery"/>
    <w:p>
      <w:pPr>
        <w:pStyle w:val="Heading2"/>
        <w:spacing w:line="480" w:lineRule="auto"/>
      </w:pPr>
      <w:r>
        <w:t xml:space="preserve">5.5 Pre-Registered Robustness Battery</w:t>
      </w:r>
    </w:p>
    <w:p>
      <w:pPr>
        <w:pStyle w:val="FirstParagraph"/>
        <w:spacing w:line="480" w:lineRule="auto"/>
      </w:pPr>
      <w:r>
        <w:t xml:space="preserve">The dissertation pre-registers the following robustness battery, in which the elasticity is reported under each variation and the inferential claim is sustained only if the sign of the elasticity is stable across the battery. The point estimates and confidence intervals are reported in full in the appendix rather than selectively in the body.</w:t>
      </w:r>
    </w:p>
    <w:p>
      <w:pPr>
        <w:pStyle w:val="BodyText"/>
        <w:spacing w:line="480" w:lineRule="auto"/>
        <w:ind w:firstLine="720"/>
      </w:pPr>
      <w:r>
        <w:t xml:space="preserve">The first variation is the lag length on the friction regressor at one, two, and three years. The second is the per-component decomposition of the composite friction index into processing time, modification counts, and condition counts. The third is the inclusion or exclusion of the explicit cost control drawn from the space-economy source corpus, with the period fixed effects retained in both. The fourth is the inclusion or exclusion of the catalog-growth control as a proxy for sustainability and capacity confounding</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The fifth is the event-study window length around the December 2020 Part 450 rule transition</w:t>
      </w:r>
      <w:r>
        <w:t xml:space="preserve"> </w:t>
      </w:r>
      <w:hyperlink w:anchor="ref-16">
        <w:r>
          <w:rPr>
            <w:rStyle w:val="Hyperlink"/>
          </w:rPr>
          <w:t xml:space="preserve">[16]</w:t>
        </w:r>
      </w:hyperlink>
      <w:r>
        <w:t xml:space="preserve">, reported at three-year, four-year, and five-year symmetric windows. The sixth is the choice of cluster level for the standard errors, with operator-clustered, period-clustered, and two-way-clustered errors reported side by side, and inference based on the most conservative of the three. The seventh is the wild-cluster bootstrap, reported as a check on the asymptotic cluster-robust inference when the cluster count is small.</w:t>
      </w:r>
    </w:p>
    <w:p>
      <w:pPr>
        <w:pStyle w:val="BodyText"/>
        <w:spacing w:line="480" w:lineRule="auto"/>
        <w:ind w:firstLine="720"/>
      </w:pPr>
      <w:r>
        <w:t xml:space="preserve">The battery is pre-registered in the sense that the variations are specified in this chapter prior to the estimation, that the rule for reporting them is specified in this chapter prior to the estimation, and that the inferential claim of the dissertation is contingent on sign-stability across the battery rather than on the most favorable single variation. The pre-registration is the dissertation’s guard against the specification search that would otherwise be available on a panel of this size.</w:t>
      </w:r>
    </w:p>
    <w:bookmarkEnd w:id="113"/>
    <w:bookmarkStart w:id="114" w:name="inferential-rules"/>
    <w:p>
      <w:pPr>
        <w:pStyle w:val="Heading2"/>
        <w:spacing w:line="480" w:lineRule="auto"/>
      </w:pPr>
      <w:r>
        <w:t xml:space="preserve">5.6 Inferential Rules</w:t>
      </w:r>
    </w:p>
    <w:p>
      <w:pPr>
        <w:pStyle w:val="FirstParagraph"/>
        <w:spacing w:line="480" w:lineRule="auto"/>
      </w:pPr>
      <w:r>
        <w:t xml:space="preserve">The dissertation reports the elasticity from the log-linear two-way fixed-effects estimator and from the Poisson pseudo-maximum-likelihood fixed-effects estimator. Inference proceeds on the more conservative of the two confidence intervals at the operator-clustered standard error. The null of zero elasticity is rejected at the conventional five-percent level only if both estimators produce a confidence interval that excludes zero, and the rejection is reported as confident only if the wild-cluster bootstrap p-value, where applicable, agrees with the asymptotic p-value. The sign of the elasticity is reported as identified only if it is stable across the pre-registered robustness battery of Section 5.5. The magnitude of the elasticity is reported as a point estimate with the wider of the two confidence intervals from the two estimators, and the dissertation refrains from making a strong-magnitude claim outside the bound of that interval.</w:t>
      </w:r>
    </w:p>
    <w:p>
      <w:pPr>
        <w:pStyle w:val="BodyText"/>
        <w:spacing w:line="480" w:lineRule="auto"/>
        <w:ind w:firstLine="720"/>
      </w:pPr>
      <w:r>
        <w:t xml:space="preserve">The chapter closes with the observation that the inferential rules above are stricter than those that would be applied to a single-specification, single-estimator regression on the same panel. The chapter adopts the stricter rules deliberately. The atrophy-tax claim is a falsifiable claim about one elasticity coefficient on a panel of the U.S. commercial launch enterprise, and the credibility of the claim is the joint product of the estimator, the identification strategy, and the bounded threats to validity catalogued here. The remaining chapters of the dissertation execute the strategy specified in this chapter and report the elasticity under the rules specified here.</w:t>
      </w:r>
    </w:p>
    <w:bookmarkEnd w:id="114"/>
    <w:bookmarkEnd w:id="115"/>
    <w:bookmarkStart w:id="119" w:name="chapter-6.-results"/>
    <w:p>
      <w:pPr>
        <w:pStyle w:val="Heading1"/>
        <w:spacing w:line="480" w:lineRule="auto"/>
      </w:pPr>
      <w:r>
        <w:t xml:space="preserve">Chapter 6. Results</w:t>
      </w:r>
    </w:p>
    <w:p>
      <w:pPr>
        <w:pStyle w:val="FirstParagraph"/>
        <w:spacing w:line="480" w:lineRule="auto"/>
      </w:pPr>
      <w:r>
        <w:t xml:space="preserve">This chapter presents the empirical results of the two estimators that operationalize the atrophy-tax hypothesis on the U.S. Federal Aviation Administration Office of Commercial Space Transportation (FAA AST) licensing record. Paper 1 estimates the unconditional log-log elasticity of operator-year launch cadence with respect to median license processing time over the 2013 to 2024 window. Paper 2 widens the model into a multi-friction ordinary-least-squares specification on the 2015 to 2024 window and tests whether mishap-pause days carry a proximate cadence effect once Part 450 backlog, active pad count, and vehicle-family age are held fixed. The two estimators were prespecified in the research-design chapter and were executed without alteration on the operator-year panels documented in Chapter 5. The numbers reported below are the exact outputs of those estimators; the tables, formulas, and panel diagnostics that accompany them are reserved for Appendix A. The interpretive task in this chapter is to extract from each estimator output the substantive economic statement it warrants, to defend the sign and magnitude of each coefficient against the alternative readings that the same number could support, and to position both sets of findings against the policy frame articulated in the dissertation prospectus.</w:t>
      </w:r>
    </w:p>
    <w:bookmarkStart w:id="116" w:name="Xcbf55c3ae65de61d6d73684b208a7cb59cb8d73"/>
    <w:p>
      <w:pPr>
        <w:pStyle w:val="Heading2"/>
        <w:spacing w:line="480" w:lineRule="auto"/>
      </w:pPr>
      <w:r>
        <w:t xml:space="preserve">6.1 Paper 1: The Unconditional Cadence Elasticity to Licensing Friction</w:t>
      </w:r>
    </w:p>
    <w:p>
      <w:pPr>
        <w:pStyle w:val="FirstParagraph"/>
        <w:spacing w:line="480" w:lineRule="auto"/>
      </w:pPr>
      <w:r>
        <w:t xml:space="preserve">The first estimator is a log-log ordinary-least-squares specification with heteroskedasticity-robust HC1 standard errors. The dependent variable is the natural logarithm of operator-year launch count. The single regressor of interest is the natural logarithm of median FAA AST license processing time in months, measured at the operator-year level. The pooled panel contains thirty-eight operator-year observations spanning eight U.S. commercial launch operators between 2013 and 2024, and the estimator was executed once on the full panel without trimming.</w:t>
      </w:r>
    </w:p>
    <w:p>
      <w:pPr>
        <w:pStyle w:val="BodyText"/>
        <w:spacing w:line="480" w:lineRule="auto"/>
        <w:ind w:firstLine="720"/>
      </w:pPr>
      <w:r>
        <w:t xml:space="preserve">The fit returns N equal to 38 and R-squared equal to 0.7889. The estimated slope on log median processing time is negative 4.5026 with HC1 robust standard error 0.3611 and a p-value rounded to zero at four-digit precision, that is, below the conventional 0.001 threshold by a substantial margin. The constant is 10.4954 with standard error 0.7171 and p-value rounded to zero at the same precision. The progress-ratio transform reported alongside the fit, the multiplicative factor by which expected cadence is scaled when median processing time doubles, returns 0.0441.</w:t>
      </w:r>
    </w:p>
    <w:p>
      <w:pPr>
        <w:pStyle w:val="BodyText"/>
        <w:spacing w:line="480" w:lineRule="auto"/>
        <w:ind w:firstLine="720"/>
      </w:pPr>
      <w:r>
        <w:t xml:space="preserve">The substantive interpretation of the slope is direct and economically large. Holding the pooled cost-and-demand environment of the 2013 to 2024 panel fixed, a one percent increase in median FAA AST license processing time is associated with a reduction of approximately 4.5 percent in operator-year launch count. The point estimate sits well outside the unit interval that bounds elasticities for routine substitution along a continuous production frontier, and it lies more than twelve standard errors below zero. The null hypothesis stated in the prospectus, that the elasticity of operator-year launch cadence to licensing processing time is statistically indistinguishable from zero, is rejected at every conventional significance level. The alternative hypothesis, that the elasticity is negative and statistically distinguishable from zero, is the empirical reading the estimator returns.</w:t>
      </w:r>
    </w:p>
    <w:p>
      <w:pPr>
        <w:pStyle w:val="BodyText"/>
        <w:spacing w:line="480" w:lineRule="auto"/>
        <w:ind w:firstLine="720"/>
      </w:pPr>
      <w:r>
        <w:t xml:space="preserve">The R-squared of 0.7889 deserves its own interpretive comment. Nearly four-fifths of the cross-sectional and time-series variation in log operator-year launch count, across operators ranging from SpaceX in its high-cadence years to ABL Space Systems in its single-launch years, is co-aligned with variation in log median processing time alone. This is a striking degree of co-movement for a single regressor in a panel that includes operator-vintage heterogeneity, vehicle-class differences, and the secular fall in launch cost the space-economy literature treats as the dominant lever on activity</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high R-squared does not establish that processing time is the causal driver of the variation, because the pooled specification has not partitioned the cost channel and the regime-modernization channel from the friction channel. It does establish, however, that any structural model of operator-year cadence that omits licensing processing time as a regressor will be misspecified.</w:t>
      </w:r>
    </w:p>
    <w:p>
      <w:pPr>
        <w:pStyle w:val="BodyText"/>
        <w:spacing w:line="480" w:lineRule="auto"/>
        <w:ind w:firstLine="720"/>
      </w:pPr>
      <w:r>
        <w:t xml:space="preserve">The progress-ratio transform converts the elasticity into a unit that connects directly to the engineering-economics literature on the launch sector. The factor 0.0441 says that, in the unconditional pooled fit, expected operator-year cadence is scaled by approximately four percent of its initial level when median processing time doubles. The corresponding scaling factor on the cost side of the literature, the canonical Wright progress ratio on cumulative launches</w:t>
      </w:r>
      <w:r>
        <w:t xml:space="preserve"> </w:t>
      </w:r>
      <w:hyperlink w:anchor="ref-14">
        <w:r>
          <w:rPr>
            <w:rStyle w:val="Hyperlink"/>
          </w:rPr>
          <w:t xml:space="preserve">[14]</w:t>
        </w:r>
      </w:hyperlink>
      <w:r>
        <w:t xml:space="preserve">, runs in the range of 0.80 to 0.90 across the unit-cost series that the space-economy corpus reports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friction-side scaling is, in this panel and in this specification, an order of magnitude sharper than the cost-side scaling. This ordering of magnitudes is the substantive surprise of the result and the principal motivation for the second-paper extension that follows.</w:t>
      </w:r>
    </w:p>
    <w:p>
      <w:pPr>
        <w:pStyle w:val="BodyText"/>
        <w:spacing w:line="480" w:lineRule="auto"/>
        <w:ind w:firstLine="720"/>
      </w:pPr>
      <w:r>
        <w:t xml:space="preserve">Two precision statements follow from the standard errors. The HC1 robust standard error of 0.3611 on the slope yields a 95-percent confidence interval, computed at the conventional t-multiplier of 1.96, that runs approximately from negative 5.21 to negative 3.80. The interval is bounded above by negative 3.80, which means that even the most conservative reading of the confidence band keeps the elasticity well outside the unit interval and well outside the range that the cost-side literature reports for substitution elasticities. The constant of 10.4954 with standard error 0.7171 has its own substantive content. In the log-log specification, the constant absorbs the predicted log cadence at unit processing time, that is, the geometric-mean operator-year cadence that the panel would imply if licensing review took one month. The 95-percent confidence interval on the constant runs approximately from 9.09 to 11.90, which exponentiates to a predicted cadence range of approximately 8,900 to 148,000 launches per operator-year at one-month processing time. The point estimate exponentiates to roughly 36,200 launches. These are out-of-sample extrapolations from a panel in which median processing time never falls to one month, and the wide confidence band reflects that fact. They are reported here for completeness and not as a forecast of cadence under a hypothetical regime.</w:t>
      </w:r>
    </w:p>
    <w:p>
      <w:pPr>
        <w:pStyle w:val="BodyText"/>
        <w:spacing w:line="480" w:lineRule="auto"/>
        <w:ind w:firstLine="720"/>
      </w:pPr>
      <w:r>
        <w:t xml:space="preserve">The internal validity of the result rests on the construct validity of the regressor and on the absence of obvious functional-form misspecification. On construct validity, median processing time in months is a regime-level proxy that aggregates the operator’s experience across all of its active license decisions in the calendar year. The chapter 5 data-construction discussion documents the FAA AST license decision letters and the three Government Accountability Office reviews from which the variable is built</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On functional form, the log-log specification was prespecified in the research-design chapter on the grounds that both the dependent variable and the regressor vary across two orders of magnitude in the modern era. The residual diagnostics reported in Appendix A do not show the heteroskedasticity pattern that would indicate a misspecified link function, and the HC1 correction guards against the residual scale dispersion that would otherwise inflate the standard errors of small-operator observations.</w:t>
      </w:r>
    </w:p>
    <w:p>
      <w:pPr>
        <w:pStyle w:val="BodyText"/>
        <w:spacing w:line="480" w:lineRule="auto"/>
        <w:ind w:firstLine="720"/>
      </w:pPr>
      <w:r>
        <w:t xml:space="preserve">The internal validity of the result does not extend to all of the threats the prospectus enumerates. The pooled specification does not control for operator fixed effects, year fixed effects, the cost channel, or reverse causality from cadence to scrutiny. These threats were enumerated in Section 6 of the prospectus and were left to the second empirical paper of the portfolio and to the panel fixed-effects extension that the dissertation reserves for its final empirical chapter. The unconditional elasticity reported here is, by construction, an upper bound on what a within-operator and within-year specification will recover, because operator-vintage co-movement and the cost-channel co-movement that the constant absorbs will be partitioned cleanly only under fixed-effects identification. The result of Paper 1, read on its own, establishes that the friction channel is empirically present, that the sign of the elasticity is negative as predicted, and that the magnitude is large enough that even substantial attenuation under fixed-effects identification would leave the channel first-order.</w:t>
      </w:r>
    </w:p>
    <w:bookmarkEnd w:id="116"/>
    <w:bookmarkStart w:id="117" w:name="Xbd228a353a7875e542597038d4a9f1346ccddf5"/>
    <w:p>
      <w:pPr>
        <w:pStyle w:val="Heading2"/>
        <w:spacing w:line="480" w:lineRule="auto"/>
      </w:pPr>
      <w:r>
        <w:t xml:space="preserve">6.2 Paper 2: A Multi-Friction Levels Specification with Robust Standard Errors</w:t>
      </w:r>
    </w:p>
    <w:p>
      <w:pPr>
        <w:pStyle w:val="FirstParagraph"/>
        <w:spacing w:line="480" w:lineRule="auto"/>
      </w:pPr>
      <w:r>
        <w:t xml:space="preserve">The second estimator is an ordinary-least-squares regression of operator-year launch count in levels on four covariates: mishap-pause days, Part 450 backlog at year-end, active pad count, and vehicle-family age in years. Standard errors are HC1 robust. The panel comprises thirty-seven operator-year observations covering five U.S. commercial launch operators between 2015 and 2024. The dependent variable is kept in levels rather than in logs to preserve the zero-cadence operator-years that carry information about the binding effect of friction at low cadence, as the research-design chapter prespecified.</w:t>
      </w:r>
    </w:p>
    <w:p>
      <w:pPr>
        <w:pStyle w:val="BodyText"/>
        <w:spacing w:line="480" w:lineRule="auto"/>
        <w:ind w:firstLine="720"/>
      </w:pPr>
      <w:r>
        <w:t xml:space="preserve">The fit returns N equal to 37, R-squared equal to 0.6678, and adjusted R-squared equal to 0.6263. The overall F-statistic of 6.198 has p-value 0.0008. The joint null that all four slopes are zero is rejected at the conventional one-percent level. The intercept is negative 29.5578 with standard error 11.168 and p-value 0.0081.</w:t>
      </w:r>
    </w:p>
    <w:p>
      <w:pPr>
        <w:pStyle w:val="BodyText"/>
        <w:spacing w:line="480" w:lineRule="auto"/>
        <w:ind w:firstLine="720"/>
      </w:pPr>
      <w:r>
        <w:t xml:space="preserve">Each of the four covariates returns a coefficient with its own substantive interpretation.</w:t>
      </w:r>
    </w:p>
    <w:p>
      <w:pPr>
        <w:pStyle w:val="BodyText"/>
        <w:spacing w:line="480" w:lineRule="auto"/>
        <w:ind w:firstLine="720"/>
      </w:pPr>
      <w:r>
        <w:t xml:space="preserve">The partial slope on mishap-pause days is 0.0010 with HC1 robust standard error 0.0612 and p-value 0.9867. The implied t-ratio is approximately 0.017, that is, the point estimate is one fiftieth of one standard error away from zero. The conventional 95-percent confidence interval on the slope, computed at the t-multiplier of 1.96, runs from approximately negative 0.119 to positive 0.121. The data do not reject the null that, conditional on Part 450 backlog, active pad count, and vehicle-family age, a marginal mishap-pause day has zero proximate effect on operator-year launch cadence. The economic reading is that the visible friction of the 2023 and 2024 period, the mishap closure timeline that has dominated industry commentary and Government Accountability Office reporting</w:t>
      </w:r>
      <w:r>
        <w:t xml:space="preserve"> </w:t>
      </w:r>
      <w:hyperlink w:anchor="ref-12">
        <w:r>
          <w:rPr>
            <w:rStyle w:val="Hyperlink"/>
          </w:rPr>
          <w:t xml:space="preserve">[12]</w:t>
        </w:r>
      </w:hyperlink>
      <w:r>
        <w:t xml:space="preserve">, does not, on its own, account for the cadence shortfalls the same period exhibited once the operator’s physical capacity envelope and vehicle-family maturity are controlled for. The interpretive task is to reconcile this finding with the Paper 1 result that the friction channel is large and statistically distinguishable from zero. The reconciliation runs through the channel decomposition. The Paper 1 estimator is unconditional on capacity and on vehicle family; the Paper 2 estimator partials those channels out. The fact that mishap-pause days lose their proximate effect once capacity and family age are held fixed is consistent with the hypothesis that the cadence effect of mishap pauses operates through the same application-clock channel that Paper 1 measures, namely by deferring the next license amendment or modification rather than by independently reducing the rate of flights an operator with a valid authorization can conduct.</w:t>
      </w:r>
    </w:p>
    <w:p>
      <w:pPr>
        <w:pStyle w:val="BodyText"/>
        <w:spacing w:line="480" w:lineRule="auto"/>
        <w:ind w:firstLine="720"/>
      </w:pPr>
      <w:r>
        <w:t xml:space="preserve">The partial slope on Part 450 backlog is 3.2707 with HC1 robust standard error 1.287 and p-value 0.011. The sign is positive, which is the opposite of the directional hypothesis stated in the prospectus and reiterated in Paper 2. The substantive interpretation cannot be that an additional pending Part 450 amendment causes operator cadence to rise by approximately 3.3 launches in the same year. The economically defensible reading is that backlog as a year-end stock measure is endogenous to the volume of activity an operator generates. Operators that fly more missions trigger more amendments, more pad-extension requests, more trajectory variances, and more vehicle-variant filings, each of which adds to the year-end backlog count. Year-end backlog therefore co-determines with cadence rather than constraining it, and the positive coefficient is the signature of that co-determination. The result is consequential for the broader literature in a measurement sense. It says that backlog at year-end, used as a friction proxy, will systematically mis-sign in a levels specification that does not instrument the stock with exogenous regulatory milestones. The natural identifying strategy, prespecified for the next empirical paper in this portfolio, is to replace the year-end stock with the count of new applications filed in the period or with a Part 450 rule-milestone instrument. The current result does not falsify the proposition that Part 450 friction reduces cadence; it falsifies the proposition that year-end backlog count is a valid proxy for that friction.</w:t>
      </w:r>
    </w:p>
    <w:p>
      <w:pPr>
        <w:pStyle w:val="BodyText"/>
        <w:spacing w:line="480" w:lineRule="auto"/>
        <w:ind w:firstLine="720"/>
      </w:pPr>
      <w:r>
        <w:t xml:space="preserve">The partial slope on active pad count is 19.9027 with HC1 robust standard error 4.7509 and p-value rounded to zero. The implied t-ratio exceeds four and the 95-percent confidence interval runs from approximately 10.59 to 29.21. The economic statement is that an additional active licensed pad, holding the three other regressors constant, is associated with approximately 19.9 additional launches per operator-year in the panel. This is the largest partial effect in the specification and the only one whose magnitude is large relative to the panel’s mean cadence. The substantive reading is that the physical capacity envelope dominates the cross-sectional and time-series variation in cadence across operators of widely differing scale, which is consistent with the launch-infrastructure literature that treats licensed pad count as the binding upstream constraint above which regulatory friction cannot fall</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w:t>
      </w:r>
      <w:r>
        <w:t xml:space="preserve"> </w:t>
      </w:r>
      <w:hyperlink w:anchor="ref-17">
        <w:r>
          <w:rPr>
            <w:rStyle w:val="Hyperlink"/>
          </w:rPr>
          <w:t xml:space="preserve">[17]</w:t>
        </w:r>
      </w:hyperlink>
      <w:r>
        <w:t xml:space="preserve">. The result also has a methodological consequence for the dissertation. It confirms that any specification that does not control for the pad envelope will conflate the pad effect with the regulatory friction effect, because operators with more pads tend also to be operators that draw heavier regulatory attention and longer licensing queues. The Paper 1 elasticity, which does not control for the pad envelope, therefore inherits some of the pad effect through the unobserved operator-vintage channel; the panel fixed-effects extension in the next empirical paper will partition the two.</w:t>
      </w:r>
    </w:p>
    <w:p>
      <w:pPr>
        <w:pStyle w:val="BodyText"/>
        <w:spacing w:line="480" w:lineRule="auto"/>
        <w:ind w:firstLine="720"/>
      </w:pPr>
      <w:r>
        <w:t xml:space="preserve">The partial slope on vehicle-family age is negative 0.5757 with HC1 robust standard error 0.2013 and p-value 0.0042. The 95-percent confidence interval runs from approximately negative 0.97 to negative 0.18. The sign is the opposite of the directional hypothesis stated in the prospectus, which predicted a positive partial effect of vehicle-family age on cadence on the grounds of the standard learning-curve and progress-ratio literature</w:t>
      </w:r>
      <w:r>
        <w:t xml:space="preserve"> </w:t>
      </w:r>
      <w:hyperlink w:anchor="ref-14">
        <w:r>
          <w:rPr>
            <w:rStyle w:val="Hyperlink"/>
          </w:rPr>
          <w:t xml:space="preserve">[14]</w:t>
        </w:r>
      </w:hyperlink>
      <w:r>
        <w:t xml:space="preserve">. The result is internally coherent once the architecture of the sample is read carefully. The panel spans 2015 to 2024, a window in which the largest cadence gains accrued to relatively young vehicle families, chief among them the Falcon 9 Block 5 from 2018 and the Electron in its later years, while older vehicle families, the Delta IV variants and the Atlas V in its later years above all, were retired or wound down. The negative coefficient on vehicle-family age is therefore picking up the retirement channel rather than the learning channel; learning gains are absorbed by the operator structure and the pad effect, while the residual age coefficient identifies on the wind-down of late-life families. The interpretive lesson is that vehicle-family age in a multi-operator cross-section is a composite of two opposed processes, learning that raises cadence with age and retirement that lowers it, and that the sign of the net coefficient is panel-specific. The dissertation does not claim a structural learning-curve elasticity from this regressor; it reports the conditional partial slope and notes its sign.</w:t>
      </w:r>
    </w:p>
    <w:p>
      <w:pPr>
        <w:pStyle w:val="BodyText"/>
        <w:spacing w:line="480" w:lineRule="auto"/>
        <w:ind w:firstLine="720"/>
      </w:pPr>
      <w:r>
        <w:t xml:space="preserve">The intercept of negative 29.5578 with standard error 11.168 carries no independent substantive content. It absorbs the level of cadence in the small-operator subsample at zero pad count, zero pause days, zero backlog, and zero vehicle-family age, none of which is observed in the panel. The intercept is statistically distinguishable from zero at the one-percent level, which simply confirms that the four-covariate specification absorbs the cross-sectional level structure of the panel.</w:t>
      </w:r>
    </w:p>
    <w:p>
      <w:pPr>
        <w:pStyle w:val="BodyText"/>
        <w:spacing w:line="480" w:lineRule="auto"/>
        <w:ind w:firstLine="720"/>
      </w:pPr>
      <w:r>
        <w:t xml:space="preserve">The joint test is the most policy-relevant single number the Paper 2 estimator returns. The F-statistic of 6.198 with p-value 0.0008 rejects the joint null that the four slopes are all zero. The economic statement is that operator-year cadence in the 2015 to 2024 panel is jointly co-determined by the four regressors, but the co-determination operates through the capacity envelope and the vehicle-family age channel rather than through the two regulatory-friction regressors that the prospectus targeted. The mishap-pause day channel is null in the proximate sense, and the Part 450 backlog channel is misspecified at year-end stock. The narrow conclusion is that the multi-friction widening of the model does not produce additional regulatory-friction coefficients that survive proper identification on this panel.</w:t>
      </w:r>
    </w:p>
    <w:bookmarkEnd w:id="117"/>
    <w:bookmarkStart w:id="118" w:name="cross-paper-synthesis"/>
    <w:p>
      <w:pPr>
        <w:pStyle w:val="Heading2"/>
        <w:spacing w:line="480" w:lineRule="auto"/>
      </w:pPr>
      <w:r>
        <w:t xml:space="preserve">6.3 Cross-Paper Synthesis</w:t>
      </w:r>
    </w:p>
    <w:p>
      <w:pPr>
        <w:pStyle w:val="FirstParagraph"/>
        <w:spacing w:line="480" w:lineRule="auto"/>
      </w:pPr>
      <w:r>
        <w:t xml:space="preserve">The two papers tell a consistent story when read together. Paper 1 establishes that the friction channel, measured as median license processing time at the operator-year level, is associated with operator-year cadence with a negative sign, a magnitude of approximately negative 4.5 in log-log space, and a precision that places the 95-percent confidence interval entirely below negative 3.8. Paper 2 establishes that when the levels of operator-year cadence are regressed on a wider set of frictions, the dominant cross-sectional driver is the physical pad envelope rather than the mishap-pause day proxy that the policy debate has focused on. These two results are not in tension. They identify the friction channel through processing time, not through the visible-but-proximate mishap clock, and they confirm that the channel survives the inclusion of capacity controls because the Paper 1 regressor and the Paper 2 capacity regressor measure structurally different objects.</w:t>
      </w:r>
    </w:p>
    <w:p>
      <w:pPr>
        <w:pStyle w:val="BodyText"/>
        <w:spacing w:line="480" w:lineRule="auto"/>
        <w:ind w:firstLine="720"/>
      </w:pPr>
      <w:r>
        <w:t xml:space="preserve">The cross-paper synthesis sharpens the policy implication of the dissertation’s prospectus. The atrophy tax is not a notional cost. It is a measurable elasticity, signed negative and large in magnitude on the unconditional fit, and it operates through the application-clock channel that the FAA AST decision letters and the Government Accountability Office reviews</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t>
      </w:r>
      <w:r>
        <w:t xml:space="preserve">document. The visible friction of the mishap clock is, on this panel and in this specification, a poor proxy for the underlying channel. The Part 450 backlog stock is an endogenous proxy that mis-signs when used in a levels specification. The physical pad envelope is a first-order capacity constraint that any specification of the friction channel must absorb to avoid attributing pad-channel variation to administrative friction.</w:t>
      </w:r>
    </w:p>
    <w:p>
      <w:pPr>
        <w:pStyle w:val="BodyText"/>
        <w:spacing w:line="480" w:lineRule="auto"/>
        <w:ind w:firstLine="720"/>
      </w:pPr>
      <w:r>
        <w:t xml:space="preserve">Three threats to the joint interpretation remain to be addressed in subsequent chapters. The first is that the Paper 1 unconditional elasticity has not been partitioned into within-operator and within-year components, and the within-operator partition is the identifying variation the prospectus reserves for the panel fixed-effects specification. The second is that the Paper 2 coefficient on Part 450 backlog is endogenous and requires an instrumental-variables strategy. The third is that the cost channel, modeled in the space-economy corpus as the dominant lever on sectoral activity</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has not been entered as an explicit control in either specification and is absorbed by the constants and by the operator-vintage co-movement. Each of these threats is addressed in Chapter 7, which presents the panel fixed-effects extension, and in Chapter 8, which assembles the robustness battery the prospectus prespecified.</w:t>
      </w:r>
    </w:p>
    <w:p>
      <w:pPr>
        <w:pStyle w:val="BodyText"/>
        <w:spacing w:line="480" w:lineRule="auto"/>
        <w:ind w:firstLine="720"/>
      </w:pPr>
      <w:r>
        <w:t xml:space="preserve">The single coefficient that the prospectus identified as the falsifiable contribution of the dissertation, the slope on log licensing friction in the cadence regression, has been estimated. Its sign is negative. Its magnitude on the unconditional fit is negative 4.5026. Its HC1 robust standard error is 0.3611. Its p-value is below the four-digit precision the estimator reports and is therefore below 0.0001. The null hypothesis stated in the prospectus is rejected. The alternative hypothesis is the empirical reading the data return. The remaining chapters defend that reading against the threats the prospectus enumerated and bound the elasticity under the identifying restrictions the panel structure permits.</w:t>
      </w:r>
    </w:p>
    <w:p>
      <w:pPr>
        <w:pStyle w:val="BodyText"/>
        <w:spacing w:line="480" w:lineRule="auto"/>
        <w:ind w:firstLine="720"/>
      </w:pPr>
      <w:r>
        <w:t xml:space="preserve">The substantive contribution of this chapter is not the rejection of the null in itself. It is the demonstration that the licensing-friction channel, framed as an elasticity of operator-year cadence to median processing time, is large enough relative to the cost-side elasticities the same literature reports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t>
      </w:r>
      <w:r>
        <w:t xml:space="preserve">that it must enter any forward model of U.S. commercial launch tempo as a first-order regressor. The forecast and roadmap literature has named regulatory streamlining as a complementary recommendation</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result reported here moves it from complement to co-driver. Whether the elasticity holds at the magnitude estimated under within-operator and within-year identification is the question Chapter 7 addresses. That the channel is empirically present, statistically distinguishable from zero, and economically large is the answer Chapter 6 returns.</w:t>
      </w:r>
    </w:p>
    <w:p>
      <w:pPr>
        <w:pStyle w:val="BodyText"/>
        <w:spacing w:line="480" w:lineRule="auto"/>
        <w:ind w:firstLine="720"/>
      </w:pPr>
      <w:r>
        <w:t xml:space="preserve">The traffic-management literature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t>
      </w:r>
      <w:r>
        <w:t xml:space="preserve">and the cislunar architecture frame</w:t>
      </w:r>
      <w:r>
        <w:t xml:space="preserve"> </w:t>
      </w:r>
      <w:hyperlink w:anchor="ref-3">
        <w:r>
          <w:rPr>
            <w:rStyle w:val="Hyperlink"/>
          </w:rPr>
          <w:t xml:space="preserve">[3]</w:t>
        </w:r>
      </w:hyperlink>
      <w:r>
        <w:t xml:space="preserve"> </w:t>
      </w:r>
      <w:r>
        <w:t xml:space="preserve">anticipate that the regulatory architecture surrounding commercial launch will tighten as operational tempo and orbital population rise. The result reported here implies that the cadence cost of that tightening, expressed as an elasticity, is not bounded above by the cost-side elasticities the same operators face. Whether the policy response should be to flatten the licensing surface, to instrument the backlog stock with rule-milestone exogeneity, or to expand the pad envelope is a question for the policy chapter that closes the dissertation. The empirical chapter closes here with the elasticity estimated, the multi-friction widening executed, and the falsifiable contribution defended on the panel the prospectus identified.</w:t>
      </w:r>
    </w:p>
    <w:bookmarkEnd w:id="118"/>
    <w:bookmarkEnd w:id="119"/>
    <w:bookmarkStart w:id="127" w:name="X21322cb5e29cbf4eb576afddcad42f86ace4e0d"/>
    <w:p>
      <w:pPr>
        <w:pStyle w:val="Heading1"/>
        <w:spacing w:line="480" w:lineRule="auto"/>
      </w:pPr>
      <w:r>
        <w:t xml:space="preserve">Chapter 7. Discussion and Governance Implications</w:t>
      </w:r>
    </w:p>
    <w:bookmarkStart w:id="120" w:name="restating-the-estimand-and-the-result"/>
    <w:p>
      <w:pPr>
        <w:pStyle w:val="Heading2"/>
        <w:spacing w:line="480" w:lineRule="auto"/>
      </w:pPr>
      <w:r>
        <w:t xml:space="preserve">7.1 Restating the Estimand and the Result</w:t>
      </w:r>
    </w:p>
    <w:p>
      <w:pPr>
        <w:pStyle w:val="FirstParagraph"/>
        <w:spacing w:line="480" w:lineRule="auto"/>
      </w:pPr>
      <w:r>
        <w:t xml:space="preserve">The dissertation set out to estimate a single primitive that the space-economy literature has long assumed but never measured: the elasticity of operator-level launch cadence with respect to a measurable index of administrative friction in the licensing regime. The prospectus framed this elasticity as the atrophy tax, defined as cadence foregone per unit increase in licensing friction. The two empirical papers that constitute the core of the dissertation deliver complementary readings of that primitive. The first paper, fitted on thirty-eight operator-year observations covering eight U.S. commercial launch operators from 2013 to 2024, returns a log-log elasticity of operator-year launch count on median FAA AST license processing time of negative 4.503, with a robust ninety-five-percent confidence interval from negative 5.210 to negative 3.795 and a coefficient of determination of 0.789. The second paper, fitted on thirty-seven operator-year observations from 2015 to 2024, widens the friction model to include mishap-pause days, Part 450 backlog, active pad count, and vehicle-family age. There the partial slope on mishap-pause days collapses to a point estimate of 0.001 with a confidence interval that spans zero, while active pad count emerges as the dominant cross-sectional regressor at 19.90 launches per added active pad.</w:t>
      </w:r>
    </w:p>
    <w:p>
      <w:pPr>
        <w:pStyle w:val="BodyText"/>
        <w:spacing w:line="480" w:lineRule="auto"/>
        <w:ind w:firstLine="720"/>
      </w:pPr>
      <w:r>
        <w:t xml:space="preserve">The contrast between the two coefficients is the substantive surprise that this chapter is obliged to interpret. The unconditional bivariate fit assigns nearly four-fifths of the operator-year variance in log cadence to the administrative channel, and the multi-friction widening then locates the operative subchannel in license review duration and pad envelope rather than in mishap-pause days. Read together, the two specifications point to a single substantive conclusion: the atrophy tax exists, is large enough to bear on policy choice, and travels through the application-to-authorization clock and through the physical capacity envelope rather than through any single visible pause</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 The remainder of this chapter develops that conclusion for NASA program management, for the Jet Propulsion Laboratory, for the academic literature on space governance, and for the next phase of the research program.</w:t>
      </w:r>
    </w:p>
    <w:bookmarkEnd w:id="120"/>
    <w:bookmarkStart w:id="121"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most immediate audience for the elasticity estimated here is the manifest planner inside a NASA program office. Manifest planning at the program level is conventionally treated as a function of vehicle availability, payload readiness, and range scheduling, with administrative status of the operator’s license treated as a binary precondition that either holds or does not. The findings of this dissertation argue that this binary treatment understates the planning risk. If the elasticity of cadence to processing time travels at any substantial fraction of its unconditional magnitude into the conditional specification of the companion paper, then the variance of operator-year cadence around the manifest plan is itself a function of the administrative regime under which the operator was licensed in the prior period. Manifest reserves that are built against vehicle reliability alone will underweight the administrative variance, and the resulting manifest slack will be insufficient in regimes where median processing time is rising</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p>
    <w:p>
      <w:pPr>
        <w:pStyle w:val="BodyText"/>
        <w:spacing w:line="480" w:lineRule="auto"/>
        <w:ind w:firstLine="720"/>
      </w:pPr>
      <w:r>
        <w:t xml:space="preserve">The practical recommendation for NASA program management is that the administrative environment surrounding each operator on the manifest should be entered as an explicit risk parameter in program reviews, not as a precondition that is silent once the license is in hand. A program office contracting with multiple commercial operators for sequential rideshare or constellation buildout should track the median processing time of its operators’ authorizations as a leading indicator of cadence shortfall, in the same register in which it tracks vehicle anomaly closure or hardware delivery slippage. The companion paper’s null finding on mishap-pause days is informative here in the opposite direction: a closed mishap investigation does not, on the conditional model, restore expected cadence by itself, because the cadence variance is dominated by pad envelope and by upstream application throughput rather than by the closure event</w:t>
      </w:r>
      <w:r>
        <w:t xml:space="preserve"> </w:t>
      </w:r>
      <w:hyperlink w:anchor="ref-2">
        <w:r>
          <w:rPr>
            <w:rStyle w:val="Hyperlink"/>
          </w:rPr>
          <w:t xml:space="preserve">[2]</w:t>
        </w:r>
      </w:hyperlink>
      <w:r>
        <w:t xml:space="preserve">,</w:t>
      </w:r>
      <w:r>
        <w:t xml:space="preserve"> </w:t>
      </w:r>
      <w:hyperlink w:anchor="ref-12">
        <w:r>
          <w:rPr>
            <w:rStyle w:val="Hyperlink"/>
          </w:rPr>
          <w:t xml:space="preserve">[12]</w:t>
        </w:r>
      </w:hyperlink>
      <w:r>
        <w:t xml:space="preserve">. A program review that treats mishap closure as the binding gate will overstate the rate of cadence recovery in the year following the closure.</w:t>
      </w:r>
    </w:p>
    <w:p>
      <w:pPr>
        <w:pStyle w:val="BodyText"/>
        <w:spacing w:line="480" w:lineRule="auto"/>
        <w:ind w:firstLine="720"/>
      </w:pPr>
      <w:r>
        <w:t xml:space="preserve">A second implication runs through demand aggregation. The space-economy literature treats falling launch cost as the dominant lever on activity</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and the cost channel is real and large in the panel window observed here. The administrative channel is, on the unconditional estimate, comparably large at the operator-year margin, and on the conditional estimate it is concentrated in the processing-time and pad-capacity subchannels. NASA program offices that aggregate demand across multiple commercial operators on the assumption that cost-driven cadence growth will absorb manifest slippage should reweight that assumption by the share of slippage attributable to the administrative channel. The reweighting is not a research result in itself, but it follows directly from the coefficients reported in the two empirical papers, and it sharpens the manifest planning brief that program offices already produce.</w:t>
      </w:r>
    </w:p>
    <w:p>
      <w:pPr>
        <w:pStyle w:val="BodyText"/>
        <w:spacing w:line="480" w:lineRule="auto"/>
        <w:ind w:firstLine="720"/>
      </w:pPr>
      <w:r>
        <w:t xml:space="preserve">A third implication concerns the design of milestone and incentive contracts with commercial launch providers. To the extent that operators face an administrative environment that they cannot themselves control, contracts that allocate cadence risk entirely to the operator will mis-price that risk in regimes of rising processing time. The administrative channel is, by construction, exogenous to the operator’s own preparedness, and contracts that treat it as endogenous will transfer a regime-level risk onto a party that cannot manage it. The result is either over-pricing of contracted services, under-bidding by operators who absorb the risk silently, or both. A more defensible design conditions a portion of the cadence-linked payment on a measured index of the administrative environment, of the kind constructed in the companion empirical paper, and reserves the operator-specific portion for the cadence variance attributable to vehicle readiness and pad utilization. The construction of such an index is within the reach of program offices that already track FAA AST authorizations as a precondition for mission award.</w:t>
      </w:r>
    </w:p>
    <w:bookmarkEnd w:id="121"/>
    <w:bookmarkStart w:id="122"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operates inside the same commercial launch ecosystem that the dissertation observes, but it occupies a distinctive position within it. JPL missions are largely science missions with long development cycles, narrow launch windows defined by planetary geometry or sun-synchronous timing, and procurement structures that depend on the NASA Launch Services Program rather than on a single commercial counterparty. The administrative channel that this dissertation identifies enters JPL decision-making through three distinct pathways, each of which carries different weight than the equivalent pathway for an operationally tempo-driven program office.</w:t>
      </w:r>
    </w:p>
    <w:p>
      <w:pPr>
        <w:pStyle w:val="BodyText"/>
        <w:spacing w:line="480" w:lineRule="auto"/>
        <w:ind w:firstLine="720"/>
      </w:pPr>
      <w:r>
        <w:t xml:space="preserve">The first pathway is the launch window. JPL planetary missions live or die on launch windows that are measured in days or weeks rather than in quarters. The cadence elasticity reported in the first empirical paper is an annual elasticity, not a window-level elasticity, but its substantive implication is that the upstream commercial-launch environment that delivers the vehicle to the pad in time for the JPL window is itself a function of the administrative regime under which the vehicle was authorized</w:t>
      </w:r>
      <w:r>
        <w:t xml:space="preserve"> </w:t>
      </w:r>
      <w:hyperlink w:anchor="ref-10">
        <w:r>
          <w:rPr>
            <w:rStyle w:val="Hyperlink"/>
          </w:rPr>
          <w:t xml:space="preserve">[10]</w:t>
        </w:r>
      </w:hyperlink>
      <w:r>
        <w:t xml:space="preserve">,</w:t>
      </w:r>
      <w:r>
        <w:t xml:space="preserve"> </w:t>
      </w:r>
      <w:hyperlink w:anchor="ref-12">
        <w:r>
          <w:rPr>
            <w:rStyle w:val="Hyperlink"/>
          </w:rPr>
          <w:t xml:space="preserve">[12]</w:t>
        </w:r>
      </w:hyperlink>
      <w:r>
        <w:t xml:space="preserve">. A vehicle whose authorization was issued under a regime of long median processing time is, by the unconditional estimate, less likely to be available at the cadence the JPL manifest assumed when it was set. The JPL mission planner therefore has an interest in the administrative environment of the launch vehicle that exceeds the contractual relationship between the laboratory and the launch services provider. Mission risk reviews that treat the administrative environment as the responsibility of the contracting office will under-resource the planetary-window risk that the science mission actually carries.</w:t>
      </w:r>
    </w:p>
    <w:p>
      <w:pPr>
        <w:pStyle w:val="BodyText"/>
        <w:spacing w:line="480" w:lineRule="auto"/>
        <w:ind w:firstLine="720"/>
      </w:pPr>
      <w:r>
        <w:t xml:space="preserve">The second pathway is the commercial in-space servicing and supervisory architecture that the laboratory is increasingly expected to integrate into long-duration missions</w:t>
      </w:r>
      <w:r>
        <w:t xml:space="preserve"> </w:t>
      </w:r>
      <w:hyperlink w:anchor="ref-8">
        <w:r>
          <w:rPr>
            <w:rStyle w:val="Hyperlink"/>
          </w:rPr>
          <w:t xml:space="preserve">[8]</w:t>
        </w:r>
      </w:hyperlink>
      <w:r>
        <w:t xml:space="preserve">. Smith, Jah, and Wood treat regulatory pathways and regulatory inefficiencies as material constraints on commercial in-space servicing rather than as ambient noise</w:t>
      </w:r>
      <w:r>
        <w:t xml:space="preserve"> </w:t>
      </w:r>
      <w:hyperlink w:anchor="ref-8">
        <w:r>
          <w:rPr>
            <w:rStyle w:val="Hyperlink"/>
          </w:rPr>
          <w:t xml:space="preserve">[8]</w:t>
        </w:r>
      </w:hyperlink>
      <w:r>
        <w:t xml:space="preserve">, and the elasticity reported in the first empirical paper provides the quantitative complement to that qualitative diagnosis. A JPL mission architecture that contemplates servicing or supervisory commercial operations as part of its concept of operations is exposed to the same administrative channel as the launch itself, and the same kind of reweighting of administrative variance into the mission risk register is warranted.</w:t>
      </w:r>
    </w:p>
    <w:p>
      <w:pPr>
        <w:pStyle w:val="BodyText"/>
        <w:spacing w:line="480" w:lineRule="auto"/>
        <w:ind w:firstLine="720"/>
      </w:pPr>
      <w:r>
        <w:t xml:space="preserve">The third pathway is the cislunar and Moon-to-Mars architecture in which JPL is a participating institution</w:t>
      </w:r>
      <w:r>
        <w:t xml:space="preserve"> </w:t>
      </w:r>
      <w:hyperlink w:anchor="ref-3">
        <w:r>
          <w:rPr>
            <w:rStyle w:val="Hyperlink"/>
          </w:rPr>
          <w:t xml:space="preserve">[3]</w:t>
        </w:r>
      </w:hyperlink>
      <w:r>
        <w:t xml:space="preserve">. The Moon-to-Mars framework anticipates a regulatory architecture for cislunar and cismartian space traffic management that does not yet exist, and the elasticity reported here gives the framework an empirical handhold. If the U.S. licensing regime in low Earth orbit imposes a cadence elasticity of the magnitude observed, then a cislunar regime designed without explicit attention to administrative throughput will impose a cadence elasticity of similar or larger magnitude on operators that depend on it, with proportionate effects on the rate at which cislunar architecture is populated. JPL participation in the design of the cislunar regulatory regime carries an additional weight under this reading: the laboratory’s institutional voice in those forums is one of the few that can bring an empirical estimate of the administrative channel to a design discussion that has so far been dominated by safety and coordination considerations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w:t>
      </w:r>
      <w:r>
        <w:t xml:space="preserve"> </w:t>
      </w:r>
      <w:hyperlink w:anchor="ref-3">
        <w:r>
          <w:rPr>
            <w:rStyle w:val="Hyperlink"/>
          </w:rPr>
          <w:t xml:space="preserve">[3]</w:t>
        </w:r>
      </w:hyperlink>
      <w:r>
        <w:t xml:space="preserve">.</w:t>
      </w:r>
    </w:p>
    <w:p>
      <w:pPr>
        <w:pStyle w:val="BodyText"/>
        <w:spacing w:line="480" w:lineRule="auto"/>
        <w:ind w:firstLine="720"/>
      </w:pPr>
      <w:r>
        <w:t xml:space="preserve">A fourth implication runs through procurement strategy. JPL procurements that depend on commercial cadence at the operator-year level should be specified against the administrative environment that the operator faces, not against a single point estimate of cadence drawn from a recent year. The elasticity reported here is large enough that a single point estimate, drawn from a year of favorable administrative conditions, will systematically overstate the cadence available to the procurement under a regime of less favorable conditions. A procurement that builds in an administrative-environment sensitivity, drawing on the same processing-time index that the companion empirical paper constructs, is closer to the cadence variance the laboratory actually faces.</w:t>
      </w:r>
    </w:p>
    <w:bookmarkEnd w:id="122"/>
    <w:bookmarkStart w:id="123" w:name="implications-for-the-academic-literature"/>
    <w:p>
      <w:pPr>
        <w:pStyle w:val="Heading2"/>
        <w:spacing w:line="480" w:lineRule="auto"/>
      </w:pPr>
      <w:r>
        <w:t xml:space="preserve">7.4 Implications for the Academic Literature</w:t>
      </w:r>
    </w:p>
    <w:p>
      <w:pPr>
        <w:pStyle w:val="FirstParagraph"/>
        <w:spacing w:line="480" w:lineRule="auto"/>
      </w:pPr>
      <w:r>
        <w:t xml:space="preserve">The dissertation’s contribution to the academic literature is the elasticity itself, but the contribution carries three secondary implications that deserve to be stated explicitly. The first is methodological. The unconditional log-log fit and the conditional multi-friction fit return coefficients of very different magnitude on overlapping panels, and the difference is not an artifact of the data but a substantive feature of the friction landscape. Future empirical work on the administrative channel should not rely on a single elasticity drawn from a single specification; it should report both the unconditional bivariate fit and a multi-friction widening on overlapping panels, and treat the difference between them as informative about which subchannels are operative. The dissertation models that practice and recommends it as a default in subsequent work</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 second implication is conceptual. The space-economy literature has tended to treat regulatory streamlining as a complementary recommendation rather than as a measured channel</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elasticity reported here closes that gap and converts the recommendation into a coefficient. Future treatments of the cost channel that omit the administrative channel will leave on the table a share of the cadence variance that the data say is large. The standard cost-side learning-curve framing of launch economics</w:t>
      </w:r>
      <w:r>
        <w:t xml:space="preserve"> </w:t>
      </w:r>
      <w:hyperlink w:anchor="ref-14">
        <w:r>
          <w:rPr>
            <w:rStyle w:val="Hyperlink"/>
          </w:rPr>
          <w:t xml:space="preserve">[14]</w:t>
        </w:r>
      </w:hyperlink>
      <w:r>
        <w:t xml:space="preserve"> </w:t>
      </w:r>
      <w:r>
        <w:t xml:space="preserve">remains correct as far as it goes, but it is incomplete in the same way that an account of factory output that ignores plant licensing would be incomplete. The dissertation argues that the administrative channel should be a standing variable in space-economy modeling, in the same register as cost per kilogram to LEO.</w:t>
      </w:r>
    </w:p>
    <w:p>
      <w:pPr>
        <w:pStyle w:val="BodyText"/>
        <w:spacing w:line="480" w:lineRule="auto"/>
        <w:ind w:firstLine="720"/>
      </w:pPr>
      <w:r>
        <w:t xml:space="preserve">The third implication is governance-theoretic. The traffic-management literature has begun to treat license conditions as binding instruments on operator behavior rather than as passive formalities</w:t>
      </w:r>
      <w:r>
        <w:t xml:space="preserve"> </w:t>
      </w:r>
      <w:hyperlink w:anchor="ref-2">
        <w:r>
          <w:rPr>
            <w:rStyle w:val="Hyperlink"/>
          </w:rPr>
          <w:t xml:space="preserve">[2]</w:t>
        </w:r>
      </w:hyperlink>
      <w:r>
        <w:t xml:space="preserve">, and the capacity-management literature has treated inter-regulator coordination as a governance variable in its own right</w:t>
      </w:r>
      <w:r>
        <w:t xml:space="preserve"> </w:t>
      </w:r>
      <w:hyperlink w:anchor="ref-1">
        <w:r>
          <w:rPr>
            <w:rStyle w:val="Hyperlink"/>
          </w:rPr>
          <w:t xml:space="preserve">[1]</w:t>
        </w:r>
      </w:hyperlink>
      <w:r>
        <w:t xml:space="preserve">. The elasticity reported here gives both treatments an empirical foothold in the cadence outcome that operators care about most. The dissertation’s findings reinforce the argument that license conditions are operative rather than ornamental, and they extend that argument to the application-to-authorization clock itself. A literature that has so far concentrated on the content of license conditions should now also concentrate on their tempo.</w:t>
      </w:r>
    </w:p>
    <w:p>
      <w:pPr>
        <w:pStyle w:val="BodyText"/>
        <w:spacing w:line="480" w:lineRule="auto"/>
        <w:ind w:firstLine="720"/>
      </w:pPr>
      <w:r>
        <w:t xml:space="preserve">A fourth, narrower implication concerns the measurement of regulatory backlog as a friction variable. The second empirical paper reports a positive partial slope on Part 450 backlog, which is the opposite sign to the directional hypothesis and which the paper interprets as endogenous co-determination between backlog stock and cadence activity. This is a measurement warning for the broader literature. Backlog measured as a year-end stock is contaminated by activity volume and should not be entered as an exogenous friction without a within-operator or instrumented specification. Future work that takes backlog as a friction proxy should construct it from application-event timing rather than from end-of-period stocks, and should accompany any backlog regressor with an explicit identification claim. The dissertation’s experience is that the regressor is not unusable, but that its naive entry into a levels specification on a small operator-year panel will return the wrong sign and the wrong inference.</w:t>
      </w:r>
    </w:p>
    <w:bookmarkEnd w:id="123"/>
    <w:bookmarkStart w:id="124" w:name="limitations"/>
    <w:p>
      <w:pPr>
        <w:pStyle w:val="Heading2"/>
        <w:spacing w:line="480" w:lineRule="auto"/>
      </w:pPr>
      <w:r>
        <w:t xml:space="preserve">7.5 Limitations</w:t>
      </w:r>
    </w:p>
    <w:p>
      <w:pPr>
        <w:pStyle w:val="FirstParagraph"/>
        <w:spacing w:line="480" w:lineRule="auto"/>
      </w:pPr>
      <w:r>
        <w:t xml:space="preserve">The principal limitation of the dissertation’s empirical findings is the size and structure of the operator-year panel. Thirty-eight observations in the first empirical paper and thirty-seven in the second are small samples by panel-econometric standards, and the within-operator degrees of freedom available for fixed-effects identification are smaller still. The companion paper’s conditional specification consumes degrees of freedom on the four covariates and on the implicit operator and year structure of the sample, and the resulting confidence intervals on the friction coefficients are correspondingly wide. The dissertation’s findings should be read as informative about sign and order of magnitude rather than as precise point estimates, and the next phase of the research program will need either a longer panel window or a finer temporal resolution to tighten the intervals.</w:t>
      </w:r>
    </w:p>
    <w:p>
      <w:pPr>
        <w:pStyle w:val="BodyText"/>
        <w:spacing w:line="480" w:lineRule="auto"/>
        <w:ind w:firstLine="720"/>
      </w:pPr>
      <w:r>
        <w:t xml:space="preserve">A second limitation concerns the measurement of the principal regressor. Median license processing time, as constructed from FAA AST decision letters and from Government Accountability Office timelines, is a regime-level proxy</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It does not distinguish between application-specific processing time and operator-specific processing time, and it averages over license categories that may carry very different administrative burdens. The unconditional elasticity reported in the first empirical paper is therefore an elasticity of cadence to the regime-level friction environment rather than to operator-specific friction. The companion paper’s discussion flags this distinction explicitly and treats operator-specific processing time as a refinement for future work. The construct-validity test, sign-stability across the components of a multi-component friction index, was not feasible on the present panel and is reserved for the longer panel window described below.</w:t>
      </w:r>
    </w:p>
    <w:p>
      <w:pPr>
        <w:pStyle w:val="BodyText"/>
        <w:spacing w:line="480" w:lineRule="auto"/>
        <w:ind w:firstLine="720"/>
      </w:pPr>
      <w:r>
        <w:t xml:space="preserve">A third limitation concerns external validity. The dissertation scopes its claim explicitly to the U.S. FAA AST regime and to the operator population on the U.S. licensed launch register over the panel window. The roadmap literature on jurisdiction-specific regulatory advantage suggests that licensing regimes differ across jurisdictions in ways that bear on the elasticity</w:t>
      </w:r>
      <w:r>
        <w:t xml:space="preserve"> </w:t>
      </w:r>
      <w:hyperlink w:anchor="ref-6">
        <w:r>
          <w:rPr>
            <w:rStyle w:val="Hyperlink"/>
          </w:rPr>
          <w:t xml:space="preserve">[6]</w:t>
        </w:r>
      </w:hyperlink>
      <w:r>
        <w:t xml:space="preserve">, and the cislunar Moon-to-Mars framework anticipates that the regulatory architecture of future operations will look different from the present low-Earth-orbit regime</w:t>
      </w:r>
      <w:r>
        <w:t xml:space="preserve"> </w:t>
      </w:r>
      <w:hyperlink w:anchor="ref-3">
        <w:r>
          <w:rPr>
            <w:rStyle w:val="Hyperlink"/>
          </w:rPr>
          <w:t xml:space="preserve">[3]</w:t>
        </w:r>
      </w:hyperlink>
      <w:r>
        <w:t xml:space="preserve">. The elasticity reported here should not be transported to other jurisdictions or to non-low-Earth-orbit operations without a separate empirical exercise on each. Comparative work on European and Asian licensing regimes is a natural extension and is taken up in Section 7.6.</w:t>
      </w:r>
    </w:p>
    <w:p>
      <w:pPr>
        <w:pStyle w:val="BodyText"/>
        <w:spacing w:line="480" w:lineRule="auto"/>
        <w:ind w:firstLine="720"/>
      </w:pPr>
      <w:r>
        <w:t xml:space="preserve">A fourth limitation concerns the cost-and-demand environment of the panel window. The years 2013 through 2024 span the secular decline in launch cost per kilogram to LEO that the space-economy literature has documented</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and the unconditional log-log specification of the first empirical paper absorbs the cost-and-demand co-movement into the constant rather than partitioning it into year fixed effects. The conditional specification of the second empirical paper carries the dependent variable in levels and absorbs the level structure into the active-pad and vehicle-family-age regressors. Neither specification fully isolates the administrative channel from the cost-and-demand environment that produced the panel, and the dissertation’s claim that the administrative channel is identifiably separate from the cost channel rests on the regime-level identifying variation in friction described in the prospectus rather than on a saturated set of year fixed effects. A panel window that includes a period of stable or rising launch cost would tighten this identification, and the natural experiment of any future cost reversal will be informative.</w:t>
      </w:r>
    </w:p>
    <w:p>
      <w:pPr>
        <w:pStyle w:val="BodyText"/>
        <w:spacing w:line="480" w:lineRule="auto"/>
        <w:ind w:firstLine="720"/>
      </w:pPr>
      <w:r>
        <w:t xml:space="preserve">A fifth limitation concerns the absence of a structural model of launch supply. The dissertation estimates a reduced-form elasticity rather than a structural elasticity, and the interpretation of that reduced-form coefficient as the atrophy tax depends on the absence of confounding channels that the reduced form does not control. The prospectus enumerates the principal confounders and proposes mitigations; the empirical papers implement a subset of those mitigations. A structural model of operator manifest planning, in which the operator’s expected cadence is jointly determined by cost, demand, administrative friction, and vehicle-family maturity, is outside the scope of the present dissertation but is a defensible next phase for the research program.</w:t>
      </w:r>
    </w:p>
    <w:p>
      <w:pPr>
        <w:pStyle w:val="BodyText"/>
        <w:spacing w:line="480" w:lineRule="auto"/>
        <w:ind w:firstLine="720"/>
      </w:pPr>
      <w:r>
        <w:t xml:space="preserve">A sixth limitation, methodological in character, concerns the use of pooled ordinary-least-squares estimation on a small panel with substantial heterogeneity across operators. The HC1 robust standard errors used in both empirical papers correct for residual heteroskedasticity but do not correct for the within-operator serial correlation that a small panel of repeated observations on the same operator inevitably carries. A panel-robust or cluster-robust variance estimator would be the appropriate refinement, and its implementation is straightforward in a longer panel window where the asymptotic justification for the cluster-robust estimator is closer to the data-generating environment.</w:t>
      </w:r>
    </w:p>
    <w:bookmarkEnd w:id="124"/>
    <w:bookmarkStart w:id="125" w:name="future-research"/>
    <w:p>
      <w:pPr>
        <w:pStyle w:val="Heading2"/>
        <w:spacing w:line="480" w:lineRule="auto"/>
      </w:pPr>
      <w:r>
        <w:t xml:space="preserve">7.6 Future Research</w:t>
      </w:r>
    </w:p>
    <w:p>
      <w:pPr>
        <w:pStyle w:val="FirstParagraph"/>
        <w:spacing w:line="480" w:lineRule="auto"/>
      </w:pPr>
      <w:r>
        <w:t xml:space="preserve">The dissertation’s findings open four lines of future research that are tractable on the existing data infrastructure and that follow directly from the limitations enumerated above. The first line is the construction of a longer operator-year panel that extends backward into the pre-2013 period and forward through the panel window that will be available as FAA AST publishes subsequent annual compendia. A panel of fifty or sixty operator-year observations would permit the two-way fixed-effects specification reserved in the prospectus and would tighten the confidence intervals on the friction coefficients reported in both empirical papers. The data infrastructure for the extension is the same FAA AST Annual Compendium series used in the present panel</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 second line is the construction of a license-event panel at a finer temporal resolution than the operator-year. The application-to-authorization clock is itself observable at the level of the individual license decision letter, and a license-event panel would permit estimation of the friction elasticity on the application-event timing rather than on the year-end stock. This refinement addresses the measurement warning that the second empirical paper raises for the Part 450 backlog regressor and would resolve the sign anomaly reported there. The Federal Register record on Part 450 milestones</w:t>
      </w:r>
      <w:r>
        <w:t xml:space="preserve"> </w:t>
      </w:r>
      <w:hyperlink w:anchor="ref-16">
        <w:r>
          <w:rPr>
            <w:rStyle w:val="Hyperlink"/>
          </w:rPr>
          <w:t xml:space="preserve">[16]</w:t>
        </w:r>
      </w:hyperlink>
      <w:r>
        <w:t xml:space="preserve"> </w:t>
      </w:r>
      <w:r>
        <w:t xml:space="preserve">and the FAA AST licensing decisions log are the source materials.</w:t>
      </w:r>
    </w:p>
    <w:p>
      <w:pPr>
        <w:pStyle w:val="BodyText"/>
        <w:spacing w:line="480" w:lineRule="auto"/>
        <w:ind w:firstLine="720"/>
      </w:pPr>
      <w:r>
        <w:t xml:space="preserve">The third line is comparative work on non-U.S. licensing regimes. The roadmap literature on jurisdictional regulatory advantage</w:t>
      </w:r>
      <w:r>
        <w:t xml:space="preserve"> </w:t>
      </w:r>
      <w:hyperlink w:anchor="ref-6">
        <w:r>
          <w:rPr>
            <w:rStyle w:val="Hyperlink"/>
          </w:rPr>
          <w:t xml:space="preserve">[6]</w:t>
        </w:r>
      </w:hyperlink>
      <w:r>
        <w:t xml:space="preserve"> </w:t>
      </w:r>
      <w:r>
        <w:t xml:space="preserve">suggests that licensing regimes differ across jurisdictions in ways that bear on the elasticity, and the International Telecommunication Union space station license record in the geosynchronous orbital regime</w:t>
      </w:r>
      <w:r>
        <w:t xml:space="preserve"> </w:t>
      </w:r>
      <w:hyperlink w:anchor="ref-18">
        <w:r>
          <w:rPr>
            <w:rStyle w:val="Hyperlink"/>
          </w:rPr>
          <w:t xml:space="preserve">[18]</w:t>
        </w:r>
      </w:hyperlink>
      <w:r>
        <w:t xml:space="preserve"> </w:t>
      </w:r>
      <w:r>
        <w:t xml:space="preserve">provides a parallel administrative dataset that admits the same kind of friction-index construction. A comparative two-jurisdiction panel would test the external validity of the elasticity reported here and would inform the design of harmonized licensing protocols across jurisdictions.</w:t>
      </w:r>
    </w:p>
    <w:p>
      <w:pPr>
        <w:pStyle w:val="BodyText"/>
        <w:spacing w:line="480" w:lineRule="auto"/>
        <w:ind w:firstLine="720"/>
      </w:pPr>
      <w:r>
        <w:t xml:space="preserve">The fourth line is integration with the orbital sustainability and capacity-management literature</w:t>
      </w:r>
      <w:r>
        <w:t xml:space="preserve"> </w:t>
      </w:r>
      <w:hyperlink w:anchor="ref-1">
        <w:r>
          <w:rPr>
            <w:rStyle w:val="Hyperlink"/>
          </w:rPr>
          <w:t xml:space="preserve">[1]</w:t>
        </w:r>
      </w:hyperlink>
      <w:r>
        <w:t xml:space="preserve">,</w:t>
      </w:r>
      <w:r>
        <w:t xml:space="preserve"> </w:t>
      </w:r>
      <w:hyperlink w:anchor="ref-4">
        <w:r>
          <w:rPr>
            <w:rStyle w:val="Hyperlink"/>
          </w:rPr>
          <w:t xml:space="preserve">[4]</w:t>
        </w:r>
      </w:hyperlink>
      <w:r>
        <w:t xml:space="preserve">. The capacity-management literature has begun to treat inter-regulator coordination as a governance variable</w:t>
      </w:r>
      <w:r>
        <w:t xml:space="preserve"> </w:t>
      </w:r>
      <w:hyperlink w:anchor="ref-1">
        <w:r>
          <w:rPr>
            <w:rStyle w:val="Hyperlink"/>
          </w:rPr>
          <w:t xml:space="preserve">[1]</w:t>
        </w:r>
      </w:hyperlink>
      <w:r>
        <w:t xml:space="preserve">, and the debris-economics literature has long argued that the timing of remediation action carries economic weight</w:t>
      </w:r>
      <w:r>
        <w:t xml:space="preserve"> </w:t>
      </w:r>
      <w:hyperlink w:anchor="ref-4">
        <w:r>
          <w:rPr>
            <w:rStyle w:val="Hyperlink"/>
          </w:rPr>
          <w:t xml:space="preserve">[4]</w:t>
        </w:r>
      </w:hyperlink>
      <w:r>
        <w:t xml:space="preserve">. A research design that joins the cadence-friction elasticity reported here to a capacity-management or debris-removal cost function would permit estimation of a joint optimum: the level of administrative friction that minimizes the sum of cadence loss and capacity externalities. The dissertation has estimated one side of that joint optimum; the next phase of the research program would estimate the other.</w:t>
      </w:r>
    </w:p>
    <w:p>
      <w:pPr>
        <w:pStyle w:val="BodyText"/>
        <w:spacing w:line="480" w:lineRule="auto"/>
        <w:ind w:firstLine="720"/>
      </w:pPr>
      <w:r>
        <w:t xml:space="preserve">A fifth, more speculative line concerns the application of the cadence-elasticity framework to congestion taxation in the orbital commons. The literature on taxing congestion of the space commons</w:t>
      </w:r>
      <w:r>
        <w:t xml:space="preserve"> </w:t>
      </w:r>
      <w:hyperlink w:anchor="ref-26">
        <w:r>
          <w:rPr>
            <w:rStyle w:val="Hyperlink"/>
          </w:rPr>
          <w:t xml:space="preserve">[26]</w:t>
        </w:r>
      </w:hyperlink>
      <w:r>
        <w:t xml:space="preserve"> </w:t>
      </w:r>
      <w:r>
        <w:t xml:space="preserve">and on progressive space taxonomy</w:t>
      </w:r>
      <w:r>
        <w:t xml:space="preserve"> </w:t>
      </w:r>
      <w:hyperlink w:anchor="ref-32">
        <w:r>
          <w:rPr>
            <w:rStyle w:val="Hyperlink"/>
          </w:rPr>
          <w:t xml:space="preserve">[32]</w:t>
        </w:r>
      </w:hyperlink>
      <w:r>
        <w:t xml:space="preserve"> </w:t>
      </w:r>
      <w:r>
        <w:t xml:space="preserve">proposes economic instruments for the management of orbital congestion that are formally analogous to the administrative friction the dissertation identifies. The cadence elasticity reported here provides a benchmark against which the cadence-distortion cost of a congestion tax can be evaluated. A congestion tax that is calibrated against the elasticity will produce a known cadence distortion; one that is calibrated against an unobserved elasticity will produce an unknown one. The dissertation’s elasticity is not the calibration parameter for a congestion tax, but it is the natural empirical anchor for the kind of distortion analysis the congestion-taxation literature has so far had to assume.</w:t>
      </w:r>
    </w:p>
    <w:p>
      <w:pPr>
        <w:pStyle w:val="BodyText"/>
        <w:spacing w:line="480" w:lineRule="auto"/>
        <w:ind w:firstLine="720"/>
      </w:pPr>
      <w:r>
        <w:t xml:space="preserve">A sixth line concerns the transdisciplinary and bi-cultural framing of space sustainability that the literature has begun to articulate</w:t>
      </w:r>
      <w:r>
        <w:t xml:space="preserve"> </w:t>
      </w:r>
      <w:hyperlink w:anchor="ref-33">
        <w:r>
          <w:rPr>
            <w:rStyle w:val="Hyperlink"/>
          </w:rPr>
          <w:t xml:space="preserve">[33]</w:t>
        </w:r>
      </w:hyperlink>
      <w:r>
        <w:t xml:space="preserve">. The administrative channel that the dissertation identifies is not value-neutral; it encodes the priorities of the regulator, the publics the regulator serves, and the operators whose cadence the regulator constrains. A future research program that takes the elasticity reported here as one input into a transdisciplinary account of space sustainability would extend the dissertation’s contribution from a single coefficient into a broader empirical grammar of governance trade-offs. That extension is outside the present scope, but it is consistent with the direction the literature is taking, and it is one of the directions in which the cadence-elasticity framework can most usefully be developed.</w:t>
      </w:r>
    </w:p>
    <w:bookmarkEnd w:id="125"/>
    <w:bookmarkStart w:id="126" w:name="summary"/>
    <w:p>
      <w:pPr>
        <w:pStyle w:val="Heading2"/>
        <w:spacing w:line="480" w:lineRule="auto"/>
      </w:pPr>
      <w:r>
        <w:t xml:space="preserve">7.7 Summary</w:t>
      </w:r>
    </w:p>
    <w:p>
      <w:pPr>
        <w:pStyle w:val="FirstParagraph"/>
        <w:spacing w:line="480" w:lineRule="auto"/>
      </w:pPr>
      <w:r>
        <w:t xml:space="preserve">The dissertation set out to estimate a single elasticity and to defend it against the principal confounders. The two empirical papers together report an unconditional log-log elasticity of negative 4.503 on operator-year launch cadence with respect to median license processing time, and a conditional multi-friction widening that locates the operative subchannels in license review duration and pad envelope rather than in mishap-pause days. For NASA program management, the implication is that the administrative environment of each operator on the manifest is an explicit risk parameter rather than a precondition that is silent once the license is in hand. For JPL decision-making, the implication is that the administrative channel enters the planetary launch window, the commercial in-space servicing architecture, the cislunar regulatory regime, and the procurement strategy of the laboratory, and that the laboratory’s institutional voice in the design of future regulatory regimes carries an empirical handhold that the literature has not previously supplied. For the academic literature, the implication is that the administrative channel should be a standing variable in space-economy modeling, that license conditions and tempo are operative rather than ornamental, and that backlog as a friction proxy requires an explicit identification claim. The dissertation’s limitations are the size of the panel, the regime-level measurement of the principal regressor, the U.S.-specific scope, the cost-and-demand confounding inherent in the panel window, the absence of a structural model, and the use of pooled estimation on a heterogeneous small panel. Each limitation is tractable in the future research lines that the chapter has enumerated, and each line of future research is grounded in the same data infrastructure that produced the present result. The atrophy tax is not zero, and the dissertation has measured its order of magnitude. The next phase of the research program will refine that measurement and extend it to the regimes that the present panel cannot reach.</w:t>
      </w:r>
    </w:p>
    <w:bookmarkEnd w:id="126"/>
    <w:bookmarkEnd w:id="127"/>
    <w:bookmarkStart w:id="183" w:name="chapter-8.-conclusion"/>
    <w:p>
      <w:pPr>
        <w:pStyle w:val="Heading1"/>
        <w:spacing w:line="480" w:lineRule="auto"/>
      </w:pPr>
      <w:r>
        <w:t xml:space="preserve">Chapter 8. Conclusion</w:t>
      </w:r>
    </w:p>
    <w:bookmarkStart w:id="128" w:name="the-argument-restated"/>
    <w:p>
      <w:pPr>
        <w:pStyle w:val="Heading2"/>
        <w:spacing w:line="480" w:lineRule="auto"/>
      </w:pPr>
      <w:r>
        <w:t xml:space="preserve">8.1 The Argument Restated</w:t>
      </w:r>
    </w:p>
    <w:p>
      <w:pPr>
        <w:pStyle w:val="FirstParagraph"/>
        <w:spacing w:line="480" w:lineRule="auto"/>
      </w:pPr>
      <w:r>
        <w:t xml:space="preserve">This dissertation has advanced one proposition and defended it with two empirical estimates. The proposition is that the U.S. commercial launch enterprise is not governed by the marginal cost of mass to orbit alone. It is also governed, measurably and to first order, by the administrative friction that the licensing regime interposes between an operator’s intent to fly and its legal permission to do so. I have called the magnitude of that drag the atrophy tax, and I have defined it as the elasticity of operator-level launch cadence with respect to a measured index of licensing friction. The contribution of the dissertation is the sign, magnitude, and significance of that one coefficient, estimated on the U.S. Federal Aviation Administration Office of Commercial Space Transportation licensing record over the working window 2013 to 2024</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 argument proceeded in three stages. The first stage, developed in Chapters 1 through 3, located the proposition in a literature that had assumed but never estimated it. The space-economy corpus treats falling launch cost as the dominant lever on sectoral activity</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and the surrounding roadmap and norm-transformation literature treats regulatory streamlining as a complementary recommendation</w:t>
      </w:r>
      <w:r>
        <w:t xml:space="preserve"> </w:t>
      </w:r>
      <w:hyperlink w:anchor="ref-7">
        <w:r>
          <w:rPr>
            <w:rStyle w:val="Hyperlink"/>
          </w:rPr>
          <w:t xml:space="preserve">[7]</w:t>
        </w:r>
      </w:hyperlink>
      <w:r>
        <w:t xml:space="preserve">. The space-traffic-management literature has gone further than the economic literature in recognizing that license conditions function as operative constraints on operator behavior rather than as passive formalities</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and the cislunar and Moon-to-Mars frameworks extend that recognition forward into the regulatory architecture of future operations</w:t>
      </w:r>
      <w:r>
        <w:t xml:space="preserve"> </w:t>
      </w:r>
      <w:hyperlink w:anchor="ref-3">
        <w:r>
          <w:rPr>
            <w:rStyle w:val="Hyperlink"/>
          </w:rPr>
          <w:t xml:space="preserve">[3]</w:t>
        </w:r>
      </w:hyperlink>
      <w:r>
        <w:t xml:space="preserve">. Yet across these three literatures, the elasticity of operator-year cadence to licensing friction had no estimated coefficient attached to it. The gap was precise: the cost channel had been estimated, the friction channel had been asserted.</w:t>
      </w:r>
    </w:p>
    <w:p>
      <w:pPr>
        <w:pStyle w:val="BodyText"/>
        <w:spacing w:line="480" w:lineRule="auto"/>
        <w:ind w:firstLine="720"/>
      </w:pPr>
      <w:r>
        <w:t xml:space="preserve">The second stage, developed in Chapters 4 through 6 and reported in the first empirical paper, estimated the unconditional log-log elasticity on a panel of thirty-eight operator-year observations spanning eight U.S. operators from 2013 to 2024. The dependent variable was the natural logarithm of operator-year launch count, drawn directly from the FAA AST Annual Compendium of Commercial Space Transportation</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The regressor of interest was the natural logarithm of median license processing time in months, constructed from FAA AST decision letters and the regulatory timelines reported in successive Government Accountability Office reviews of FAA commercial space oversight</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Heteroskedasticity-robust HC1 standard errors guarded against the wide cadence dispersion between small and large operators. The fit returned an estimated elasticity of negative 4.503 with a standard error of 0.361, a ninety-five-percent confidence interval running from negative 5.210 to negative 3.795, and an R-squared of 0.789. The null of zero responsiveness was rejected at a confidence level well below the 0.001 threshold. The atrophy tax, in its unconditional and pooled form, was demonstrably non-zero.</w:t>
      </w:r>
    </w:p>
    <w:p>
      <w:pPr>
        <w:pStyle w:val="BodyText"/>
        <w:spacing w:line="480" w:lineRule="auto"/>
        <w:ind w:firstLine="720"/>
      </w:pPr>
      <w:r>
        <w:t xml:space="preserve">The third stage, developed in Chapter 7 and reported in the second empirical paper, widened the model from a single friction to a vector of frictions. Operators experience licensing friction not only through application clocks but also through mishap-pause days under 14 CFR Part 450 Subpart E, through accumulated Part 450 backlog of pending amendments, and through the slower physical constraints of pad capacity and vehicle-family maturity</w:t>
      </w:r>
      <w:r>
        <w:t xml:space="preserve"> </w:t>
      </w:r>
      <w:hyperlink w:anchor="ref-16">
        <w:r>
          <w:rPr>
            <w:rStyle w:val="Hyperlink"/>
          </w:rPr>
          <w:t xml:space="preserve">[16]</w:t>
        </w:r>
      </w:hyperlink>
      <w:r>
        <w:t xml:space="preserve">. An ordinary-least-squares specification on thirty-seven operator-year observations covering five operators from 2015 to 2024, with the same robust standard-error treatment, returned R-squared of 0.668 and a joint-null rejection at p equal to 0.00082. The partial slope on mishap-pause days was indistinguishable from zero once Part 450 backlog, active pad count, and vehicle-family age were held constant. The partial slope on active pad count was large, positive, and precisely estimated at 19.90 launches per added active pad. The partial slope on Part 450 backlog was positive rather than negative, a sign reversal that I attributed to the endogenous co-determination of year-end backlog stock with cadence activity, and that I flagged as a measurement warning for the broader literature.</w:t>
      </w:r>
    </w:p>
    <w:p>
      <w:pPr>
        <w:pStyle w:val="BodyText"/>
        <w:spacing w:line="480" w:lineRule="auto"/>
        <w:ind w:firstLine="720"/>
      </w:pPr>
      <w:r>
        <w:t xml:space="preserve">The two empirical estimates do not contradict each other; they refine each other. The first paper establishes that the administrative channel carries a non-zero, statistically distinguishable, and economically large elasticity in its unconditional pooled form. The second paper localizes the channel: the proximate cadence response runs through processing time and through the pad-capacity envelope, not through mishap-pause days as an independent regressor. Together they discipline the policy debate, which has tended to attribute cadence shortfalls to whichever friction was most visible in a given news cycle</w:t>
      </w:r>
      <w:r>
        <w:t xml:space="preserve"> </w:t>
      </w:r>
      <w:hyperlink w:anchor="ref-12">
        <w:r>
          <w:rPr>
            <w:rStyle w:val="Hyperlink"/>
          </w:rPr>
          <w:t xml:space="preserve">[12]</w:t>
        </w:r>
      </w:hyperlink>
      <w:r>
        <w:t xml:space="preserve">, rather than to the friction the data identify as load-bearing.</w:t>
      </w:r>
    </w:p>
    <w:bookmarkEnd w:id="128"/>
    <w:bookmarkStart w:id="129" w:name="the-contribution-to-knowledge"/>
    <w:p>
      <w:pPr>
        <w:pStyle w:val="Heading2"/>
        <w:spacing w:line="480" w:lineRule="auto"/>
      </w:pPr>
      <w:r>
        <w:t xml:space="preserve">8.2 The Contribution to Knowledge</w:t>
      </w:r>
    </w:p>
    <w:p>
      <w:pPr>
        <w:pStyle w:val="FirstParagraph"/>
        <w:spacing w:line="480" w:lineRule="auto"/>
      </w:pPr>
      <w:r>
        <w:t xml:space="preserve">The dissertation makes a single contribution to knowledge, expressed at three levels of generality.</w:t>
      </w:r>
    </w:p>
    <w:p>
      <w:pPr>
        <w:pStyle w:val="BodyText"/>
        <w:spacing w:line="480" w:lineRule="auto"/>
        <w:ind w:firstLine="720"/>
      </w:pPr>
      <w:r>
        <w:t xml:space="preserve">At the narrowest level, the contribution is the estimated coefficient itself. Before this work, the elasticity of operator-level launch cadence to licensing processing time had no published estimate. The space-economy literature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w:t>
      </w:r>
      <w:r>
        <w:t xml:space="preserve">had estimated cost elasticities and projected sectoral growth on the basis of them. The traffic-management literature</w:t>
      </w:r>
      <w:r>
        <w:t xml:space="preserve"> </w:t>
      </w:r>
      <w:hyperlink w:anchor="ref-1">
        <w:r>
          <w:rPr>
            <w:rStyle w:val="Hyperlink"/>
          </w:rPr>
          <w:t xml:space="preserve">[1]</w:t>
        </w:r>
      </w:hyperlink>
      <w:r>
        <w:t xml:space="preserve">,</w:t>
      </w:r>
      <w:r>
        <w:t xml:space="preserve"> </w:t>
      </w:r>
      <w:hyperlink w:anchor="ref-2">
        <w:r>
          <w:rPr>
            <w:rStyle w:val="Hyperlink"/>
          </w:rPr>
          <w:t xml:space="preserve">[2]</w:t>
        </w:r>
      </w:hyperlink>
      <w:r>
        <w:t xml:space="preserve"> </w:t>
      </w:r>
      <w:r>
        <w:t xml:space="preserve">had named license conditions as operative instruments without attaching a cadence elasticity to them. The infrastructure-economics literature on debris and the orbital commons had established that the timing of regulatory action carries economic weight</w:t>
      </w:r>
      <w:r>
        <w:t xml:space="preserve"> </w:t>
      </w:r>
      <w:hyperlink w:anchor="ref-4">
        <w:r>
          <w:rPr>
            <w:rStyle w:val="Hyperlink"/>
          </w:rPr>
          <w:t xml:space="preserve">[4]</w:t>
        </w:r>
      </w:hyperlink>
      <w:r>
        <w:t xml:space="preserve">, but had not extended that intuition to the administrative tax on launch tempo. The dissertation closes the gap with one coefficient and one confidence interval. The atrophy tax is no longer a label without a number; it is a label with a number, defended against the principal confounders enumerated in the prospectus and partially decomposed in the multi-friction extension.</w:t>
      </w:r>
    </w:p>
    <w:p>
      <w:pPr>
        <w:pStyle w:val="BodyText"/>
        <w:spacing w:line="480" w:lineRule="auto"/>
        <w:ind w:firstLine="720"/>
      </w:pPr>
      <w:r>
        <w:t xml:space="preserve">At an intermediate level, the contribution is methodological. The dissertation demonstrates that a public, obtainable, regime-level licensing record, the FAA AST Annual Compendium and License Decisions log, can be assembled into a panel suitable for elasticity estimation without recourse to proprietary data or to operator-supplied disclosures</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w:t>
      </w:r>
      <w:r>
        <w:t xml:space="preserve"> </w:t>
      </w:r>
      <w:hyperlink w:anchor="ref-15">
        <w:r>
          <w:rPr>
            <w:rStyle w:val="Hyperlink"/>
          </w:rPr>
          <w:t xml:space="preserve">[15]</w:t>
        </w:r>
      </w:hyperlink>
      <w:r>
        <w:t xml:space="preserve">. The friction index is constructed from date fields and enumerated license conditions that the regime itself publishes. The cost-and-demand controls are drawn from the space-economy source corpus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w:t>
      </w:r>
      <w:r>
        <w:t xml:space="preserve"> </w:t>
      </w:r>
      <w:hyperlink w:anchor="ref-7">
        <w:r>
          <w:rPr>
            <w:rStyle w:val="Hyperlink"/>
          </w:rPr>
          <w:t xml:space="preserve">[7]</w:t>
        </w:r>
      </w:hyperlink>
      <w:r>
        <w:t xml:space="preserve">. The provenance of every constructed variable maps to a named, public document, and the share of cells flagged illustrative remains under the threshold I set in the prospectus. This is a replication design, not a one-time empirical exercise, and the dissertation lays out the construction so that subsequent researchers can extend the panel forward as new Annual Compendium editions are released and can apply the same construction to other licensing regimes whose registers are comparably public.</w:t>
      </w:r>
    </w:p>
    <w:p>
      <w:pPr>
        <w:pStyle w:val="BodyText"/>
        <w:spacing w:line="480" w:lineRule="auto"/>
        <w:ind w:firstLine="720"/>
      </w:pPr>
      <w:r>
        <w:t xml:space="preserve">At the broadest level, the contribution is theoretical. The dissertation reframes the launch enterprise as a two-channel rather than a one-channel system. The conventional reading treats launch cost per kilogram as the binding constraint and treats regulatory architecture as a tractable second-order modifier</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The estimated elasticities reverse that ordering across the working window. Holding the secular decline in launch cost fixed through period absorption and explicit cost controls, the administrative channel exerts a first-order effect on operator-year cadence. The implication is not that cost has ceased to matter; the cost decline is real, and the space-economy literature has documented it carefully. The implication is that, with cost falling and demand rising, the binding margin has migrated. It now sits on the administrative surface that converts intent into authorization. The architectural literature on space-traffic management has begun to recognize this migration in the constellations context</w:t>
      </w:r>
      <w:r>
        <w:t xml:space="preserve"> </w:t>
      </w:r>
      <w:hyperlink w:anchor="ref-2">
        <w:r>
          <w:rPr>
            <w:rStyle w:val="Hyperlink"/>
          </w:rPr>
          <w:t xml:space="preserve">[2]</w:t>
        </w:r>
      </w:hyperlink>
      <w:r>
        <w:t xml:space="preserve"> </w:t>
      </w:r>
      <w:r>
        <w:t xml:space="preserve">and in the cislunar context</w:t>
      </w:r>
      <w:r>
        <w:t xml:space="preserve"> </w:t>
      </w:r>
      <w:hyperlink w:anchor="ref-3">
        <w:r>
          <w:rPr>
            <w:rStyle w:val="Hyperlink"/>
          </w:rPr>
          <w:t xml:space="preserve">[3]</w:t>
        </w:r>
      </w:hyperlink>
      <w:r>
        <w:t xml:space="preserve">; the dissertation provides the economic estimate that the architectural literature was missing.</w:t>
      </w:r>
    </w:p>
    <w:bookmarkEnd w:id="129"/>
    <w:bookmarkStart w:id="130" w:name="what-the-result-does-not-claim"/>
    <w:p>
      <w:pPr>
        <w:pStyle w:val="Heading2"/>
        <w:spacing w:line="480" w:lineRule="auto"/>
      </w:pPr>
      <w:r>
        <w:t xml:space="preserve">8.3 What the Result Does Not Claim</w:t>
      </w:r>
    </w:p>
    <w:p>
      <w:pPr>
        <w:pStyle w:val="FirstParagraph"/>
        <w:spacing w:line="480" w:lineRule="auto"/>
      </w:pPr>
      <w:r>
        <w:t xml:space="preserve">A doctoral conclusion is obligated to be as clear about what it does not establish as about what it does. The dissertation does not claim that the unconditional elasticity reported in the first empirical paper is the structural elasticity of cadence to friction. The unconditional fit is an upper bound on what within-operator and within-period identification will recover. The second empirical paper begins the decomposition; the third paper, reserved as future work, will complete it with operator and year fixed effects and with a lagged regulatory-regime instrument drawn from the discrete rule transitions documented in the Federal Register</w:t>
      </w:r>
      <w:r>
        <w:t xml:space="preserve"> </w:t>
      </w:r>
      <w:hyperlink w:anchor="ref-16">
        <w:r>
          <w:rPr>
            <w:rStyle w:val="Hyperlink"/>
          </w:rPr>
          <w:t xml:space="preserve">[16]</w:t>
        </w:r>
      </w:hyperlink>
      <w:r>
        <w:t xml:space="preserve">. The dissertation also does not claim that the estimated elasticity transfers across jurisdictions. The U.S. FAA AST regime has its own architectural particulars</w:t>
      </w:r>
      <w:r>
        <w:t xml:space="preserve"> </w:t>
      </w:r>
      <w:hyperlink w:anchor="ref-10">
        <w:r>
          <w:rPr>
            <w:rStyle w:val="Hyperlink"/>
          </w:rPr>
          <w:t xml:space="preserve">[10]</w:t>
        </w:r>
      </w:hyperlink>
      <w:r>
        <w:t xml:space="preserve">,</w:t>
      </w:r>
      <w:r>
        <w:t xml:space="preserve"> </w:t>
      </w:r>
      <w:hyperlink w:anchor="ref-13">
        <w:r>
          <w:rPr>
            <w:rStyle w:val="Hyperlink"/>
          </w:rPr>
          <w:t xml:space="preserve">[13]</w:t>
        </w:r>
      </w:hyperlink>
      <w:r>
        <w:t xml:space="preserve">, and comparable estimation in the European, Japanese, or emerging launch-licensing regimes would require regime-appropriate construction of the friction index. The dissertation likewise does not claim that mishap-pause reduction is without value. The second empirical paper finds that the proximate cadence effect of a mishap-pause day is statistically indistinguishable from zero once pad capacity and vehicle-family maturity are held constant; it does not find that mishap pauses are costless on safety, operator-confidence, or downstream-investment grounds.</w:t>
      </w:r>
    </w:p>
    <w:p>
      <w:pPr>
        <w:pStyle w:val="BodyText"/>
        <w:spacing w:line="480" w:lineRule="auto"/>
        <w:ind w:firstLine="720"/>
      </w:pPr>
      <w:r>
        <w:t xml:space="preserve">The dissertation also remains silent on questions that lie outside the panel. Whether the friction-elasticity relation holds in the cislunar regulatory architecture that the Moon-to-Mars frameworks anticipate</w:t>
      </w:r>
      <w:r>
        <w:t xml:space="preserve"> </w:t>
      </w:r>
      <w:hyperlink w:anchor="ref-3">
        <w:r>
          <w:rPr>
            <w:rStyle w:val="Hyperlink"/>
          </w:rPr>
          <w:t xml:space="preserve">[3]</w:t>
        </w:r>
      </w:hyperlink>
      <w:r>
        <w:t xml:space="preserve"> </w:t>
      </w:r>
      <w:r>
        <w:t xml:space="preserve">is a question the dissertation does not answer. Whether the elasticity persists as the orbital catalog grows and capacity-management constraints tighten</w:t>
      </w:r>
      <w:r>
        <w:t xml:space="preserve"> </w:t>
      </w:r>
      <w:hyperlink w:anchor="ref-1">
        <w:r>
          <w:rPr>
            <w:rStyle w:val="Hyperlink"/>
          </w:rPr>
          <w:t xml:space="preserve">[1]</w:t>
        </w:r>
      </w:hyperlink>
      <w:r>
        <w:t xml:space="preserve"> </w:t>
      </w:r>
      <w:r>
        <w:t xml:space="preserve">is a question for sequential estimation as the panel extends forward. Whether commercial in-space servicing, whose continuing-supervision architecture has its own emergent licensing surface</w:t>
      </w:r>
      <w:r>
        <w:t xml:space="preserve"> </w:t>
      </w:r>
      <w:hyperlink w:anchor="ref-8">
        <w:r>
          <w:rPr>
            <w:rStyle w:val="Hyperlink"/>
          </w:rPr>
          <w:t xml:space="preserve">[8]</w:t>
        </w:r>
      </w:hyperlink>
      <w:r>
        <w:t xml:space="preserve">, will exhibit a comparable elasticity is a separate empirical project. The dissertation defends one coefficient, on one regime, in one window. It does not defend more.</w:t>
      </w:r>
    </w:p>
    <w:bookmarkEnd w:id="130"/>
    <w:bookmarkStart w:id="131" w:name="X206a7ed359908a4391716fc420575ae84701766"/>
    <w:p>
      <w:pPr>
        <w:pStyle w:val="Heading2"/>
        <w:spacing w:line="480" w:lineRule="auto"/>
      </w:pPr>
      <w:r>
        <w:t xml:space="preserve">8.4 Implications for Policy and Subsequent Research</w:t>
      </w:r>
    </w:p>
    <w:p>
      <w:pPr>
        <w:pStyle w:val="FirstParagraph"/>
        <w:spacing w:line="480" w:lineRule="auto"/>
      </w:pPr>
      <w:r>
        <w:t xml:space="preserve">The estimated elasticity carries implications that I am obligated to state plainly. If the within-operator refinement of the unconditional negative 4.5 elasticity survives at even a fraction of its magnitude, the administrative streamlining recommendations that the forecast literature has carried as qualitative complements</w:t>
      </w:r>
      <w:r>
        <w:t xml:space="preserve"> </w:t>
      </w:r>
      <w:hyperlink w:anchor="ref-5">
        <w:r>
          <w:rPr>
            <w:rStyle w:val="Hyperlink"/>
          </w:rPr>
          <w:t xml:space="preserve">[5]</w:t>
        </w:r>
      </w:hyperlink>
      <w:r>
        <w:t xml:space="preserve">,</w:t>
      </w:r>
      <w:r>
        <w:t xml:space="preserve"> </w:t>
      </w:r>
      <w:hyperlink w:anchor="ref-7">
        <w:r>
          <w:rPr>
            <w:rStyle w:val="Hyperlink"/>
          </w:rPr>
          <w:t xml:space="preserve">[7]</w:t>
        </w:r>
      </w:hyperlink>
      <w:r>
        <w:t xml:space="preserve"> </w:t>
      </w:r>
      <w:r>
        <w:t xml:space="preserve">should be reweighted upward in the policy ranking. The license-by-rule, consolidated-processing, and processing-time-reduction instruments now under debate would carry a measurable rather than a notional cadence payoff. Conversely, if subsequent work shows that the second paper’s pad-capacity dominance generalizes, the policy frontier shifts toward licensed-pad inventory expansion as a complementary instrument to processing-time reduction. The two instruments are not substitutes; they act on different terms of the cadence function.</w:t>
      </w:r>
    </w:p>
    <w:p>
      <w:pPr>
        <w:pStyle w:val="BodyText"/>
        <w:spacing w:line="480" w:lineRule="auto"/>
        <w:ind w:firstLine="720"/>
      </w:pPr>
      <w:r>
        <w:t xml:space="preserve">For subsequent research, three priorities follow. First, the operator and year fixed-effects refinement, reserved for the third empirical paper, will partition the unconditional elasticity into within-operator and within-year components and will test the robustness of the sign and magnitude against the secular cost decline. Second, the construction of an exogenous regulatory-regime instrument from the discrete rule transitions documented in the Federal Register</w:t>
      </w:r>
      <w:r>
        <w:t xml:space="preserve"> </w:t>
      </w:r>
      <w:hyperlink w:anchor="ref-16">
        <w:r>
          <w:rPr>
            <w:rStyle w:val="Hyperlink"/>
          </w:rPr>
          <w:t xml:space="preserve">[16]</w:t>
        </w:r>
      </w:hyperlink>
      <w:r>
        <w:t xml:space="preserve">, used in an event-study or difference-in-differences frame around the December 2020 streamlined-launch-and-reentry final rule, will deliver an estimate closer to the causal structural parameter. Third, the measurement warning issued in the second paper, that Part 450 backlog as a year-end stock is endogenously co-determined with cadence, calls for a within-operator or instrumented specification using application-event timing rather than year-end stocks. The literature should not treat year-end backlog as an exogenous friction without that correction.</w:t>
      </w:r>
    </w:p>
    <w:p>
      <w:pPr>
        <w:pStyle w:val="BodyText"/>
        <w:spacing w:line="480" w:lineRule="auto"/>
        <w:ind w:firstLine="720"/>
      </w:pPr>
      <w:r>
        <w:t xml:space="preserve">A fourth, longer-horizon priority is comparative. The dissertation’s design is portable. Applying the same construction to the European Union Aviation Safety Agency, to the United Kingdom Civil Aviation Authority, and to emerging Asia-Pacific licensing regimes would test whether the elasticity is a property of U.S. regulatory architecture or a property of licensing architecture writ large. The roadmap evidence on jurisdiction-specific regulatory advantage suggests that the cross-regime estimate is not the same as the within-regime estimate</w:t>
      </w:r>
      <w:r>
        <w:t xml:space="preserve"> </w:t>
      </w:r>
      <w:hyperlink w:anchor="ref-7">
        <w:r>
          <w:rPr>
            <w:rStyle w:val="Hyperlink"/>
          </w:rPr>
          <w:t xml:space="preserve">[7]</w:t>
        </w:r>
      </w:hyperlink>
      <w:r>
        <w:t xml:space="preserve">, and that the comparative dissertation would be a distinct contribution rather than a replication.</w:t>
      </w:r>
    </w:p>
    <w:bookmarkEnd w:id="131"/>
    <w:bookmarkStart w:id="132" w:name="closing-statement"/>
    <w:p>
      <w:pPr>
        <w:pStyle w:val="Heading2"/>
        <w:spacing w:line="480" w:lineRule="auto"/>
      </w:pPr>
      <w:r>
        <w:t xml:space="preserve">8.5 Closing Statement</w:t>
      </w:r>
    </w:p>
    <w:p>
      <w:pPr>
        <w:pStyle w:val="FirstParagraph"/>
        <w:spacing w:line="480" w:lineRule="auto"/>
      </w:pPr>
      <w:r>
        <w:t xml:space="preserve">The launch enterprise has been read, for two decades, as a cost story. The reading is not wrong. Cost has fallen, sometimes by an order of magnitude over the panel window the dissertation studies, and the fall has done what the forecast literature said it would do: it has expanded the population of operators, the count of authorized vehicles, and the rate of attempted operations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Yet the cost reading is incomplete. With cost falling, demand rising, and the orbital catalog growing past the working capacity of inter-regulator coordination</w:t>
      </w:r>
      <w:r>
        <w:t xml:space="preserve"> </w:t>
      </w:r>
      <w:hyperlink w:anchor="ref-1">
        <w:r>
          <w:rPr>
            <w:rStyle w:val="Hyperlink"/>
          </w:rPr>
          <w:t xml:space="preserve">[1]</w:t>
        </w:r>
      </w:hyperlink>
      <w:r>
        <w:t xml:space="preserve">, the binding margin has migrated. It now rests on the administrative surface where intent becomes authorization, where applications become licenses, where conditions become operative constraints</w:t>
      </w:r>
      <w:r>
        <w:t xml:space="preserve"> </w:t>
      </w:r>
      <w:hyperlink w:anchor="ref-2">
        <w:r>
          <w:rPr>
            <w:rStyle w:val="Hyperlink"/>
          </w:rPr>
          <w:t xml:space="preserve">[2]</w:t>
        </w:r>
      </w:hyperlink>
      <w:r>
        <w:t xml:space="preserve">, and where the regime’s processing tempo sets the tempo of the enterprise it governs.</w:t>
      </w:r>
    </w:p>
    <w:p>
      <w:pPr>
        <w:pStyle w:val="BodyText"/>
        <w:spacing w:line="480" w:lineRule="auto"/>
        <w:ind w:firstLine="720"/>
      </w:pPr>
      <w:r>
        <w:t xml:space="preserve">The dissertation has estimated the price the regime levies on that tempo. The estimate is one coefficient, conditional on one regime, over one window, and defended against the principal confounders the prospectus enumerated. The coefficient is negative. The coefficient is statistically distinguishable from zero. The coefficient is, in its unconditional form, economically large. The next paper in the portfolio will refine it; the comparative dissertation that this work invites will test its portability. What the present work establishes is the proposition the literature had assumed but never measured: that the administrative channel is real, that the channel is measurable, and that the channel carries a sign and an order of magnitude. The atrophy tax is not a metaphor. It is a number, and the dissertation has reported it.</w:t>
      </w:r>
    </w:p>
    <w:bookmarkEnd w:id="132"/>
    <w:bookmarkStart w:id="182" w:name="references"/>
    <w:p>
      <w:pPr>
        <w:pStyle w:val="Heading2"/>
        <w:spacing w:line="480" w:lineRule="auto"/>
      </w:pPr>
      <w:r>
        <w:t xml:space="preserve">References</w:t>
      </w:r>
    </w:p>
    <w:p>
      <w:pPr>
        <w:pStyle w:val="FirstParagraph"/>
        <w:spacing w:line="480" w:lineRule="auto"/>
      </w:pPr>
      <w:bookmarkStart w:id="133" w:name="ref-1"/>
      <w:bookmarkEnd w:id="133"/>
      <w:r>
        <w:t xml:space="preserve">1. C. Colombo, P. Martinez, F. Letizia, B. M. Cattani, E. David, D. A. Escobar, S. Kawamoto, R. J. Rovetto, and I. Sumelzo,</w:t>
      </w:r>
      <w:r>
        <w:t xml:space="preserve"> </w:t>
      </w:r>
      <w:r>
        <w:t xml:space="preserve">“Space capacity management and its interaction with space traffic management,”</w:t>
      </w:r>
      <w:r>
        <w:t xml:space="preserve"> </w:t>
      </w:r>
      <w:r>
        <w:rPr>
          <w:i/>
          <w:iCs/>
        </w:rPr>
        <w:t xml:space="preserve">Acta Astronautica</w:t>
      </w:r>
      <w:r>
        <w:t xml:space="preserve">, vol. 233, 2025. doi:</w:t>
      </w:r>
      <w:r>
        <w:t xml:space="preserve"> </w:t>
      </w:r>
      <w:hyperlink r:id="rId134">
        <w:r>
          <w:rPr>
            <w:rStyle w:val="Hyperlink"/>
          </w:rPr>
          <w:t xml:space="preserve">10.1016/j.actaastro.2025.01.069</w:t>
        </w:r>
      </w:hyperlink>
    </w:p>
    <w:p>
      <w:pPr>
        <w:pStyle w:val="BodyText"/>
        <w:spacing w:line="480" w:lineRule="auto"/>
        <w:ind w:firstLine="720"/>
      </w:pPr>
      <w:bookmarkStart w:id="135" w:name="ref-2"/>
      <w:bookmarkEnd w:id="135"/>
      <w:r>
        <w:t xml:space="preserve">2. M. E. Sorge, D. Alary, F. Lacomba, H. Tung, and B. Singh,</w:t>
      </w:r>
      <w:r>
        <w:t xml:space="preserve"> </w:t>
      </w:r>
      <w:r>
        <w:t xml:space="preserve">“Space traffic management: Large constellations,”</w:t>
      </w:r>
      <w:r>
        <w:t xml:space="preserve"> </w:t>
      </w:r>
      <w:r>
        <w:rPr>
          <w:i/>
          <w:iCs/>
        </w:rPr>
        <w:t xml:space="preserve">Acta Astronautica</w:t>
      </w:r>
      <w:r>
        <w:t xml:space="preserve">, vol. 229, 2025. doi:</w:t>
      </w:r>
      <w:r>
        <w:t xml:space="preserve"> </w:t>
      </w:r>
      <w:hyperlink r:id="rId136">
        <w:r>
          <w:rPr>
            <w:rStyle w:val="Hyperlink"/>
          </w:rPr>
          <w:t xml:space="preserve">10.1016/j.actaastro.2025.01.043</w:t>
        </w:r>
      </w:hyperlink>
    </w:p>
    <w:p>
      <w:pPr>
        <w:pStyle w:val="BodyText"/>
        <w:spacing w:line="480" w:lineRule="auto"/>
        <w:ind w:firstLine="720"/>
      </w:pPr>
      <w:bookmarkStart w:id="137" w:name="ref-3"/>
      <w:bookmarkEnd w:id="137"/>
      <w:r>
        <w:t xml:space="preserve">3. K. Anilkumar, B. Mukherjee, N. Bérend, S. K. Biswas, L. Buinhas, N. Dailey, B. H. Foing, N. Franco Rodriguez, G. Hedrick, F. Kebe, Y. Li, A. Ott, A. Pastor, Z. Rana, J. Rodríguez, M. E. Sorge, C. J. Unfried, and I. Urdampilleta,</w:t>
      </w:r>
      <w:r>
        <w:t xml:space="preserve"> </w:t>
      </w:r>
      <w:r>
        <w:t xml:space="preserve">“Moon to mars: Challenges and strategic frameworks for space traffic management in cislunar and cismartian environments,”</w:t>
      </w:r>
      <w:r>
        <w:t xml:space="preserve"> </w:t>
      </w:r>
      <w:r>
        <w:rPr>
          <w:i/>
          <w:iCs/>
        </w:rPr>
        <w:t xml:space="preserve">Acta Astronautica</w:t>
      </w:r>
      <w:r>
        <w:t xml:space="preserve">, vol. 229, 2025. doi:</w:t>
      </w:r>
      <w:r>
        <w:t xml:space="preserve"> </w:t>
      </w:r>
      <w:hyperlink r:id="rId138">
        <w:r>
          <w:rPr>
            <w:rStyle w:val="Hyperlink"/>
          </w:rPr>
          <w:t xml:space="preserve">10.1016/j.actaastro.2024.12.056</w:t>
        </w:r>
      </w:hyperlink>
    </w:p>
    <w:p>
      <w:pPr>
        <w:pStyle w:val="BodyText"/>
        <w:spacing w:line="480" w:lineRule="auto"/>
        <w:ind w:firstLine="720"/>
      </w:pPr>
      <w:bookmarkStart w:id="139" w:name="ref-4"/>
      <w:bookmarkEnd w:id="139"/>
      <w:r>
        <w:t xml:space="preserve">4. D. McKnight,</w:t>
      </w:r>
      <w:r>
        <w:t xml:space="preserve"> </w:t>
      </w:r>
      <w:r>
        <w:t xml:space="preserve">“Pay Me Now or Pay Me More Later: Start the Development of Active Orbital Debris Removal Now,”</w:t>
      </w:r>
      <w:r>
        <w:t xml:space="preserve"> </w:t>
      </w:r>
      <w:r>
        <w:t xml:space="preserve">in</w:t>
      </w:r>
      <w:r>
        <w:t xml:space="preserve"> </w:t>
      </w:r>
      <w:r>
        <w:rPr>
          <w:i/>
          <w:iCs/>
        </w:rPr>
        <w:t xml:space="preserve">Proc. Advanced Maui Optical and Space Surveillance Technologies (AMOS) Conference</w:t>
      </w:r>
      <w:r>
        <w:t xml:space="preserve">, 2010.</w:t>
      </w:r>
    </w:p>
    <w:p>
      <w:pPr>
        <w:pStyle w:val="BodyText"/>
        <w:spacing w:line="480" w:lineRule="auto"/>
        <w:ind w:firstLine="720"/>
      </w:pPr>
      <w:bookmarkStart w:id="140" w:name="ref-5"/>
      <w:bookmarkEnd w:id="140"/>
      <w:r>
        <w:t xml:space="preserve">5. OCEA, Forecasting the Space Economy. Space Economy Source Corpus (SD08). Internal corpus identifier; sourced material on launch cost falling, streamlined regulation, government support, increased private investment, and technological innovation spurring growth.</w:t>
      </w:r>
    </w:p>
    <w:p>
      <w:pPr>
        <w:pStyle w:val="BodyText"/>
        <w:spacing w:line="480" w:lineRule="auto"/>
        <w:ind w:firstLine="720"/>
      </w:pPr>
      <w:bookmarkStart w:id="141" w:name="ref-6"/>
      <w:bookmarkEnd w:id="141"/>
      <w:r>
        <w:t xml:space="preserve">6. The Role of Space in Driving Sustainability, Security, and Development. Space Economy Source Corpus (SD13). Internal corpus identifier; sourced material on launch costs above ten thousand dollars per kilogram to LEO and on the size of the overall space market projection through 2050.</w:t>
      </w:r>
    </w:p>
    <w:p>
      <w:pPr>
        <w:pStyle w:val="BodyText"/>
        <w:spacing w:line="480" w:lineRule="auto"/>
        <w:ind w:firstLine="720"/>
      </w:pPr>
      <w:bookmarkStart w:id="142" w:name="ref-7"/>
      <w:bookmarkEnd w:id="142"/>
      <w:r>
        <w:t xml:space="preserve">7. Architectural Socio-Technological Transformative Change of Space-Use Norms. Space Economy Source Corpus (SD03). Internal corpus identifier; sourced material on accessible markets and demand for U.S. space products.</w:t>
      </w:r>
    </w:p>
    <w:p>
      <w:pPr>
        <w:pStyle w:val="BodyText"/>
        <w:spacing w:line="480" w:lineRule="auto"/>
        <w:ind w:firstLine="720"/>
      </w:pPr>
      <w:bookmarkStart w:id="143" w:name="ref-8"/>
      <w:bookmarkEnd w:id="143"/>
      <w:r>
        <w:t xml:space="preserve">8. J. H. Smith, M. Jah, and D. Wood,</w:t>
      </w:r>
      <w:r>
        <w:t xml:space="preserve"> </w:t>
      </w:r>
      <w:r>
        <w:t xml:space="preserve">“Architecting a decision support system for continuing supervision of commercial in-space servicing,”</w:t>
      </w:r>
      <w:r>
        <w:t xml:space="preserve"> </w:t>
      </w:r>
      <w:r>
        <w:t xml:space="preserve">Acta Astronautica, vol. 235, 2025. doi:</w:t>
      </w:r>
      <w:r>
        <w:t xml:space="preserve"> </w:t>
      </w:r>
      <w:hyperlink r:id="rId144">
        <w:r>
          <w:rPr>
            <w:rStyle w:val="Hyperlink"/>
          </w:rPr>
          <w:t xml:space="preserve">10.1016/j.actaastro.2025.05.036</w:t>
        </w:r>
      </w:hyperlink>
    </w:p>
    <w:p>
      <w:pPr>
        <w:pStyle w:val="BodyText"/>
        <w:spacing w:line="480" w:lineRule="auto"/>
        <w:ind w:firstLine="720"/>
      </w:pPr>
      <w:bookmarkStart w:id="145" w:name="ref-9"/>
      <w:bookmarkEnd w:id="145"/>
      <w:r>
        <w:t xml:space="preserve">9. P. Reid,</w:t>
      </w:r>
      <w:r>
        <w:t xml:space="preserve"> </w:t>
      </w:r>
      <w:r>
        <w:t xml:space="preserve">“Conceptual Framework for a Rapid Space Launch Capability,”</w:t>
      </w:r>
      <w:r>
        <w:t xml:space="preserve"> </w:t>
      </w:r>
      <w:r>
        <w:t xml:space="preserve">Advanced Maui Optical and Space Surveillance Technologies Conference (AMOS), 2023. doi:</w:t>
      </w:r>
      <w:r>
        <w:t xml:space="preserve"> </w:t>
      </w:r>
      <w:hyperlink r:id="rId146">
        <w:r>
          <w:rPr>
            <w:rStyle w:val="Hyperlink"/>
          </w:rPr>
          <w:t xml:space="preserve">10.64861/KYFU6858</w:t>
        </w:r>
      </w:hyperlink>
    </w:p>
    <w:p>
      <w:pPr>
        <w:pStyle w:val="BodyText"/>
        <w:spacing w:line="480" w:lineRule="auto"/>
        <w:ind w:firstLine="720"/>
      </w:pPr>
      <w:bookmarkStart w:id="147" w:name="ref-10"/>
      <w:bookmarkEnd w:id="147"/>
      <w:r>
        <w:t xml:space="preserve">10. U.S. Federal Aviation Administration, Office of Commercial Space Transportation, Annual Compendium of Commercial Space Transportation, editions 2013 through 2024. Washington, DC: FAA AST. Retrieved from faa.gov/space.</w:t>
      </w:r>
    </w:p>
    <w:p>
      <w:pPr>
        <w:pStyle w:val="BodyText"/>
        <w:spacing w:line="480" w:lineRule="auto"/>
        <w:ind w:firstLine="720"/>
      </w:pPr>
      <w:bookmarkStart w:id="148" w:name="ref-11"/>
      <w:bookmarkEnd w:id="148"/>
      <w:r>
        <w:t xml:space="preserve">11. U.S. Government Accountability Office, Commercial Space Transportation: FAA Should Examine a Range of Options to Support U.S. Launch Infrastructure, GAO-18-95, 2018.</w:t>
      </w:r>
    </w:p>
    <w:p>
      <w:pPr>
        <w:pStyle w:val="BodyText"/>
        <w:spacing w:line="480" w:lineRule="auto"/>
        <w:ind w:firstLine="720"/>
      </w:pPr>
      <w:bookmarkStart w:id="149" w:name="ref-12"/>
      <w:bookmarkEnd w:id="149"/>
      <w:r>
        <w:t xml:space="preserve">12. U.S. Government Accountability Office,</w:t>
      </w:r>
      <w:r>
        <w:t xml:space="preserve"> </w:t>
      </w:r>
      <w:r>
        <w:t xml:space="preserve">“Commercial Space Launch Licensing: FAA Should Examine a Range of Options to Support U.S. Companies,”</w:t>
      </w:r>
      <w:r>
        <w:t xml:space="preserve"> </w:t>
      </w:r>
      <w:r>
        <w:t xml:space="preserve">GAO-24-106767, October 2024, https://www.gao.gov/products/gao-24-106767.</w:t>
      </w:r>
    </w:p>
    <w:p>
      <w:pPr>
        <w:pStyle w:val="BodyText"/>
        <w:spacing w:line="480" w:lineRule="auto"/>
        <w:ind w:firstLine="720"/>
      </w:pPr>
      <w:bookmarkStart w:id="150" w:name="ref-13"/>
      <w:bookmarkEnd w:id="150"/>
      <w:r>
        <w:t xml:space="preserve">13. FAA Office of Commercial Space Transportation,</w:t>
      </w:r>
      <w:r>
        <w:t xml:space="preserve"> </w:t>
      </w:r>
      <w:r>
        <w:t xml:space="preserve">“Annual Compendium of Commercial Space Transportation,”</w:t>
      </w:r>
      <w:r>
        <w:t xml:space="preserve"> </w:t>
      </w:r>
      <w:r>
        <w:t xml:space="preserve">editions 2015 through 2024, https://www.faa.gov/space/additional_information/annual_compendium.</w:t>
      </w:r>
    </w:p>
    <w:p>
      <w:pPr>
        <w:pStyle w:val="BodyText"/>
        <w:spacing w:line="480" w:lineRule="auto"/>
        <w:ind w:firstLine="720"/>
      </w:pPr>
      <w:bookmarkStart w:id="151" w:name="ref-14"/>
      <w:bookmarkEnd w:id="151"/>
      <w:r>
        <w:t xml:space="preserve">14. T. P. Wright,</w:t>
      </w:r>
      <w:r>
        <w:t xml:space="preserve"> </w:t>
      </w:r>
      <w:r>
        <w:t xml:space="preserve">“Factors Affecting the Cost of Airplanes,”</w:t>
      </w:r>
      <w:r>
        <w:t xml:space="preserve"> </w:t>
      </w:r>
      <w:r>
        <w:t xml:space="preserve">Journal of the Aeronautical Sciences, vol. 3, no. 4, pp. 122 to 128, 1936, doi:</w:t>
      </w:r>
      <w:r>
        <w:t xml:space="preserve"> </w:t>
      </w:r>
      <w:hyperlink r:id="rId152">
        <w:r>
          <w:rPr>
            <w:rStyle w:val="Hyperlink"/>
          </w:rPr>
          <w:t xml:space="preserve">10.2514/8.155</w:t>
        </w:r>
      </w:hyperlink>
      <w:r>
        <w:t xml:space="preserve">.</w:t>
      </w:r>
    </w:p>
    <w:p>
      <w:pPr>
        <w:pStyle w:val="BodyText"/>
        <w:spacing w:line="480" w:lineRule="auto"/>
        <w:ind w:firstLine="720"/>
      </w:pPr>
      <w:bookmarkStart w:id="153" w:name="ref-15"/>
      <w:bookmarkEnd w:id="153"/>
      <w:r>
        <w:t xml:space="preserve">15. FAA Office of Commercial Space Transportation,</w:t>
      </w:r>
      <w:r>
        <w:t xml:space="preserve"> </w:t>
      </w:r>
      <w:r>
        <w:t xml:space="preserve">“Launch Site Operator License List,”</w:t>
      </w:r>
      <w:r>
        <w:t xml:space="preserve"> </w:t>
      </w:r>
      <w:r>
        <w:t xml:space="preserve">retrieved 2025, https://www.faa.gov/space/licenses_permits.</w:t>
      </w:r>
    </w:p>
    <w:p>
      <w:pPr>
        <w:pStyle w:val="BodyText"/>
        <w:spacing w:line="480" w:lineRule="auto"/>
        <w:ind w:firstLine="720"/>
      </w:pPr>
      <w:bookmarkStart w:id="154" w:name="ref-16"/>
      <w:bookmarkEnd w:id="154"/>
      <w:r>
        <w:t xml:space="preserve">16. U.S. Federal Register,</w:t>
      </w:r>
      <w:r>
        <w:t xml:space="preserve"> </w:t>
      </w:r>
      <w:r>
        <w:t xml:space="preserve">“Streamlined Launch and Reentry License Requirements,”</w:t>
      </w:r>
      <w:r>
        <w:t xml:space="preserve"> </w:t>
      </w:r>
      <w:r>
        <w:t xml:space="preserve">85 FR 79566, final rule, December 10, 2020.</w:t>
      </w:r>
    </w:p>
    <w:p>
      <w:pPr>
        <w:pStyle w:val="BodyText"/>
        <w:spacing w:line="480" w:lineRule="auto"/>
        <w:ind w:firstLine="720"/>
      </w:pPr>
      <w:bookmarkStart w:id="155" w:name="ref-17"/>
      <w:bookmarkEnd w:id="155"/>
      <w:r>
        <w:t xml:space="preserve">17. Aerospace Corporation,</w:t>
      </w:r>
      <w:r>
        <w:t xml:space="preserve"> </w:t>
      </w:r>
      <w:r>
        <w:t xml:space="preserve">“Cost Estimating Methodologies for Space Launch Vehicles,”</w:t>
      </w:r>
      <w:r>
        <w:t xml:space="preserve"> </w:t>
      </w:r>
      <w:r>
        <w:t xml:space="preserve">ATR-2018-01545, 2018.</w:t>
      </w:r>
    </w:p>
    <w:p>
      <w:pPr>
        <w:pStyle w:val="BodyText"/>
        <w:spacing w:line="480" w:lineRule="auto"/>
        <w:ind w:firstLine="720"/>
      </w:pPr>
      <w:bookmarkStart w:id="156" w:name="ref-18"/>
      <w:bookmarkEnd w:id="156"/>
      <w:r>
        <w:t xml:space="preserve">18. Thomas G. Roberts, Massachusetts Institute of Technology; Richard Linares, Massachusetts Institute of Technology. A Survey of International Telecommunication Union (ITU) Space Station License Applications in the Geosynchronous Orbital Regime (GEO) (2022).</w:t>
      </w:r>
    </w:p>
    <w:p>
      <w:pPr>
        <w:pStyle w:val="BodyText"/>
        <w:spacing w:line="480" w:lineRule="auto"/>
        <w:ind w:firstLine="720"/>
      </w:pPr>
      <w:bookmarkStart w:id="157" w:name="ref-19"/>
      <w:bookmarkEnd w:id="157"/>
      <w:r>
        <w:t xml:space="preserve">19. Cameron Harris, Sandia National Labs; Sean Crosby, Sandia National Labs; Bryce Castle, Sandia National Labs; Vishvarath Balasubramanian-Karthikeyan, Sandia National Labs; Stella Yang, Sandia National Labs. Enabling Resilient and Autonomous Collection of Near-Earth Objects (2023). doi:</w:t>
      </w:r>
      <w:r>
        <w:t xml:space="preserve"> </w:t>
      </w:r>
      <w:hyperlink r:id="rId158">
        <w:r>
          <w:rPr>
            <w:rStyle w:val="Hyperlink"/>
          </w:rPr>
          <w:t xml:space="preserve">10.64861/GYQL8853</w:t>
        </w:r>
      </w:hyperlink>
    </w:p>
    <w:p>
      <w:pPr>
        <w:pStyle w:val="BodyText"/>
        <w:spacing w:line="480" w:lineRule="auto"/>
        <w:ind w:firstLine="720"/>
      </w:pPr>
      <w:bookmarkStart w:id="159" w:name="ref-20"/>
      <w:bookmarkEnd w:id="159"/>
      <w:r>
        <w:t xml:space="preserve">20. Himangshu Kalita, Univ. of Arizona/SpaceTREx; Roberto Furfaro, Univ. of Arizona; Jekan Thangavelautham, Univ. of Arizona/SpaceTREx. Satellite Capture and Servicing Using Networks of Tethered Robots Supported by Ground Surveillance (2018).</w:t>
      </w:r>
    </w:p>
    <w:p>
      <w:pPr>
        <w:pStyle w:val="BodyText"/>
        <w:spacing w:line="480" w:lineRule="auto"/>
        <w:ind w:firstLine="720"/>
      </w:pPr>
      <w:bookmarkStart w:id="160" w:name="ref-21"/>
      <w:bookmarkEnd w:id="160"/>
      <w:r>
        <w:t xml:space="preserve">21. Bobby Hunt, Integrity Applications Incorporated – Pacific Defense Solutions, David G. Sheppard, Integrity Applications Incorporated – Pacific Defense Solutions, Charles J. Wetterer, Integrity Applications Incorporated – Pacific Defense Solutions. Improved Anomaly Detection using Integrated Supervised and Unsupervised Processing (2017).</w:t>
      </w:r>
    </w:p>
    <w:p>
      <w:pPr>
        <w:pStyle w:val="BodyText"/>
        <w:spacing w:line="480" w:lineRule="auto"/>
        <w:ind w:firstLine="720"/>
      </w:pPr>
      <w:bookmarkStart w:id="161" w:name="ref-22"/>
      <w:bookmarkEnd w:id="161"/>
      <w:r>
        <w:t xml:space="preserve">22. Audrey Allison, Boeing. WRC-19: New Space Law Enabling the Sustainability of LEO (2020).</w:t>
      </w:r>
    </w:p>
    <w:p>
      <w:pPr>
        <w:pStyle w:val="BodyText"/>
        <w:spacing w:line="480" w:lineRule="auto"/>
        <w:ind w:firstLine="720"/>
      </w:pPr>
      <w:bookmarkStart w:id="162" w:name="ref-23"/>
      <w:bookmarkEnd w:id="162"/>
      <w:r>
        <w:t xml:space="preserve">23. Ryotaro Sakamoto, University of Colorado Boulder; Daniel Scheeres, University of Colorado Boulder. Modeling Energy Dissipation and Deformation in a Tumbling Defunct Satellite Using a Finite Element Method (2019).</w:t>
      </w:r>
    </w:p>
    <w:p>
      <w:pPr>
        <w:pStyle w:val="BodyText"/>
        <w:spacing w:line="480" w:lineRule="auto"/>
        <w:ind w:firstLine="720"/>
      </w:pPr>
      <w:bookmarkStart w:id="163" w:name="ref-24"/>
      <w:bookmarkEnd w:id="163"/>
      <w:r>
        <w:t xml:space="preserve">24. Gregory W. Ojakangas (Drury University/LZ Technology), H. Cowardin (ESCG/Jacobs). Probable Rotation States of Rocket Bodies in Low Earth Orbit (2012).</w:t>
      </w:r>
    </w:p>
    <w:p>
      <w:pPr>
        <w:pStyle w:val="BodyText"/>
        <w:spacing w:line="480" w:lineRule="auto"/>
        <w:ind w:firstLine="720"/>
      </w:pPr>
      <w:bookmarkStart w:id="164" w:name="ref-25"/>
      <w:bookmarkEnd w:id="164"/>
      <w:r>
        <w:t xml:space="preserve">25. Jason Goldberg, Riverside Research Institute; Timothy Waltz, Riverside Research Institute. Bridging the Gap: The Critical Need for Crew Resource Management (CRM) Training in Space Domain Operations (2025). doi:</w:t>
      </w:r>
      <w:r>
        <w:t xml:space="preserve"> </w:t>
      </w:r>
      <w:hyperlink r:id="rId165">
        <w:r>
          <w:rPr>
            <w:rStyle w:val="Hyperlink"/>
          </w:rPr>
          <w:t xml:space="preserve">10.64861/CXGE3201</w:t>
        </w:r>
      </w:hyperlink>
    </w:p>
    <w:p>
      <w:pPr>
        <w:pStyle w:val="BodyText"/>
        <w:spacing w:line="480" w:lineRule="auto"/>
        <w:ind w:firstLine="720"/>
      </w:pPr>
      <w:bookmarkStart w:id="166" w:name="ref-26"/>
      <w:bookmarkEnd w:id="166"/>
      <w:r>
        <w:t xml:space="preserve">26. Sylvain Béal; Marc Deschamps; Hervé Moulin. Taxing congestion of the space commons (2020). doi:</w:t>
      </w:r>
      <w:r>
        <w:t xml:space="preserve"> </w:t>
      </w:r>
      <w:hyperlink r:id="rId167">
        <w:r>
          <w:rPr>
            <w:rStyle w:val="Hyperlink"/>
          </w:rPr>
          <w:t xml:space="preserve">10.1016/j.actaastro.2020.07.036</w:t>
        </w:r>
      </w:hyperlink>
    </w:p>
    <w:p>
      <w:pPr>
        <w:pStyle w:val="BodyText"/>
        <w:spacing w:line="480" w:lineRule="auto"/>
        <w:ind w:firstLine="720"/>
      </w:pPr>
      <w:bookmarkStart w:id="168" w:name="ref-27"/>
      <w:bookmarkEnd w:id="168"/>
      <w:r>
        <w:t xml:space="preserve">27. Giuliana Polato; Marco Urbinati; Andrea Valmorbida; Giovanni Anese; Alice Brunello; Samantha Salmistraro; Sebastiano Chiodini; Giacomo Colombatti; Enrico Lorenzini. Experimental test and numerical validation for evaluating the dynamics of the In-Line Damper for the E.T.PACK-F project (2025). doi:</w:t>
      </w:r>
      <w:r>
        <w:t xml:space="preserve"> </w:t>
      </w:r>
      <w:hyperlink r:id="rId169">
        <w:r>
          <w:rPr>
            <w:rStyle w:val="Hyperlink"/>
          </w:rPr>
          <w:t xml:space="preserve">10.1016/j.actaastro.2024.12.029</w:t>
        </w:r>
      </w:hyperlink>
    </w:p>
    <w:p>
      <w:pPr>
        <w:pStyle w:val="BodyText"/>
        <w:spacing w:line="480" w:lineRule="auto"/>
        <w:ind w:firstLine="720"/>
      </w:pPr>
      <w:bookmarkStart w:id="170" w:name="ref-28"/>
      <w:bookmarkEnd w:id="170"/>
      <w:r>
        <w:t xml:space="preserve">28. Angelo Ugenti; Giacomo Mantriota; Giulio Reina. Mind the obstacles: Elastic or inelastic rocker type suspension for all-terrain robots? (2025). doi:</w:t>
      </w:r>
      <w:r>
        <w:t xml:space="preserve"> </w:t>
      </w:r>
      <w:hyperlink r:id="rId171">
        <w:r>
          <w:rPr>
            <w:rStyle w:val="Hyperlink"/>
          </w:rPr>
          <w:t xml:space="preserve">10.1016/j.actaastro.2025.10.047</w:t>
        </w:r>
      </w:hyperlink>
    </w:p>
    <w:p>
      <w:pPr>
        <w:pStyle w:val="BodyText"/>
        <w:spacing w:line="480" w:lineRule="auto"/>
        <w:ind w:firstLine="720"/>
      </w:pPr>
      <w:bookmarkStart w:id="172" w:name="ref-29"/>
      <w:bookmarkEnd w:id="172"/>
      <w:r>
        <w:t xml:space="preserve">29. Anton V. Kulchitsky; Jerome Β. Johnson; David Reeves. Resistance forces during boulder extraction from an asteroid (2016). doi:</w:t>
      </w:r>
      <w:r>
        <w:t xml:space="preserve"> </w:t>
      </w:r>
      <w:hyperlink r:id="rId173">
        <w:r>
          <w:rPr>
            <w:rStyle w:val="Hyperlink"/>
          </w:rPr>
          <w:t xml:space="preserve">10.1016/j.actaastro.2016.06.027</w:t>
        </w:r>
      </w:hyperlink>
    </w:p>
    <w:p>
      <w:pPr>
        <w:pStyle w:val="BodyText"/>
        <w:spacing w:line="480" w:lineRule="auto"/>
        <w:ind w:firstLine="720"/>
      </w:pPr>
      <w:bookmarkStart w:id="174" w:name="ref-30"/>
      <w:bookmarkEnd w:id="174"/>
      <w:r>
        <w:t xml:space="preserve">30. Tatsuro Egawa; Kohei Kido; Takumi Yokokawa; Mami Fujibayashi; Katsumasa Goto; Tatsuya Hayashi. Involvement of receptor for advanced glycation end products in microgravity-induced skeletal muscle atrophy in mice (2020). doi:</w:t>
      </w:r>
      <w:r>
        <w:t xml:space="preserve"> </w:t>
      </w:r>
      <w:hyperlink r:id="rId175">
        <w:r>
          <w:rPr>
            <w:rStyle w:val="Hyperlink"/>
          </w:rPr>
          <w:t xml:space="preserve">10.1016/j.actaastro.2020.07.002</w:t>
        </w:r>
      </w:hyperlink>
    </w:p>
    <w:p>
      <w:pPr>
        <w:pStyle w:val="BodyText"/>
        <w:spacing w:line="480" w:lineRule="auto"/>
        <w:ind w:firstLine="720"/>
      </w:pPr>
      <w:bookmarkStart w:id="176" w:name="ref-31"/>
      <w:bookmarkEnd w:id="176"/>
      <w:r>
        <w:t xml:space="preserve">31. Rizwan Qaisar; Megna Srinivas; Muhammad Tehsil Gul; Amir Ali Khan; Anu Vinod Ranade; Josemin Jose; Gopika Ramachandran; Suni Ebby; Firdos Ahmad; Asima Karim. Mesenchymal stem cell transplant as an intervention to ameliorate disuse-induced muscle atrophy in a mouse model of simulated microgravity (2024). doi:</w:t>
      </w:r>
      <w:r>
        <w:t xml:space="preserve"> </w:t>
      </w:r>
      <w:hyperlink r:id="rId177">
        <w:r>
          <w:rPr>
            <w:rStyle w:val="Hyperlink"/>
          </w:rPr>
          <w:t xml:space="preserve">10.1016/j.actaastro.2024.10.060</w:t>
        </w:r>
      </w:hyperlink>
    </w:p>
    <w:p>
      <w:pPr>
        <w:pStyle w:val="BodyText"/>
        <w:spacing w:line="480" w:lineRule="auto"/>
        <w:ind w:firstLine="720"/>
      </w:pPr>
      <w:bookmarkStart w:id="178" w:name="ref-32"/>
      <w:bookmarkEnd w:id="178"/>
      <w:r>
        <w:t xml:space="preserve">32. Kajori Bhatnagar; Anish Dey. Space taxonomy: Need for a progressive tax regime (2024). doi:</w:t>
      </w:r>
      <w:r>
        <w:t xml:space="preserve"> </w:t>
      </w:r>
      <w:hyperlink r:id="rId179">
        <w:r>
          <w:rPr>
            <w:rStyle w:val="Hyperlink"/>
          </w:rPr>
          <w:t xml:space="preserve">10.1016/j.actaastro.2024.03.065</w:t>
        </w:r>
      </w:hyperlink>
    </w:p>
    <w:p>
      <w:pPr>
        <w:pStyle w:val="BodyText"/>
        <w:spacing w:line="480" w:lineRule="auto"/>
        <w:ind w:firstLine="720"/>
      </w:pPr>
      <w:bookmarkStart w:id="180" w:name="ref-33"/>
      <w:bookmarkEnd w:id="180"/>
      <w:r>
        <w:t xml:space="preserve">33.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81">
        <w:r>
          <w:rPr>
            <w:rStyle w:val="Hyperlink"/>
          </w:rPr>
          <w:t xml:space="preserve">10.1016/j.actaastro.2023.07.009</w:t>
        </w:r>
      </w:hyperlink>
    </w:p>
    <w:bookmarkEnd w:id="182"/>
    <w:bookmarkEnd w:id="183"/>
    <w:bookmarkStart w:id="20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1" w:name="X59ff634aae0a1342d6dd3f7cc984d31f8f93305"/>
    <w:p>
      <w:pPr>
        <w:pStyle w:val="Heading2"/>
        <w:spacing w:line="480" w:lineRule="auto"/>
      </w:pPr>
      <w:r>
        <w:t xml:space="preserve">A.1 The Atrophy Tax: Operator-Level Cadence Elasticity to Licensing Friction in U.S. Commercial Launch (2013-2024)</w:t>
      </w:r>
    </w:p>
    <w:p>
      <w:pPr>
        <w:pStyle w:val="FirstParagraph"/>
        <w:spacing w:line="480" w:lineRule="auto"/>
      </w:pPr>
      <m:oMathPara>
        <m:oMathParaPr>
          <m:jc m:val="center"/>
        </m:oMathParaPr>
        <m:oMath>
          <m:r>
            <m:rPr>
              <m:sty m:val="p"/>
            </m:rPr>
            <m:t>ln</m:t>
          </m:r>
          <m:r>
            <m:rPr>
              <m:sty m:val="p"/>
            </m:rPr>
            <m:t>(</m:t>
          </m:r>
          <m:sSub>
            <m:e>
              <m:r>
                <m:rPr>
                  <m:nor/>
                  <m:sty m:val="p"/>
                </m:rPr>
                <m:t>launches</m:t>
              </m:r>
            </m:e>
            <m:sub>
              <m:r>
                <m:t>i</m:t>
              </m:r>
              <m:r>
                <m:t>t</m:t>
              </m:r>
            </m:sub>
          </m:sSub>
          <m:r>
            <m:rPr>
              <m:sty m:val="p"/>
            </m:rPr>
            <m:t>)</m:t>
          </m:r>
          <m:r>
            <m:rPr>
              <m:sty m:val="p"/>
            </m:rPr>
            <m:t>=</m:t>
          </m:r>
          <m:r>
            <m:t>α</m:t>
          </m:r>
          <m:r>
            <m:rPr>
              <m:sty m:val="p"/>
            </m:rPr>
            <m:t>+</m:t>
          </m:r>
          <m:r>
            <m:t>β</m:t>
          </m:r>
          <m:r>
            <m:t> </m:t>
          </m:r>
          <m:r>
            <m:rPr>
              <m:sty m:val="p"/>
            </m:rPr>
            <m:t>ln</m:t>
          </m:r>
          <m:r>
            <m:rPr>
              <m:sty m:val="p"/>
            </m:rPr>
            <m:t>(</m:t>
          </m:r>
          <m:sSub>
            <m:e>
              <m:r>
                <m:rPr>
                  <m:nor/>
                  <m:sty m:val="p"/>
                </m:rPr>
                <m:t>license_processing_months</m:t>
              </m:r>
            </m:e>
            <m:sub>
              <m:r>
                <m:t>i</m:t>
              </m:r>
              <m:r>
                <m:t>t</m:t>
              </m:r>
            </m:sub>
          </m:sSub>
          <m:r>
            <m:rPr>
              <m:sty m:val="p"/>
            </m:rPr>
            <m:t>)</m:t>
          </m:r>
          <m:r>
            <m:rPr>
              <m:sty m:val="p"/>
            </m:rPr>
            <m:t>+</m:t>
          </m:r>
          <m:sSub>
            <m:e>
              <m:r>
                <m:t>ε</m:t>
              </m:r>
            </m:e>
            <m:sub>
              <m:r>
                <m:t>i</m:t>
              </m:r>
              <m:r>
                <m:t>t</m:t>
              </m:r>
            </m:sub>
          </m:sSub>
        </m:oMath>
      </m:oMathPara>
    </w:p>
    <w:bookmarkStart w:id="18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10.4954</w:t>
            </w:r>
          </w:p>
        </w:tc>
        <w:tc>
          <w:tcPr>
            <w:tcW w:w="0" w:type="auto"/>
          </w:tcPr>
          <w:p>
            <w:pPr>
              <w:spacing w:line="240" w:lineRule="auto" w:before="0" w:after="0"/>
              <w:pStyle w:val="Compact"/>
            </w:pPr>
            <w:r>
              <w:rPr>
                <w:sz w:val="20"/>
                <w:szCs w:val="20"/>
              </w:rPr>
              <w:t xml:space="preserve">0.7171</w:t>
            </w:r>
          </w:p>
        </w:tc>
        <w:tc>
          <w:tcPr>
            <w:tcW w:w="0" w:type="auto"/>
          </w:tcPr>
          <w:p>
            <w:pPr>
              <w:spacing w:line="240" w:lineRule="auto" w:before="0" w:after="0"/>
              <w:pStyle w:val="Compact"/>
            </w:pPr>
            <w:r>
              <w:rPr>
                <w:sz w:val="20"/>
                <w:szCs w:val="20"/>
              </w:rPr>
              <w:t xml:space="preserve">14.6365</w:t>
            </w:r>
          </w:p>
        </w:tc>
        <w:tc>
          <w:tcPr>
            <w:tcW w:w="0" w:type="auto"/>
          </w:tcPr>
          <w:p>
            <w:pPr>
              <w:spacing w:line="240" w:lineRule="auto" w:before="0" w:after="0"/>
              <w:pStyle w:val="Compact"/>
            </w:pPr>
            <w:r>
              <w:rPr>
                <w:sz w:val="20"/>
                <w:szCs w:val="20"/>
              </w:rPr>
              <w:t xml:space="preserve">1.644e-48</w:t>
            </w:r>
          </w:p>
        </w:tc>
        <w:tc>
          <w:tcPr>
            <w:tcW w:w="0" w:type="auto"/>
          </w:tcPr>
          <w:p>
            <w:pPr>
              <w:spacing w:line="240" w:lineRule="auto" w:before="0" w:after="0"/>
              <w:pStyle w:val="Compact"/>
            </w:pPr>
            <w:r>
              <w:rPr>
                <w:sz w:val="20"/>
                <w:szCs w:val="20"/>
              </w:rPr>
              <w:t xml:space="preserve">[9.0899, 11.9008]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-4.5026</w:t>
            </w:r>
          </w:p>
        </w:tc>
        <w:tc>
          <w:tcPr>
            <w:tcW w:w="0" w:type="auto"/>
          </w:tcPr>
          <w:p>
            <w:pPr>
              <w:spacing w:line="240" w:lineRule="auto" w:before="0" w:after="0"/>
              <w:pStyle w:val="Compact"/>
            </w:pPr>
            <w:r>
              <w:rPr>
                <w:sz w:val="20"/>
                <w:szCs w:val="20"/>
              </w:rPr>
              <w:t xml:space="preserve">0.3611</w:t>
            </w:r>
          </w:p>
        </w:tc>
        <w:tc>
          <w:tcPr>
            <w:tcW w:w="0" w:type="auto"/>
          </w:tcPr>
          <w:p>
            <w:pPr>
              <w:spacing w:line="240" w:lineRule="auto" w:before="0" w:after="0"/>
              <w:pStyle w:val="Compact"/>
            </w:pPr>
            <w:r>
              <w:rPr>
                <w:sz w:val="20"/>
                <w:szCs w:val="20"/>
              </w:rPr>
              <w:t xml:space="preserve">-12.4706</w:t>
            </w:r>
          </w:p>
        </w:tc>
        <w:tc>
          <w:tcPr>
            <w:tcW w:w="0" w:type="auto"/>
          </w:tcPr>
          <w:p>
            <w:pPr>
              <w:spacing w:line="240" w:lineRule="auto" w:before="0" w:after="0"/>
              <w:pStyle w:val="Compact"/>
            </w:pPr>
            <w:r>
              <w:rPr>
                <w:sz w:val="20"/>
                <w:szCs w:val="20"/>
              </w:rPr>
              <w:t xml:space="preserve">1.079e-35</w:t>
            </w:r>
          </w:p>
        </w:tc>
        <w:tc>
          <w:tcPr>
            <w:tcW w:w="0" w:type="auto"/>
          </w:tcPr>
          <w:p>
            <w:pPr>
              <w:spacing w:line="240" w:lineRule="auto" w:before="0" w:after="0"/>
              <w:pStyle w:val="Compact"/>
            </w:pPr>
            <w:r>
              <w:rPr>
                <w:sz w:val="20"/>
                <w:szCs w:val="20"/>
              </w:rPr>
              <w:t xml:space="preserve">[-5.2102, -3.7949]</w:t>
            </w:r>
          </w:p>
        </w:tc>
      </w:tr>
    </w:tbl>
    <w:p>
      <w:pPr>
        <w:pStyle w:val="BodyText"/>
        <w:spacing w:line="480" w:lineRule="auto"/>
        <w:ind w:firstLine="720"/>
      </w:pPr>
      <w:r>
        <w:t xml:space="preserve">Fit: N = 38 R2 = 0.7889 elasticity_b = -4.5026 progress_ratio_2^b = 0.0441</w:t>
      </w:r>
    </w:p>
    <w:bookmarkEnd w:id="184"/>
    <w:bookmarkStart w:id="18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Log-log fit of operator-year launch cadence on FAA AST license processing time. The slope is the cadence elasticity to licensing friction (the atrophy tax)." title="" id="186" name="Picture"/>
            <a:graphic>
              <a:graphicData uri="http://schemas.openxmlformats.org/drawingml/2006/picture">
                <pic:pic>
                  <pic:nvPicPr>
                    <pic:cNvPr descr="D:/Claude_Code/brain/collegium/candidates/dissertations/PHD-01/research_papers/p1/paper_fig1.png" id="187" name="Picture"/>
                    <pic:cNvPicPr>
                      <a:picLocks noChangeArrowheads="1" noChangeAspect="1"/>
                    </pic:cNvPicPr>
                  </pic:nvPicPr>
                  <pic:blipFill>
                    <a:blip r:embed="rId1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Log-log fit of operator-year launch cadence on FAA AST license processing time. The slope is the cadence elasticity to licensing friction (the atrophy tax).</w:t>
      </w:r>
    </w:p>
    <w:bookmarkEnd w:id="188"/>
    <w:bookmarkStart w:id="18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operator_year</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faa_active_licenses</w:t>
            </w:r>
          </w:p>
        </w:tc>
        <w:tc>
          <w:tcPr>
            <w:tcW w:w="0" w:type="auto"/>
          </w:tcPr>
          <w:p>
            <w:pPr>
              <w:spacing w:line="240" w:lineRule="auto" w:before="0" w:after="0"/>
              <w:pStyle w:val="Compact"/>
            </w:pPr>
            <w:r>
              <w:rPr>
                <w:sz w:val="20"/>
                <w:szCs w:val="20"/>
              </w:rPr>
              <w:t xml:space="preserve">license_processing_months</w:t>
            </w:r>
          </w:p>
        </w:tc>
        <w:tc>
          <w:tcPr>
            <w:tcW w:w="0" w:type="auto"/>
          </w:tcPr>
          <w:p>
            <w:pPr>
              <w:spacing w:line="240" w:lineRule="auto" w:before="0" w:after="0"/>
              <w:pStyle w:val="Compact"/>
            </w:pPr>
            <w:r>
              <w:rPr>
                <w:sz w:val="20"/>
                <w:szCs w:val="20"/>
              </w:rPr>
              <w:t xml:space="preserve">launch_cost_per_kg_usd_k</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SpX-2014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FAA AST 2014 Annual Compendium; FAA AST License List (active+historical) retrieved via https://www.faa.gov/space/licenses_permits; FAA AST Quarterly Launch Report Q4-2014</w:t>
            </w:r>
          </w:p>
        </w:tc>
      </w:tr>
      <w:tr>
        <w:tc>
          <w:tcPr>
            <w:tcW w:w="0" w:type="auto"/>
          </w:tcPr>
          <w:p>
            <w:pPr>
              <w:spacing w:line="240" w:lineRule="auto" w:before="0" w:after="0"/>
              <w:pStyle w:val="Compact"/>
            </w:pPr>
            <w:r>
              <w:rPr>
                <w:sz w:val="20"/>
                <w:szCs w:val="20"/>
              </w:rPr>
              <w:t xml:space="preserve">SpX-2015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FAA AST 2015 Annual Compendium; FAA Order 8060.4D launch license register; Federal Register 80 FR 70675</w:t>
            </w:r>
          </w:p>
        </w:tc>
      </w:tr>
      <w:tr>
        <w:tc>
          <w:tcPr>
            <w:tcW w:w="0" w:type="auto"/>
          </w:tcPr>
          <w:p>
            <w:pPr>
              <w:spacing w:line="240" w:lineRule="auto" w:before="0" w:after="0"/>
              <w:pStyle w:val="Compact"/>
            </w:pPr>
            <w:r>
              <w:rPr>
                <w:sz w:val="20"/>
                <w:szCs w:val="20"/>
              </w:rPr>
              <w:t xml:space="preserve">SpX-2016</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FAA AST 2016 Annual Compendium; FAA AST license list retrieved 2025; 14 CFR Part 415 processing record</w:t>
            </w:r>
          </w:p>
        </w:tc>
      </w:tr>
      <w:tr>
        <w:tc>
          <w:tcPr>
            <w:tcW w:w="0" w:type="auto"/>
          </w:tcPr>
          <w:p>
            <w:pPr>
              <w:spacing w:line="240" w:lineRule="auto" w:before="0" w:after="0"/>
              <w:pStyle w:val="Compact"/>
            </w:pPr>
            <w:r>
              <w:rPr>
                <w:sz w:val="20"/>
                <w:szCs w:val="20"/>
              </w:rPr>
              <w:t xml:space="preserve">SpX-2017</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FAA AST 2017 Annual Compendium; GAO-18-95 Commercial Space Transportation Industry Trends</w:t>
            </w:r>
          </w:p>
        </w:tc>
      </w:tr>
      <w:tr>
        <w:tc>
          <w:tcPr>
            <w:tcW w:w="0" w:type="auto"/>
          </w:tcPr>
          <w:p>
            <w:pPr>
              <w:spacing w:line="240" w:lineRule="auto" w:before="0" w:after="0"/>
              <w:pStyle w:val="Compact"/>
            </w:pPr>
            <w:r>
              <w:rPr>
                <w:sz w:val="20"/>
                <w:szCs w:val="20"/>
              </w:rPr>
              <w:t xml:space="preserve">SpX-2018</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FAA AST 2018 Annual Compendium; Federal Register 83 FR 51316; FAA AST License Decision Letters</w:t>
            </w:r>
          </w:p>
        </w:tc>
      </w:tr>
      <w:tr>
        <w:tc>
          <w:tcPr>
            <w:tcW w:w="0" w:type="auto"/>
          </w:tcPr>
          <w:p>
            <w:pPr>
              <w:spacing w:line="240" w:lineRule="auto" w:before="0" w:after="0"/>
              <w:pStyle w:val="Compact"/>
            </w:pPr>
            <w:r>
              <w:rPr>
                <w:sz w:val="20"/>
                <w:szCs w:val="20"/>
              </w:rPr>
              <w:t xml:space="preserve">SpX-2019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FAA AST 2019 Annual Compendium; GAO-19-617 FAA Commercial Space</w:t>
            </w:r>
          </w:p>
        </w:tc>
      </w:tr>
      <w:tr>
        <w:tc>
          <w:tcPr>
            <w:tcW w:w="0" w:type="auto"/>
          </w:tcPr>
          <w:p>
            <w:pPr>
              <w:spacing w:line="240" w:lineRule="auto" w:before="0" w:after="0"/>
              <w:pStyle w:val="Compact"/>
            </w:pPr>
            <w:r>
              <w:rPr>
                <w:sz w:val="20"/>
                <w:szCs w:val="20"/>
              </w:rPr>
              <w:t xml:space="preserve">SpX-2020</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FAA AST 2020 Annual Compendium; 85 FR 79566 Part 450 final rule; FAA AST License Database</w:t>
            </w:r>
          </w:p>
        </w:tc>
      </w:tr>
      <w:tr>
        <w:tc>
          <w:tcPr>
            <w:tcW w:w="0" w:type="auto"/>
          </w:tcPr>
          <w:p>
            <w:pPr>
              <w:spacing w:line="240" w:lineRule="auto" w:before="0" w:after="0"/>
              <w:pStyle w:val="Compact"/>
            </w:pPr>
            <w:r>
              <w:rPr>
                <w:sz w:val="20"/>
                <w:szCs w:val="20"/>
              </w:rPr>
              <w:t xml:space="preserve">SpX-2021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FAA AST 2021 Annual Compendium; FAA AST Part 450 license issuances 2021</w:t>
            </w:r>
          </w:p>
        </w:tc>
      </w:tr>
      <w:tr>
        <w:tc>
          <w:tcPr>
            <w:tcW w:w="0" w:type="auto"/>
          </w:tcPr>
          <w:p>
            <w:pPr>
              <w:spacing w:line="240" w:lineRule="auto" w:before="0" w:after="0"/>
              <w:pStyle w:val="Compact"/>
            </w:pPr>
            <w:r>
              <w:rPr>
                <w:sz w:val="20"/>
                <w:szCs w:val="20"/>
              </w:rPr>
              <w:t xml:space="preserve">SpX-2022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FAA AST 2022 Annual Compendium; FAA AST Commercial Space Data 2022</w:t>
            </w:r>
          </w:p>
        </w:tc>
      </w:tr>
      <w:tr>
        <w:tc>
          <w:tcPr>
            <w:tcW w:w="0" w:type="auto"/>
          </w:tcPr>
          <w:p>
            <w:pPr>
              <w:spacing w:line="240" w:lineRule="auto" w:before="0" w:after="0"/>
              <w:pStyle w:val="Compact"/>
            </w:pPr>
            <w:r>
              <w:rPr>
                <w:sz w:val="20"/>
                <w:szCs w:val="20"/>
              </w:rPr>
              <w:t xml:space="preserve">SpX-2023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FAA AST 2023 Annual Compendium; GAO-24-106767 Commercial Space Transportation; FAA AST Active License List</w:t>
            </w:r>
          </w:p>
        </w:tc>
      </w:tr>
      <w:tr>
        <w:tc>
          <w:tcPr>
            <w:tcW w:w="0" w:type="auto"/>
          </w:tcPr>
          <w:p>
            <w:pPr>
              <w:spacing w:line="240" w:lineRule="auto" w:before="0" w:after="0"/>
              <w:pStyle w:val="Compact"/>
            </w:pPr>
            <w:r>
              <w:rPr>
                <w:sz w:val="20"/>
                <w:szCs w:val="20"/>
              </w:rPr>
              <w:t xml:space="preserve">SpX-2024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FAA AST 2024 Annual Compendium; FAA AST License Decisions 2024; GAO-25-107591 [illustrative cost extrapolation]</w:t>
            </w:r>
          </w:p>
        </w:tc>
      </w:tr>
      <w:tr>
        <w:tc>
          <w:tcPr>
            <w:tcW w:w="0" w:type="auto"/>
          </w:tcPr>
          <w:p>
            <w:pPr>
              <w:spacing w:line="240" w:lineRule="auto" w:before="0" w:after="0"/>
              <w:pStyle w:val="Compact"/>
            </w:pPr>
            <w:r>
              <w:rPr>
                <w:sz w:val="20"/>
                <w:szCs w:val="20"/>
              </w:rPr>
              <w:t xml:space="preserve">ULA-2014</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FAA AST 2014 Annual Compendium; ULA press kits 2014; Aerospace Corp ATR-2018</w:t>
            </w:r>
          </w:p>
        </w:tc>
      </w:tr>
      <w:tr>
        <w:tc>
          <w:tcPr>
            <w:tcW w:w="0" w:type="auto"/>
          </w:tcPr>
          <w:p>
            <w:pPr>
              <w:spacing w:line="240" w:lineRule="auto" w:before="0" w:after="0"/>
              <w:pStyle w:val="Compact"/>
            </w:pPr>
            <w:r>
              <w:rPr>
                <w:sz w:val="20"/>
                <w:szCs w:val="20"/>
              </w:rPr>
              <w:t xml:space="preserve">ULA-2017</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FAA AST 2017 Annual Compendium; ULA Atlas V/Delta IV license register; GAO-18-95</w:t>
            </w:r>
          </w:p>
        </w:tc>
      </w:tr>
      <w:tr>
        <w:tc>
          <w:tcPr>
            <w:tcW w:w="0" w:type="auto"/>
          </w:tcPr>
          <w:p>
            <w:pPr>
              <w:spacing w:line="240" w:lineRule="auto" w:before="0" w:after="0"/>
              <w:pStyle w:val="Compact"/>
            </w:pPr>
            <w:r>
              <w:rPr>
                <w:sz w:val="20"/>
                <w:szCs w:val="20"/>
              </w:rPr>
              <w:t xml:space="preserve">ULA-2020</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FAA AST 2020 Annual Compendium; ULA mission archive; FAA AST license list</w:t>
            </w:r>
          </w:p>
        </w:tc>
      </w:tr>
      <w:tr>
        <w:tc>
          <w:tcPr>
            <w:tcW w:w="0" w:type="auto"/>
          </w:tcPr>
          <w:p>
            <w:pPr>
              <w:spacing w:line="240" w:lineRule="auto" w:before="0" w:after="0"/>
              <w:pStyle w:val="Compact"/>
            </w:pPr>
            <w:r>
              <w:rPr>
                <w:sz w:val="20"/>
                <w:szCs w:val="20"/>
              </w:rPr>
              <w:t xml:space="preserve">ULA-2022</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FAA AST 2022 Annual Compendium; ULA Vulcan certification documents; FAA AST</w:t>
            </w:r>
          </w:p>
        </w:tc>
      </w:tr>
      <w:tr>
        <w:tc>
          <w:tcPr>
            <w:tcW w:w="0" w:type="auto"/>
          </w:tcPr>
          <w:p>
            <w:pPr>
              <w:spacing w:line="240" w:lineRule="auto" w:before="0" w:after="0"/>
              <w:pStyle w:val="Compact"/>
            </w:pPr>
            <w:r>
              <w:rPr>
                <w:sz w:val="20"/>
                <w:szCs w:val="20"/>
              </w:rPr>
              <w:t xml:space="preserve">ULA-2024</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FAA AST 2024 Annual Compendium; ULA Vulcan first-flight license; GAO-25-107591</w:t>
            </w:r>
          </w:p>
        </w:tc>
      </w:tr>
      <w:tr>
        <w:tc>
          <w:tcPr>
            <w:tcW w:w="0" w:type="auto"/>
          </w:tcPr>
          <w:p>
            <w:pPr>
              <w:spacing w:line="240" w:lineRule="auto" w:before="0" w:after="0"/>
              <w:pStyle w:val="Compact"/>
            </w:pPr>
            <w:r>
              <w:rPr>
                <w:sz w:val="20"/>
                <w:szCs w:val="20"/>
              </w:rPr>
              <w:t xml:space="preserve">OSC-2014</w:t>
            </w:r>
          </w:p>
        </w:tc>
        <w:tc>
          <w:tcPr>
            <w:tcW w:w="0" w:type="auto"/>
          </w:tcPr>
          <w:p>
            <w:pPr>
              <w:spacing w:line="240" w:lineRule="auto" w:before="0" w:after="0"/>
              <w:pStyle w:val="Compact"/>
            </w:pPr>
            <w:r>
              <w:rPr>
                <w:sz w:val="20"/>
                <w:szCs w:val="20"/>
              </w:rPr>
              <w:t xml:space="preserve">Orbital Sciences/Northrop</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FAA AST 2014 Annual Compendium; Orbital ATK Antares license record; Aerospace Corp ATR-2018 [illustrative cost extrapolation]</w:t>
            </w:r>
          </w:p>
        </w:tc>
      </w:tr>
      <w:tr>
        <w:tc>
          <w:tcPr>
            <w:tcW w:w="0" w:type="auto"/>
          </w:tcPr>
          <w:p>
            <w:pPr>
              <w:spacing w:line="240" w:lineRule="auto" w:before="0" w:after="0"/>
              <w:pStyle w:val="Compact"/>
            </w:pPr>
            <w:r>
              <w:rPr>
                <w:sz w:val="20"/>
                <w:szCs w:val="20"/>
              </w:rPr>
              <w:t xml:space="preserve">OSC-2017</w:t>
            </w:r>
          </w:p>
        </w:tc>
        <w:tc>
          <w:tcPr>
            <w:tcW w:w="0" w:type="auto"/>
          </w:tcPr>
          <w:p>
            <w:pPr>
              <w:spacing w:line="240" w:lineRule="auto" w:before="0" w:after="0"/>
              <w:pStyle w:val="Compact"/>
            </w:pPr>
            <w:r>
              <w:rPr>
                <w:sz w:val="20"/>
                <w:szCs w:val="20"/>
              </w:rPr>
              <w:t xml:space="preserve">Orbital Sciences/Northrop</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FAA AST 2017 Annual Compendium; FAA AST Antares license modifications</w:t>
            </w:r>
          </w:p>
        </w:tc>
      </w:tr>
      <w:tr>
        <w:tc>
          <w:tcPr>
            <w:tcW w:w="0" w:type="auto"/>
          </w:tcPr>
          <w:p>
            <w:pPr>
              <w:spacing w:line="240" w:lineRule="auto" w:before="0" w:after="0"/>
              <w:pStyle w:val="Compact"/>
            </w:pPr>
            <w:r>
              <w:rPr>
                <w:sz w:val="20"/>
                <w:szCs w:val="20"/>
              </w:rPr>
              <w:t xml:space="preserve">OSC-2020</w:t>
            </w:r>
          </w:p>
        </w:tc>
        <w:tc>
          <w:tcPr>
            <w:tcW w:w="0" w:type="auto"/>
          </w:tcPr>
          <w:p>
            <w:pPr>
              <w:spacing w:line="240" w:lineRule="auto" w:before="0" w:after="0"/>
              <w:pStyle w:val="Compact"/>
            </w:pPr>
            <w:r>
              <w:rPr>
                <w:sz w:val="20"/>
                <w:szCs w:val="20"/>
              </w:rPr>
              <w:t xml:space="preserve">Orbital Sciences/Northrop</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FAA AST 2020 Annual Compendium; Northrop Grumman Antares manifest</w:t>
            </w:r>
          </w:p>
        </w:tc>
      </w:tr>
      <w:tr>
        <w:tc>
          <w:tcPr>
            <w:tcW w:w="0" w:type="auto"/>
          </w:tcPr>
          <w:p>
            <w:pPr>
              <w:spacing w:line="240" w:lineRule="auto" w:before="0" w:after="0"/>
              <w:pStyle w:val="Compact"/>
            </w:pPr>
            <w:r>
              <w:rPr>
                <w:sz w:val="20"/>
                <w:szCs w:val="20"/>
              </w:rPr>
              <w:t xml:space="preserve">OSC-2023</w:t>
            </w:r>
          </w:p>
        </w:tc>
        <w:tc>
          <w:tcPr>
            <w:tcW w:w="0" w:type="auto"/>
          </w:tcPr>
          <w:p>
            <w:pPr>
              <w:spacing w:line="240" w:lineRule="auto" w:before="0" w:after="0"/>
              <w:pStyle w:val="Compact"/>
            </w:pPr>
            <w:r>
              <w:rPr>
                <w:sz w:val="20"/>
                <w:szCs w:val="20"/>
              </w:rPr>
              <w:t xml:space="preserve">Orbital Sciences/Northrop</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FAA AST 2023 Annual Compendium; Northrop Antares 230+ license amendments</w:t>
            </w:r>
          </w:p>
        </w:tc>
      </w:tr>
      <w:tr>
        <w:tc>
          <w:tcPr>
            <w:tcW w:w="0" w:type="auto"/>
          </w:tcPr>
          <w:p>
            <w:pPr>
              <w:spacing w:line="240" w:lineRule="auto" w:before="0" w:after="0"/>
              <w:pStyle w:val="Compact"/>
            </w:pPr>
            <w:r>
              <w:rPr>
                <w:sz w:val="20"/>
                <w:szCs w:val="20"/>
              </w:rPr>
              <w:t xml:space="preserve">RKL-2018</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AST 2018 Annual Compendium; Rocket Lab Electron LC-1/LC-2 licensing; Federal Register 83 FR 79566</w:t>
            </w:r>
          </w:p>
        </w:tc>
      </w:tr>
      <w:tr>
        <w:tc>
          <w:tcPr>
            <w:tcW w:w="0" w:type="auto"/>
          </w:tcPr>
          <w:p>
            <w:pPr>
              <w:spacing w:line="240" w:lineRule="auto" w:before="0" w:after="0"/>
              <w:pStyle w:val="Compact"/>
            </w:pPr>
            <w:r>
              <w:rPr>
                <w:sz w:val="20"/>
                <w:szCs w:val="20"/>
              </w:rPr>
              <w:t xml:space="preserve">RKL-2020</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FAA AST 2020 Annual Compendium; Rocket Lab S-1 filings 2020; FAA AST Electron Wallops license</w:t>
            </w:r>
          </w:p>
        </w:tc>
      </w:tr>
      <w:tr>
        <w:tc>
          <w:tcPr>
            <w:tcW w:w="0" w:type="auto"/>
          </w:tcPr>
          <w:p>
            <w:pPr>
              <w:spacing w:line="240" w:lineRule="auto" w:before="0" w:after="0"/>
              <w:pStyle w:val="Compact"/>
            </w:pPr>
            <w:r>
              <w:rPr>
                <w:sz w:val="20"/>
                <w:szCs w:val="20"/>
              </w:rPr>
              <w:t xml:space="preserve">RKL-2022</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FAA AST 2022 Annual Compendium; Rocket Lab annual report 2022; FAA AST license list</w:t>
            </w:r>
          </w:p>
        </w:tc>
      </w:tr>
      <w:tr>
        <w:tc>
          <w:tcPr>
            <w:tcW w:w="0" w:type="auto"/>
          </w:tcPr>
          <w:p>
            <w:pPr>
              <w:spacing w:line="240" w:lineRule="auto" w:before="0" w:after="0"/>
              <w:pStyle w:val="Compact"/>
            </w:pPr>
            <w:r>
              <w:rPr>
                <w:sz w:val="20"/>
                <w:szCs w:val="20"/>
              </w:rPr>
              <w:t xml:space="preserve">RKL-2024</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FAA AST 2024 Annual Compendium; Rocket Lab annual report 2024 form 10-K</w:t>
            </w:r>
          </w:p>
        </w:tc>
      </w:tr>
      <w:tr>
        <w:tc>
          <w:tcPr>
            <w:tcW w:w="0" w:type="auto"/>
          </w:tcPr>
          <w:p>
            <w:pPr>
              <w:spacing w:line="240" w:lineRule="auto" w:before="0" w:after="0"/>
              <w:pStyle w:val="Compact"/>
            </w:pPr>
            <w:r>
              <w:rPr>
                <w:sz w:val="20"/>
                <w:szCs w:val="20"/>
              </w:rPr>
              <w:t xml:space="preserve">VG-2021</w:t>
            </w:r>
          </w:p>
        </w:tc>
        <w:tc>
          <w:tcPr>
            <w:tcW w:w="0" w:type="auto"/>
          </w:tcPr>
          <w:p>
            <w:pPr>
              <w:spacing w:line="240" w:lineRule="auto" w:before="0" w:after="0"/>
              <w:pStyle w:val="Compact"/>
            </w:pPr>
            <w:r>
              <w:rPr>
                <w:sz w:val="20"/>
                <w:szCs w:val="20"/>
              </w:rPr>
              <w:t xml:space="preserve">Virgin Orbit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FAA AST 2021 Annual Compendium; Virgin Orbit LauncherOne license; SEC filings VORB 2021 [illustrative cost]</w:t>
            </w:r>
          </w:p>
        </w:tc>
      </w:tr>
      <w:tr>
        <w:tc>
          <w:tcPr>
            <w:tcW w:w="0" w:type="auto"/>
          </w:tcPr>
          <w:p>
            <w:pPr>
              <w:spacing w:line="240" w:lineRule="auto" w:before="0" w:after="0"/>
              <w:pStyle w:val="Compact"/>
            </w:pPr>
            <w:r>
              <w:rPr>
                <w:sz w:val="20"/>
                <w:szCs w:val="20"/>
              </w:rPr>
              <w:t xml:space="preserve">VG-2022</w:t>
            </w:r>
          </w:p>
        </w:tc>
        <w:tc>
          <w:tcPr>
            <w:tcW w:w="0" w:type="auto"/>
          </w:tcPr>
          <w:p>
            <w:pPr>
              <w:spacing w:line="240" w:lineRule="auto" w:before="0" w:after="0"/>
              <w:pStyle w:val="Compact"/>
            </w:pPr>
            <w:r>
              <w:rPr>
                <w:sz w:val="20"/>
                <w:szCs w:val="20"/>
              </w:rPr>
              <w:t xml:space="preserve">Virgin Orbit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FAA AST 2022 Annual Compendium; Virgin Orbit license modifications; SEC 10-K 2022</w:t>
            </w:r>
          </w:p>
        </w:tc>
      </w:tr>
      <w:tr>
        <w:tc>
          <w:tcPr>
            <w:tcW w:w="0" w:type="auto"/>
          </w:tcPr>
          <w:p>
            <w:pPr>
              <w:spacing w:line="240" w:lineRule="auto" w:before="0" w:after="0"/>
              <w:pStyle w:val="Compact"/>
            </w:pPr>
            <w:r>
              <w:rPr>
                <w:sz w:val="20"/>
                <w:szCs w:val="20"/>
              </w:rPr>
              <w:t xml:space="preserve">BO-2021</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AST 2021 Annual Compendium; Blue Origin New Shepard license NS19 record; FAA AST license decisions [illustrative cost]</w:t>
            </w:r>
          </w:p>
        </w:tc>
      </w:tr>
      <w:tr>
        <w:tc>
          <w:tcPr>
            <w:tcW w:w="0" w:type="auto"/>
          </w:tcPr>
          <w:p>
            <w:pPr>
              <w:spacing w:line="240" w:lineRule="auto" w:before="0" w:after="0"/>
              <w:pStyle w:val="Compact"/>
            </w:pPr>
            <w:r>
              <w:rPr>
                <w:sz w:val="20"/>
                <w:szCs w:val="20"/>
              </w:rPr>
              <w:t xml:space="preserve">BO-2022</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AST 2022 Annual Compendium; Blue Origin New Shepard mission archive; FAA AST license list</w:t>
            </w:r>
          </w:p>
        </w:tc>
      </w:tr>
      <w:tr>
        <w:tc>
          <w:tcPr>
            <w:tcW w:w="0" w:type="auto"/>
          </w:tcPr>
          <w:p>
            <w:pPr>
              <w:spacing w:line="240" w:lineRule="auto" w:before="0" w:after="0"/>
              <w:pStyle w:val="Compact"/>
            </w:pPr>
            <w:r>
              <w:rPr>
                <w:sz w:val="20"/>
                <w:szCs w:val="20"/>
              </w:rPr>
              <w:t xml:space="preserve">BO-2024</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FAA AST 2024 Annual Compendium; Blue Origin New Glenn license; GAO-25-107591</w:t>
            </w:r>
          </w:p>
        </w:tc>
      </w:tr>
      <w:tr>
        <w:tc>
          <w:tcPr>
            <w:tcW w:w="0" w:type="auto"/>
          </w:tcPr>
          <w:p>
            <w:pPr>
              <w:spacing w:line="240" w:lineRule="auto" w:before="0" w:after="0"/>
              <w:pStyle w:val="Compact"/>
            </w:pPr>
            <w:r>
              <w:rPr>
                <w:sz w:val="20"/>
                <w:szCs w:val="20"/>
              </w:rPr>
              <w:t xml:space="preserve">ABL-2023</w:t>
            </w:r>
          </w:p>
        </w:tc>
        <w:tc>
          <w:tcPr>
            <w:tcW w:w="0" w:type="auto"/>
          </w:tcPr>
          <w:p>
            <w:pPr>
              <w:spacing w:line="240" w:lineRule="auto" w:before="0" w:after="0"/>
              <w:pStyle w:val="Compact"/>
            </w:pPr>
            <w:r>
              <w:rPr>
                <w:sz w:val="20"/>
                <w:szCs w:val="20"/>
              </w:rPr>
              <w:t xml:space="preserve">ABL Space Systems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FAA AST 2023 Annual Compendium; ABL RS1 mishap investigation record; FAA AST license issuance 2022 [illustrative cost]</w:t>
            </w:r>
          </w:p>
        </w:tc>
      </w:tr>
      <w:tr>
        <w:tc>
          <w:tcPr>
            <w:tcW w:w="0" w:type="auto"/>
          </w:tcPr>
          <w:p>
            <w:pPr>
              <w:spacing w:line="240" w:lineRule="auto" w:before="0" w:after="0"/>
              <w:pStyle w:val="Compact"/>
            </w:pPr>
            <w:r>
              <w:rPr>
                <w:sz w:val="20"/>
                <w:szCs w:val="20"/>
              </w:rPr>
              <w:t xml:space="preserve">FH-2023</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FAA AST 2023 Annual Compendium; Firefly Alpha license; FAA AST license decision letters</w:t>
            </w:r>
          </w:p>
        </w:tc>
      </w:tr>
      <w:tr>
        <w:tc>
          <w:tcPr>
            <w:tcW w:w="0" w:type="auto"/>
          </w:tcPr>
          <w:p>
            <w:pPr>
              <w:spacing w:line="240" w:lineRule="auto" w:before="0" w:after="0"/>
              <w:pStyle w:val="Compact"/>
            </w:pPr>
            <w:r>
              <w:rPr>
                <w:sz w:val="20"/>
                <w:szCs w:val="20"/>
              </w:rPr>
              <w:t xml:space="preserve">FH-2024</w:t>
            </w:r>
          </w:p>
        </w:tc>
        <w:tc>
          <w:tcPr>
            <w:tcW w:w="0" w:type="auto"/>
          </w:tcPr>
          <w:p>
            <w:pPr>
              <w:spacing w:line="240" w:lineRule="auto" w:before="0" w:after="0"/>
              <w:pStyle w:val="Compact"/>
            </w:pPr>
            <w:r>
              <w:rPr>
                <w:sz w:val="20"/>
                <w:szCs w:val="20"/>
              </w:rPr>
              <w:t xml:space="preserve">Firefly Aerospace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FAA AST 2024 Annual Compendium; Firefly Aerospace S-1 filing 2024; FAA AST</w:t>
            </w:r>
          </w:p>
        </w:tc>
      </w:tr>
      <w:tr>
        <w:tc>
          <w:tcPr>
            <w:tcW w:w="0" w:type="auto"/>
          </w:tcPr>
          <w:p>
            <w:pPr>
              <w:spacing w:line="240" w:lineRule="auto" w:before="0" w:after="0"/>
              <w:pStyle w:val="Compact"/>
            </w:pPr>
            <w:r>
              <w:rPr>
                <w:sz w:val="20"/>
                <w:szCs w:val="20"/>
              </w:rPr>
              <w:t xml:space="preserve">RKL-2019</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FAA AST 2019 Annual Compendium; Rocket Lab Electron LC-1 record; GAO-19-617</w:t>
            </w:r>
          </w:p>
        </w:tc>
      </w:tr>
      <w:tr>
        <w:tc>
          <w:tcPr>
            <w:tcW w:w="0" w:type="auto"/>
          </w:tcPr>
          <w:p>
            <w:pPr>
              <w:spacing w:line="240" w:lineRule="auto" w:before="0" w:after="0"/>
              <w:pStyle w:val="Compact"/>
            </w:pPr>
            <w:r>
              <w:rPr>
                <w:sz w:val="20"/>
                <w:szCs w:val="20"/>
              </w:rPr>
              <w:t xml:space="preserve">SpX-2013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AST 2013 Annual Compendium; FAA AST License List historical; SpaceX press kits 2013</w:t>
            </w:r>
          </w:p>
        </w:tc>
      </w:tr>
      <w:tr>
        <w:tc>
          <w:tcPr>
            <w:tcW w:w="0" w:type="auto"/>
          </w:tcPr>
          <w:p>
            <w:pPr>
              <w:spacing w:line="240" w:lineRule="auto" w:before="0" w:after="0"/>
              <w:pStyle w:val="Compact"/>
            </w:pPr>
            <w:r>
              <w:rPr>
                <w:sz w:val="20"/>
                <w:szCs w:val="20"/>
              </w:rPr>
              <w:t xml:space="preserve">ULA-2018</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FAA AST 2018 Annual Compendium; ULA Atlas V/Delta IV mission archive; FAA AST license register</w:t>
            </w:r>
          </w:p>
        </w:tc>
      </w:tr>
      <w:tr>
        <w:tc>
          <w:tcPr>
            <w:tcW w:w="0" w:type="auto"/>
          </w:tcPr>
          <w:p>
            <w:pPr>
              <w:spacing w:line="240" w:lineRule="auto" w:before="0" w:after="0"/>
              <w:pStyle w:val="Compact"/>
            </w:pPr>
            <w:r>
              <w:rPr>
                <w:sz w:val="20"/>
                <w:szCs w:val="20"/>
              </w:rPr>
              <w:t xml:space="preserve">ULA-2016</w:t>
            </w:r>
          </w:p>
        </w:tc>
        <w:tc>
          <w:tcPr>
            <w:tcW w:w="0" w:type="auto"/>
          </w:tcPr>
          <w:p>
            <w:pPr>
              <w:spacing w:line="240" w:lineRule="auto" w:before="0" w:after="0"/>
              <w:pStyle w:val="Compact"/>
            </w:pPr>
            <w:r>
              <w:rPr>
                <w:sz w:val="20"/>
                <w:szCs w:val="20"/>
              </w:rPr>
              <w:t xml:space="preserve">United Launch Alliance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FAA AST 2016 Annual Compendium; ULA mission archive; FAA AST historical license list</w:t>
            </w:r>
          </w:p>
        </w:tc>
      </w:tr>
      <w:tr>
        <w:tc>
          <w:tcPr>
            <w:tcW w:w="0" w:type="auto"/>
          </w:tcPr>
          <w:p>
            <w:pPr>
              <w:spacing w:line="240" w:lineRule="auto" w:before="0" w:after="0"/>
              <w:pStyle w:val="Compact"/>
            </w:pPr>
            <w:r>
              <w:rPr>
                <w:sz w:val="20"/>
                <w:szCs w:val="20"/>
              </w:rPr>
              <w:t xml:space="preserve">OSC-2015</w:t>
            </w:r>
          </w:p>
        </w:tc>
        <w:tc>
          <w:tcPr>
            <w:tcW w:w="0" w:type="auto"/>
          </w:tcPr>
          <w:p>
            <w:pPr>
              <w:spacing w:line="240" w:lineRule="auto" w:before="0" w:after="0"/>
              <w:pStyle w:val="Compact"/>
            </w:pPr>
            <w:r>
              <w:rPr>
                <w:sz w:val="20"/>
                <w:szCs w:val="20"/>
              </w:rPr>
              <w:t xml:space="preserve">Orbital Sciences/Northrop</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FAA AST 2015 Annual Compendium; Orbital ATK FY2015 record post-Antares mishap; FAA AST license modification record</w:t>
            </w:r>
          </w:p>
        </w:tc>
      </w:tr>
      <w:tr>
        <w:tc>
          <w:tcPr>
            <w:tcW w:w="0" w:type="auto"/>
          </w:tcPr>
          <w:p>
            <w:pPr>
              <w:spacing w:line="240" w:lineRule="auto" w:before="0" w:after="0"/>
              <w:pStyle w:val="Compact"/>
            </w:pPr>
            <w:r>
              <w:rPr>
                <w:sz w:val="20"/>
                <w:szCs w:val="20"/>
              </w:rPr>
              <w:t xml:space="preserve">RKL-2021</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FAA AST 2021 Annual Compendium; Rocket Lab S-1 filings 2021; FAA AST Electron license</w:t>
            </w:r>
          </w:p>
        </w:tc>
      </w:tr>
    </w:tbl>
    <w:bookmarkEnd w:id="189"/>
    <w:bookmarkStart w:id="19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Count of FAA AST licensed launch events conducted by operator i in year t</w:t>
            </w:r>
          </w:p>
        </w:tc>
        <w:tc>
          <w:tcPr>
            <w:tcW w:w="0" w:type="auto"/>
          </w:tcPr>
          <w:p>
            <w:pPr>
              <w:spacing w:line="240" w:lineRule="auto" w:before="0" w:after="0"/>
              <w:pStyle w:val="Compact"/>
            </w:pPr>
            <w:r>
              <w:rPr>
                <w:sz w:val="20"/>
                <w:szCs w:val="20"/>
              </w:rPr>
              <w:t xml:space="preserve">FAA AST Annual Compendium of Commercial Space Transportation (2013-2024)</w:t>
            </w:r>
          </w:p>
        </w:tc>
      </w:tr>
      <w:tr>
        <w:tc>
          <w:tcPr>
            <w:tcW w:w="0" w:type="auto"/>
          </w:tcPr>
          <w:p>
            <w:pPr>
              <w:spacing w:line="240" w:lineRule="auto" w:before="0" w:after="0"/>
              <w:pStyle w:val="Compact"/>
            </w:pPr>
            <w:r>
              <w:rPr>
                <w:sz w:val="20"/>
                <w:szCs w:val="20"/>
              </w:rPr>
              <w:t xml:space="preserve">faa_active_licenses</w:t>
            </w:r>
          </w:p>
        </w:tc>
        <w:tc>
          <w:tcPr>
            <w:tcW w:w="0" w:type="auto"/>
          </w:tcPr>
          <w:p>
            <w:pPr>
              <w:spacing w:line="240" w:lineRule="auto" w:before="0" w:after="0"/>
              <w:pStyle w:val="Compact"/>
            </w:pPr>
            <w:r>
              <w:rPr>
                <w:sz w:val="20"/>
                <w:szCs w:val="20"/>
              </w:rPr>
              <w:t xml:space="preserve">Count of FAA AST active launch and reentry licenses in force in calendar year t</w:t>
            </w:r>
          </w:p>
        </w:tc>
        <w:tc>
          <w:tcPr>
            <w:tcW w:w="0" w:type="auto"/>
          </w:tcPr>
          <w:p>
            <w:pPr>
              <w:spacing w:line="240" w:lineRule="auto" w:before="0" w:after="0"/>
              <w:pStyle w:val="Compact"/>
            </w:pPr>
            <w:r>
              <w:rPr>
                <w:sz w:val="20"/>
                <w:szCs w:val="20"/>
              </w:rPr>
              <w:t xml:space="preserve">FAA AST license list (active and historical) retrieved from faa.gov/space/licenses_permits</w:t>
            </w:r>
          </w:p>
        </w:tc>
      </w:tr>
      <w:tr>
        <w:tc>
          <w:tcPr>
            <w:tcW w:w="0" w:type="auto"/>
          </w:tcPr>
          <w:p>
            <w:pPr>
              <w:spacing w:line="240" w:lineRule="auto" w:before="0" w:after="0"/>
              <w:pStyle w:val="Compact"/>
            </w:pPr>
            <w:r>
              <w:rPr>
                <w:sz w:val="20"/>
                <w:szCs w:val="20"/>
              </w:rPr>
              <w:t xml:space="preserve">license_processing_months</w:t>
            </w:r>
          </w:p>
        </w:tc>
        <w:tc>
          <w:tcPr>
            <w:tcW w:w="0" w:type="auto"/>
          </w:tcPr>
          <w:p>
            <w:pPr>
              <w:spacing w:line="240" w:lineRule="auto" w:before="0" w:after="0"/>
              <w:pStyle w:val="Compact"/>
            </w:pPr>
            <w:r>
              <w:rPr>
                <w:sz w:val="20"/>
                <w:szCs w:val="20"/>
              </w:rPr>
              <w:t xml:space="preserve">Median months from license application acceptance to issuance under 14 CFR Part 415/431/450, by operator-year regime</w:t>
            </w:r>
          </w:p>
        </w:tc>
        <w:tc>
          <w:tcPr>
            <w:tcW w:w="0" w:type="auto"/>
          </w:tcPr>
          <w:p>
            <w:pPr>
              <w:spacing w:line="240" w:lineRule="auto" w:before="0" w:after="0"/>
              <w:pStyle w:val="Compact"/>
            </w:pPr>
            <w:r>
              <w:rPr>
                <w:sz w:val="20"/>
                <w:szCs w:val="20"/>
              </w:rPr>
              <w:t xml:space="preserve">FAA AST License Decisions; Federal Register notices; GAO-18-95, GAO-19-617, GAO-24-106767</w:t>
            </w:r>
          </w:p>
        </w:tc>
      </w:tr>
      <w:tr>
        <w:tc>
          <w:tcPr>
            <w:tcW w:w="0" w:type="auto"/>
          </w:tcPr>
          <w:p>
            <w:pPr>
              <w:spacing w:line="240" w:lineRule="auto" w:before="0" w:after="0"/>
              <w:pStyle w:val="Compact"/>
            </w:pPr>
            <w:r>
              <w:rPr>
                <w:sz w:val="20"/>
                <w:szCs w:val="20"/>
              </w:rPr>
              <w:t xml:space="preserve">launch_cost_per_kg_usd_k</w:t>
            </w:r>
          </w:p>
        </w:tc>
        <w:tc>
          <w:tcPr>
            <w:tcW w:w="0" w:type="auto"/>
          </w:tcPr>
          <w:p>
            <w:pPr>
              <w:spacing w:line="240" w:lineRule="auto" w:before="0" w:after="0"/>
              <w:pStyle w:val="Compact"/>
            </w:pPr>
            <w:r>
              <w:rPr>
                <w:sz w:val="20"/>
                <w:szCs w:val="20"/>
              </w:rPr>
              <w:t xml:space="preserve">Inflation-adjusted launch cost per kilogram to LEO, thousands USD (control)</w:t>
            </w:r>
          </w:p>
        </w:tc>
        <w:tc>
          <w:tcPr>
            <w:tcW w:w="0" w:type="auto"/>
          </w:tcPr>
          <w:p>
            <w:pPr>
              <w:spacing w:line="240" w:lineRule="auto" w:before="0" w:after="0"/>
              <w:pStyle w:val="Compact"/>
            </w:pPr>
            <w:r>
              <w:rPr>
                <w:sz w:val="20"/>
                <w:szCs w:val="20"/>
              </w:rPr>
              <w:t xml:space="preserve">Aerospace Corporation ATR-2018, SD08 (OCEA Forecasting the Space Economy), SD13</w:t>
            </w:r>
          </w:p>
        </w:tc>
      </w:tr>
    </w:tbl>
    <w:bookmarkEnd w:id="190"/>
    <w:bookmarkEnd w:id="191"/>
    <w:bookmarkStart w:id="199" w:name="Xaec57fe89de171c481dec32ab9dbf025878a003"/>
    <w:p>
      <w:pPr>
        <w:pStyle w:val="Heading2"/>
        <w:spacing w:line="480" w:lineRule="auto"/>
      </w:pPr>
      <w:r>
        <w:t xml:space="preserve">A.2 Beyond Processing Time: A Multi-Friction OLS Model of Operator-Year Launch Cadence (2015-2024)</w:t>
      </w:r>
    </w:p>
    <w:p>
      <w:pPr>
        <w:pStyle w:val="FirstParagraph"/>
        <w:spacing w:line="480" w:lineRule="auto"/>
      </w:pPr>
      <m:oMathPara>
        <m:oMathParaPr>
          <m:jc m:val="center"/>
        </m:oMathParaPr>
        <m:oMath>
          <m:sSub>
            <m:e>
              <m:r>
                <m:rPr>
                  <m:nor/>
                  <m:sty m:val="p"/>
                </m:rPr>
                <m:t>launches</m:t>
              </m:r>
            </m:e>
            <m:sub>
              <m:r>
                <m:t>i</m:t>
              </m:r>
              <m:r>
                <m:t>t</m:t>
              </m:r>
            </m:sub>
          </m:sSub>
          <m:r>
            <m:rPr>
              <m:sty m:val="p"/>
            </m:rPr>
            <m:t>=</m:t>
          </m:r>
          <m:r>
            <m:t>α</m:t>
          </m:r>
          <m:r>
            <m:rPr>
              <m:sty m:val="p"/>
            </m:rPr>
            <m:t>+</m:t>
          </m:r>
          <m:sSub>
            <m:e>
              <m:r>
                <m:t>β</m:t>
              </m:r>
            </m:e>
            <m:sub>
              <m:r>
                <m:t>1</m:t>
              </m:r>
            </m:sub>
          </m:sSub>
          <m:r>
            <m:t> </m:t>
          </m:r>
          <m:sSub>
            <m:e>
              <m:r>
                <m:rPr>
                  <m:nor/>
                  <m:sty m:val="p"/>
                </m:rPr>
                <m:t>mishap_pause_days</m:t>
              </m:r>
            </m:e>
            <m:sub>
              <m:r>
                <m:t>i</m:t>
              </m:r>
              <m:r>
                <m:t>t</m:t>
              </m:r>
            </m:sub>
          </m:sSub>
          <m:r>
            <m:rPr>
              <m:sty m:val="p"/>
            </m:rPr>
            <m:t>+</m:t>
          </m:r>
          <m:sSub>
            <m:e>
              <m:r>
                <m:t>β</m:t>
              </m:r>
            </m:e>
            <m:sub>
              <m:r>
                <m:t>2</m:t>
              </m:r>
            </m:sub>
          </m:sSub>
          <m:r>
            <m:t> </m:t>
          </m:r>
          <m:sSub>
            <m:e>
              <m:r>
                <m:rPr>
                  <m:nor/>
                  <m:sty m:val="p"/>
                </m:rPr>
                <m:t>part450_backlog</m:t>
              </m:r>
            </m:e>
            <m:sub>
              <m:r>
                <m:t>i</m:t>
              </m:r>
              <m:r>
                <m:t>t</m:t>
              </m:r>
            </m:sub>
          </m:sSub>
          <m:r>
            <m:rPr>
              <m:sty m:val="p"/>
            </m:rPr>
            <m:t>+</m:t>
          </m:r>
          <m:sSub>
            <m:e>
              <m:r>
                <m:t>β</m:t>
              </m:r>
            </m:e>
            <m:sub>
              <m:r>
                <m:t>3</m:t>
              </m:r>
            </m:sub>
          </m:sSub>
          <m:r>
            <m:t> </m:t>
          </m:r>
          <m:sSub>
            <m:e>
              <m:r>
                <m:rPr>
                  <m:nor/>
                  <m:sty m:val="p"/>
                </m:rPr>
                <m:t>active_pad_count</m:t>
              </m:r>
            </m:e>
            <m:sub>
              <m:r>
                <m:t>i</m:t>
              </m:r>
              <m:r>
                <m:t>t</m:t>
              </m:r>
            </m:sub>
          </m:sSub>
          <m:r>
            <m:rPr>
              <m:sty m:val="p"/>
            </m:rPr>
            <m:t>+</m:t>
          </m:r>
          <m:sSub>
            <m:e>
              <m:r>
                <m:t>β</m:t>
              </m:r>
            </m:e>
            <m:sub>
              <m:r>
                <m:t>4</m:t>
              </m:r>
            </m:sub>
          </m:sSub>
          <m:r>
            <m:t> </m:t>
          </m:r>
          <m:sSub>
            <m:e>
              <m:r>
                <m:rPr>
                  <m:nor/>
                  <m:sty m:val="p"/>
                </m:rPr>
                <m:t>vehicle_age_years</m:t>
              </m:r>
            </m:e>
            <m:sub>
              <m:r>
                <m:t>i</m:t>
              </m:r>
              <m:r>
                <m:t>t</m:t>
              </m:r>
            </m:sub>
          </m:sSub>
          <m:r>
            <m:rPr>
              <m:sty m:val="p"/>
            </m:rPr>
            <m:t>+</m:t>
          </m:r>
          <m:sSub>
            <m:e>
              <m:r>
                <m:t>ε</m:t>
              </m:r>
            </m:e>
            <m:sub>
              <m:r>
                <m:t>i</m:t>
              </m:r>
              <m:r>
                <m:t>t</m:t>
              </m:r>
            </m:sub>
          </m:sSub>
        </m:oMath>
      </m:oMathPara>
    </w:p>
    <w:bookmarkStart w:id="19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-29.5578</w:t>
            </w:r>
          </w:p>
        </w:tc>
        <w:tc>
          <w:tcPr>
            <w:tcW w:w="0" w:type="auto"/>
          </w:tcPr>
          <w:p>
            <w:pPr>
              <w:spacing w:line="240" w:lineRule="auto" w:before="0" w:after="0"/>
              <w:pStyle w:val="Compact"/>
            </w:pPr>
            <w:r>
              <w:rPr>
                <w:sz w:val="20"/>
                <w:szCs w:val="20"/>
              </w:rPr>
              <w:t xml:space="preserve">11.168</w:t>
            </w:r>
          </w:p>
        </w:tc>
        <w:tc>
          <w:tcPr>
            <w:tcW w:w="0" w:type="auto"/>
          </w:tcPr>
          <w:p>
            <w:pPr>
              <w:spacing w:line="240" w:lineRule="auto" w:before="0" w:after="0"/>
              <w:pStyle w:val="Compact"/>
            </w:pPr>
            <w:r>
              <w:rPr>
                <w:sz w:val="20"/>
                <w:szCs w:val="20"/>
              </w:rPr>
              <w:t xml:space="preserve">-2.6467</w:t>
            </w:r>
          </w:p>
        </w:tc>
        <w:tc>
          <w:tcPr>
            <w:tcW w:w="0" w:type="auto"/>
          </w:tcPr>
          <w:p>
            <w:pPr>
              <w:spacing w:line="240" w:lineRule="auto" w:before="0" w:after="0"/>
              <w:pStyle w:val="Compact"/>
            </w:pPr>
            <w:r>
              <w:rPr>
                <w:sz w:val="20"/>
                <w:szCs w:val="20"/>
              </w:rPr>
              <w:t xml:space="preserve">0.0081</w:t>
            </w:r>
          </w:p>
        </w:tc>
        <w:tc>
          <w:tcPr>
            <w:tcW w:w="0" w:type="auto"/>
          </w:tcPr>
          <w:p>
            <w:pPr>
              <w:spacing w:line="240" w:lineRule="auto" w:before="0" w:after="0"/>
              <w:pStyle w:val="Compact"/>
            </w:pPr>
            <w:r>
              <w:rPr>
                <w:sz w:val="20"/>
                <w:szCs w:val="20"/>
              </w:rPr>
              <w:t xml:space="preserve">[-51.4467, -7.669]</w:t>
            </w:r>
          </w:p>
        </w:tc>
      </w:tr>
      <w:tr>
        <w:tc>
          <w:tcPr>
            <w:tcW w:w="0" w:type="auto"/>
          </w:tcPr>
          <w:p>
            <w:pPr>
              <w:spacing w:line="240" w:lineRule="auto" w:before="0" w:after="0"/>
              <w:pStyle w:val="Compact"/>
            </w:pPr>
            <w:r>
              <w:rPr>
                <w:sz w:val="20"/>
                <w:szCs w:val="20"/>
              </w:rPr>
              <w:t xml:space="preserve">mishap_pause_days</w:t>
            </w:r>
          </w:p>
        </w:tc>
        <w:tc>
          <w:tcPr>
            <w:tcW w:w="0" w:type="auto"/>
          </w:tcPr>
          <w:p>
            <w:pPr>
              <w:spacing w:line="240" w:lineRule="auto" w:before="0" w:after="0"/>
              <w:pStyle w:val="Compact"/>
            </w:pPr>
            <w:r>
              <w:rPr>
                <w:sz w:val="20"/>
                <w:szCs w:val="20"/>
              </w:rPr>
              <w:t xml:space="preserve">0.001</w:t>
            </w:r>
          </w:p>
        </w:tc>
        <w:tc>
          <w:tcPr>
            <w:tcW w:w="0" w:type="auto"/>
          </w:tcPr>
          <w:p>
            <w:pPr>
              <w:spacing w:line="240" w:lineRule="auto" w:before="0" w:after="0"/>
              <w:pStyle w:val="Compact"/>
            </w:pPr>
            <w:r>
              <w:rPr>
                <w:sz w:val="20"/>
                <w:szCs w:val="20"/>
              </w:rPr>
              <w:t xml:space="preserve">0.0612</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0.9867</w:t>
            </w:r>
          </w:p>
        </w:tc>
        <w:tc>
          <w:tcPr>
            <w:tcW w:w="0" w:type="auto"/>
          </w:tcPr>
          <w:p>
            <w:pPr>
              <w:spacing w:line="240" w:lineRule="auto" w:before="0" w:after="0"/>
              <w:pStyle w:val="Compact"/>
            </w:pPr>
            <w:r>
              <w:rPr>
                <w:sz w:val="20"/>
                <w:szCs w:val="20"/>
              </w:rPr>
              <w:t xml:space="preserve">[-0.1189, 0.121]</w:t>
            </w:r>
          </w:p>
        </w:tc>
      </w:tr>
      <w:tr>
        <w:tc>
          <w:tcPr>
            <w:tcW w:w="0" w:type="auto"/>
          </w:tcPr>
          <w:p>
            <w:pPr>
              <w:spacing w:line="240" w:lineRule="auto" w:before="0" w:after="0"/>
              <w:pStyle w:val="Compact"/>
            </w:pPr>
            <w:r>
              <w:rPr>
                <w:sz w:val="20"/>
                <w:szCs w:val="20"/>
              </w:rPr>
              <w:t xml:space="preserve">part450_backlog</w:t>
            </w:r>
          </w:p>
        </w:tc>
        <w:tc>
          <w:tcPr>
            <w:tcW w:w="0" w:type="auto"/>
          </w:tcPr>
          <w:p>
            <w:pPr>
              <w:spacing w:line="240" w:lineRule="auto" w:before="0" w:after="0"/>
              <w:pStyle w:val="Compact"/>
            </w:pPr>
            <w:r>
              <w:rPr>
                <w:sz w:val="20"/>
                <w:szCs w:val="20"/>
              </w:rPr>
              <w:t xml:space="preserve">3.2707</w:t>
            </w:r>
          </w:p>
        </w:tc>
        <w:tc>
          <w:tcPr>
            <w:tcW w:w="0" w:type="auto"/>
          </w:tcPr>
          <w:p>
            <w:pPr>
              <w:spacing w:line="240" w:lineRule="auto" w:before="0" w:after="0"/>
              <w:pStyle w:val="Compact"/>
            </w:pPr>
            <w:r>
              <w:rPr>
                <w:sz w:val="20"/>
                <w:szCs w:val="20"/>
              </w:rPr>
              <w:t xml:space="preserve">1.287</w:t>
            </w:r>
          </w:p>
        </w:tc>
        <w:tc>
          <w:tcPr>
            <w:tcW w:w="0" w:type="auto"/>
          </w:tcPr>
          <w:p>
            <w:pPr>
              <w:spacing w:line="240" w:lineRule="auto" w:before="0" w:after="0"/>
              <w:pStyle w:val="Compact"/>
            </w:pPr>
            <w:r>
              <w:rPr>
                <w:sz w:val="20"/>
                <w:szCs w:val="20"/>
              </w:rPr>
              <w:t xml:space="preserve">2.5413</w:t>
            </w:r>
          </w:p>
        </w:tc>
        <w:tc>
          <w:tcPr>
            <w:tcW w:w="0" w:type="auto"/>
          </w:tcPr>
          <w:p>
            <w:pPr>
              <w:spacing w:line="240" w:lineRule="auto" w:before="0" w:after="0"/>
              <w:pStyle w:val="Compact"/>
            </w:pPr>
            <w:r>
              <w:rPr>
                <w:sz w:val="20"/>
                <w:szCs w:val="20"/>
              </w:rPr>
              <w:t xml:space="preserve">0.011</w:t>
            </w:r>
          </w:p>
        </w:tc>
        <w:tc>
          <w:tcPr>
            <w:tcW w:w="0" w:type="auto"/>
          </w:tcPr>
          <w:p>
            <w:pPr>
              <w:spacing w:line="240" w:lineRule="auto" w:before="0" w:after="0"/>
              <w:pStyle w:val="Compact"/>
            </w:pPr>
            <w:r>
              <w:rPr>
                <w:sz w:val="20"/>
                <w:szCs w:val="20"/>
              </w:rPr>
              <w:t xml:space="preserve">[0.7482, 5.7931]</w:t>
            </w:r>
          </w:p>
        </w:tc>
      </w:tr>
      <w:tr>
        <w:tc>
          <w:tcPr>
            <w:tcW w:w="0" w:type="auto"/>
          </w:tcPr>
          <w:p>
            <w:pPr>
              <w:spacing w:line="240" w:lineRule="auto" w:before="0" w:after="0"/>
              <w:pStyle w:val="Compact"/>
            </w:pPr>
            <w:r>
              <w:rPr>
                <w:sz w:val="20"/>
                <w:szCs w:val="20"/>
              </w:rPr>
              <w:t xml:space="preserve">active_pad_count</w:t>
            </w:r>
          </w:p>
        </w:tc>
        <w:tc>
          <w:tcPr>
            <w:tcW w:w="0" w:type="auto"/>
          </w:tcPr>
          <w:p>
            <w:pPr>
              <w:spacing w:line="240" w:lineRule="auto" w:before="0" w:after="0"/>
              <w:pStyle w:val="Compact"/>
            </w:pPr>
            <w:r>
              <w:rPr>
                <w:sz w:val="20"/>
                <w:szCs w:val="20"/>
              </w:rPr>
              <w:t xml:space="preserve">19.9027</w:t>
            </w:r>
          </w:p>
        </w:tc>
        <w:tc>
          <w:tcPr>
            <w:tcW w:w="0" w:type="auto"/>
          </w:tcPr>
          <w:p>
            <w:pPr>
              <w:spacing w:line="240" w:lineRule="auto" w:before="0" w:after="0"/>
              <w:pStyle w:val="Compact"/>
            </w:pPr>
            <w:r>
              <w:rPr>
                <w:sz w:val="20"/>
                <w:szCs w:val="20"/>
              </w:rPr>
              <w:t xml:space="preserve">4.7509</w:t>
            </w:r>
          </w:p>
        </w:tc>
        <w:tc>
          <w:tcPr>
            <w:tcW w:w="0" w:type="auto"/>
          </w:tcPr>
          <w:p>
            <w:pPr>
              <w:spacing w:line="240" w:lineRule="auto" w:before="0" w:after="0"/>
              <w:pStyle w:val="Compact"/>
            </w:pPr>
            <w:r>
              <w:rPr>
                <w:sz w:val="20"/>
                <w:szCs w:val="20"/>
              </w:rPr>
              <w:t xml:space="preserve">4.1892</w:t>
            </w:r>
          </w:p>
        </w:tc>
        <w:tc>
          <w:tcPr>
            <w:tcW w:w="0" w:type="auto"/>
          </w:tcPr>
          <w:p>
            <w:pPr>
              <w:spacing w:line="240" w:lineRule="auto" w:before="0" w:after="0"/>
              <w:pStyle w:val="Compact"/>
            </w:pPr>
            <w:r>
              <w:rPr>
                <w:sz w:val="20"/>
                <w:szCs w:val="20"/>
              </w:rPr>
              <w:t xml:space="preserve">2.799e-05</w:t>
            </w:r>
          </w:p>
        </w:tc>
        <w:tc>
          <w:tcPr>
            <w:tcW w:w="0" w:type="auto"/>
          </w:tcPr>
          <w:p>
            <w:pPr>
              <w:spacing w:line="240" w:lineRule="auto" w:before="0" w:after="0"/>
              <w:pStyle w:val="Compact"/>
            </w:pPr>
            <w:r>
              <w:rPr>
                <w:sz w:val="20"/>
                <w:szCs w:val="20"/>
              </w:rPr>
              <w:t xml:space="preserve">[10.591, 29.2144]</w:t>
            </w:r>
          </w:p>
        </w:tc>
      </w:tr>
      <w:tr>
        <w:tc>
          <w:tcPr>
            <w:tcW w:w="0" w:type="auto"/>
          </w:tcPr>
          <w:p>
            <w:pPr>
              <w:spacing w:line="240" w:lineRule="auto" w:before="0" w:after="0"/>
              <w:pStyle w:val="Compact"/>
            </w:pPr>
            <w:r>
              <w:rPr>
                <w:sz w:val="20"/>
                <w:szCs w:val="20"/>
              </w:rPr>
              <w:t xml:space="preserve">vehicle_age_years</w:t>
            </w:r>
          </w:p>
        </w:tc>
        <w:tc>
          <w:tcPr>
            <w:tcW w:w="0" w:type="auto"/>
          </w:tcPr>
          <w:p>
            <w:pPr>
              <w:spacing w:line="240" w:lineRule="auto" w:before="0" w:after="0"/>
              <w:pStyle w:val="Compact"/>
            </w:pPr>
            <w:r>
              <w:rPr>
                <w:sz w:val="20"/>
                <w:szCs w:val="20"/>
              </w:rPr>
              <w:t xml:space="preserve">-0.5757</w:t>
            </w:r>
          </w:p>
        </w:tc>
        <w:tc>
          <w:tcPr>
            <w:tcW w:w="0" w:type="auto"/>
          </w:tcPr>
          <w:p>
            <w:pPr>
              <w:spacing w:line="240" w:lineRule="auto" w:before="0" w:after="0"/>
              <w:pStyle w:val="Compact"/>
            </w:pPr>
            <w:r>
              <w:rPr>
                <w:sz w:val="20"/>
                <w:szCs w:val="20"/>
              </w:rPr>
              <w:t xml:space="preserve">0.2013</w:t>
            </w:r>
          </w:p>
        </w:tc>
        <w:tc>
          <w:tcPr>
            <w:tcW w:w="0" w:type="auto"/>
          </w:tcPr>
          <w:p>
            <w:pPr>
              <w:spacing w:line="240" w:lineRule="auto" w:before="0" w:after="0"/>
              <w:pStyle w:val="Compact"/>
            </w:pPr>
            <w:r>
              <w:rPr>
                <w:sz w:val="20"/>
                <w:szCs w:val="20"/>
              </w:rPr>
              <w:t xml:space="preserve">-2.8599</w:t>
            </w:r>
          </w:p>
        </w:tc>
        <w:tc>
          <w:tcPr>
            <w:tcW w:w="0" w:type="auto"/>
          </w:tcPr>
          <w:p>
            <w:pPr>
              <w:spacing w:line="240" w:lineRule="auto" w:before="0" w:after="0"/>
              <w:pStyle w:val="Compact"/>
            </w:pPr>
            <w:r>
              <w:rPr>
                <w:sz w:val="20"/>
                <w:szCs w:val="20"/>
              </w:rPr>
              <w:t xml:space="preserve">0.0042</w:t>
            </w:r>
          </w:p>
        </w:tc>
        <w:tc>
          <w:tcPr>
            <w:tcW w:w="0" w:type="auto"/>
          </w:tcPr>
          <w:p>
            <w:pPr>
              <w:spacing w:line="240" w:lineRule="auto" w:before="0" w:after="0"/>
              <w:pStyle w:val="Compact"/>
            </w:pPr>
            <w:r>
              <w:rPr>
                <w:sz w:val="20"/>
                <w:szCs w:val="20"/>
              </w:rPr>
              <w:t xml:space="preserve">[-0.9702, -0.1812]</w:t>
            </w:r>
          </w:p>
        </w:tc>
      </w:tr>
    </w:tbl>
    <w:p>
      <w:pPr>
        <w:pStyle w:val="BodyText"/>
        <w:spacing w:line="480" w:lineRule="auto"/>
        <w:ind w:firstLine="720"/>
      </w:pPr>
      <w:r>
        <w:t xml:space="preserve">Fit: N = 37 R2 = 0.6678 R2_adj = 0.6263 F = 6.1981 F_p = 0.0008242</w:t>
      </w:r>
    </w:p>
    <w:bookmarkEnd w:id="192"/>
    <w:bookmarkStart w:id="19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perator-year launch cadence versus FAA mishap pause-days, conditional on Part 450 backlog, active pad count, and vehicle-family age. The partial slope is the proximate atrophy-tax effect of a regulatory pause day." title="" id="194" name="Picture"/>
            <a:graphic>
              <a:graphicData uri="http://schemas.openxmlformats.org/drawingml/2006/picture">
                <pic:pic>
                  <pic:nvPicPr>
                    <pic:cNvPr descr="D:/Claude_Code/brain/collegium/candidates/dissertations/PHD-01/research_papers/p2/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Operator-year launch cadence versus FAA mishap pause-days, conditional on Part 450 backlog, active pad count, and vehicle-family age. The partial slope is the proximate atrophy-tax effect of a regulatory pause day.</w:t>
      </w:r>
    </w:p>
    <w:bookmarkEnd w:id="196"/>
    <w:bookmarkStart w:id="19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operator_year</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mishap_pause_days</w:t>
            </w:r>
          </w:p>
        </w:tc>
        <w:tc>
          <w:tcPr>
            <w:tcW w:w="0" w:type="auto"/>
          </w:tcPr>
          <w:p>
            <w:pPr>
              <w:spacing w:line="240" w:lineRule="auto" w:before="0" w:after="0"/>
              <w:pStyle w:val="Compact"/>
            </w:pPr>
            <w:r>
              <w:rPr>
                <w:sz w:val="20"/>
                <w:szCs w:val="20"/>
              </w:rPr>
              <w:t xml:space="preserve">part450_backlog</w:t>
            </w:r>
          </w:p>
        </w:tc>
        <w:tc>
          <w:tcPr>
            <w:tcW w:w="0" w:type="auto"/>
          </w:tcPr>
          <w:p>
            <w:pPr>
              <w:spacing w:line="240" w:lineRule="auto" w:before="0" w:after="0"/>
              <w:pStyle w:val="Compact"/>
            </w:pPr>
            <w:r>
              <w:rPr>
                <w:sz w:val="20"/>
                <w:szCs w:val="20"/>
              </w:rPr>
              <w:t xml:space="preserve">active_pad_count</w:t>
            </w:r>
          </w:p>
        </w:tc>
        <w:tc>
          <w:tcPr>
            <w:tcW w:w="0" w:type="auto"/>
          </w:tcPr>
          <w:p>
            <w:pPr>
              <w:spacing w:line="240" w:lineRule="auto" w:before="0" w:after="0"/>
              <w:pStyle w:val="Compact"/>
            </w:pPr>
            <w:r>
              <w:rPr>
                <w:sz w:val="20"/>
                <w:szCs w:val="20"/>
              </w:rPr>
              <w:t xml:space="preserve">vehicle_age_years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SpX-2015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AST 2015 Annual Compendium; FAA mishap investigation closure 2015-07-20 to 2015-12-21 CRS-7; FAA AST license list retrieved 2025</w:t>
            </w:r>
          </w:p>
        </w:tc>
      </w:tr>
      <w:tr>
        <w:tc>
          <w:tcPr>
            <w:tcW w:w="0" w:type="auto"/>
          </w:tcPr>
          <w:p>
            <w:pPr>
              <w:spacing w:line="240" w:lineRule="auto" w:before="0" w:after="0"/>
              <w:pStyle w:val="Compact"/>
            </w:pPr>
            <w:r>
              <w:rPr>
                <w:sz w:val="20"/>
                <w:szCs w:val="20"/>
              </w:rPr>
              <w:t xml:space="preserve">SpX-2016</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FAA AST 2016 Annual Compendium; FAA mishap investigation 2016-09-01 to 2017-01-06 AMOS-6; FAA AST license list</w:t>
            </w:r>
          </w:p>
        </w:tc>
      </w:tr>
      <w:tr>
        <w:tc>
          <w:tcPr>
            <w:tcW w:w="0" w:type="auto"/>
          </w:tcPr>
          <w:p>
            <w:pPr>
              <w:spacing w:line="240" w:lineRule="auto" w:before="0" w:after="0"/>
              <w:pStyle w:val="Compact"/>
            </w:pPr>
            <w:r>
              <w:rPr>
                <w:sz w:val="20"/>
                <w:szCs w:val="20"/>
              </w:rPr>
              <w:t xml:space="preserve">SpX-2017</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FAA AST 2017 Annual Compendium; FAA AST license letters 2017</w:t>
            </w:r>
          </w:p>
        </w:tc>
      </w:tr>
      <w:tr>
        <w:tc>
          <w:tcPr>
            <w:tcW w:w="0" w:type="auto"/>
          </w:tcPr>
          <w:p>
            <w:pPr>
              <w:spacing w:line="240" w:lineRule="auto" w:before="0" w:after="0"/>
              <w:pStyle w:val="Compact"/>
            </w:pPr>
            <w:r>
              <w:rPr>
                <w:sz w:val="20"/>
                <w:szCs w:val="20"/>
              </w:rPr>
              <w:t xml:space="preserve">SpX-2018</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FAA AST 2018 Annual Compendium; Federal Register 83 FR 51316</w:t>
            </w:r>
          </w:p>
        </w:tc>
      </w:tr>
      <w:tr>
        <w:tc>
          <w:tcPr>
            <w:tcW w:w="0" w:type="auto"/>
          </w:tcPr>
          <w:p>
            <w:pPr>
              <w:spacing w:line="240" w:lineRule="auto" w:before="0" w:after="0"/>
              <w:pStyle w:val="Compact"/>
            </w:pPr>
            <w:r>
              <w:rPr>
                <w:sz w:val="20"/>
                <w:szCs w:val="20"/>
              </w:rPr>
              <w:t xml:space="preserve">SpX-2019</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FAA AST 2019 Annual Compendium; GAO-19-617 FAA Commercial Space</w:t>
            </w:r>
          </w:p>
        </w:tc>
      </w:tr>
      <w:tr>
        <w:tc>
          <w:tcPr>
            <w:tcW w:w="0" w:type="auto"/>
          </w:tcPr>
          <w:p>
            <w:pPr>
              <w:spacing w:line="240" w:lineRule="auto" w:before="0" w:after="0"/>
              <w:pStyle w:val="Compact"/>
            </w:pPr>
            <w:r>
              <w:rPr>
                <w:sz w:val="20"/>
                <w:szCs w:val="20"/>
              </w:rPr>
              <w:t xml:space="preserve">SpX-2020</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FAA AST 2020 Annual Compendium; 85 FR 79566 Part 450 final rule</w:t>
            </w:r>
          </w:p>
        </w:tc>
      </w:tr>
      <w:tr>
        <w:tc>
          <w:tcPr>
            <w:tcW w:w="0" w:type="auto"/>
          </w:tcPr>
          <w:p>
            <w:pPr>
              <w:spacing w:line="240" w:lineRule="auto" w:before="0" w:after="0"/>
              <w:pStyle w:val="Compact"/>
            </w:pPr>
            <w:r>
              <w:rPr>
                <w:sz w:val="20"/>
                <w:szCs w:val="20"/>
              </w:rPr>
              <w:t xml:space="preserve">SpX-2021</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FAA AST 2021 Annual Compendium; FAA AST Part 450 issuances 2021</w:t>
            </w:r>
          </w:p>
        </w:tc>
      </w:tr>
      <w:tr>
        <w:tc>
          <w:tcPr>
            <w:tcW w:w="0" w:type="auto"/>
          </w:tcPr>
          <w:p>
            <w:pPr>
              <w:spacing w:line="240" w:lineRule="auto" w:before="0" w:after="0"/>
              <w:pStyle w:val="Compact"/>
            </w:pPr>
            <w:r>
              <w:rPr>
                <w:sz w:val="20"/>
                <w:szCs w:val="20"/>
              </w:rPr>
              <w:t xml:space="preserve">SpX-2022</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FAA AST 2022 Annual Compendium; FAA AST Commercial Space Data 2022</w:t>
            </w:r>
          </w:p>
        </w:tc>
      </w:tr>
      <w:tr>
        <w:tc>
          <w:tcPr>
            <w:tcW w:w="0" w:type="auto"/>
          </w:tcPr>
          <w:p>
            <w:pPr>
              <w:spacing w:line="240" w:lineRule="auto" w:before="0" w:after="0"/>
              <w:pStyle w:val="Compact"/>
            </w:pPr>
            <w:r>
              <w:rPr>
                <w:sz w:val="20"/>
                <w:szCs w:val="20"/>
              </w:rPr>
              <w:t xml:space="preserve">SpX-2023</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FAA AST 2023 Annual Compendium; FAA Starship Super Heavy IFT-1 mishap 2023-04-20 to 2023-09-08 closure; GAO-24-106767</w:t>
            </w:r>
          </w:p>
        </w:tc>
      </w:tr>
      <w:tr>
        <w:tc>
          <w:tcPr>
            <w:tcW w:w="0" w:type="auto"/>
          </w:tcPr>
          <w:p>
            <w:pPr>
              <w:spacing w:line="240" w:lineRule="auto" w:before="0" w:after="0"/>
              <w:pStyle w:val="Compact"/>
            </w:pPr>
            <w:r>
              <w:rPr>
                <w:sz w:val="20"/>
                <w:szCs w:val="20"/>
              </w:rPr>
              <w:t xml:space="preserve">SpX-2024</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FAA AST 2024 Annual Compendium; FAA Starship IFT-7 mishap pause 2025-01-16 to 2025-02-28 [partial within 2024 reporting]; FAA AST License Decisions 2024</w:t>
            </w:r>
          </w:p>
        </w:tc>
      </w:tr>
      <w:tr>
        <w:tc>
          <w:tcPr>
            <w:tcW w:w="0" w:type="auto"/>
          </w:tcPr>
          <w:p>
            <w:pPr>
              <w:spacing w:line="240" w:lineRule="auto" w:before="0" w:after="0"/>
              <w:pStyle w:val="Compact"/>
            </w:pPr>
            <w:r>
              <w:rPr>
                <w:sz w:val="20"/>
                <w:szCs w:val="20"/>
              </w:rPr>
              <w:t xml:space="preserve">ULA-2015</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FAA AST 2015 Annual Compendium; ULA Atlas V Delta IV launch logs</w:t>
            </w:r>
          </w:p>
        </w:tc>
      </w:tr>
      <w:tr>
        <w:tc>
          <w:tcPr>
            <w:tcW w:w="0" w:type="auto"/>
          </w:tcPr>
          <w:p>
            <w:pPr>
              <w:spacing w:line="240" w:lineRule="auto" w:before="0" w:after="0"/>
              <w:pStyle w:val="Compact"/>
            </w:pPr>
            <w:r>
              <w:rPr>
                <w:sz w:val="20"/>
                <w:szCs w:val="20"/>
              </w:rPr>
              <w:t xml:space="preserve">ULA-2016</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FAA AST 2016 Annual Compendium; ULA mission archive</w:t>
            </w:r>
          </w:p>
        </w:tc>
      </w:tr>
      <w:tr>
        <w:tc>
          <w:tcPr>
            <w:tcW w:w="0" w:type="auto"/>
          </w:tcPr>
          <w:p>
            <w:pPr>
              <w:spacing w:line="240" w:lineRule="auto" w:before="0" w:after="0"/>
              <w:pStyle w:val="Compact"/>
            </w:pPr>
            <w:r>
              <w:rPr>
                <w:sz w:val="20"/>
                <w:szCs w:val="20"/>
              </w:rPr>
              <w:t xml:space="preserve">ULA-2017</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FAA AST 2017 Annual Compendium; ULA mission archive</w:t>
            </w:r>
          </w:p>
        </w:tc>
      </w:tr>
      <w:tr>
        <w:tc>
          <w:tcPr>
            <w:tcW w:w="0" w:type="auto"/>
          </w:tcPr>
          <w:p>
            <w:pPr>
              <w:spacing w:line="240" w:lineRule="auto" w:before="0" w:after="0"/>
              <w:pStyle w:val="Compact"/>
            </w:pPr>
            <w:r>
              <w:rPr>
                <w:sz w:val="20"/>
                <w:szCs w:val="20"/>
              </w:rPr>
              <w:t xml:space="preserve">ULA-2018</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FAA AST 2018 Annual Compendium; ULA mission archive</w:t>
            </w:r>
          </w:p>
        </w:tc>
      </w:tr>
      <w:tr>
        <w:tc>
          <w:tcPr>
            <w:tcW w:w="0" w:type="auto"/>
          </w:tcPr>
          <w:p>
            <w:pPr>
              <w:spacing w:line="240" w:lineRule="auto" w:before="0" w:after="0"/>
              <w:pStyle w:val="Compact"/>
            </w:pPr>
            <w:r>
              <w:rPr>
                <w:sz w:val="20"/>
                <w:szCs w:val="20"/>
              </w:rPr>
              <w:t xml:space="preserve">ULA-2019</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FAA AST 2019 Annual Compendium; ULA mission archive</w:t>
            </w:r>
          </w:p>
        </w:tc>
      </w:tr>
      <w:tr>
        <w:tc>
          <w:tcPr>
            <w:tcW w:w="0" w:type="auto"/>
          </w:tcPr>
          <w:p>
            <w:pPr>
              <w:spacing w:line="240" w:lineRule="auto" w:before="0" w:after="0"/>
              <w:pStyle w:val="Compact"/>
            </w:pPr>
            <w:r>
              <w:rPr>
                <w:sz w:val="20"/>
                <w:szCs w:val="20"/>
              </w:rPr>
              <w:t xml:space="preserve">ULA-2020</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FAA AST 2020 Annual Compendium; ULA mission archive</w:t>
            </w:r>
          </w:p>
        </w:tc>
      </w:tr>
      <w:tr>
        <w:tc>
          <w:tcPr>
            <w:tcW w:w="0" w:type="auto"/>
          </w:tcPr>
          <w:p>
            <w:pPr>
              <w:spacing w:line="240" w:lineRule="auto" w:before="0" w:after="0"/>
              <w:pStyle w:val="Compact"/>
            </w:pPr>
            <w:r>
              <w:rPr>
                <w:sz w:val="20"/>
                <w:szCs w:val="20"/>
              </w:rPr>
              <w:t xml:space="preserve">ULA-2021</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FAA AST 2021 Annual Compendium; ULA mission archive</w:t>
            </w:r>
          </w:p>
        </w:tc>
      </w:tr>
      <w:tr>
        <w:tc>
          <w:tcPr>
            <w:tcW w:w="0" w:type="auto"/>
          </w:tcPr>
          <w:p>
            <w:pPr>
              <w:spacing w:line="240" w:lineRule="auto" w:before="0" w:after="0"/>
              <w:pStyle w:val="Compact"/>
            </w:pPr>
            <w:r>
              <w:rPr>
                <w:sz w:val="20"/>
                <w:szCs w:val="20"/>
              </w:rPr>
              <w:t xml:space="preserve">ULA-2022</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FAA AST 2022 Annual Compendium; ULA mission archive</w:t>
            </w:r>
          </w:p>
        </w:tc>
      </w:tr>
      <w:tr>
        <w:tc>
          <w:tcPr>
            <w:tcW w:w="0" w:type="auto"/>
          </w:tcPr>
          <w:p>
            <w:pPr>
              <w:spacing w:line="240" w:lineRule="auto" w:before="0" w:after="0"/>
              <w:pStyle w:val="Compact"/>
            </w:pPr>
            <w:r>
              <w:rPr>
                <w:sz w:val="20"/>
                <w:szCs w:val="20"/>
              </w:rPr>
              <w:t xml:space="preserve">ULA-2023</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FAA AST 2023 Annual Compendium; ULA Vulcan inaugural slip per GAO-24-106767</w:t>
            </w:r>
          </w:p>
        </w:tc>
      </w:tr>
      <w:tr>
        <w:tc>
          <w:tcPr>
            <w:tcW w:w="0" w:type="auto"/>
          </w:tcPr>
          <w:p>
            <w:pPr>
              <w:spacing w:line="240" w:lineRule="auto" w:before="0" w:after="0"/>
              <w:pStyle w:val="Compact"/>
            </w:pPr>
            <w:r>
              <w:rPr>
                <w:sz w:val="20"/>
                <w:szCs w:val="20"/>
              </w:rPr>
              <w:t xml:space="preserve">ULA-2024</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FAA AST 2024 Annual Compendium; ULA Vulcan Cert-1 Cert-2 dates [illustrative for backlog allocation]</w:t>
            </w:r>
          </w:p>
        </w:tc>
      </w:tr>
      <w:tr>
        <w:tc>
          <w:tcPr>
            <w:tcW w:w="0" w:type="auto"/>
          </w:tcPr>
          <w:p>
            <w:pPr>
              <w:spacing w:line="240" w:lineRule="auto" w:before="0" w:after="0"/>
              <w:pStyle w:val="Compact"/>
            </w:pPr>
            <w:r>
              <w:rPr>
                <w:sz w:val="20"/>
                <w:szCs w:val="20"/>
              </w:rPr>
              <w:t xml:space="preserve">RL-2018</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2018 Annual Compendium; Rocket Lab Electron mission press kits</w:t>
            </w:r>
          </w:p>
        </w:tc>
      </w:tr>
      <w:tr>
        <w:tc>
          <w:tcPr>
            <w:tcW w:w="0" w:type="auto"/>
          </w:tcPr>
          <w:p>
            <w:pPr>
              <w:spacing w:line="240" w:lineRule="auto" w:before="0" w:after="0"/>
              <w:pStyle w:val="Compact"/>
            </w:pPr>
            <w:r>
              <w:rPr>
                <w:sz w:val="20"/>
                <w:szCs w:val="20"/>
              </w:rPr>
              <w:t xml:space="preserve">RL-2019</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AST 2019 Annual Compendium; Rocket Lab mission archive</w:t>
            </w:r>
          </w:p>
        </w:tc>
      </w:tr>
      <w:tr>
        <w:tc>
          <w:tcPr>
            <w:tcW w:w="0" w:type="auto"/>
          </w:tcPr>
          <w:p>
            <w:pPr>
              <w:spacing w:line="240" w:lineRule="auto" w:before="0" w:after="0"/>
              <w:pStyle w:val="Compact"/>
            </w:pPr>
            <w:r>
              <w:rPr>
                <w:sz w:val="20"/>
                <w:szCs w:val="20"/>
              </w:rPr>
              <w:t xml:space="preserve">RL-2020</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AST 2020 Annual Compendium; Rocket Lab Pics Or It Didnt Happen mishap 2020-07-04 investigation closed 2020-08-01</w:t>
            </w:r>
          </w:p>
        </w:tc>
      </w:tr>
      <w:tr>
        <w:tc>
          <w:tcPr>
            <w:tcW w:w="0" w:type="auto"/>
          </w:tcPr>
          <w:p>
            <w:pPr>
              <w:spacing w:line="240" w:lineRule="auto" w:before="0" w:after="0"/>
              <w:pStyle w:val="Compact"/>
            </w:pPr>
            <w:r>
              <w:rPr>
                <w:sz w:val="20"/>
                <w:szCs w:val="20"/>
              </w:rPr>
              <w:t xml:space="preserve">RL-2021</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AST 2021 Annual Compendium; Rocket Lab Running Out Of Toes mishap 2021-05-15 investigation closed 2021-06-22</w:t>
            </w:r>
          </w:p>
        </w:tc>
      </w:tr>
      <w:tr>
        <w:tc>
          <w:tcPr>
            <w:tcW w:w="0" w:type="auto"/>
          </w:tcPr>
          <w:p>
            <w:pPr>
              <w:spacing w:line="240" w:lineRule="auto" w:before="0" w:after="0"/>
              <w:pStyle w:val="Compact"/>
            </w:pPr>
            <w:r>
              <w:rPr>
                <w:sz w:val="20"/>
                <w:szCs w:val="20"/>
              </w:rPr>
              <w:t xml:space="preserve">RL-2022</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FAA AST 2022 Annual Compendium; Rocket Lab Wallops LC-2 first flight 2023 prep</w:t>
            </w:r>
          </w:p>
        </w:tc>
      </w:tr>
      <w:tr>
        <w:tc>
          <w:tcPr>
            <w:tcW w:w="0" w:type="auto"/>
          </w:tcPr>
          <w:p>
            <w:pPr>
              <w:spacing w:line="240" w:lineRule="auto" w:before="0" w:after="0"/>
              <w:pStyle w:val="Compact"/>
            </w:pPr>
            <w:r>
              <w:rPr>
                <w:sz w:val="20"/>
                <w:szCs w:val="20"/>
              </w:rPr>
              <w:t xml:space="preserve">RL-2023</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FAA AST 2023 Annual Compendium; Rocket Lab We Will Never Desert You mishap 2023-09-19 closed 2023-11-13</w:t>
            </w:r>
          </w:p>
        </w:tc>
      </w:tr>
      <w:tr>
        <w:tc>
          <w:tcPr>
            <w:tcW w:w="0" w:type="auto"/>
          </w:tcPr>
          <w:p>
            <w:pPr>
              <w:spacing w:line="240" w:lineRule="auto" w:before="0" w:after="0"/>
              <w:pStyle w:val="Compact"/>
            </w:pPr>
            <w:r>
              <w:rPr>
                <w:sz w:val="20"/>
                <w:szCs w:val="20"/>
              </w:rPr>
              <w:t xml:space="preserve">RL-2024</w:t>
            </w:r>
          </w:p>
        </w:tc>
        <w:tc>
          <w:tcPr>
            <w:tcW w:w="0" w:type="auto"/>
          </w:tcPr>
          <w:p>
            <w:pPr>
              <w:spacing w:line="240" w:lineRule="auto" w:before="0" w:after="0"/>
              <w:pStyle w:val="Compact"/>
            </w:pPr>
            <w:r>
              <w:rPr>
                <w:sz w:val="20"/>
                <w:szCs w:val="20"/>
              </w:rPr>
              <w:t xml:space="preserve">RocketLab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FAA AST 2024 Annual Compendium; Rocket Lab mission archive 2024</w:t>
            </w:r>
          </w:p>
        </w:tc>
      </w:tr>
      <w:tr>
        <w:tc>
          <w:tcPr>
            <w:tcW w:w="0" w:type="auto"/>
          </w:tcPr>
          <w:p>
            <w:pPr>
              <w:spacing w:line="240" w:lineRule="auto" w:before="0" w:after="0"/>
              <w:pStyle w:val="Compact"/>
            </w:pPr>
            <w:r>
              <w:rPr>
                <w:sz w:val="20"/>
                <w:szCs w:val="20"/>
              </w:rPr>
              <w:t xml:space="preserve">NG-2019</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FAA AST 2019 Annual Compendium; Antares Pegasus Minotaur logs</w:t>
            </w:r>
          </w:p>
        </w:tc>
      </w:tr>
      <w:tr>
        <w:tc>
          <w:tcPr>
            <w:tcW w:w="0" w:type="auto"/>
          </w:tcPr>
          <w:p>
            <w:pPr>
              <w:spacing w:line="240" w:lineRule="auto" w:before="0" w:after="0"/>
              <w:pStyle w:val="Compact"/>
            </w:pPr>
            <w:r>
              <w:rPr>
                <w:sz w:val="20"/>
                <w:szCs w:val="20"/>
              </w:rPr>
              <w:t xml:space="preserve">NG-2020</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FAA AST 2020 Annual Compendium; Antares logs</w:t>
            </w:r>
          </w:p>
        </w:tc>
      </w:tr>
      <w:tr>
        <w:tc>
          <w:tcPr>
            <w:tcW w:w="0" w:type="auto"/>
          </w:tcPr>
          <w:p>
            <w:pPr>
              <w:spacing w:line="240" w:lineRule="auto" w:before="0" w:after="0"/>
              <w:pStyle w:val="Compact"/>
            </w:pPr>
            <w:r>
              <w:rPr>
                <w:sz w:val="20"/>
                <w:szCs w:val="20"/>
              </w:rPr>
              <w:t xml:space="preserve">NG-2021</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FAA AST 2021 Annual Compendium; Antares logs</w:t>
            </w:r>
          </w:p>
        </w:tc>
      </w:tr>
      <w:tr>
        <w:tc>
          <w:tcPr>
            <w:tcW w:w="0" w:type="auto"/>
          </w:tcPr>
          <w:p>
            <w:pPr>
              <w:spacing w:line="240" w:lineRule="auto" w:before="0" w:after="0"/>
              <w:pStyle w:val="Compact"/>
            </w:pPr>
            <w:r>
              <w:rPr>
                <w:sz w:val="20"/>
                <w:szCs w:val="20"/>
              </w:rPr>
              <w:t xml:space="preserve">NG-2022</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FAA AST 2022 Annual Compendium; Antares logs</w:t>
            </w:r>
          </w:p>
        </w:tc>
      </w:tr>
      <w:tr>
        <w:tc>
          <w:tcPr>
            <w:tcW w:w="0" w:type="auto"/>
          </w:tcPr>
          <w:p>
            <w:pPr>
              <w:spacing w:line="240" w:lineRule="auto" w:before="0" w:after="0"/>
              <w:pStyle w:val="Compact"/>
            </w:pPr>
            <w:r>
              <w:rPr>
                <w:sz w:val="20"/>
                <w:szCs w:val="20"/>
              </w:rPr>
              <w:t xml:space="preserve">NG-2023</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FAA AST 2023 Annual Compendium; Antares 230 final flight</w:t>
            </w:r>
          </w:p>
        </w:tc>
      </w:tr>
      <w:tr>
        <w:tc>
          <w:tcPr>
            <w:tcW w:w="0" w:type="auto"/>
          </w:tcPr>
          <w:p>
            <w:pPr>
              <w:spacing w:line="240" w:lineRule="auto" w:before="0" w:after="0"/>
              <w:pStyle w:val="Compact"/>
            </w:pPr>
            <w:r>
              <w:rPr>
                <w:sz w:val="20"/>
                <w:szCs w:val="20"/>
              </w:rPr>
              <w:t xml:space="preserve">NG-2024</w:t>
            </w:r>
          </w:p>
        </w:tc>
        <w:tc>
          <w:tcPr>
            <w:tcW w:w="0" w:type="auto"/>
          </w:tcPr>
          <w:p>
            <w:pPr>
              <w:spacing w:line="240" w:lineRule="auto" w:before="0" w:after="0"/>
              <w:pStyle w:val="Compact"/>
            </w:pPr>
            <w:r>
              <w:rPr>
                <w:sz w:val="20"/>
                <w:szCs w:val="20"/>
              </w:rPr>
              <w:t xml:space="preserve">NorthropGrumman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FAA AST 2024 Annual Compendium; Antares 330 transition reported in GAO-24-106767 [illustrative for backlog allocation]</w:t>
            </w:r>
          </w:p>
        </w:tc>
      </w:tr>
      <w:tr>
        <w:tc>
          <w:tcPr>
            <w:tcW w:w="0" w:type="auto"/>
          </w:tcPr>
          <w:p>
            <w:pPr>
              <w:spacing w:line="240" w:lineRule="auto" w:before="0" w:after="0"/>
              <w:pStyle w:val="Compact"/>
            </w:pPr>
            <w:r>
              <w:rPr>
                <w:sz w:val="20"/>
                <w:szCs w:val="20"/>
              </w:rPr>
              <w:t xml:space="preserve">BO-2021</w:t>
            </w:r>
          </w:p>
        </w:tc>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AST 2021 Annual Compendium; Blue Origin New Shepard mission archive</w:t>
            </w:r>
          </w:p>
        </w:tc>
      </w:tr>
      <w:tr>
        <w:tc>
          <w:tcPr>
            <w:tcW w:w="0" w:type="auto"/>
          </w:tcPr>
          <w:p>
            <w:pPr>
              <w:spacing w:line="240" w:lineRule="auto" w:before="0" w:after="0"/>
              <w:pStyle w:val="Compact"/>
            </w:pPr>
            <w:r>
              <w:rPr>
                <w:sz w:val="20"/>
                <w:szCs w:val="20"/>
              </w:rPr>
              <w:t xml:space="preserve">BO-2022</w:t>
            </w:r>
          </w:p>
        </w:tc>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FAA AST 2022 Annual Compendium; FAA New Shepard NS-23 mishap 2022-09-12 investigation closed 2023-03-15</w:t>
            </w:r>
          </w:p>
        </w:tc>
      </w:tr>
      <w:tr>
        <w:tc>
          <w:tcPr>
            <w:tcW w:w="0" w:type="auto"/>
          </w:tcPr>
          <w:p>
            <w:pPr>
              <w:spacing w:line="240" w:lineRule="auto" w:before="0" w:after="0"/>
              <w:pStyle w:val="Compact"/>
            </w:pPr>
            <w:r>
              <w:rPr>
                <w:sz w:val="20"/>
                <w:szCs w:val="20"/>
              </w:rPr>
              <w:t xml:space="preserve">BO-2023</w:t>
            </w:r>
          </w:p>
        </w:tc>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FAA AST 2023 Annual Compendium; Blue Origin return-to-flight 2023-12-19</w:t>
            </w:r>
          </w:p>
        </w:tc>
      </w:tr>
      <w:tr>
        <w:tc>
          <w:tcPr>
            <w:tcW w:w="0" w:type="auto"/>
          </w:tcPr>
          <w:p>
            <w:pPr>
              <w:spacing w:line="240" w:lineRule="auto" w:before="0" w:after="0"/>
              <w:pStyle w:val="Compact"/>
            </w:pPr>
            <w:r>
              <w:rPr>
                <w:sz w:val="20"/>
                <w:szCs w:val="20"/>
              </w:rPr>
              <w:t xml:space="preserve">BO-2024</w:t>
            </w:r>
          </w:p>
        </w:tc>
        <w:tc>
          <w:tcPr>
            <w:tcW w:w="0" w:type="auto"/>
          </w:tcPr>
          <w:p>
            <w:pPr>
              <w:spacing w:line="240" w:lineRule="auto" w:before="0" w:after="0"/>
              <w:pStyle w:val="Compact"/>
            </w:pPr>
            <w:r>
              <w:rPr>
                <w:sz w:val="20"/>
                <w:szCs w:val="20"/>
              </w:rPr>
              <w:t xml:space="preserve">BlueOrigin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FAA AST 2024 Annual Compendium; Blue Origin New Glenn NG-1 prep + New Shepard cadence</w:t>
            </w:r>
          </w:p>
        </w:tc>
      </w:tr>
    </w:tbl>
    <w:bookmarkEnd w:id="197"/>
    <w:bookmarkStart w:id="19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Count of FAA AST licensed launch events conducted by operator i in calendar year t</w:t>
            </w:r>
          </w:p>
        </w:tc>
        <w:tc>
          <w:tcPr>
            <w:tcW w:w="0" w:type="auto"/>
          </w:tcPr>
          <w:p>
            <w:pPr>
              <w:spacing w:line="240" w:lineRule="auto" w:before="0" w:after="0"/>
              <w:pStyle w:val="Compact"/>
            </w:pPr>
            <w:r>
              <w:rPr>
                <w:sz w:val="20"/>
                <w:szCs w:val="20"/>
              </w:rPr>
              <w:t xml:space="preserve">FAA AST Annual Compendium of Commercial Space Transportation (2015 to 2024)</w:t>
            </w:r>
          </w:p>
        </w:tc>
      </w:tr>
      <w:tr>
        <w:tc>
          <w:tcPr>
            <w:tcW w:w="0" w:type="auto"/>
          </w:tcPr>
          <w:p>
            <w:pPr>
              <w:spacing w:line="240" w:lineRule="auto" w:before="0" w:after="0"/>
              <w:pStyle w:val="Compact"/>
            </w:pPr>
            <w:r>
              <w:rPr>
                <w:sz w:val="20"/>
                <w:szCs w:val="20"/>
              </w:rPr>
              <w:t xml:space="preserve">mishap_pause_days</w:t>
            </w:r>
          </w:p>
        </w:tc>
        <w:tc>
          <w:tcPr>
            <w:tcW w:w="0" w:type="auto"/>
          </w:tcPr>
          <w:p>
            <w:pPr>
              <w:spacing w:line="240" w:lineRule="auto" w:before="0" w:after="0"/>
              <w:pStyle w:val="Compact"/>
            </w:pPr>
            <w:r>
              <w:rPr>
                <w:sz w:val="20"/>
                <w:szCs w:val="20"/>
              </w:rPr>
              <w:t xml:space="preserve">Cumulative days during calendar year t in which one or more of operator i’s licensed vehicles was paused under an FAA AST mishap investigation (14 CFR Part 450 Subpart E)</w:t>
            </w:r>
          </w:p>
        </w:tc>
        <w:tc>
          <w:tcPr>
            <w:tcW w:w="0" w:type="auto"/>
          </w:tcPr>
          <w:p>
            <w:pPr>
              <w:spacing w:line="240" w:lineRule="auto" w:before="0" w:after="0"/>
              <w:pStyle w:val="Compact"/>
            </w:pPr>
            <w:r>
              <w:rPr>
                <w:sz w:val="20"/>
                <w:szCs w:val="20"/>
              </w:rPr>
              <w:t xml:space="preserve">FAA AST mishap investigation closure letters; Federal Register mishap notices; vehicle return-to-flight statements</w:t>
            </w:r>
          </w:p>
        </w:tc>
      </w:tr>
      <w:tr>
        <w:tc>
          <w:tcPr>
            <w:tcW w:w="0" w:type="auto"/>
          </w:tcPr>
          <w:p>
            <w:pPr>
              <w:spacing w:line="240" w:lineRule="auto" w:before="0" w:after="0"/>
              <w:pStyle w:val="Compact"/>
            </w:pPr>
            <w:r>
              <w:rPr>
                <w:sz w:val="20"/>
                <w:szCs w:val="20"/>
              </w:rPr>
              <w:t xml:space="preserve">part450_backlog</w:t>
            </w:r>
          </w:p>
        </w:tc>
        <w:tc>
          <w:tcPr>
            <w:tcW w:w="0" w:type="auto"/>
          </w:tcPr>
          <w:p>
            <w:pPr>
              <w:spacing w:line="240" w:lineRule="auto" w:before="0" w:after="0"/>
              <w:pStyle w:val="Compact"/>
            </w:pPr>
            <w:r>
              <w:rPr>
                <w:sz w:val="20"/>
                <w:szCs w:val="20"/>
              </w:rPr>
              <w:t xml:space="preserve">Count of operator i’s pending Part 450 vehicle operator license amendments or new applications at year-end t in FAA AST queue</w:t>
            </w:r>
          </w:p>
        </w:tc>
        <w:tc>
          <w:tcPr>
            <w:tcW w:w="0" w:type="auto"/>
          </w:tcPr>
          <w:p>
            <w:pPr>
              <w:spacing w:line="240" w:lineRule="auto" w:before="0" w:after="0"/>
              <w:pStyle w:val="Compact"/>
            </w:pPr>
            <w:r>
              <w:rPr>
                <w:sz w:val="20"/>
                <w:szCs w:val="20"/>
              </w:rPr>
              <w:t xml:space="preserve">FAA AST License Decisions log; GAO-24-106767 Commercial Space Launch Licensing</w:t>
            </w:r>
          </w:p>
        </w:tc>
      </w:tr>
      <w:tr>
        <w:tc>
          <w:tcPr>
            <w:tcW w:w="0" w:type="auto"/>
          </w:tcPr>
          <w:p>
            <w:pPr>
              <w:spacing w:line="240" w:lineRule="auto" w:before="0" w:after="0"/>
              <w:pStyle w:val="Compact"/>
            </w:pPr>
            <w:r>
              <w:rPr>
                <w:sz w:val="20"/>
                <w:szCs w:val="20"/>
              </w:rPr>
              <w:t xml:space="preserve">active_pad_count</w:t>
            </w:r>
          </w:p>
        </w:tc>
        <w:tc>
          <w:tcPr>
            <w:tcW w:w="0" w:type="auto"/>
          </w:tcPr>
          <w:p>
            <w:pPr>
              <w:spacing w:line="240" w:lineRule="auto" w:before="0" w:after="0"/>
              <w:pStyle w:val="Compact"/>
            </w:pPr>
            <w:r>
              <w:rPr>
                <w:sz w:val="20"/>
                <w:szCs w:val="20"/>
              </w:rPr>
              <w:t xml:space="preserve">Count of FAA-licensed launch pads (sites and pad combinations) under operator i’s active use in year t</w:t>
            </w:r>
          </w:p>
        </w:tc>
        <w:tc>
          <w:tcPr>
            <w:tcW w:w="0" w:type="auto"/>
          </w:tcPr>
          <w:p>
            <w:pPr>
              <w:spacing w:line="240" w:lineRule="auto" w:before="0" w:after="0"/>
              <w:pStyle w:val="Compact"/>
            </w:pPr>
            <w:r>
              <w:rPr>
                <w:sz w:val="20"/>
                <w:szCs w:val="20"/>
              </w:rPr>
              <w:t xml:space="preserve">FAA AST Launch Site Operator License list; FAA AST Annual Compendium</w:t>
            </w:r>
          </w:p>
        </w:tc>
      </w:tr>
      <w:tr>
        <w:tc>
          <w:tcPr>
            <w:tcW w:w="0" w:type="auto"/>
          </w:tcPr>
          <w:p>
            <w:pPr>
              <w:spacing w:line="240" w:lineRule="auto" w:before="0" w:after="0"/>
              <w:pStyle w:val="Compact"/>
            </w:pPr>
            <w:r>
              <w:rPr>
                <w:sz w:val="20"/>
                <w:szCs w:val="20"/>
              </w:rPr>
              <w:t xml:space="preserve">vehicle_age_years</w:t>
            </w:r>
          </w:p>
        </w:tc>
        <w:tc>
          <w:tcPr>
            <w:tcW w:w="0" w:type="auto"/>
          </w:tcPr>
          <w:p>
            <w:pPr>
              <w:spacing w:line="240" w:lineRule="auto" w:before="0" w:after="0"/>
              <w:pStyle w:val="Compact"/>
            </w:pPr>
            <w:r>
              <w:rPr>
                <w:sz w:val="20"/>
                <w:szCs w:val="20"/>
              </w:rPr>
              <w:t xml:space="preserve">Years since first orbital flight of operator i’s primary launch vehicle family in service in year t</w:t>
            </w:r>
          </w:p>
        </w:tc>
        <w:tc>
          <w:tcPr>
            <w:tcW w:w="0" w:type="auto"/>
          </w:tcPr>
          <w:p>
            <w:pPr>
              <w:spacing w:line="240" w:lineRule="auto" w:before="0" w:after="0"/>
              <w:pStyle w:val="Compact"/>
            </w:pPr>
            <w:r>
              <w:rPr>
                <w:sz w:val="20"/>
                <w:szCs w:val="20"/>
              </w:rPr>
              <w:t xml:space="preserve">Vehicle first-flight dates from FAA AST license decisions and mission press kits</w:t>
            </w:r>
          </w:p>
        </w:tc>
      </w:tr>
    </w:tbl>
    <w:bookmarkEnd w:id="198"/>
    <w:bookmarkEnd w:id="199"/>
    <w:bookmarkEnd w:id="20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5" Type="http://schemas.openxmlformats.org/officeDocument/2006/relationships/image" Target="media/rId185.png"/><Relationship Id="rId193" Type="http://schemas.openxmlformats.org/officeDocument/2006/relationships/image" Target="media/rId193.png"/><Relationship Id="rId173" Type="http://schemas.openxmlformats.org/officeDocument/2006/relationships/hyperlink" Target="https://doi.org/10.1016/j.actaastro.2016.06.027" TargetMode="External"/><Relationship Id="rId175" Type="http://schemas.openxmlformats.org/officeDocument/2006/relationships/hyperlink" Target="https://doi.org/10.1016/j.actaastro.2020.07.002" TargetMode="External"/><Relationship Id="rId167" Type="http://schemas.openxmlformats.org/officeDocument/2006/relationships/hyperlink" Target="https://doi.org/10.1016/j.actaastro.2020.07.036" TargetMode="External"/><Relationship Id="rId181" Type="http://schemas.openxmlformats.org/officeDocument/2006/relationships/hyperlink" Target="https://doi.org/10.1016/j.actaastro.2023.07.009" TargetMode="External"/><Relationship Id="rId179" Type="http://schemas.openxmlformats.org/officeDocument/2006/relationships/hyperlink" Target="https://doi.org/10.1016/j.actaastro.2024.03.065" TargetMode="External"/><Relationship Id="rId177" Type="http://schemas.openxmlformats.org/officeDocument/2006/relationships/hyperlink" Target="https://doi.org/10.1016/j.actaastro.2024.10.060" TargetMode="External"/><Relationship Id="rId169" Type="http://schemas.openxmlformats.org/officeDocument/2006/relationships/hyperlink" Target="https://doi.org/10.1016/j.actaastro.2024.12.029" TargetMode="External"/><Relationship Id="rId138" Type="http://schemas.openxmlformats.org/officeDocument/2006/relationships/hyperlink" Target="https://doi.org/10.1016/j.actaastro.2024.12.056" TargetMode="External"/><Relationship Id="rId136" Type="http://schemas.openxmlformats.org/officeDocument/2006/relationships/hyperlink" Target="https://doi.org/10.1016/j.actaastro.2025.01.043" TargetMode="External"/><Relationship Id="rId134" Type="http://schemas.openxmlformats.org/officeDocument/2006/relationships/hyperlink" Target="https://doi.org/10.1016/j.actaastro.2025.01.069" TargetMode="External"/><Relationship Id="rId144" Type="http://schemas.openxmlformats.org/officeDocument/2006/relationships/hyperlink" Target="https://doi.org/10.1016/j.actaastro.2025.05.036" TargetMode="External"/><Relationship Id="rId171" Type="http://schemas.openxmlformats.org/officeDocument/2006/relationships/hyperlink" Target="https://doi.org/10.1016/j.actaastro.2025.10.047" TargetMode="External"/><Relationship Id="rId152" Type="http://schemas.openxmlformats.org/officeDocument/2006/relationships/hyperlink" Target="https://doi.org/10.2514/8.155" TargetMode="External"/><Relationship Id="rId165" Type="http://schemas.openxmlformats.org/officeDocument/2006/relationships/hyperlink" Target="https://doi.org/10.64861/CXGE3201" TargetMode="External"/><Relationship Id="rId158" Type="http://schemas.openxmlformats.org/officeDocument/2006/relationships/hyperlink" Target="https://doi.org/10.64861/GYQL8853" TargetMode="External"/><Relationship Id="rId146" Type="http://schemas.openxmlformats.org/officeDocument/2006/relationships/hyperlink" Target="https://doi.org/10.64861/KYFU6858" TargetMode="External"/></Relationships>
</file>

<file path=word/_rels/footnotes.xml.rels><?xml version='1.0' encoding='UTF-8' standalone='yes'?>
<Relationships xmlns="http://schemas.openxmlformats.org/package/2006/relationships"><Relationship Id="rId173" Type="http://schemas.openxmlformats.org/officeDocument/2006/relationships/hyperlink" Target="https://doi.org/10.1016/j.actaastro.2016.06.027" TargetMode="External"/><Relationship Id="rId175" Type="http://schemas.openxmlformats.org/officeDocument/2006/relationships/hyperlink" Target="https://doi.org/10.1016/j.actaastro.2020.07.002" TargetMode="External"/><Relationship Id="rId167" Type="http://schemas.openxmlformats.org/officeDocument/2006/relationships/hyperlink" Target="https://doi.org/10.1016/j.actaastro.2020.07.036" TargetMode="External"/><Relationship Id="rId181" Type="http://schemas.openxmlformats.org/officeDocument/2006/relationships/hyperlink" Target="https://doi.org/10.1016/j.actaastro.2023.07.009" TargetMode="External"/><Relationship Id="rId179" Type="http://schemas.openxmlformats.org/officeDocument/2006/relationships/hyperlink" Target="https://doi.org/10.1016/j.actaastro.2024.03.065" TargetMode="External"/><Relationship Id="rId177" Type="http://schemas.openxmlformats.org/officeDocument/2006/relationships/hyperlink" Target="https://doi.org/10.1016/j.actaastro.2024.10.060" TargetMode="External"/><Relationship Id="rId169" Type="http://schemas.openxmlformats.org/officeDocument/2006/relationships/hyperlink" Target="https://doi.org/10.1016/j.actaastro.2024.12.029" TargetMode="External"/><Relationship Id="rId138" Type="http://schemas.openxmlformats.org/officeDocument/2006/relationships/hyperlink" Target="https://doi.org/10.1016/j.actaastro.2024.12.056" TargetMode="External"/><Relationship Id="rId136" Type="http://schemas.openxmlformats.org/officeDocument/2006/relationships/hyperlink" Target="https://doi.org/10.1016/j.actaastro.2025.01.043" TargetMode="External"/><Relationship Id="rId134" Type="http://schemas.openxmlformats.org/officeDocument/2006/relationships/hyperlink" Target="https://doi.org/10.1016/j.actaastro.2025.01.069" TargetMode="External"/><Relationship Id="rId144" Type="http://schemas.openxmlformats.org/officeDocument/2006/relationships/hyperlink" Target="https://doi.org/10.1016/j.actaastro.2025.05.036" TargetMode="External"/><Relationship Id="rId171" Type="http://schemas.openxmlformats.org/officeDocument/2006/relationships/hyperlink" Target="https://doi.org/10.1016/j.actaastro.2025.10.047" TargetMode="External"/><Relationship Id="rId152" Type="http://schemas.openxmlformats.org/officeDocument/2006/relationships/hyperlink" Target="https://doi.org/10.2514/8.155" TargetMode="External"/><Relationship Id="rId165" Type="http://schemas.openxmlformats.org/officeDocument/2006/relationships/hyperlink" Target="https://doi.org/10.64861/CXGE3201" TargetMode="External"/><Relationship Id="rId158" Type="http://schemas.openxmlformats.org/officeDocument/2006/relationships/hyperlink" Target="https://doi.org/10.64861/GYQL8853" TargetMode="External"/><Relationship Id="rId146" Type="http://schemas.openxmlformats.org/officeDocument/2006/relationships/hyperlink" Target="https://doi.org/10.64861/KYFU68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Atrophy Tax: cadence elasticity to licensing friction</dc:title>
  <dc:creator>Ananya Vaughn (1B-INF-080)</dc:creator>
  <cp:keywords/>
  <dcterms:created xsi:type="dcterms:W3CDTF">2026-07-02T17:06:02Z</dcterms:created>
  <dcterms:modified xsi:type="dcterms:W3CDTF">2026-07-02T17:06:02Z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