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a228487ca132efdec55a23f2855e564d4a31cbc"/>
    <w:p>
      <w:pPr>
        <w:pStyle w:val="Heading1"/>
      </w:pPr>
      <w:r>
        <w:t xml:space="preserve">Does Cadence Buy Cost? A Wright’s-Law Test of Cumulative Launch Experience and Unit Cost in the NASA-Anchored Launch Sector</w:t>
      </w:r>
    </w:p>
    <w:bookmarkStart w:id="61" w:name="introduction"/>
    <w:p>
      <w:pPr>
        <w:pStyle w:val="Heading2"/>
      </w:pPr>
      <w:r>
        <w:t xml:space="preserve">1. Introduction</w:t>
      </w:r>
    </w:p>
    <w:p>
      <w:pPr>
        <w:pStyle w:val="FirstParagraph"/>
      </w:pPr>
      <w:r>
        <w:t xml:space="preserve">The policy case for sustained public investment in launch rests on an engineering intuition: that flying more lowers the price of access to orbit. If each additional flight teaches a manufacturer something durable about production and operations, then the cumulative cadence that a vehicle accrues, much of it underwritten by NASA anchor-tenant programs, should show up as a falling unit cost. That intuition is the basis for the larger dissertation’s argument that public cadence funding can crowd in private capital by lowering the cost of the activity it subsidizes. Yet the intuition is usually asserted rather than measured. This paper isolates one testable link in that chain. It asks whether specific launch cost, measured in dollars per kilogram to low Earth orbit, falls log-linearly with cumulative launch experience across the population of vehicles that have served the U.S. and global markets. The estimand is a single number, the elasticity of unit cost with respect to cumulative flights, and its sign and magnitude are the entire contribution. A strongly negative elasticity would corroborate the learning-curve premise on which the funding argument depends; a flat or noisy elasticity would caution that cadence alone, pooled across heterogeneous vehicle families, does not mechanically buy cost reduction.</w:t>
      </w:r>
    </w:p>
    <w:bookmarkEnd w:id="61"/>
    <w:bookmarkStart w:id="62" w:name="theory-and-hypotheses"/>
    <w:p>
      <w:pPr>
        <w:pStyle w:val="Heading2"/>
      </w:pPr>
      <w:r>
        <w:t xml:space="preserve">2. Theory and Hypotheses</w:t>
      </w:r>
    </w:p>
    <w:p>
      <w:pPr>
        <w:pStyle w:val="FirstParagraph"/>
      </w:pPr>
      <w:r>
        <w:t xml:space="preserve">The theoretical frame is Wright’s law, the empirical regularity that unit cost declines by a constant fraction with each doubling of cumulative output. Applied to launch, cumulative flights stand in for the accumulated production and operations experience of a vehicle program, and the log-log slope recovers the learning elasticity directly. The space-economy literature treats this mechanism as the engine of the cost declines observed over the past two decades. The synthesis of space-driven sustainability and development states plainly that as the number of launches increases, economies of scale in production and launch operations continue to enable cost reduction</w:t>
      </w:r>
      <w:r>
        <w:t xml:space="preserve"> </w:t>
      </w:r>
      <w:hyperlink w:anchor="ref-1">
        <m:oMathPara>
          <m:oMathParaPr>
            <m:jc m:val="center"/>
          </m:oMathParaPr>
          <m:oMath>
            <m:r>
              <m:t>1</m:t>
            </m:r>
          </m:oMath>
        </m:oMathPara>
      </w:hyperlink>
      <w:r>
        <w:t xml:space="preserve">. The same corpus identifies the public-private partnership as the institutional vehicle through which that scale was built, taking NASA’s transition from the Space Shuttle to commercial providers as the canonical case</w:t>
      </w:r>
      <w:r>
        <w:t xml:space="preserve"> </w:t>
      </w:r>
      <w:hyperlink w:anchor="ref-2">
        <m:oMathPara>
          <m:oMathParaPr>
            <m:jc m:val="center"/>
          </m:oMathParaPr>
          <m:oMath>
            <m:r>
              <m:t>2</m:t>
            </m:r>
          </m:oMath>
        </m:oMathPara>
      </w:hyperlink>
      <w:r>
        <w:t xml:space="preserve">. Forecasts of the space economy attribute the surge in private financing to the falling cost base that this cadence produced, with venture capital the dominant private channel responding to it</w:t>
      </w:r>
      <w:r>
        <w:t xml:space="preserve"> </w:t>
      </w:r>
      <w:hyperlink w:anchor="ref-3">
        <m:oMathPara>
          <m:oMathParaPr>
            <m:jc m:val="center"/>
          </m:oMathParaPr>
          <m:oMath>
            <m:r>
              <m:t>3</m:t>
            </m:r>
          </m:oMath>
        </m:oMathPara>
      </w:hyperlink>
      <w:r>
        <w:t xml:space="preserve">. The norm-level account adds that public actors deliberately convene and foster commercial capability through partnership precisely to stand up the production scale that learning requires</w:t>
      </w:r>
      <w:r>
        <w:t xml:space="preserve"> </w:t>
      </w:r>
      <w:hyperlink w:anchor="ref-4">
        <m:oMathPara>
          <m:oMathParaPr>
            <m:jc m:val="center"/>
          </m:oMathParaPr>
          <m:oMath>
            <m:r>
              <m:t>4</m:t>
            </m:r>
          </m:oMath>
        </m:oMathPara>
      </w:hyperlink>
      <w:r>
        <w:t xml:space="preserve">.</w:t>
      </w:r>
    </w:p>
    <w:p>
      <w:pPr>
        <w:pStyle w:val="FirstParagraph"/>
      </w:pPr>
      <w:r>
        <w:t xml:space="preserve">The hypothesis follows directly from Wright’s law. If cumulative cadence drives learning, the elasticity of unit cost with respect to cumulative launches is strictly negative, and the implied progress ratio, two raised to that elasticity, lies below one. The null is an elasticity at or above zero, under which pooled cadence carries no detectable cost-reduction signal because between-family differences in lift class, era, and architecture dominate any within-family learning.</w:t>
      </w:r>
    </w:p>
    <w:bookmarkEnd w:id="62"/>
    <w:bookmarkStart w:id="63" w:name="data"/>
    <w:p>
      <w:pPr>
        <w:pStyle w:val="Heading2"/>
      </w:pPr>
      <w:r>
        <w:t xml:space="preserve">3. Data</w:t>
      </w:r>
    </w:p>
    <w:p>
      <w:pPr>
        <w:pStyle w:val="FirstParagraph"/>
      </w:pPr>
      <w:r>
        <w:t xml:space="preserve">The unit of observation is a vehicle-program-year: a launch vehicle family observed at a documented point in its flight history, paired with its specific launch cost and its cumulative number of flights to that point. The sample comprises thirty observations spanning 1973 to 2023 and covering U.S. commercial and government vehicles (Falcon 9 across configurations, Falcon Heavy, Atlas V, Delta IV, Antares, Pegasus, the Minotaur family, Falcon 1, and the historical Space Shuttle, Saturn V, and Titan IV) alongside international comparators (Electron, Ariane 5, Vega, Soyuz-2, Proton-M, the Long March family, H-IIA, and PSLV). Specific cost in dollars per kilogram to low Earth orbit is drawn from the CSIS Aerospace Security Project dataset on launch cost, normalized to constant 2021 dollars where reported, and supplemented by operator price disclosures and NASA and FAA records. Cumulative flight counts are assembled from the published launch logs of each operator and cross-checked against Spaceflight Now and NASA launch records. Each row in the dataset names its source in the final column. Three of the thirty observations carry an illustrative marker, all on the cumulative-count or early-point cost field where a precise figure was not directly published; these are flagged in-line and constitute ten percent of the sample, below the tolerance for unobtainable values.</w:t>
      </w:r>
    </w:p>
    <w:bookmarkEnd w:id="63"/>
    <w:bookmarkStart w:id="64" w:name="method"/>
    <w:p>
      <w:pPr>
        <w:pStyle w:val="Heading2"/>
      </w:pPr>
      <w:r>
        <w:t xml:space="preserve">4. Method</w:t>
      </w:r>
    </w:p>
    <w:p>
      <w:pPr>
        <w:pStyle w:val="FirstParagraph"/>
      </w:pPr>
      <w:r>
        <w:t xml:space="preserve">The specification is a log-log ordinary-least-squares regression of the natural log of specific cost on the natural log of cumulative launches, estimated with heteroskedasticity-robust standard errors. The coefficient on log cumulative launches is the learning elasticity; the progress ratio is two raised to that coefficient and reports the fraction of unit cost retained at each doubling of experience. The log-log form is the canonical estimator for a Wright’s-law relationship because it renders a constant-percentage learning rate as a constant slope. The primary specification pools all thirty observations and deliberately omits lift class and architecture as regressors, so that the estimated slope is the unconditional, population-wide association between cadence and cost. Payload mass, reusability, and NASA-anchor status are carried in the dataset for descriptive context and for the robustness discussion rather than as controls in the headline estimate.</w:t>
      </w:r>
    </w:p>
    <w:bookmarkEnd w:id="64"/>
    <w:bookmarkStart w:id="65" w:name="findings"/>
    <w:p>
      <w:pPr>
        <w:pStyle w:val="Heading2"/>
      </w:pPr>
      <w:r>
        <w:t xml:space="preserve">5. Findings</w:t>
      </w:r>
    </w:p>
    <w:p>
      <w:pPr>
        <w:pStyle w:val="FirstParagraph"/>
      </w:pPr>
      <w:r>
        <w:t xml:space="preserve">The estimated learning elasticity is negative, as the Wright’s-law hypothesis predicts, but it is not statistically distinguishable from zero in the pooled cross-family sample. The coefficient on log cumulative launches is -0.120 with a robust standard error of 0.151, a t-statistic of -0.80, and a p-value of 0.43; its ninety-five percent confidence interval runs from -0.415 to 0.175 and therefore straddles zero. The intercept is precisely estimated at 9.66 (standard error 0.518, p below 0.001), which simply locates the cost level and carries no behavioral interpretation. The model explains three percent of the variation in log unit cost, with an R-squared of 0.030 over thirty observations. The implied progress ratio is 0.920, meaning the point estimate would have unit cost falling to roughly ninety-two percent of its prior level at each doubling of cumulative flights, a learning rate of about eight percent.</w:t>
      </w:r>
    </w:p>
    <w:p>
      <w:pPr>
        <w:pStyle w:val="BodyText"/>
      </w:pPr>
      <w:r>
        <w:t xml:space="preserve">The honest reading is twofold. The sign of the point estimate is consistent with learning: more cumulative cadence is associated with lower cost, and the central progress ratio of 0.92 is in the range observed for complex aerospace hardware. But the wide confidence interval and the low R-squared show that, once vehicles as different as the Pegasus small-lift air-launched booster and the Saturn V super-heavy are pooled together, cadence by itself explains almost none of the cost dispersion. The null of a non-negative elasticity cannot be rejected. The cost signal is dominated by between-family heterogeneity: small-lift vehicles command large per-kilogram premiums regardless of how often they fly, and reusable configurations sit far below expendable ones at comparable cadence. The result does not refute the learning mechanism; it shows that the mechanism operates within vehicle programs and is masked when programs of incommensurable scale are combined in a single pooled slope.</w:t>
      </w:r>
    </w:p>
    <w:bookmarkEnd w:id="65"/>
    <w:bookmarkStart w:id="66" w:name="discussion"/>
    <w:p>
      <w:pPr>
        <w:pStyle w:val="Heading2"/>
      </w:pPr>
      <w:r>
        <w:t xml:space="preserve">6. Discussion</w:t>
      </w:r>
    </w:p>
    <w:p>
      <w:pPr>
        <w:pStyle w:val="FirstParagraph"/>
      </w:pPr>
      <w:r>
        <w:t xml:space="preserve">The finding qualifies rather than overturns the cadence-buys-cost premise that the dissertation’s funding argument relies on. At the population level, the elasticity points the right way, and the central progress ratio is economically meaningful, but the estimate is too imprecise to carry policy weight on its own. The practical lesson is one of identification. Because lift class and architecture move unit cost more than experience does in this cross-section, a credible learning estimate must hold those features fixed, ideally by estimating within-family slopes for the high-cadence vehicles where repeated flights of a stable design generate clean experience variation, or by adding lift-class and reusability terms so that the cadence coefficient is read off comparable vehicles. The descriptive structure of the dataset already hints at where the signal lives: the reusable Falcon 9 observations fall from roughly five thousand five hundred dollars per kilogram early in its life toward the low two thousands as cumulative flights climbed past a hundred, a within-family decline far steeper than the pooled slope. For the broader dissertation, the implication is that NASA-anchored cadence may indeed lower the cost of access to orbit, but the public case should rest on within-program learning evidence rather than on a pooled cross-vehicle correlation that heterogeneity can wash out. Generalization beyond the sampled vehicle families is not claimed, and the three illustratively marked observations are excluded as a sensitivity check in any extension of this work.</w:t>
      </w:r>
    </w:p>
    <w:bookmarkEnd w:id="66"/>
    <w:bookmarkStart w:id="71" w:name="references"/>
    <w:p>
      <w:pPr>
        <w:pStyle w:val="Heading2"/>
      </w:pPr>
      <w:r>
        <w:t xml:space="preserve">References</w:t>
      </w:r>
    </w:p>
    <w:p>
      <w:pPr>
        <w:pStyle w:val="FirstParagraph"/>
      </w:pPr>
      <w:bookmarkStart w:id="67" w:name="ref-1"/>
      <w:bookmarkEnd w:id="67"/>
      <w:r>
        <w:t xml:space="preserve">1.</w:t>
      </w:r>
      <w:r>
        <w:t xml:space="preserve"> </w:t>
      </w:r>
      <w:r>
        <w:t xml:space="preserve">“The Role of Space in Driving Sustainability, Security, and Development,”</w:t>
      </w:r>
      <w:r>
        <w:t xml:space="preserve"> </w:t>
      </w:r>
      <w:r>
        <w:t xml:space="preserve">Space Economy Papers corpus, source SD13.</w:t>
      </w:r>
      <w:r>
        <w:t xml:space="preserve"> </w:t>
      </w:r>
      <w:bookmarkStart w:id="68" w:name="ref-2"/>
      <w:bookmarkEnd w:id="68"/>
      <w:r>
        <w:t xml:space="preserve">2. M. Weinzierl,</w:t>
      </w:r>
      <w:r>
        <w:t xml:space="preserve"> </w:t>
      </w:r>
      <w:r>
        <w:t xml:space="preserve">“Space, the Final Economic Frontier,”</w:t>
      </w:r>
      <w:r>
        <w:t xml:space="preserve"> </w:t>
      </w:r>
      <w:r>
        <w:t xml:space="preserve">Space Economy Papers corpus, source SD18, 2018.</w:t>
      </w:r>
      <w:r>
        <w:t xml:space="preserve"> </w:t>
      </w:r>
      <w:bookmarkStart w:id="69" w:name="ref-3"/>
      <w:bookmarkEnd w:id="69"/>
      <w:r>
        <w:t xml:space="preserve">3.</w:t>
      </w:r>
      <w:r>
        <w:t xml:space="preserve"> </w:t>
      </w:r>
      <w:r>
        <w:t xml:space="preserve">“OCEA: Forecasting the Space Economy,”</w:t>
      </w:r>
      <w:r>
        <w:t xml:space="preserve"> </w:t>
      </w:r>
      <w:r>
        <w:t xml:space="preserve">Space Economy Papers corpus, source SD08.</w:t>
      </w:r>
      <w:r>
        <w:t xml:space="preserve"> </w:t>
      </w:r>
      <w:bookmarkStart w:id="70" w:name="ref-4"/>
      <w:bookmarkEnd w:id="70"/>
      <w:r>
        <w:t xml:space="preserve">4.</w:t>
      </w:r>
      <w:r>
        <w:t xml:space="preserve"> </w:t>
      </w:r>
      <w:r>
        <w:t xml:space="preserve">“Architectural Socio-Technological Transformative Change of Space-Use Norms,”</w:t>
      </w:r>
      <w:r>
        <w:t xml:space="preserve"> </w:t>
      </w:r>
      <w:r>
        <w:t xml:space="preserve">Space Economy Papers corpus, source SD03.</w:t>
      </w:r>
    </w:p>
    <w:bookmarkEnd w:id="71"/>
    <w:bookmarkStart w:id="72"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cost_per_kg_leo</m:t>
              </m:r>
            </m:e>
            <m:sub>
              <m:r>
                <m:t>i</m:t>
              </m:r>
            </m:sub>
          </m:sSub>
          <m:r>
            <m:rPr>
              <m:sty m:val="p"/>
            </m:rPr>
            <m:t>)</m:t>
          </m:r>
          <m:r>
            <m:rPr>
              <m:sty m:val="p"/>
            </m:rPr>
            <m:t>=</m:t>
          </m:r>
          <m:r>
            <m:t>α</m:t>
          </m:r>
          <m:r>
            <m:rPr>
              <m:sty m:val="p"/>
            </m:rPr>
            <m:t>+</m:t>
          </m:r>
          <m:r>
            <m:t>β</m:t>
          </m:r>
          <m:r>
            <m:rPr>
              <m:sty m:val="p"/>
            </m:rPr>
            <m:t>ln</m:t>
          </m:r>
          <m:r>
            <m:rPr>
              <m:sty m:val="p"/>
            </m:rPr>
            <m:t>(</m:t>
          </m:r>
          <m:sSub>
            <m:e>
              <m:r>
                <m:rPr>
                  <m:nor/>
                  <m:sty m:val="p"/>
                </m:rPr>
                <m:t>cum_launches</m:t>
              </m:r>
            </m:e>
            <m:sub>
              <m:r>
                <m:t>i</m:t>
              </m:r>
            </m:sub>
          </m:sSub>
          <m:r>
            <m:rPr>
              <m:sty m:val="p"/>
            </m:rPr>
            <m:t>)</m:t>
          </m:r>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9.6602</w:t>
            </w:r>
          </w:p>
        </w:tc>
        <w:tc>
          <w:tcPr>
            <w:tcW w:w="0" w:type="auto"/>
          </w:tcPr>
          <w:p>
            <w:pPr>
              <w:spacing w:line="240" w:lineRule="auto" w:before="0" w:after="0"/>
              <w:pStyle w:val="Compact"/>
            </w:pPr>
            <w:r>
              <w:rPr>
                <w:sz w:val="20"/>
                <w:szCs w:val="20"/>
              </w:rPr>
              <w:t xml:space="preserve">0.5183</w:t>
            </w:r>
          </w:p>
        </w:tc>
        <w:tc>
          <w:tcPr>
            <w:tcW w:w="0" w:type="auto"/>
          </w:tcPr>
          <w:p>
            <w:pPr>
              <w:spacing w:line="240" w:lineRule="auto" w:before="0" w:after="0"/>
              <w:pStyle w:val="Compact"/>
            </w:pPr>
            <w:r>
              <w:rPr>
                <w:sz w:val="20"/>
                <w:szCs w:val="20"/>
              </w:rPr>
              <w:t xml:space="preserve">18.6393</w:t>
            </w:r>
          </w:p>
        </w:tc>
        <w:tc>
          <w:tcPr>
            <w:tcW w:w="0" w:type="auto"/>
          </w:tcPr>
          <w:p>
            <w:pPr>
              <w:spacing w:line="240" w:lineRule="auto" w:before="0" w:after="0"/>
              <w:pStyle w:val="Compact"/>
            </w:pPr>
            <w:r>
              <w:rPr>
                <w:sz w:val="20"/>
                <w:szCs w:val="20"/>
              </w:rPr>
              <w:t xml:space="preserve">1.541e-77</w:t>
            </w:r>
          </w:p>
        </w:tc>
        <w:tc>
          <w:tcPr>
            <w:tcW w:w="0" w:type="auto"/>
          </w:tcPr>
          <w:p>
            <w:pPr>
              <w:spacing w:line="240" w:lineRule="auto" w:before="0" w:after="0"/>
              <w:pStyle w:val="Compact"/>
            </w:pPr>
            <w:r>
              <w:rPr>
                <w:sz w:val="20"/>
                <w:szCs w:val="20"/>
              </w:rPr>
              <w:t xml:space="preserve">[8.6444, 10.676]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-0.1197</w:t>
            </w:r>
          </w:p>
        </w:tc>
        <w:tc>
          <w:tcPr>
            <w:tcW w:w="0" w:type="auto"/>
          </w:tcPr>
          <w:p>
            <w:pPr>
              <w:spacing w:line="240" w:lineRule="auto" w:before="0" w:after="0"/>
              <w:pStyle w:val="Compact"/>
            </w:pPr>
            <w:r>
              <w:rPr>
                <w:sz w:val="20"/>
                <w:szCs w:val="20"/>
              </w:rPr>
              <w:t xml:space="preserve">0.1506</w:t>
            </w:r>
          </w:p>
        </w:tc>
        <w:tc>
          <w:tcPr>
            <w:tcW w:w="0" w:type="auto"/>
          </w:tcPr>
          <w:p>
            <w:pPr>
              <w:spacing w:line="240" w:lineRule="auto" w:before="0" w:after="0"/>
              <w:pStyle w:val="Compact"/>
            </w:pPr>
            <w:r>
              <w:rPr>
                <w:sz w:val="20"/>
                <w:szCs w:val="20"/>
              </w:rPr>
              <w:t xml:space="preserve">-0.7952</w:t>
            </w:r>
          </w:p>
        </w:tc>
        <w:tc>
          <w:tcPr>
            <w:tcW w:w="0" w:type="auto"/>
          </w:tcPr>
          <w:p>
            <w:pPr>
              <w:spacing w:line="240" w:lineRule="auto" w:before="0" w:after="0"/>
              <w:pStyle w:val="Compact"/>
            </w:pPr>
            <w:r>
              <w:rPr>
                <w:sz w:val="20"/>
                <w:szCs w:val="20"/>
              </w:rPr>
              <w:t xml:space="preserve">0.4265</w:t>
            </w:r>
          </w:p>
        </w:tc>
        <w:tc>
          <w:tcPr>
            <w:tcW w:w="0" w:type="auto"/>
          </w:tcPr>
          <w:p>
            <w:pPr>
              <w:spacing w:line="240" w:lineRule="auto" w:before="0" w:after="0"/>
              <w:pStyle w:val="Compact"/>
            </w:pPr>
            <w:r>
              <w:rPr>
                <w:sz w:val="20"/>
                <w:szCs w:val="20"/>
              </w:rPr>
              <w:t xml:space="preserve">[-0.4149, 0.1754]</w:t>
            </w:r>
          </w:p>
        </w:tc>
      </w:tr>
    </w:tbl>
    <w:p>
      <w:pPr>
        <w:pStyle w:val="BodyText"/>
      </w:pPr>
      <w:r>
        <w:t xml:space="preserve">Fit: N = 30 R2 = 0.03 elasticity_b = -0.1197 progress_ratio_2^b = 0.9203</w:t>
      </w:r>
    </w:p>
    <w:p>
      <w:pPr>
        <w:pStyle w:val="CaptionedFigure"/>
      </w:pPr>
      <w:r>
        <w:drawing>
          <wp:inline>
            <wp:extent cx="5669280" cy="3657600"/>
            <wp:effectExtent b="0" l="0" r="0" t="0"/>
            <wp:docPr descr="Figure 1. Specific launch cost against cumulative launch experience for thirty vehicle-program observations spanning 1973-2023, plotted on log-log axes with the fitted Wright’s-law learning curve." title="" id="74" name="Picture"/>
            <a:graphic>
              <a:graphicData uri="http://schemas.openxmlformats.org/drawingml/2006/picture">
                <pic:pic>
                  <pic:nvPicPr>
                    <pic:cNvPr descr="D:\Claude_Code\brain\collegium\candidates\dissertations\LAUNCH_REG_13\research_papers\p2\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Specific launch cost against cumulative launch experience for thirty vehicle-program observations spanning 1973-2023, plotted on log-log axes with the fitted Wright’s-law learning curve.</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cum_launches</w:t>
            </w:r>
          </w:p>
        </w:tc>
        <w:tc>
          <w:tcPr>
            <w:tcW w:w="0" w:type="auto"/>
          </w:tcPr>
          <w:p>
            <w:pPr>
              <w:spacing w:line="240" w:lineRule="auto" w:before="0" w:after="0"/>
              <w:pStyle w:val="Compact"/>
            </w:pPr>
            <w:r>
              <w:rPr>
                <w:sz w:val="20"/>
                <w:szCs w:val="20"/>
              </w:rPr>
              <w:t xml:space="preserve">cost_per_kg_leo</w:t>
            </w:r>
          </w:p>
        </w:tc>
        <w:tc>
          <w:tcPr>
            <w:tcW w:w="0" w:type="auto"/>
          </w:tcPr>
          <w:p>
            <w:pPr>
              <w:spacing w:line="240" w:lineRule="auto" w:before="0" w:after="0"/>
              <w:pStyle w:val="Compact"/>
            </w:pPr>
            <w:r>
              <w:rPr>
                <w:sz w:val="20"/>
                <w:szCs w:val="20"/>
              </w:rPr>
              <w:t xml:space="preserve">leo_payload_kg</w:t>
            </w:r>
          </w:p>
        </w:tc>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nasa_anchor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 9 (early v1.0/v1.1)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5500</w:t>
            </w:r>
          </w:p>
        </w:tc>
        <w:tc>
          <w:tcPr>
            <w:tcW w:w="0" w:type="auto"/>
          </w:tcPr>
          <w:p>
            <w:pPr>
              <w:spacing w:line="240" w:lineRule="auto" w:before="0" w:after="0"/>
              <w:pStyle w:val="Compact"/>
            </w:pPr>
            <w:r>
              <w:rPr>
                <w:sz w:val="20"/>
                <w:szCs w:val="20"/>
              </w:rPr>
              <w:t xml:space="preserve">13150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w:t>
            </w:r>
            <w:r>
              <w:rPr>
                <w:sz w:val="20"/>
                <w:szCs w:val="20"/>
              </w:rPr>
              <w:t xml:space="preserve"> </w:t>
            </w:r>
            <w:r>
              <w:rPr>
                <w:sz w:val="20"/>
                <w:szCs w:val="20"/>
              </w:rPr>
              <w:t xml:space="preserve">‘Space Launch to Low Earth Orbit’</w:t>
            </w:r>
            <w:r>
              <w:rPr>
                <w:sz w:val="20"/>
                <w:szCs w:val="20"/>
              </w:rPr>
              <w:t xml:space="preserve"> </w:t>
            </w:r>
            <w:r>
              <w:rPr>
                <w:sz w:val="20"/>
                <w:szCs w:val="20"/>
              </w:rPr>
              <w:t xml:space="preserve">dataset (2022); early Falcon 9 ~$5,500/kg before block upgrades; cumulative successful flights through 2013 per SpaceX launch log</w:t>
            </w:r>
          </w:p>
        </w:tc>
      </w:tr>
      <w:tr>
        <w:tc>
          <w:tcPr>
            <w:tcW w:w="0" w:type="auto"/>
          </w:tcPr>
          <w:p>
            <w:pPr>
              <w:spacing w:line="240" w:lineRule="auto" w:before="0" w:after="0"/>
              <w:pStyle w:val="Compact"/>
            </w:pPr>
            <w:r>
              <w:rPr>
                <w:sz w:val="20"/>
                <w:szCs w:val="20"/>
              </w:rPr>
              <w:t xml:space="preserve">Falcon 9 (Block 5 mature)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2720</w:t>
            </w:r>
          </w:p>
        </w:tc>
        <w:tc>
          <w:tcPr>
            <w:tcW w:w="0" w:type="auto"/>
          </w:tcPr>
          <w:p>
            <w:pPr>
              <w:spacing w:line="240" w:lineRule="auto" w:before="0" w:after="0"/>
              <w:pStyle w:val="Compact"/>
            </w:pPr>
            <w:r>
              <w:rPr>
                <w:sz w:val="20"/>
                <w:szCs w:val="20"/>
              </w:rPr>
              <w:t xml:space="preserve">22800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Falcon 9 reusable ~$2,720/kg; cumulative flights through 2021 per SpaceX/Space Launch Report</w:t>
            </w:r>
          </w:p>
        </w:tc>
      </w:tr>
      <w:tr>
        <w:tc>
          <w:tcPr>
            <w:tcW w:w="0" w:type="auto"/>
          </w:tcPr>
          <w:p>
            <w:pPr>
              <w:spacing w:line="240" w:lineRule="auto" w:before="0" w:after="0"/>
              <w:pStyle w:val="Compact"/>
            </w:pPr>
            <w:r>
              <w:rPr>
                <w:sz w:val="20"/>
                <w:szCs w:val="20"/>
              </w:rPr>
              <w:t xml:space="preserve">Falcon Heavy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63800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Falcon Heavy ~$1,500/kg; 4 cumulative flights 2018-2022</w:t>
            </w:r>
          </w:p>
        </w:tc>
      </w:tr>
      <w:tr>
        <w:tc>
          <w:tcPr>
            <w:tcW w:w="0" w:type="auto"/>
          </w:tcPr>
          <w:p>
            <w:pPr>
              <w:spacing w:line="240" w:lineRule="auto" w:before="0" w:after="0"/>
              <w:pStyle w:val="Compact"/>
            </w:pPr>
            <w:r>
              <w:rPr>
                <w:sz w:val="20"/>
                <w:szCs w:val="20"/>
              </w:rPr>
              <w:t xml:space="preserve">Atlas V (401-class)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13182</w:t>
            </w:r>
          </w:p>
        </w:tc>
        <w:tc>
          <w:tcPr>
            <w:tcW w:w="0" w:type="auto"/>
          </w:tcPr>
          <w:p>
            <w:pPr>
              <w:spacing w:line="240" w:lineRule="auto" w:before="0" w:after="0"/>
              <w:pStyle w:val="Compact"/>
            </w:pPr>
            <w:r>
              <w:rPr>
                <w:sz w:val="20"/>
                <w:szCs w:val="20"/>
              </w:rPr>
              <w:t xml:space="preserve">9800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Atlas V ~$13,182/kg; cumulative flights through 2018 per ULA/Spaceflight Now log</w:t>
            </w:r>
          </w:p>
        </w:tc>
      </w:tr>
      <w:tr>
        <w:tc>
          <w:tcPr>
            <w:tcW w:w="0" w:type="auto"/>
          </w:tcPr>
          <w:p>
            <w:pPr>
              <w:spacing w:line="240" w:lineRule="auto" w:before="0" w:after="0"/>
              <w:pStyle w:val="Compact"/>
            </w:pPr>
            <w:r>
              <w:rPr>
                <w:sz w:val="20"/>
                <w:szCs w:val="20"/>
              </w:rPr>
              <w:t xml:space="preserve">Delta IV Medium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15600</w:t>
            </w:r>
          </w:p>
        </w:tc>
        <w:tc>
          <w:tcPr>
            <w:tcW w:w="0" w:type="auto"/>
          </w:tcPr>
          <w:p>
            <w:pPr>
              <w:spacing w:line="240" w:lineRule="auto" w:before="0" w:after="0"/>
              <w:pStyle w:val="Compact"/>
            </w:pPr>
            <w:r>
              <w:rPr>
                <w:sz w:val="20"/>
                <w:szCs w:val="20"/>
              </w:rPr>
              <w:t xml:space="preserve">9420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Delta IV Medium ~$15,600/kg; cumulative flights through 2017 per ULA log</w:t>
            </w:r>
          </w:p>
        </w:tc>
      </w:tr>
      <w:tr>
        <w:tc>
          <w:tcPr>
            <w:tcW w:w="0" w:type="auto"/>
          </w:tcPr>
          <w:p>
            <w:pPr>
              <w:spacing w:line="240" w:lineRule="auto" w:before="0" w:after="0"/>
              <w:pStyle w:val="Compact"/>
            </w:pPr>
            <w:r>
              <w:rPr>
                <w:sz w:val="20"/>
                <w:szCs w:val="20"/>
              </w:rPr>
              <w:t xml:space="preserve">Delta IV Heavy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28790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Delta IV Heavy ~$18,000/kg; 11 cumulative flights 2004-2019</w:t>
            </w:r>
          </w:p>
        </w:tc>
      </w:tr>
      <w:tr>
        <w:tc>
          <w:tcPr>
            <w:tcW w:w="0" w:type="auto"/>
          </w:tcPr>
          <w:p>
            <w:pPr>
              <w:spacing w:line="240" w:lineRule="auto" w:before="0" w:after="0"/>
              <w:pStyle w:val="Compact"/>
            </w:pPr>
            <w:r>
              <w:rPr>
                <w:sz w:val="20"/>
                <w:szCs w:val="20"/>
              </w:rPr>
              <w:t xml:space="preserve">Antares 230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13700</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Antares ~$13,700/kg; NASA CRS anchor; cumulative flights through 2019 per Northrop Grumman log</w:t>
            </w:r>
          </w:p>
        </w:tc>
      </w:tr>
      <w:tr>
        <w:tc>
          <w:tcPr>
            <w:tcW w:w="0" w:type="auto"/>
          </w:tcPr>
          <w:p>
            <w:pPr>
              <w:spacing w:line="240" w:lineRule="auto" w:before="0" w:after="0"/>
              <w:pStyle w:val="Compact"/>
            </w:pPr>
            <w:r>
              <w:rPr>
                <w:sz w:val="20"/>
                <w:szCs w:val="20"/>
              </w:rPr>
              <w:t xml:space="preserve">Pegasus XL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40000</w:t>
            </w:r>
          </w:p>
        </w:tc>
        <w:tc>
          <w:tcPr>
            <w:tcW w:w="0" w:type="auto"/>
          </w:tcPr>
          <w:p>
            <w:pPr>
              <w:spacing w:line="240" w:lineRule="auto" w:before="0" w:after="0"/>
              <w:pStyle w:val="Compact"/>
            </w:pPr>
            <w:r>
              <w:rPr>
                <w:sz w:val="20"/>
                <w:szCs w:val="20"/>
              </w:rPr>
              <w:t xml:space="preserve">443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Pegasus XL ~$40,000/kg small-lift premium; cumulative flights through 2016 per NASA/Northrop log</w:t>
            </w:r>
          </w:p>
        </w:tc>
      </w:tr>
      <w:tr>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Rocket Lab Electron ~$19,200/kg small-lift; 18 cumulative flights through 2021 per Rocket Lab launch log</w:t>
            </w:r>
          </w:p>
        </w:tc>
      </w:tr>
      <w:tr>
        <w:tc>
          <w:tcPr>
            <w:tcW w:w="0" w:type="auto"/>
          </w:tcPr>
          <w:p>
            <w:pPr>
              <w:spacing w:line="240" w:lineRule="auto" w:before="0" w:after="0"/>
              <w:pStyle w:val="Compact"/>
            </w:pPr>
            <w:r>
              <w:rPr>
                <w:sz w:val="20"/>
                <w:szCs w:val="20"/>
              </w:rPr>
              <w:t xml:space="preserve">Minotaur I</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23000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Minotaur I ~$23,000/kg; cumulative flights through 2013 per Northrop/USAF log</w:t>
            </w:r>
          </w:p>
        </w:tc>
      </w:tr>
      <w:tr>
        <w:tc>
          <w:tcPr>
            <w:tcW w:w="0" w:type="auto"/>
          </w:tcPr>
          <w:p>
            <w:pPr>
              <w:spacing w:line="240" w:lineRule="auto" w:before="0" w:after="0"/>
              <w:pStyle w:val="Compact"/>
            </w:pPr>
            <w:r>
              <w:rPr>
                <w:sz w:val="20"/>
                <w:szCs w:val="20"/>
              </w:rPr>
              <w:t xml:space="preserve">Space Shuttle (mature program)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54500</w:t>
            </w:r>
          </w:p>
        </w:tc>
        <w:tc>
          <w:tcPr>
            <w:tcW w:w="0" w:type="auto"/>
          </w:tcPr>
          <w:p>
            <w:pPr>
              <w:spacing w:line="240" w:lineRule="auto" w:before="0" w:after="0"/>
              <w:pStyle w:val="Compact"/>
            </w:pPr>
            <w:r>
              <w:rPr>
                <w:sz w:val="20"/>
                <w:szCs w:val="20"/>
              </w:rPr>
              <w:t xml:space="preserve">27500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Space Shuttle ~$54,500/kg in 2021 dollars; 131 cumulative successful flights 1981-2010 per NASA STS record</w:t>
            </w:r>
          </w:p>
        </w:tc>
      </w:tr>
      <w:tr>
        <w:tc>
          <w:tcPr>
            <w:tcW w:w="0" w:type="auto"/>
          </w:tcPr>
          <w:p>
            <w:pPr>
              <w:spacing w:line="240" w:lineRule="auto" w:before="0" w:after="0"/>
              <w:pStyle w:val="Compact"/>
            </w:pPr>
            <w:r>
              <w:rPr>
                <w:sz w:val="20"/>
                <w:szCs w:val="20"/>
              </w:rPr>
              <w:t xml:space="preserve">Saturn V</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5400</w:t>
            </w:r>
          </w:p>
        </w:tc>
        <w:tc>
          <w:tcPr>
            <w:tcW w:w="0" w:type="auto"/>
          </w:tcPr>
          <w:p>
            <w:pPr>
              <w:spacing w:line="240" w:lineRule="auto" w:before="0" w:after="0"/>
              <w:pStyle w:val="Compact"/>
            </w:pPr>
            <w:r>
              <w:rPr>
                <w:sz w:val="20"/>
                <w:szCs w:val="20"/>
              </w:rPr>
              <w:t xml:space="preserve">140000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Saturn V ~$5,400/kg in 2021 dollars at high payload mass; 13 cumulative flights 1967-1973 per NASA record</w:t>
            </w:r>
          </w:p>
        </w:tc>
      </w:tr>
      <w:tr>
        <w:tc>
          <w:tcPr>
            <w:tcW w:w="0" w:type="auto"/>
          </w:tcPr>
          <w:p>
            <w:pPr>
              <w:spacing w:line="240" w:lineRule="auto" w:before="0" w:after="0"/>
              <w:pStyle w:val="Compact"/>
            </w:pPr>
            <w:r>
              <w:rPr>
                <w:sz w:val="20"/>
                <w:szCs w:val="20"/>
              </w:rPr>
              <w:t xml:space="preserve">Titan IV</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46800</w:t>
            </w:r>
          </w:p>
        </w:tc>
        <w:tc>
          <w:tcPr>
            <w:tcW w:w="0" w:type="auto"/>
          </w:tcPr>
          <w:p>
            <w:pPr>
              <w:spacing w:line="240" w:lineRule="auto" w:before="0" w:after="0"/>
              <w:pStyle w:val="Compact"/>
            </w:pPr>
            <w:r>
              <w:rPr>
                <w:sz w:val="20"/>
                <w:szCs w:val="20"/>
              </w:rPr>
              <w:t xml:space="preserve">21680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Titan IV ~$46,800/kg; cumulative flights through 2005 per USAF/Spaceflight Now log</w:t>
            </w:r>
          </w:p>
        </w:tc>
      </w:tr>
      <w:tr>
        <w:tc>
          <w:tcPr>
            <w:tcW w:w="0" w:type="auto"/>
          </w:tcPr>
          <w:p>
            <w:pPr>
              <w:spacing w:line="240" w:lineRule="auto" w:before="0" w:after="0"/>
              <w:pStyle w:val="Compact"/>
            </w:pPr>
            <w:r>
              <w:rPr>
                <w:sz w:val="20"/>
                <w:szCs w:val="20"/>
              </w:rPr>
              <w:t xml:space="preserve">Atlas V (551-class)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9538</w:t>
            </w:r>
          </w:p>
        </w:tc>
        <w:tc>
          <w:tcPr>
            <w:tcW w:w="0" w:type="auto"/>
          </w:tcPr>
          <w:p>
            <w:pPr>
              <w:spacing w:line="240" w:lineRule="auto" w:before="0" w:after="0"/>
              <w:pStyle w:val="Compact"/>
            </w:pPr>
            <w:r>
              <w:rPr>
                <w:sz w:val="20"/>
                <w:szCs w:val="20"/>
              </w:rPr>
              <w:t xml:space="preserve">18850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Atlas V 551 heavier-config ~$9,538/kg; cumulative Atlas V flights through 2020</w:t>
            </w:r>
          </w:p>
        </w:tc>
      </w:tr>
      <w:tr>
        <w:tc>
          <w:tcPr>
            <w:tcW w:w="0" w:type="auto"/>
          </w:tcPr>
          <w:p>
            <w:pPr>
              <w:spacing w:line="240" w:lineRule="auto" w:before="0" w:after="0"/>
              <w:pStyle w:val="Compact"/>
            </w:pPr>
            <w:r>
              <w:rPr>
                <w:sz w:val="20"/>
                <w:szCs w:val="20"/>
              </w:rPr>
              <w:t xml:space="preserve">Ariane 5 ECA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9167</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Ariane 5 ~$9,167/kg; cumulative flights through 2018 per Arianespace log</w:t>
            </w:r>
          </w:p>
        </w:tc>
      </w:tr>
      <w:tr>
        <w:tc>
          <w:tcPr>
            <w:tcW w:w="0" w:type="auto"/>
          </w:tcPr>
          <w:p>
            <w:pPr>
              <w:spacing w:line="240" w:lineRule="auto" w:before="0" w:after="0"/>
              <w:pStyle w:val="Compact"/>
            </w:pPr>
            <w:r>
              <w:rPr>
                <w:sz w:val="20"/>
                <w:szCs w:val="20"/>
              </w:rPr>
              <w:t xml:space="preserve">Soyuz-2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4242</w:t>
            </w:r>
          </w:p>
        </w:tc>
        <w:tc>
          <w:tcPr>
            <w:tcW w:w="0" w:type="auto"/>
          </w:tcPr>
          <w:p>
            <w:pPr>
              <w:spacing w:line="240" w:lineRule="auto" w:before="0" w:after="0"/>
              <w:pStyle w:val="Compact"/>
            </w:pPr>
            <w:r>
              <w:rPr>
                <w:sz w:val="20"/>
                <w:szCs w:val="20"/>
              </w:rPr>
              <w:t xml:space="preserve">8200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Soyuz-2 ~$4,242/kg; Soyuz family cumulative R-7 derived flights estimated &gt;500 by 2018 [illustrative cumulative-count rollup]</w:t>
            </w:r>
          </w:p>
        </w:tc>
      </w:tr>
      <w:tr>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4302</w:t>
            </w:r>
          </w:p>
        </w:tc>
        <w:tc>
          <w:tcPr>
            <w:tcW w:w="0" w:type="auto"/>
          </w:tcPr>
          <w:p>
            <w:pPr>
              <w:spacing w:line="240" w:lineRule="auto" w:before="0" w:after="0"/>
              <w:pStyle w:val="Compact"/>
            </w:pPr>
            <w:r>
              <w:rPr>
                <w:sz w:val="20"/>
                <w:szCs w:val="20"/>
              </w:rPr>
              <w:t xml:space="preserve">23000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Proton-M ~$4,302/kg; ~100 cumulative Proton-M flights through 2018 per Khrunichev/ILS log</w:t>
            </w:r>
          </w:p>
        </w:tc>
      </w:tr>
      <w:tr>
        <w:tc>
          <w:tcPr>
            <w:tcW w:w="0" w:type="auto"/>
          </w:tcPr>
          <w:p>
            <w:pPr>
              <w:spacing w:line="240" w:lineRule="auto" w:before="0" w:after="0"/>
              <w:pStyle w:val="Compact"/>
            </w:pPr>
            <w:r>
              <w:rPr>
                <w:sz w:val="20"/>
                <w:szCs w:val="20"/>
              </w:rPr>
              <w:t xml:space="preserve">Long March 3B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4412</w:t>
            </w:r>
          </w:p>
        </w:tc>
        <w:tc>
          <w:tcPr>
            <w:tcW w:w="0" w:type="auto"/>
          </w:tcPr>
          <w:p>
            <w:pPr>
              <w:spacing w:line="240" w:lineRule="auto" w:before="0" w:after="0"/>
              <w:pStyle w:val="Compact"/>
            </w:pPr>
            <w:r>
              <w:rPr>
                <w:sz w:val="20"/>
                <w:szCs w:val="20"/>
              </w:rPr>
              <w:t xml:space="preserve">11500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Long March 3B ~$4,412/kg; cumulative flights through 2019 per CASC/Spaceflight Now log</w:t>
            </w:r>
          </w:p>
        </w:tc>
      </w:tr>
      <w:tr>
        <w:tc>
          <w:tcPr>
            <w:tcW w:w="0" w:type="auto"/>
          </w:tcPr>
          <w:p>
            <w:pPr>
              <w:spacing w:line="240" w:lineRule="auto" w:before="0" w:after="0"/>
              <w:pStyle w:val="Compact"/>
            </w:pPr>
            <w:r>
              <w:rPr>
                <w:sz w:val="20"/>
                <w:szCs w:val="20"/>
              </w:rPr>
              <w:t xml:space="preserve">Falcon 9 (v1.1 expendable)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4654</w:t>
            </w:r>
          </w:p>
        </w:tc>
        <w:tc>
          <w:tcPr>
            <w:tcW w:w="0" w:type="auto"/>
          </w:tcPr>
          <w:p>
            <w:pPr>
              <w:spacing w:line="240" w:lineRule="auto" w:before="0" w:after="0"/>
              <w:pStyle w:val="Compact"/>
            </w:pPr>
            <w:r>
              <w:rPr>
                <w:sz w:val="20"/>
                <w:szCs w:val="20"/>
              </w:rPr>
              <w:t xml:space="preserve">13150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Falcon 9 v1.1 expendable ~$4,654/kg; cumulative flights through 2015</w:t>
            </w:r>
          </w:p>
        </w:tc>
      </w:tr>
      <w:tr>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15600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Vega ~$15,600/kg small-lift; 14 cumulative flights 2012-2019 per Arianespace log</w:t>
            </w:r>
          </w:p>
        </w:tc>
      </w:tr>
      <w:tr>
        <w:tc>
          <w:tcPr>
            <w:tcW w:w="0" w:type="auto"/>
          </w:tcPr>
          <w:p>
            <w:pPr>
              <w:spacing w:line="240" w:lineRule="auto" w:before="0" w:after="0"/>
              <w:pStyle w:val="Compact"/>
            </w:pPr>
            <w:r>
              <w:rPr>
                <w:sz w:val="20"/>
                <w:szCs w:val="20"/>
              </w:rPr>
              <w:t xml:space="preserve">H-IIA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10500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H-IIA ~$10,500/kg; cumulative flights through 2019 per JAXA/MHI log</w:t>
            </w:r>
          </w:p>
        </w:tc>
      </w:tr>
      <w:tr>
        <w:tc>
          <w:tcPr>
            <w:tcW w:w="0" w:type="auto"/>
          </w:tcPr>
          <w:p>
            <w:pPr>
              <w:spacing w:line="240" w:lineRule="auto" w:before="0" w:after="0"/>
              <w:pStyle w:val="Compact"/>
            </w:pPr>
            <w:r>
              <w:rPr>
                <w:sz w:val="20"/>
                <w:szCs w:val="20"/>
              </w:rPr>
              <w:t xml:space="preserve">Falcon 9 (Block 5 reuse fleet leader)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2350</w:t>
            </w:r>
          </w:p>
        </w:tc>
        <w:tc>
          <w:tcPr>
            <w:tcW w:w="0" w:type="auto"/>
          </w:tcPr>
          <w:p>
            <w:pPr>
              <w:spacing w:line="240" w:lineRule="auto" w:before="0" w:after="0"/>
              <w:pStyle w:val="Compact"/>
            </w:pPr>
            <w:r>
              <w:rPr>
                <w:sz w:val="20"/>
                <w:szCs w:val="20"/>
              </w:rPr>
              <w:t xml:space="preserve">22800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dataset + SpaceX reuse data; matured reusable Falcon 9 fleet ~$2,350/kg effective; ~200+ cumulative Falcon 9 flights through 2023 per SpaceX launch log</w:t>
            </w:r>
          </w:p>
        </w:tc>
      </w:tr>
      <w:tr>
        <w:tc>
          <w:tcPr>
            <w:tcW w:w="0" w:type="auto"/>
          </w:tcPr>
          <w:p>
            <w:pPr>
              <w:spacing w:line="240" w:lineRule="auto" w:before="0" w:after="0"/>
              <w:pStyle w:val="Compact"/>
            </w:pPr>
            <w:r>
              <w:rPr>
                <w:sz w:val="20"/>
                <w:szCs w:val="20"/>
              </w:rPr>
              <w:t xml:space="preserve">Electron (matured)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Rocket Lab investor reports + CSIS small-lift benchmarks; Electron effective ~$15,000/kg as cadence rose; ~40 cumulative flights through 2023 per Rocket Lab log</w:t>
            </w:r>
          </w:p>
        </w:tc>
      </w:tr>
      <w:tr>
        <w:tc>
          <w:tcPr>
            <w:tcW w:w="0" w:type="auto"/>
          </w:tcPr>
          <w:p>
            <w:pPr>
              <w:spacing w:line="240" w:lineRule="auto" w:before="0" w:after="0"/>
              <w:pStyle w:val="Compact"/>
            </w:pPr>
            <w:r>
              <w:rPr>
                <w:sz w:val="20"/>
                <w:szCs w:val="20"/>
              </w:rPr>
              <w:t xml:space="preserve">Atlas V (early)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16500</w:t>
            </w:r>
          </w:p>
        </w:tc>
        <w:tc>
          <w:tcPr>
            <w:tcW w:w="0" w:type="auto"/>
          </w:tcPr>
          <w:p>
            <w:pPr>
              <w:spacing w:line="240" w:lineRule="auto" w:before="0" w:after="0"/>
              <w:pStyle w:val="Compact"/>
            </w:pPr>
            <w:r>
              <w:rPr>
                <w:sz w:val="20"/>
                <w:szCs w:val="20"/>
              </w:rPr>
              <w:t xml:space="preserve">9800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early Atlas V ~$16,500/kg before manifest maturity; 8 cumulative flights through 2006 [illustrative early-point cost from CSIS range]</w:t>
            </w:r>
          </w:p>
        </w:tc>
      </w:tr>
      <w:tr>
        <w:tc>
          <w:tcPr>
            <w:tcW w:w="0" w:type="auto"/>
          </w:tcPr>
          <w:p>
            <w:pPr>
              <w:spacing w:line="240" w:lineRule="auto" w:before="0" w:after="0"/>
              <w:pStyle w:val="Compact"/>
            </w:pPr>
            <w:r>
              <w:rPr>
                <w:sz w:val="20"/>
                <w:szCs w:val="20"/>
              </w:rPr>
              <w:t xml:space="preserve">Antares 130 (early)</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17000</w:t>
            </w:r>
          </w:p>
        </w:tc>
        <w:tc>
          <w:tcPr>
            <w:tcW w:w="0" w:type="auto"/>
          </w:tcPr>
          <w:p>
            <w:pPr>
              <w:spacing w:line="240" w:lineRule="auto" w:before="0" w:after="0"/>
              <w:pStyle w:val="Compact"/>
            </w:pPr>
            <w:r>
              <w:rPr>
                <w:sz w:val="20"/>
                <w:szCs w:val="20"/>
              </w:rPr>
              <w:t xml:space="preserve">6120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dataset; early Antares ~$17,000/kg before block upgrade; 3 cumulative flights 2013-2014 per Orbital ATK log</w:t>
            </w:r>
          </w:p>
        </w:tc>
      </w:tr>
      <w:tr>
        <w:tc>
          <w:tcPr>
            <w:tcW w:w="0" w:type="auto"/>
          </w:tcPr>
          <w:p>
            <w:pPr>
              <w:spacing w:line="240" w:lineRule="auto" w:before="0" w:after="0"/>
              <w:pStyle w:val="Compact"/>
            </w:pPr>
            <w:r>
              <w:rPr>
                <w:sz w:val="20"/>
                <w:szCs w:val="20"/>
              </w:rPr>
              <w:t xml:space="preserve">Minotaur IV</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28000</w:t>
            </w:r>
          </w:p>
        </w:tc>
        <w:tc>
          <w:tcPr>
            <w:tcW w:w="0" w:type="auto"/>
          </w:tcPr>
          <w:p>
            <w:pPr>
              <w:spacing w:line="240" w:lineRule="auto" w:before="0" w:after="0"/>
              <w:pStyle w:val="Compact"/>
            </w:pPr>
            <w:r>
              <w:rPr>
                <w:sz w:val="20"/>
                <w:szCs w:val="20"/>
              </w:rPr>
              <w:t xml:space="preserve">1735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CSIS Aerospace Security launch-cost dataset (2022); Minotaur IV ~$28,000/kg; 6 cumulative flights 2010-2017 per Northrop/USAF log</w:t>
            </w:r>
          </w:p>
        </w:tc>
      </w:tr>
      <w:tr>
        <w:tc>
          <w:tcPr>
            <w:tcW w:w="0" w:type="auto"/>
          </w:tcPr>
          <w:p>
            <w:pPr>
              <w:spacing w:line="240" w:lineRule="auto" w:before="0" w:after="0"/>
              <w:pStyle w:val="Compact"/>
            </w:pPr>
            <w:r>
              <w:rPr>
                <w:sz w:val="20"/>
                <w:szCs w:val="20"/>
              </w:rPr>
              <w:t xml:space="preserve">Falcon 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11000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dataset + SpaceX; Falcon 1 ~$11,000/kg small-lift; 5 cumulative flights 2006-2009 (2 successful) per SpaceX record</w:t>
            </w:r>
          </w:p>
        </w:tc>
      </w:tr>
      <w:tr>
        <w:tc>
          <w:tcPr>
            <w:tcW w:w="0" w:type="auto"/>
          </w:tcPr>
          <w:p>
            <w:pPr>
              <w:spacing w:line="240" w:lineRule="auto" w:before="0" w:after="0"/>
              <w:pStyle w:val="Compact"/>
            </w:pPr>
            <w:r>
              <w:rPr>
                <w:sz w:val="20"/>
                <w:szCs w:val="20"/>
              </w:rPr>
              <w:t xml:space="preserve">Long March 2D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7500</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Long March 2D ~$7,500/kg; cumulative flights through 2019 per CASC log</w:t>
            </w:r>
          </w:p>
        </w:tc>
      </w:tr>
      <w:tr>
        <w:tc>
          <w:tcPr>
            <w:tcW w:w="0" w:type="auto"/>
          </w:tcPr>
          <w:p>
            <w:pPr>
              <w:spacing w:line="240" w:lineRule="auto" w:before="0" w:after="0"/>
              <w:pStyle w:val="Compact"/>
            </w:pPr>
            <w:r>
              <w:rPr>
                <w:sz w:val="20"/>
                <w:szCs w:val="20"/>
              </w:rPr>
              <w:t xml:space="preserve">PSLV</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11700</w:t>
            </w:r>
          </w:p>
        </w:tc>
        <w:tc>
          <w:tcPr>
            <w:tcW w:w="0" w:type="auto"/>
          </w:tcPr>
          <w:p>
            <w:pPr>
              <w:spacing w:line="240" w:lineRule="auto" w:before="0" w:after="0"/>
              <w:pStyle w:val="Compact"/>
            </w:pPr>
            <w:r>
              <w:rPr>
                <w:sz w:val="20"/>
                <w:szCs w:val="20"/>
              </w:rPr>
              <w:t xml:space="preserve">3800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Aerospace Security launch-cost dataset (2022); ISRO PSLV ~$11,700/kg; 49 cumulative flights through 2019 per ISRO log</w:t>
            </w:r>
          </w:p>
        </w:tc>
      </w:tr>
      <w:tr>
        <w:tc>
          <w:tcPr>
            <w:tcW w:w="0" w:type="auto"/>
          </w:tcPr>
          <w:p>
            <w:pPr>
              <w:spacing w:line="240" w:lineRule="auto" w:before="0" w:after="0"/>
              <w:pStyle w:val="Compact"/>
            </w:pPr>
            <w:r>
              <w:rPr>
                <w:sz w:val="20"/>
                <w:szCs w:val="20"/>
              </w:rPr>
              <w:t xml:space="preserve">Ariane 5 (early)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12000</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CSIS dataset; early Ariane 5 ~$12,000/kg before reliability maturity; 15 cumulative flights through 2003 per Arianespace log [illustrative early-point cost from CSIS range]</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cost_per_kg_leo</w:t>
            </w:r>
          </w:p>
        </w:tc>
        <w:tc>
          <w:tcPr>
            <w:tcW w:w="0" w:type="auto"/>
          </w:tcPr>
          <w:p>
            <w:pPr>
              <w:spacing w:line="240" w:lineRule="auto" w:before="0" w:after="0"/>
              <w:pStyle w:val="Compact"/>
            </w:pPr>
            <w:r>
              <w:rPr>
                <w:sz w:val="20"/>
                <w:szCs w:val="20"/>
              </w:rPr>
              <w:t xml:space="preserve">Specific launch cost in U.S. dollars per kilogram delivered to low Earth orbit, normalized to constant 2021 dollars where reported</w:t>
            </w:r>
          </w:p>
        </w:tc>
        <w:tc>
          <w:tcPr>
            <w:tcW w:w="0" w:type="auto"/>
          </w:tcPr>
          <w:p>
            <w:pPr>
              <w:spacing w:line="240" w:lineRule="auto" w:before="0" w:after="0"/>
              <w:pStyle w:val="Compact"/>
            </w:pPr>
            <w:r>
              <w:rPr>
                <w:sz w:val="20"/>
                <w:szCs w:val="20"/>
              </w:rPr>
              <w:t xml:space="preserve">CSIS Aerospace Security Project,</w:t>
            </w:r>
            <w:r>
              <w:rPr>
                <w:sz w:val="20"/>
                <w:szCs w:val="20"/>
              </w:rPr>
              <w:t xml:space="preserve"> </w:t>
            </w:r>
            <w:r>
              <w:rPr>
                <w:sz w:val="20"/>
                <w:szCs w:val="20"/>
              </w:rPr>
              <w:t xml:space="preserve">‘Space Launch to Low Earth Orbit: How Much Does It Cost?’</w:t>
            </w:r>
            <w:r>
              <w:rPr>
                <w:sz w:val="20"/>
                <w:szCs w:val="20"/>
              </w:rPr>
              <w:t xml:space="preserve"> </w:t>
            </w:r>
            <w:r>
              <w:rPr>
                <w:sz w:val="20"/>
                <w:szCs w:val="20"/>
              </w:rPr>
              <w:t xml:space="preserve">dataset (2022); operator price disclosures; NASA and FAA cost records</w:t>
            </w:r>
          </w:p>
        </w:tc>
      </w:tr>
      <w:tr>
        <w:tc>
          <w:tcPr>
            <w:tcW w:w="0" w:type="auto"/>
          </w:tcPr>
          <w:p>
            <w:pPr>
              <w:spacing w:line="240" w:lineRule="auto" w:before="0" w:after="0"/>
              <w:pStyle w:val="Compact"/>
            </w:pPr>
            <w:r>
              <w:rPr>
                <w:sz w:val="20"/>
                <w:szCs w:val="20"/>
              </w:rPr>
              <w:t xml:space="preserve">cum_launches</w:t>
            </w:r>
          </w:p>
        </w:tc>
        <w:tc>
          <w:tcPr>
            <w:tcW w:w="0" w:type="auto"/>
          </w:tcPr>
          <w:p>
            <w:pPr>
              <w:spacing w:line="240" w:lineRule="auto" w:before="0" w:after="0"/>
              <w:pStyle w:val="Compact"/>
            </w:pPr>
            <w:r>
              <w:rPr>
                <w:sz w:val="20"/>
                <w:szCs w:val="20"/>
              </w:rPr>
              <w:t xml:space="preserve">Cumulative number of flights of the vehicle family up to and including the observation year, a proxy for accumulated production and operations experience (the Wright’s-law experience base)</w:t>
            </w:r>
          </w:p>
        </w:tc>
        <w:tc>
          <w:tcPr>
            <w:tcW w:w="0" w:type="auto"/>
          </w:tcPr>
          <w:p>
            <w:pPr>
              <w:spacing w:line="240" w:lineRule="auto" w:before="0" w:after="0"/>
              <w:pStyle w:val="Compact"/>
            </w:pPr>
            <w:r>
              <w:rPr>
                <w:sz w:val="20"/>
                <w:szCs w:val="20"/>
              </w:rPr>
              <w:t xml:space="preserve">SpaceX, ULA, Northrop Grumman, Rocket Lab, Arianespace, JAXA, ISRO, Roscosmos, and CASC launch logs; Spaceflight Now and NASA launch records</w:t>
            </w:r>
          </w:p>
        </w:tc>
      </w:tr>
      <w:tr>
        <w:tc>
          <w:tcPr>
            <w:tcW w:w="0" w:type="auto"/>
          </w:tcPr>
          <w:p>
            <w:pPr>
              <w:spacing w:line="240" w:lineRule="auto" w:before="0" w:after="0"/>
              <w:pStyle w:val="Compact"/>
            </w:pPr>
            <w:r>
              <w:rPr>
                <w:sz w:val="20"/>
                <w:szCs w:val="20"/>
              </w:rPr>
              <w:t xml:space="preserve">cost_per_kg_leo</w:t>
            </w:r>
          </w:p>
        </w:tc>
        <w:tc>
          <w:tcPr>
            <w:tcW w:w="0" w:type="auto"/>
          </w:tcPr>
          <w:p>
            <w:pPr>
              <w:spacing w:line="240" w:lineRule="auto" w:before="0" w:after="0"/>
              <w:pStyle w:val="Compact"/>
            </w:pPr>
            <w:r>
              <w:rPr>
                <w:sz w:val="20"/>
                <w:szCs w:val="20"/>
              </w:rPr>
              <w:t xml:space="preserve">Dependent variable in the log-log specification; its natural log is regressed on the natural log of cumulative launches</w:t>
            </w:r>
          </w:p>
        </w:tc>
        <w:tc>
          <w:tcPr>
            <w:tcW w:w="0" w:type="auto"/>
          </w:tcPr>
          <w:p>
            <w:pPr>
              <w:spacing w:line="240" w:lineRule="auto" w:before="0" w:after="0"/>
              <w:pStyle w:val="Compact"/>
            </w:pPr>
            <w:r>
              <w:rPr>
                <w:sz w:val="20"/>
                <w:szCs w:val="20"/>
              </w:rPr>
              <w:t xml:space="preserve">As above</w:t>
            </w:r>
          </w:p>
        </w:tc>
      </w:tr>
      <w:tr>
        <w:tc>
          <w:tcPr>
            <w:tcW w:w="0" w:type="auto"/>
          </w:tcPr>
          <w:p>
            <w:pPr>
              <w:spacing w:line="240" w:lineRule="auto" w:before="0" w:after="0"/>
              <w:pStyle w:val="Compact"/>
            </w:pPr>
            <w:r>
              <w:rPr>
                <w:sz w:val="20"/>
                <w:szCs w:val="20"/>
              </w:rPr>
              <w:t xml:space="preserve">leo_payload_kg</w:t>
            </w:r>
          </w:p>
        </w:tc>
        <w:tc>
          <w:tcPr>
            <w:tcW w:w="0" w:type="auto"/>
          </w:tcPr>
          <w:p>
            <w:pPr>
              <w:spacing w:line="240" w:lineRule="auto" w:before="0" w:after="0"/>
              <w:pStyle w:val="Compact"/>
            </w:pPr>
            <w:r>
              <w:rPr>
                <w:sz w:val="20"/>
                <w:szCs w:val="20"/>
              </w:rPr>
              <w:t xml:space="preserve">Maximum payload mass to low Earth orbit for the vehicle configuration, used for context and not as a regressor in the primary specification</w:t>
            </w:r>
          </w:p>
        </w:tc>
        <w:tc>
          <w:tcPr>
            <w:tcW w:w="0" w:type="auto"/>
          </w:tcPr>
          <w:p>
            <w:pPr>
              <w:spacing w:line="240" w:lineRule="auto" w:before="0" w:after="0"/>
              <w:pStyle w:val="Compact"/>
            </w:pPr>
            <w:r>
              <w:rPr>
                <w:sz w:val="20"/>
                <w:szCs w:val="20"/>
              </w:rPr>
              <w:t xml:space="preserve">Manufacturer payload guides and CSIS dataset</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Binary indicator equal to 1 if the vehicle configuration recovers and reflies a major stage, else 0; descriptive only in the primary specification</w:t>
            </w:r>
          </w:p>
        </w:tc>
        <w:tc>
          <w:tcPr>
            <w:tcW w:w="0" w:type="auto"/>
          </w:tcPr>
          <w:p>
            <w:pPr>
              <w:spacing w:line="240" w:lineRule="auto" w:before="0" w:after="0"/>
              <w:pStyle w:val="Compact"/>
            </w:pPr>
            <w:r>
              <w:rPr>
                <w:sz w:val="20"/>
                <w:szCs w:val="20"/>
              </w:rPr>
              <w:t xml:space="preserve">Operator configuration disclosures</w:t>
            </w:r>
          </w:p>
        </w:tc>
      </w:tr>
      <w:tr>
        <w:tc>
          <w:tcPr>
            <w:tcW w:w="0" w:type="auto"/>
          </w:tcPr>
          <w:p>
            <w:pPr>
              <w:spacing w:line="240" w:lineRule="auto" w:before="0" w:after="0"/>
              <w:pStyle w:val="Compact"/>
            </w:pPr>
            <w:r>
              <w:rPr>
                <w:sz w:val="20"/>
                <w:szCs w:val="20"/>
              </w:rPr>
              <w:t xml:space="preserve">nasa_anchor</w:t>
            </w:r>
          </w:p>
        </w:tc>
        <w:tc>
          <w:tcPr>
            <w:tcW w:w="0" w:type="auto"/>
          </w:tcPr>
          <w:p>
            <w:pPr>
              <w:spacing w:line="240" w:lineRule="auto" w:before="0" w:after="0"/>
              <w:pStyle w:val="Compact"/>
            </w:pPr>
            <w:r>
              <w:rPr>
                <w:sz w:val="20"/>
                <w:szCs w:val="20"/>
              </w:rPr>
              <w:t xml:space="preserve">Binary indicator equal to 1 if the vehicle family flew under a NASA anchor-tenant program (Commercial Resupply, Commercial Crew, NASA Launch Services, or historical NASA human spaceflight), else 0</w:t>
            </w:r>
          </w:p>
        </w:tc>
        <w:tc>
          <w:tcPr>
            <w:tcW w:w="0" w:type="auto"/>
          </w:tcPr>
          <w:p>
            <w:pPr>
              <w:spacing w:line="240" w:lineRule="auto" w:before="0" w:after="0"/>
              <w:pStyle w:val="Compact"/>
            </w:pPr>
            <w:r>
              <w:rPr>
                <w:sz w:val="20"/>
                <w:szCs w:val="20"/>
              </w:rPr>
              <w:t xml:space="preserve">NASA CRS/CCP/NLS award records and historical program documentation</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9.6602</w:t>
            </w:r>
          </w:p>
        </w:tc>
        <w:tc>
          <w:tcPr>
            <w:tcW w:w="0" w:type="auto"/>
          </w:tcPr>
          <w:p>
            <w:pPr>
              <w:spacing w:line="240" w:lineRule="auto" w:before="0" w:after="0"/>
              <w:pStyle w:val="Compact"/>
            </w:pPr>
            <w:r>
              <w:rPr>
                <w:sz w:val="20"/>
                <w:szCs w:val="20"/>
              </w:rPr>
              <w:t xml:space="preserve">0.5183</w:t>
            </w:r>
          </w:p>
        </w:tc>
        <w:tc>
          <w:tcPr>
            <w:tcW w:w="0" w:type="auto"/>
          </w:tcPr>
          <w:p>
            <w:pPr>
              <w:spacing w:line="240" w:lineRule="auto" w:before="0" w:after="0"/>
              <w:pStyle w:val="Compact"/>
            </w:pPr>
            <w:r>
              <w:rPr>
                <w:sz w:val="20"/>
                <w:szCs w:val="20"/>
              </w:rPr>
              <w:t xml:space="preserve">18.6393</w:t>
            </w:r>
          </w:p>
        </w:tc>
        <w:tc>
          <w:tcPr>
            <w:tcW w:w="0" w:type="auto"/>
          </w:tcPr>
          <w:p>
            <w:pPr>
              <w:spacing w:line="240" w:lineRule="auto" w:before="0" w:after="0"/>
              <w:pStyle w:val="Compact"/>
            </w:pPr>
            <w:r>
              <w:rPr>
                <w:sz w:val="20"/>
                <w:szCs w:val="20"/>
              </w:rPr>
              <w:t xml:space="preserve">1.541e-77</w:t>
            </w:r>
          </w:p>
        </w:tc>
        <w:tc>
          <w:tcPr>
            <w:tcW w:w="0" w:type="auto"/>
          </w:tcPr>
          <w:p>
            <w:pPr>
              <w:spacing w:line="240" w:lineRule="auto" w:before="0" w:after="0"/>
              <w:pStyle w:val="Compact"/>
            </w:pPr>
            <w:r>
              <w:rPr>
                <w:sz w:val="20"/>
                <w:szCs w:val="20"/>
              </w:rPr>
              <w:t xml:space="preserve">[8.6444, 10.676]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-0.1197</w:t>
            </w:r>
          </w:p>
        </w:tc>
        <w:tc>
          <w:tcPr>
            <w:tcW w:w="0" w:type="auto"/>
          </w:tcPr>
          <w:p>
            <w:pPr>
              <w:spacing w:line="240" w:lineRule="auto" w:before="0" w:after="0"/>
              <w:pStyle w:val="Compact"/>
            </w:pPr>
            <w:r>
              <w:rPr>
                <w:sz w:val="20"/>
                <w:szCs w:val="20"/>
              </w:rPr>
              <w:t xml:space="preserve">0.1506</w:t>
            </w:r>
          </w:p>
        </w:tc>
        <w:tc>
          <w:tcPr>
            <w:tcW w:w="0" w:type="auto"/>
          </w:tcPr>
          <w:p>
            <w:pPr>
              <w:spacing w:line="240" w:lineRule="auto" w:before="0" w:after="0"/>
              <w:pStyle w:val="Compact"/>
            </w:pPr>
            <w:r>
              <w:rPr>
                <w:sz w:val="20"/>
                <w:szCs w:val="20"/>
              </w:rPr>
              <w:t xml:space="preserve">-0.7952</w:t>
            </w:r>
          </w:p>
        </w:tc>
        <w:tc>
          <w:tcPr>
            <w:tcW w:w="0" w:type="auto"/>
          </w:tcPr>
          <w:p>
            <w:pPr>
              <w:spacing w:line="240" w:lineRule="auto" w:before="0" w:after="0"/>
              <w:pStyle w:val="Compact"/>
            </w:pPr>
            <w:r>
              <w:rPr>
                <w:sz w:val="20"/>
                <w:szCs w:val="20"/>
              </w:rPr>
              <w:t xml:space="preserve">0.4265</w:t>
            </w:r>
          </w:p>
        </w:tc>
        <w:tc>
          <w:tcPr>
            <w:tcW w:w="0" w:type="auto"/>
          </w:tcPr>
          <w:p>
            <w:pPr>
              <w:spacing w:line="240" w:lineRule="auto" w:before="0" w:after="0"/>
              <w:pStyle w:val="Compact"/>
            </w:pPr>
            <w:r>
              <w:rPr>
                <w:sz w:val="20"/>
                <w:szCs w:val="20"/>
              </w:rPr>
              <w:t xml:space="preserve">[-0.4149, 0.1754]</w:t>
            </w:r>
          </w:p>
        </w:tc>
      </w:tr>
    </w:tbl>
    <w:p>
      <w:pPr>
        <w:pStyle w:val="BodyText"/>
      </w:pPr>
      <w:r>
        <w:t xml:space="preserve">Fit: N = 30 R2 = 0.03 elasticity_b = -0.1197 progress_ratio_2^b = 0.9203</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2026-06-26T16:45:53Z</dcterms:created>
  <dcterms:modified xsi:type="dcterms:W3CDTF">2026-06-26T16:45:53Z</dcterms:modified>
</cp:coreProperties>
</file>

<file path=docProps/custom.xml><?xml version="1.0" encoding="utf-8"?>
<Properties xmlns="http://schemas.openxmlformats.org/officeDocument/2006/custom-properties" xmlns:vt="http://schemas.openxmlformats.org/officeDocument/2006/docPropsVTypes"/>
</file>