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CADENCE AND PUBLIC INVESTMENT: DOES NASA PROGRAM FUNDING CROWD IN OR CROWD OUT COMMERCIAL SPACE INVESTMENT?</w:t>
      </w:r>
    </w:p>
    <w:p>
      <w:pPr>
        <w:jc w:val="center"/>
      </w:pPr>
    </w:p>
    <w:p>
      <w:pPr>
        <w:jc w:val="center"/>
      </w:pPr>
      <w:r>
        <w:rPr>
          <w:rFonts w:ascii="Times New Roman" w:hAnsi="Times New Roman"/>
          <w:sz w:val="24"/>
        </w:rPr>
        <w:t>by</w:t>
      </w:r>
    </w:p>
    <w:p>
      <w:pPr>
        <w:jc w:val="center"/>
      </w:pPr>
      <w:r>
        <w:rPr>
          <w:rFonts w:ascii="Times New Roman" w:hAnsi="Times New Roman"/>
          <w:b/>
          <w:sz w:val="28"/>
        </w:rPr>
        <w:t>Wei Bauer</w:t>
      </w:r>
    </w:p>
    <w:p>
      <w:pPr>
        <w:jc w:val="center"/>
      </w:pPr>
      <w:r>
        <w:rPr>
          <w:rFonts w:ascii="Times New Roman" w:hAnsi="Times New Roman"/>
          <w:sz w:val="24"/>
        </w:rPr>
        <w:t>1B-INF-068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The civil space enterprise of the United States has, over the past two decades, undergone a deliberate structural reorganization. This was a choice, not an accident. Where the National Aeronautics and Space Administration once procured launch services and exploration hardware through cost-plus contracts that placed development risk on the public balance sheet, the agency now routes a growing share of its acquisitions through fixed-price, milestone-based partnerships with commercial vendors. The premise underwriting this shift is that sustained public obligations function as an anchor-tenant demand signal that draws private capital into adjacent commercial ventures, thereby seeding a self-sustaining market in launch and orbital services</w:t>
      </w:r>
      <w:r>
        <w:t xml:space="preserve"> </w:t>
      </w:r>
      <w:hyperlink w:anchor="ref-1">
        <w:r>
          <w:rPr>
            <w:rStyle w:val="Hyperlink"/>
          </w:rPr>
          <w:t xml:space="preserve">[1]</w:t>
        </w:r>
      </w:hyperlink>
      <w:r>
        <w:t xml:space="preserve">. The Jet Propulsion Laboratory, as a Federally Funded Research and Development Center whose science missions depend on the cost trajectory of commercial launch, has a direct operational stake in whether that premise holds. If the partnership model crowds private capital in, then JPL’s mission cadence benefits from a declining cost base supplied by a market the agency itself stabilizes. If the model crowds private capital out by absorbing finite engineering labor, supplier slots, and manifest capacity, then the same agency dollars that fund a JPL launch are simultaneously displacing the private financing that would otherwise have lowered the price of the next one</w:t>
      </w:r>
      <w:r>
        <w:t xml:space="preserve"> </w:t>
      </w:r>
      <w:hyperlink w:anchor="ref-3">
        <w:r>
          <w:rPr>
            <w:rStyle w:val="Hyperlink"/>
          </w:rPr>
          <w:t xml:space="preserve">[3]</w:t>
        </w:r>
      </w:hyperlink>
      <w:r>
        <w:t xml:space="preserve">.</w:t>
      </w:r>
    </w:p>
    <w:p>
      <w:pPr>
        <w:pStyle w:val="BodyText"/>
        <w:spacing w:line="480" w:lineRule="auto"/>
        <w:ind w:firstLine="720"/>
      </w:pPr>
      <w:r>
        <w:t xml:space="preserve">The stakes of this question are not abstract. Money and cadence both hang on the answer. Global government spending on space reached approximately ninety-two billion dollars per year by 2021, with NASA representing the largest single civil component of that figure</w:t>
      </w:r>
      <w:r>
        <w:t xml:space="preserve"> </w:t>
      </w:r>
      <w:hyperlink w:anchor="ref-2">
        <w:r>
          <w:rPr>
            <w:rStyle w:val="Hyperlink"/>
          </w:rPr>
          <w:t xml:space="preserve">[2]</w:t>
        </w:r>
      </w:hyperlink>
      <w:r>
        <w:t xml:space="preserve">. Private financing of commercial space ventures, while volatile, has come to dominate the new-entrant segment of the market, and the Organisation for Economic Co-operation and Development has documented that venture capital is the principal private channel responding to the falling cost base of access to orbit</w:t>
      </w:r>
      <w:r>
        <w:t xml:space="preserve"> </w:t>
      </w:r>
      <w:hyperlink w:anchor="ref-4">
        <w:r>
          <w:rPr>
            <w:rStyle w:val="Hyperlink"/>
          </w:rPr>
          <w:t xml:space="preserve">[4]</w:t>
        </w:r>
      </w:hyperlink>
      <w:r>
        <w:t xml:space="preserve">. The policy default, embedded in successive agency strategies and in the public-private partnership architecture that NASA pioneered for commercial cargo and crew, treats the crowd-in premise as settled</w:t>
      </w:r>
      <w:r>
        <w:t xml:space="preserve"> </w:t>
      </w:r>
      <w:hyperlink w:anchor="ref-1">
        <w:r>
          <w:rPr>
            <w:rStyle w:val="Hyperlink"/>
          </w:rPr>
          <w:t xml:space="preserve">[1]</w:t>
        </w:r>
      </w:hyperlink>
      <w:r>
        <w:t xml:space="preserve">. It is not settled. Nobody has measured it. The retrieved domain literature articulates the mechanism with care and traces its institutional history, but it does not estimate the marginal causal effect of a public dollar on a private dollar against any credible counterfactual. The agency, the laboratory, and the appropriations process therefore operate on an untested causal claim.</w:t>
      </w:r>
    </w:p>
    <w:p>
      <w:pPr>
        <w:pStyle w:val="BodyText"/>
        <w:spacing w:line="480" w:lineRule="auto"/>
        <w:ind w:firstLine="720"/>
      </w:pPr>
      <w:r>
        <w:t xml:space="preserve">For JPL specifically, the consequences of misreading the sign run in both directions. A laboratory whose science portfolio assumes a falling, commercially supplied cost base will overcommit to ambitious mission concepts if the underlying market is in fact being subsidized into substitution rather than into addition; the cost curve will flatten when public obligations recede, and the planned cadence will not be sustainable on the next budget cycle. Conversely, a laboratory that under-invests in commercial integration on the assumption that public dollars are merely displacing private ones will forgo the leverage that a genuinely catalytic partnership offers. The question is not whether NASA should engage commercial vendors. The question is whether the headline budget level, mediated through launch cadence, adds to or substitutes for the private investment flows on which the long-run cost trajectory depends. That sign, identified rather than asserted, is the object of this dissertation.</w:t>
      </w:r>
    </w:p>
    <w:bookmarkEnd w:id="61"/>
    <w:bookmarkStart w:id="62" w:name="Xc62ede85bd5621e73677262dd034e644aa66523"/>
    <w:p>
      <w:pPr>
        <w:pStyle w:val="Heading2"/>
        <w:spacing w:line="480" w:lineRule="auto"/>
      </w:pPr>
      <w:r>
        <w:t xml:space="preserve">1.2 The Gap Between Domain Literature and Econometric Method Literature</w:t>
      </w:r>
    </w:p>
    <w:p>
      <w:pPr>
        <w:pStyle w:val="FirstParagraph"/>
        <w:spacing w:line="480" w:lineRule="auto"/>
      </w:pPr>
      <w:r>
        <w:t xml:space="preserve">Two literatures bear on the question, and they do not meet. One describes. The other measures. The domain literature on the space economy is descriptively rich. Weinzierl characterizes the NASA public-private partnership as a deliberate leverage of agency expertise and demand to stand up commercial capability, an argument about intent and institutional mechanism rather than a measured net effect on private capital</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The forecasting literature produced by the OECD tracks venture-capital investment trends and confirms that venture capital dominates private space financing, but it forecasts aggregate flows without isolating the marginal response of those flows to public obligations</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The economic-statecraft synthesis observes that sovereign instruments can indirectly influence the space economy by investing in commercial firms, naming the channel without quantifying its sign or magnitude</w:t>
      </w:r>
      <w:r>
        <w:t xml:space="preserve"> </w:t>
      </w:r>
      <w:hyperlink w:anchor="ref-5">
        <w:r>
          <w:rPr>
            <w:rStyle w:val="Hyperlink"/>
          </w:rPr>
          <w:t xml:space="preserve">[5]</w:t>
        </w:r>
      </w:hyperlink>
      <w:r>
        <w:t xml:space="preserve">. The sustainability-and-development corpus records that private funding is fragile and conditional on technical and regulatory states, an observation that is correlational by construction</w:t>
      </w:r>
      <w:r>
        <w:t xml:space="preserve"> </w:t>
      </w:r>
      <w:hyperlink w:anchor="ref-2">
        <w:r>
          <w:rPr>
            <w:rStyle w:val="Hyperlink"/>
          </w:rPr>
          <w:t xml:space="preserve">[2]</w:t>
        </w:r>
      </w:hyperlink>
      <w:r>
        <w:t xml:space="preserve">. The governance literature traces the transition from legacy space to new space models and documents the institutional architecture through which partnership operates</w:t>
      </w:r>
      <w:r>
        <w:t xml:space="preserve"> </w:t>
      </w:r>
      <w:hyperlink w:anchor="ref-27">
        <w:r>
          <w:rPr>
            <w:rStyle w:val="Hyperlink"/>
          </w:rPr>
          <w:t xml:space="preserve">[27]</w:t>
        </w:r>
      </w:hyperlink>
      <w:r>
        <w:t xml:space="preserve">, and recent contributions from the Acta Astronautica corpus extend that institutional account into interactive collaboration between public and private actors in the space sector</w:t>
      </w:r>
      <w:r>
        <w:t xml:space="preserve"> </w:t>
      </w:r>
      <w:hyperlink w:anchor="ref-25">
        <w:r>
          <w:rPr>
            <w:rStyle w:val="Hyperlink"/>
          </w:rPr>
          <w:t xml:space="preserve">[25]</w:t>
        </w:r>
      </w:hyperlink>
      <w:r>
        <w:t xml:space="preserve">. Across these sources the crowd-in versus crowd-out question is implied but never posed as a falsifiable hypothesis with an identification strategy. The Denis et al. account of the transition from new space to big space narrates the same story in vehicle and mission terms, again without a causal estimate</w:t>
      </w:r>
      <w:r>
        <w:t xml:space="preserve"> </w:t>
      </w:r>
      <w:hyperlink w:anchor="ref-6">
        <w:r>
          <w:rPr>
            <w:rStyle w:val="Hyperlink"/>
          </w:rPr>
          <w:t xml:space="preserve">[6]</w:t>
        </w:r>
      </w:hyperlink>
      <w:r>
        <w:t xml:space="preserve">.</w:t>
      </w:r>
    </w:p>
    <w:p>
      <w:pPr>
        <w:pStyle w:val="BodyText"/>
        <w:spacing w:line="480" w:lineRule="auto"/>
        <w:ind w:firstLine="720"/>
      </w:pPr>
      <w:r>
        <w:t xml:space="preserve">The econometric method literature, by contrast, has long machinery for precisely this kind of question. The treatment-effects tradition supplies panel two-way fixed-effects specifications, instrumental-variables strategies that exploit appropriation schedules and formula-driven budget components, and a battery of placebo and over-identification tests that bound the residual threats to internal validity. The crowding-out question, in its general public-finance form, is one of the oldest in applied econometrics, and the methodological apparatus for distinguishing a demand-anchor channel from a capacity-absorption channel is mature. What is missing is the application of that apparatus to the NASA case with the firm-by-year resolution that the agency’s award data now make possible. The two BryceTech and Space Capital deal-flow series provide the private-investment outcome at the year level, and the disclosed-deal counts and round-by-round records provide the firm-level granularity that the design requires</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The Planetary Society historical budget dataset and the published NASA Congressional Justification series provide the appropriation-schedule instrument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CSIS launch-cost dataset and the FAA Office of Commercial Space Transportation licensed-launch records provide the cadence mediator</w:t>
      </w:r>
      <w:r>
        <w:t xml:space="preserve"> </w:t>
      </w:r>
      <w:hyperlink w:anchor="ref-14">
        <w:r>
          <w:rPr>
            <w:rStyle w:val="Hyperlink"/>
          </w:rPr>
          <w:t xml:space="preserve">[14]</w:t>
        </w:r>
      </w:hyperlink>
      <w:r>
        <w:t xml:space="preserve">,</w:t>
      </w:r>
      <w:r>
        <w:t xml:space="preserve"> </w:t>
      </w:r>
      <w:hyperlink w:anchor="ref-18">
        <w:r>
          <w:rPr>
            <w:rStyle w:val="Hyperlink"/>
          </w:rPr>
          <w:t xml:space="preserve">[18]</w:t>
        </w:r>
      </w:hyperlink>
      <w:r>
        <w:t xml:space="preserve">.</w:t>
      </w:r>
    </w:p>
    <w:p>
      <w:pPr>
        <w:pStyle w:val="BodyText"/>
        <w:spacing w:line="480" w:lineRule="auto"/>
        <w:ind w:firstLine="720"/>
      </w:pPr>
      <w:r>
        <w:t xml:space="preserve">The gap is therefore not one of descriptive coverage, which the domain literature supplies in abundance, nor one of methodological availability, which the econometric tradition supplies as a matter of routine. The gap is that no published study has connected the two: no work has taken the firm-by-year structure of the federal-award microdata, joined it to the disclosed-deal record of private financing, and estimated the sign of the marginal effect with an identification strategy that the method literature would recognize as credible. The two prior papers in this dissertation series have begun that work and have, by their own honest reading, marked the limits of an aggregate annual specification. The first paper estimated a national time-series regression of annual private investment on lagged NASA appropriations across the 2009 to 2024 window and recovered a coefficient on lagged budget of negative 0.616 with a robust standard error of 0.549, statistically indistinguishable from zero at conventional levels, while the deal count entered at 0.0759 with a standard error of 0.019 and absorbed the bulk of the variation. The second paper estimated a pooled cross-vehicle Wright’s-law regression of log specific cost on log cumulative launches and recovered a learning elasticity of negative 0.120 with a robust standard error of 0.151, again straddling zero, with a low R-squared and a confidence interval that the heterogeneity of the pooled sample could not narrow. Both null results are informative in the same direction: the aggregate specification is too coarse to register the mechanism, and the signal, if it exists, lives at the firm and program level where appropriation-schedule variation can be exploited as an instrument and where vehicle-family fixed effects can isolate within-program learning.</w:t>
      </w:r>
    </w:p>
    <w:p>
      <w:pPr>
        <w:pStyle w:val="BodyText"/>
        <w:spacing w:line="480" w:lineRule="auto"/>
        <w:ind w:firstLine="720"/>
      </w:pPr>
      <w:r>
        <w:t xml:space="preserve">Closing that gap is the contribution of the dissertation. The domain literature has named the channel; the method literature has the tools; the data infrastructure has matured to the point where the firm-by-year join is feasible. What remains is the test.</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estimates one quantity. Just one. That quantity is the sign of the elasticity of next-year private investment in the U.S. commercial launch and infrastructure sector with respect to current-year NASA program obligations to firms in that sector, conditional on launch cadence as the intermediating capacity channel and identified by a two-way fixed-effects panel specification at the firm-by-year level with an instrumental-variables strategy that exploits appropriation-schedule variation in the prior authorization cycle.</w:t>
      </w:r>
    </w:p>
    <w:p>
      <w:pPr>
        <w:pStyle w:val="BodyText"/>
        <w:spacing w:line="480" w:lineRule="auto"/>
        <w:ind w:firstLine="720"/>
      </w:pPr>
      <w:r>
        <w:t xml:space="preserve">The null hypothesis states that the elasticity, denoted beta, is less than or equal to zero. Under this hypothesis a one-standard-deviation increase in NASA program obligations to commercial launch and infrastructure vendors in year t produces an effect on private investment in the same sector in year t plus one that is non-positive, consistent either with neutrality or with crowding out through capacity absorption. The alternative hypothesis states that beta is strictly greater than zero, consistent with crowding in through the anchor-tenancy and demand-signal mechanism that the domain literature has long asserted</w:t>
      </w:r>
      <w:r>
        <w:t xml:space="preserve"> </w:t>
      </w:r>
      <w:hyperlink w:anchor="ref-1">
        <w:r>
          <w:rPr>
            <w:rStyle w:val="Hyperlink"/>
          </w:rPr>
          <w:t xml:space="preserve">[1]</w:t>
        </w:r>
      </w:hyperlink>
      <w:r>
        <w:t xml:space="preserve">,</w:t>
      </w:r>
      <w:r>
        <w:t xml:space="preserve"> </w:t>
      </w:r>
      <w:hyperlink w:anchor="ref-13">
        <w:r>
          <w:rPr>
            <w:rStyle w:val="Hyperlink"/>
          </w:rPr>
          <w:t xml:space="preserve">[13]</w:t>
        </w:r>
      </w:hyperlink>
      <w:r>
        <w:t xml:space="preserve">,</w:t>
      </w:r>
      <w:r>
        <w:t xml:space="preserve"> </w:t>
      </w:r>
      <w:hyperlink w:anchor="ref-25">
        <w:r>
          <w:rPr>
            <w:rStyle w:val="Hyperlink"/>
          </w:rPr>
          <w:t xml:space="preserve">[25]</w:t>
        </w:r>
      </w:hyperlink>
      <w:r>
        <w:t xml:space="preserve">. The estimand is the local average effect of an exogenous dollar of NASA obligation on next-year private investment, identified off the predicted-obligation series constructed from the appropriation-schedule instrument.</w:t>
      </w:r>
    </w:p>
    <w:p>
      <w:pPr>
        <w:pStyle w:val="BodyText"/>
        <w:spacing w:line="480" w:lineRule="auto"/>
        <w:ind w:firstLine="720"/>
      </w:pPr>
      <w:r>
        <w:t xml:space="preserve">The finding is falsifiable in both directions. An estimate with a confidence interval bounded strictly above zero refutes the null and confirms the crowd-in premise that the partnership model has been built upon. An estimate with a confidence interval bounded at or below zero refutes the alternative and undermines that premise. A confidence interval that straddles zero, as the two prior papers in this series found at the aggregate level, leaves the question open and is itself a substantive finding about the resolution at which the mechanism can be detected. The contribution of the dissertation is therefore the identified sign of beta, together with the two robustness extensions that follow from the prior papers: a within-program decomposition that separates the anchor-tenant channel from the capacity-absorption channel, and an interaction of obligations with a capacity-utilization proxy that tests whether the sign flips under manifest constraint, consistent with the corpus observation that orbital and manifest regimes have become crowded</w:t>
      </w:r>
      <w:r>
        <w:t xml:space="preserve"> </w:t>
      </w:r>
      <w:hyperlink w:anchor="ref-3">
        <w:r>
          <w:rPr>
            <w:rStyle w:val="Hyperlink"/>
          </w:rPr>
          <w:t xml:space="preserve">[3]</w:t>
        </w:r>
      </w:hyperlink>
      <w:r>
        <w:t xml:space="preserve">.</w:t>
      </w:r>
    </w:p>
    <w:p>
      <w:pPr>
        <w:pStyle w:val="BodyText"/>
        <w:spacing w:line="480" w:lineRule="auto"/>
        <w:ind w:firstLine="720"/>
      </w:pPr>
      <w:r>
        <w:t xml:space="preserve">The contribution is single, and it is precise. One elasticity, one strategy, one sector. The dissertation does not claim to settle the broader question of whether public investment in space is welfare-improving, nor does it claim to identify the channels through which any positive elasticity would propagate to the wider macroeconomy. It estimates one elasticity, with one identification strategy, on one sector, in one country, over one window. That discipline is the price of a credible estimate. The reward is that the agency, the laboratory, and the appropriations process gain a number, with a confidence interval, on which the next round of strategy can defensibly rest.</w:t>
      </w:r>
    </w:p>
    <w:bookmarkEnd w:id="63"/>
    <w:bookmarkStart w:id="64" w:name="roadmap"/>
    <w:p>
      <w:pPr>
        <w:pStyle w:val="Heading2"/>
        <w:spacing w:line="480" w:lineRule="auto"/>
      </w:pPr>
      <w:r>
        <w:t xml:space="preserve">1.4 Roadmap</w:t>
      </w:r>
    </w:p>
    <w:p>
      <w:pPr>
        <w:pStyle w:val="FirstParagraph"/>
        <w:spacing w:line="480" w:lineRule="auto"/>
      </w:pPr>
      <w:r>
        <w:t xml:space="preserve">The dissertation proceeds in seven chapters after this introduction. Chapter 2 reviews the domain literature in depth, organized around the three mechanisms that the corpus articulates: the anchor-tenancy and demand-signal mechanism associated with the public-private partnership architecture</w:t>
      </w:r>
      <w:r>
        <w:t xml:space="preserve"> </w:t>
      </w:r>
      <w:hyperlink w:anchor="ref-1">
        <w:r>
          <w:rPr>
            <w:rStyle w:val="Hyperlink"/>
          </w:rPr>
          <w:t xml:space="preserve">[1]</w:t>
        </w:r>
      </w:hyperlink>
      <w:r>
        <w:t xml:space="preserve">,</w:t>
      </w:r>
      <w:r>
        <w:t xml:space="preserve"> </w:t>
      </w:r>
      <w:hyperlink w:anchor="ref-13">
        <w:r>
          <w:rPr>
            <w:rStyle w:val="Hyperlink"/>
          </w:rPr>
          <w:t xml:space="preserve">[13]</w:t>
        </w:r>
      </w:hyperlink>
      <w:r>
        <w:t xml:space="preserve">,</w:t>
      </w:r>
      <w:r>
        <w:t xml:space="preserve"> </w:t>
      </w:r>
      <w:hyperlink w:anchor="ref-25">
        <w:r>
          <w:rPr>
            <w:rStyle w:val="Hyperlink"/>
          </w:rPr>
          <w:t xml:space="preserve">[25]</w:t>
        </w:r>
      </w:hyperlink>
      <w:r>
        <w:t xml:space="preserve">; the capacity-absorption mechanism associated with the crowding of orbital regimes and supplier slots</w:t>
      </w:r>
      <w:r>
        <w:t xml:space="preserve"> </w:t>
      </w:r>
      <w:hyperlink w:anchor="ref-3">
        <w:r>
          <w:rPr>
            <w:rStyle w:val="Hyperlink"/>
          </w:rPr>
          <w:t xml:space="preserve">[3]</w:t>
        </w:r>
      </w:hyperlink>
      <w:r>
        <w:t xml:space="preserve">; and the value-creation mechanism through which end-user demand for satellite data and services translates into private willingness to invest</w:t>
      </w:r>
      <w:r>
        <w:t xml:space="preserve"> </w:t>
      </w:r>
      <w:hyperlink w:anchor="ref-23">
        <w:r>
          <w:rPr>
            <w:rStyle w:val="Hyperlink"/>
          </w:rPr>
          <w:t xml:space="preserve">[23]</w:t>
        </w:r>
      </w:hyperlink>
      <w:r>
        <w:t xml:space="preserve">,</w:t>
      </w:r>
      <w:r>
        <w:t xml:space="preserve"> </w:t>
      </w:r>
      <w:hyperlink w:anchor="ref-26">
        <w:r>
          <w:rPr>
            <w:rStyle w:val="Hyperlink"/>
          </w:rPr>
          <w:t xml:space="preserve">[26]</w:t>
        </w:r>
      </w:hyperlink>
      <w:r>
        <w:t xml:space="preserve">. The chapter closes by stating, in the terms the econometric method literature requires, the precise estimand that the descriptive corpus implies but does not estimate.</w:t>
      </w:r>
    </w:p>
    <w:p>
      <w:pPr>
        <w:pStyle w:val="BodyText"/>
        <w:spacing w:line="480" w:lineRule="auto"/>
        <w:ind w:firstLine="720"/>
      </w:pPr>
      <w:r>
        <w:t xml:space="preserve">Chapter 3 reviews the econometric method literature relevant to the identification problem. The chapter motivates the two-way fixed-effects panel specification, develops the appropriation-schedule instrumental-variables strategy, and lays out the diagnostics that bound each of the four salient threats to validity: instrument exogeneity, survivorship bias under firm entry and exit, measurement error in the firm-level join between USAspending and the disclosed-deal record, and regime-specificity of the capacity channel.</w:t>
      </w:r>
    </w:p>
    <w:p>
      <w:pPr>
        <w:pStyle w:val="BodyText"/>
        <w:spacing w:line="480" w:lineRule="auto"/>
        <w:ind w:firstLine="720"/>
      </w:pPr>
      <w:r>
        <w:t xml:space="preserve">Chapter 4 documents the data infrastructure. The federal-funding panel is constructed from USAspending.gov filtered to NASA awarding-agency records for launch and space-infrastructure NAICS and PSC codes. The private-investment outcome is drawn from the BryceTech Start-Up Space series and cross-checked against Space Capital’s Space IQ totals</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Launch-cadence counts are assembled from FAA Office of Commercial Space Transportation licensed-launch records. The appropriation-schedule instrument is built from NASA annual budget authority by program as published in the agency Congressional Justification documents and cross-checked against the Planetary Society historical budget dataset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CSIS launch-cost dataset supplies the price-per-kilogram series that mediates the cost channel</w:t>
      </w:r>
      <w:r>
        <w:t xml:space="preserve"> </w:t>
      </w:r>
      <w:hyperlink w:anchor="ref-14">
        <w:r>
          <w:rPr>
            <w:rStyle w:val="Hyperlink"/>
          </w:rPr>
          <w:t xml:space="preserve">[14]</w:t>
        </w:r>
      </w:hyperlink>
      <w:r>
        <w:t xml:space="preserve">.</w:t>
      </w:r>
    </w:p>
    <w:p>
      <w:pPr>
        <w:pStyle w:val="BodyText"/>
        <w:spacing w:line="480" w:lineRule="auto"/>
        <w:ind w:firstLine="720"/>
      </w:pPr>
      <w:r>
        <w:t xml:space="preserve">Chapter 5 presents the two prior papers in revised form. Paper 1, the aggregate time-series test of lagged budget on private investment, is reproduced with the original null result and reframed as a motivating exercise that establishes the inadequacy of the aggregate specification</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Paper 2, the pooled Wright’s-law test of cadence on unit cost, is reproduced with the original null result and reframed as evidence that the cost channel must be estimated within vehicle program rather than across</w:t>
      </w:r>
      <w:r>
        <w:t xml:space="preserve"> </w:t>
      </w:r>
      <w:hyperlink w:anchor="ref-14">
        <w:r>
          <w:rPr>
            <w:rStyle w:val="Hyperlink"/>
          </w:rPr>
          <w:t xml:space="preserve">[14]</w:t>
        </w:r>
      </w:hyperlink>
      <w:r>
        <w:t xml:space="preserve">. The two papers stand as the empirical foundation on which the firm-level design rests, and as a transparent account of what an aggregate approach can and cannot detect.</w:t>
      </w:r>
    </w:p>
    <w:p>
      <w:pPr>
        <w:pStyle w:val="BodyText"/>
        <w:spacing w:line="480" w:lineRule="auto"/>
        <w:ind w:firstLine="720"/>
      </w:pPr>
      <w:r>
        <w:t xml:space="preserve">Chapter 6 presents the firm-level design and its results. The panel two-way fixed-effects specification is estimated, the appropriation-schedule instrument is constructed and tested, the first-stage strength diagnostics and over-identification check are reported, and the headline elasticity is recovered together with its confidence interval. The decomposition into the anchor-tenant and capacity-absorption channels is reported, and the interaction with the capacity-utilization proxy tests the regime-specificity hypothesis. The chapter reports robustness across a distributed-lag specification, a placebo test on pre-period investment, and the no-prior-contract sub-sample that probes the extensive margin.</w:t>
      </w:r>
    </w:p>
    <w:p>
      <w:pPr>
        <w:pStyle w:val="BodyText"/>
        <w:spacing w:line="480" w:lineRule="auto"/>
        <w:ind w:firstLine="720"/>
      </w:pPr>
      <w:r>
        <w:t xml:space="preserve">Chapter 7 discusses the implications for NASA and JPL. The discussion takes the identified sign of beta as given, whatever it proves to be, and works through what each of the three possible findings implies for agency strategy, laboratory mission planning, and the appropriations process. The chapter also returns to the broader space-economy literature and to the recent contributions on value, end-user demand, and governance evolution that the dissertation has not directly tested but that any sign on beta must be interpreted alongside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7">
        <w:r>
          <w:rPr>
            <w:rStyle w:val="Hyperlink"/>
          </w:rPr>
          <w:t xml:space="preserve">[27]</w:t>
        </w:r>
      </w:hyperlink>
      <w:r>
        <w:t xml:space="preserve">,</w:t>
      </w:r>
      <w:r>
        <w:t xml:space="preserve"> </w:t>
      </w:r>
      <w:hyperlink w:anchor="ref-29">
        <w:r>
          <w:rPr>
            <w:rStyle w:val="Hyperlink"/>
          </w:rPr>
          <w:t xml:space="preserve">[29]</w:t>
        </w:r>
      </w:hyperlink>
      <w:r>
        <w:t xml:space="preserve">.</w:t>
      </w:r>
    </w:p>
    <w:p>
      <w:pPr>
        <w:pStyle w:val="BodyText"/>
        <w:spacing w:line="480" w:lineRule="auto"/>
        <w:ind w:firstLine="720"/>
      </w:pPr>
      <w:r>
        <w:t xml:space="preserve">Chapter 8 concludes. The conclusion restates the single contribution, marks the limits of generalization beyond the U.S. commercial launch and infrastructure sector, and identifies the three extensions that the firm-level design opens but does not pursue: an international comparison against the Japanese public-private partnership architecture documented in the recent literature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 a value-chain decomposition that tests whether the sign of beta varies across the segments of the new space economy that the Acta Astronautica corpus has begun to map</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and an extension to the space-resources segment whose market structure remains, as the recent literature acknowledges, unresolved</w:t>
      </w:r>
      <w:r>
        <w:t xml:space="preserve"> </w:t>
      </w:r>
      <w:hyperlink w:anchor="ref-26">
        <w:r>
          <w:rPr>
            <w:rStyle w:val="Hyperlink"/>
          </w:rPr>
          <w:t xml:space="preserve">[26]</w:t>
        </w:r>
      </w:hyperlink>
      <w:r>
        <w:t xml:space="preserve">. None of these extensions weakens the discipline of the single test that the dissertation undertakes. They mark the directions in which a credible estimate of the sign of beta makes further work possible.</w:t>
      </w:r>
    </w:p>
    <w:bookmarkEnd w:id="64"/>
    <w:bookmarkEnd w:id="65"/>
    <w:bookmarkStart w:id="81" w:name="chapter-2.-literature-review"/>
    <w:p>
      <w:pPr>
        <w:pStyle w:val="Heading1"/>
        <w:spacing w:line="480" w:lineRule="auto"/>
      </w:pPr>
      <w:r>
        <w:t xml:space="preserve">Chapter 2. Literature Review</w:t>
      </w:r>
    </w:p>
    <w:bookmarkStart w:id="66" w:name="introduction-and-scope"/>
    <w:p>
      <w:pPr>
        <w:pStyle w:val="Heading2"/>
        <w:spacing w:line="480" w:lineRule="auto"/>
      </w:pPr>
      <w:r>
        <w:t xml:space="preserve">2.1 Introduction and Scope</w:t>
      </w:r>
    </w:p>
    <w:p>
      <w:pPr>
        <w:pStyle w:val="FirstParagraph"/>
        <w:spacing w:line="480" w:lineRule="auto"/>
      </w:pPr>
      <w:r>
        <w:t xml:space="preserve">This dissertation sits at the intersection of two distinct scholarly conversations that have, to a striking degree, proceeded in parallel without engaging one another. The first is the domain technical and policy literature on the commercial space sector, which describes the architecture of public-private partnerships, the evolution of launch capability, the transition from Legacy Space to New Space, and the institutional mechanisms by which government demand has been transmitted to commercial firms. The second is the cliometric and econometric methodology literature on public investment, learning curves, and the identification of crowding effects when a large state buyer interacts with a private capital market. The first literature establishes the descriptive landscape and the institutional plausibility of either a crowd-in or a crowd-out mechanism; the second literature furnishes the tools by which the sign and magnitude of such mechanisms can be credibly recovered from observational data. The two have been read in isolation. That isolation is the problem. Domain authors have largely declined to translate descriptive accounts of the partnership architecture into falsifiable causal hypotheses, while econometric writers have not, with rare exceptions, taken commercial space cadence as a setting in which to deploy quasi-experimental designs.</w:t>
      </w:r>
    </w:p>
    <w:p>
      <w:pPr>
        <w:pStyle w:val="BodyText"/>
        <w:spacing w:line="480" w:lineRule="auto"/>
        <w:ind w:firstLine="720"/>
      </w:pPr>
      <w:r>
        <w:t xml:space="preserve">This chapter reviews both literatures in turn and then synthesizes them to identify the gap that the dissertation aims to fill. Section 2.2 traces the domain technical literature on the New Space transition, the public-private partnership model, the structural transformation of cadence and demand, and the empirical record on private investment flows. Section 2.3 reviews the methodological literature on identification, learning curves, and the cliometric reading of public investment in technology-intensive sectors. Section 2.4 synthesizes the two streams and isolates the unanswered question: whether a marginal dollar of NASA program funding crowds in or crowds out private investment in commercial launch, conditional on cadence as the capacity channel. Section 2.5 anchors the gap to the two pilot studies reported in the research papers and to the empirical strategy advanced in the prospectus.</w:t>
      </w:r>
    </w:p>
    <w:p>
      <w:pPr>
        <w:pStyle w:val="BodyText"/>
        <w:spacing w:line="480" w:lineRule="auto"/>
        <w:ind w:firstLine="720"/>
      </w:pPr>
      <w:r>
        <w:t xml:space="preserve">A note on citation scope. The reference pool for this dissertation comprises twenty-nine sources drawn from the candidate’s curated corpus, spanning the Acta Astronautica journal series, the OECD and BryceTech industry-tracking literature, the CSIS strategic studies on space acquisition, the AMOS conference record on space situational awareness and infrastructure, and the policy and economics monograph literature on space as an economic frontier. Citations in this chapter are restricted to that pool. Where the domain or methodological literature beyond the pool would normally be cited, the argument is restricted to what the pool itself documents, and silences in the pool are flagged rather than papered over.</w:t>
      </w:r>
    </w:p>
    <w:bookmarkEnd w:id="66"/>
    <w:bookmarkStart w:id="74" w:name="the-domain-technical-literature"/>
    <w:p>
      <w:pPr>
        <w:pStyle w:val="Heading2"/>
        <w:spacing w:line="480" w:lineRule="auto"/>
      </w:pPr>
      <w:r>
        <w:t xml:space="preserve">2.2 The Domain Technical Literature</w:t>
      </w:r>
    </w:p>
    <w:bookmarkStart w:id="67" w:name="Xb31ae03fae93892e66473957883d95d28da37c2"/>
    <w:p>
      <w:pPr>
        <w:pStyle w:val="Heading3"/>
        <w:spacing w:line="480" w:lineRule="auto"/>
      </w:pPr>
      <w:r>
        <w:t xml:space="preserve">2.2.1 The New Space Transition and the Partnership Architecture</w:t>
      </w:r>
    </w:p>
    <w:p>
      <w:pPr>
        <w:pStyle w:val="FirstParagraph"/>
        <w:spacing w:line="480" w:lineRule="auto"/>
      </w:pPr>
      <w:r>
        <w:t xml:space="preserve">The opening move of any contemporary review of commercial space economics is the documentation of a structural break in the early twenty-first century, in which the dominant institutional vehicle for civil and quasi-civil space activity shifted from cost-plus government contracting toward a partnership model anchored on commercial procurement, fixed-price service contracts, and public anchor-tenancy for nascent commercial vehicles. Weinzierl’s framing of space as the final economic frontier is the canonical economic statement of that shift: he describes a NASA whose strategic posture has migrated from operating its own vehicles toward standing up a commercial ecosystem in which agency demand serves as the foundational customer for firms that would not otherwise have closed their business cases</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The same argument appears, with different emphases, across the domain literature. Denis and colleagues document the transition from New Space to what they term Big Space, in which the commercial dream of the 2010s matures into a sector of substantial scale and where the institutional architecture of the partnership becomes the load-bearing element of the entire civil space enterprise</w:t>
      </w:r>
      <w:r>
        <w:t xml:space="preserve"> </w:t>
      </w:r>
      <w:hyperlink w:anchor="ref-6">
        <w:r>
          <w:rPr>
            <w:rStyle w:val="Hyperlink"/>
          </w:rPr>
          <w:t xml:space="preserve">[6]</w:t>
        </w:r>
      </w:hyperlink>
      <w:r>
        <w:t xml:space="preserve">. Takata and Hidaka characterize a new generation of public-private partnership in which interactive collaboration replaces the older buyer-seller posture and in which the public partner contributes not only demand but technical knowledge, regulatory clearing, and risk-bearing</w:t>
      </w:r>
      <w:r>
        <w:t xml:space="preserve"> </w:t>
      </w:r>
      <w:hyperlink w:anchor="ref-25">
        <w:r>
          <w:rPr>
            <w:rStyle w:val="Hyperlink"/>
          </w:rPr>
          <w:t xml:space="preserve">[25]</w:t>
        </w:r>
      </w:hyperlink>
      <w:r>
        <w:t xml:space="preserve">. Zancan, Paravano, Locatelli, and Trucco, in a sequence of papers on the governance of the space sector, document the evolution from Legacy Space governance structures, organized around national champions and cost-plus development, toward New Space governance structures in which a more diverse set of commercial actors operates under a more diverse set of contractual instruments</w:t>
      </w:r>
      <w:r>
        <w:t xml:space="preserve"> </w:t>
      </w:r>
      <w:hyperlink w:anchor="ref-27">
        <w:r>
          <w:rPr>
            <w:rStyle w:val="Hyperlink"/>
          </w:rPr>
          <w:t xml:space="preserve">[27]</w:t>
        </w:r>
      </w:hyperlink>
      <w:r>
        <w:t xml:space="preserve">.</w:t>
      </w:r>
    </w:p>
    <w:p>
      <w:pPr>
        <w:pStyle w:val="BodyText"/>
        <w:spacing w:line="480" w:lineRule="auto"/>
        <w:ind w:firstLine="720"/>
      </w:pPr>
      <w:r>
        <w:t xml:space="preserve">The descriptive consensus across these accounts is that the partnership architecture is the central institutional fact of the contemporary commercial space sector and that NASA program funding flows through it to commercial firms as a deliberate matter of agency strategy. What the consensus does not establish, and what the domain literature has generally been content to leave unestablished, is whether the partnership architecture, taken as a whole, raises or lowers the aggregate flow of private capital into the firms it touches.</w:t>
      </w:r>
    </w:p>
    <w:bookmarkEnd w:id="67"/>
    <w:bookmarkStart w:id="68" w:name="the-cadence-channel-and-wrights-law"/>
    <w:p>
      <w:pPr>
        <w:pStyle w:val="Heading3"/>
        <w:spacing w:line="480" w:lineRule="auto"/>
      </w:pPr>
      <w:r>
        <w:t xml:space="preserve">2.2.2 The Cadence Channel and Wright’s Law</w:t>
      </w:r>
    </w:p>
    <w:p>
      <w:pPr>
        <w:pStyle w:val="FirstParagraph"/>
        <w:spacing w:line="480" w:lineRule="auto"/>
      </w:pPr>
      <w:r>
        <w:t xml:space="preserve">A second strand of the domain literature foregrounds the role of cumulative launch experience and cadence as the mechanism through which the cost of access to orbit has fallen over the past two decades. The argument is engineering before it is economic. As the number of launches of a given vehicle family rises, the synthesis literature observes that economies of scale in production and launch operations continue to enable cost reduction, and that this reduction is in turn the basis on which commercial demand for launch services has expanded</w:t>
      </w:r>
      <w:r>
        <w:t xml:space="preserve"> </w:t>
      </w:r>
      <w:hyperlink w:anchor="ref-2">
        <w:r>
          <w:rPr>
            <w:rStyle w:val="Hyperlink"/>
          </w:rPr>
          <w:t xml:space="preserve">[2]</w:t>
        </w:r>
      </w:hyperlink>
      <w:r>
        <w:t xml:space="preserve">. The institutional mechanism through which this scale was built is the public-private partnership itself: Weinzierl identifies the transition from the Space Shuttle to commercial cargo and crew as the canonical case in which agency anchor-tenancy supplied the floor of demand that allowed commercial firms to amortize their development and ramp into a sustainable cadence</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The forecasting literature on the space economy attributes the surge in private financing in the late 2010s and early 2020s to the falling cost base that this cadence produced, identifying venture capital as the dominant private channel through which capital responded to the new cost environment</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p>
    <w:p>
      <w:pPr>
        <w:pStyle w:val="BodyText"/>
        <w:spacing w:line="480" w:lineRule="auto"/>
        <w:ind w:firstLine="720"/>
      </w:pPr>
      <w:r>
        <w:t xml:space="preserve">The norm-level literature reinforces the same point from a different angle. The architectural socio-technological transformation of space-use norms identifies the deliberate convening role of public actors as a defining feature of contemporary space governance: agencies foster commercial capability through partnership precisely to stand up the production scale that learning requires</w:t>
      </w:r>
      <w:r>
        <w:t xml:space="preserve"> </w:t>
      </w:r>
      <w:hyperlink w:anchor="ref-3">
        <w:r>
          <w:rPr>
            <w:rStyle w:val="Hyperlink"/>
          </w:rPr>
          <w:t xml:space="preserve">[3]</w:t>
        </w:r>
      </w:hyperlink>
      <w:r>
        <w:t xml:space="preserve">. The implication, drawn across these sources, is that NASA-anchored cadence is the mechanism through which public dollars are transmuted into a lower cost of access to orbit, which is in turn the condition for the expansion of commercial demand and private capital formation. The candidate’s second research paper [p2] tested the central engineering claim of this strand directly, regressing log specific cost on log cumulative launches across a cross-vehicle panel and recovering a point estimate of the learning elasticity at minus zero point one two with a wide confidence interval that straddled zero. The pooled cross-family slope was not statistically distinguishable from zero, but the sign was consistent with learning and the central progress ratio of zero point nine two sat squarely within the range observed for complex aerospace hardware. The result qualified rather than overturned the cadence-buys-cost premise on which the partnership argument rests, and it sharpened the requirement that any credible test of the larger crowding question must hold lift class and architecture fixed if the cadence channel is to be cleanly identified.</w:t>
      </w:r>
    </w:p>
    <w:bookmarkEnd w:id="68"/>
    <w:bookmarkStart w:id="69" w:name="X1420ac069ea52ba142ad5983c2cdc41dc400db7"/>
    <w:p>
      <w:pPr>
        <w:pStyle w:val="Heading3"/>
        <w:spacing w:line="480" w:lineRule="auto"/>
      </w:pPr>
      <w:r>
        <w:t xml:space="preserve">2.2.3 The Composition of Private Investment Flows</w:t>
      </w:r>
    </w:p>
    <w:p>
      <w:pPr>
        <w:pStyle w:val="FirstParagraph"/>
        <w:spacing w:line="480" w:lineRule="auto"/>
      </w:pPr>
      <w:r>
        <w:t xml:space="preserve">A third strand of the domain literature documents the composition and behavior of private investment in the space sector. BryceTech’s annual Start-Up Space series is the most systematic record of disclosed deal counts, investment totals, and the distribution of capital across stages and segments</w:t>
      </w:r>
      <w:r>
        <w:t xml:space="preserve"> </w:t>
      </w:r>
      <w:hyperlink w:anchor="ref-7">
        <w:r>
          <w:rPr>
            <w:rStyle w:val="Hyperlink"/>
          </w:rPr>
          <w:t xml:space="preserve">[7]</w:t>
        </w:r>
      </w:hyperlink>
      <w:r>
        <w:t xml:space="preserve">. The 2025 edition, covering 2024 activity, sustains the longer-run pattern that private financing of space ventures is dominated by venture capital rather than by angel investment, strategic corporate flows, or sovereign instruments</w:t>
      </w:r>
      <w:r>
        <w:t xml:space="preserve"> </w:t>
      </w:r>
      <w:hyperlink w:anchor="ref-7">
        <w:r>
          <w:rPr>
            <w:rStyle w:val="Hyperlink"/>
          </w:rPr>
          <w:t xml:space="preserve">[7]</w:t>
        </w:r>
      </w:hyperlink>
      <w:r>
        <w:t xml:space="preserve">. Space Capital’s Space Investment Quarterly provides a complementary tracker of investment volumes and supplies the 2023 totals on which the candidate’s first research paper drew</w:t>
      </w:r>
      <w:r>
        <w:t xml:space="preserve"> </w:t>
      </w:r>
      <w:hyperlink w:anchor="ref-12">
        <w:r>
          <w:rPr>
            <w:rStyle w:val="Hyperlink"/>
          </w:rPr>
          <w:t xml:space="preserve">[12]</w:t>
        </w:r>
      </w:hyperlink>
      <w:r>
        <w:t xml:space="preserve">. The OECD’s Forecasting the Space Economy work, conducted under the auspices of its Space Forum, builds on these flows to produce sectoral forecasts and to characterize the volatility of private financing under technical, economic, and regulatory stress</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The synthesis literature on space-driven sustainability and development records that private funding is fragile and conditional on the technical and regulatory state, and that downturns in any of those conditions have visible drawdown effects on the flow of capital</w:t>
      </w:r>
      <w:r>
        <w:t xml:space="preserve"> </w:t>
      </w:r>
      <w:hyperlink w:anchor="ref-2">
        <w:r>
          <w:rPr>
            <w:rStyle w:val="Hyperlink"/>
          </w:rPr>
          <w:t xml:space="preserve">[2]</w:t>
        </w:r>
      </w:hyperlink>
      <w:r>
        <w:t xml:space="preserve">.</w:t>
      </w:r>
    </w:p>
    <w:p>
      <w:pPr>
        <w:pStyle w:val="BodyText"/>
        <w:spacing w:line="480" w:lineRule="auto"/>
        <w:ind w:firstLine="720"/>
      </w:pPr>
      <w:r>
        <w:t xml:space="preserve">Across these sources the descriptive record is rich. The trend is legible. The reader can recover, year by year and at moderate granularity, the size and composition of private flows into the sector. What the reader cannot recover, from these sources alone, is the marginal response of those flows to a unit change in public obligations. The BryceTech and Space Capital series are revealed-quantity records; they do not isolate the response of private capital to a policy instrument. The OECD forecasting work is built around projection rather than causal identification, and its sectoral elasticities are scenario-conditional rather than econometrically recovered. The domain literature, taken in aggregate, is therefore well equipped to describe the level and the trend of private investment but not to attribute either to public action.</w:t>
      </w:r>
    </w:p>
    <w:bookmarkEnd w:id="69"/>
    <w:bookmarkStart w:id="70" w:name="acquisition-and-procurement-behavior"/>
    <w:p>
      <w:pPr>
        <w:pStyle w:val="Heading3"/>
        <w:spacing w:line="480" w:lineRule="auto"/>
      </w:pPr>
      <w:r>
        <w:t xml:space="preserve">2.2.4 Acquisition and Procurement Behavior</w:t>
      </w:r>
    </w:p>
    <w:p>
      <w:pPr>
        <w:pStyle w:val="FirstParagraph"/>
        <w:spacing w:line="480" w:lineRule="auto"/>
      </w:pPr>
      <w:r>
        <w:t xml:space="preserve">A fourth strand documents the specific procurement and acquisition behavior of the U.S. government in the space sector, with particular attention to the cadence and structure of contract awards. Johnson and Daniels at the Center for Strategic and International Studies provide a detailed account of trends in U.S. space domain awareness acquisition through the early 2020s, identifying the migration of awards toward fixed-price commercial instruments and the rising share of contracts let to commercial entrants rather than to legacy primes</w:t>
      </w:r>
      <w:r>
        <w:t xml:space="preserve"> </w:t>
      </w:r>
      <w:hyperlink w:anchor="ref-14">
        <w:r>
          <w:rPr>
            <w:rStyle w:val="Hyperlink"/>
          </w:rPr>
          <w:t xml:space="preserve">[14]</w:t>
        </w:r>
      </w:hyperlink>
      <w:r>
        <w:t xml:space="preserve">. Young and Thadani extend the institutional account to the low Earth orbit broadband competition, in which public procurement decisions and licensing actions interact with commercial capital flows in the construction of next-generation constellations</w:t>
      </w:r>
      <w:r>
        <w:t xml:space="preserve"> </w:t>
      </w:r>
      <w:hyperlink w:anchor="ref-18">
        <w:r>
          <w:rPr>
            <w:rStyle w:val="Hyperlink"/>
          </w:rPr>
          <w:t xml:space="preserve">[18]</w:t>
        </w:r>
      </w:hyperlink>
      <w:r>
        <w:t xml:space="preserve">. Tarantino’s memorandum on the Space Debris Summit and active debris removal records a comparable acquisition posture at the policy frontier, in which the Department of the Air Force signals demand for commercial active debris removal services and conditions its acquisition planning on the maturity of commercial offerings</w:t>
      </w:r>
      <w:r>
        <w:t xml:space="preserve"> </w:t>
      </w:r>
      <w:hyperlink w:anchor="ref-19">
        <w:r>
          <w:rPr>
            <w:rStyle w:val="Hyperlink"/>
          </w:rPr>
          <w:t xml:space="preserve">[19]</w:t>
        </w:r>
      </w:hyperlink>
      <w:r>
        <w:t xml:space="preserve">.</w:t>
      </w:r>
    </w:p>
    <w:p>
      <w:pPr>
        <w:pStyle w:val="BodyText"/>
        <w:spacing w:line="480" w:lineRule="auto"/>
        <w:ind w:firstLine="720"/>
      </w:pPr>
      <w:r>
        <w:t xml:space="preserve">The economic statecraft literature broadens the institutional account further. The review of sovereign instruments through which states act on the commercial space economy documents that direct procurement, anchor-tenancy, equity participation, export controls, and licensing all sit in the policy toolkit, and that the choice among them shapes the channel through which public action reaches private capital</w:t>
      </w:r>
      <w:r>
        <w:t xml:space="preserve"> </w:t>
      </w:r>
      <w:hyperlink w:anchor="ref-5">
        <w:r>
          <w:rPr>
            <w:rStyle w:val="Hyperlink"/>
          </w:rPr>
          <w:t xml:space="preserve">[5]</w:t>
        </w:r>
      </w:hyperlink>
      <w:r>
        <w:t xml:space="preserve">. The literature names the channel through which crowding could operate but, in keeping with its typology orientation, does not estimate its sign or magnitude.</w:t>
      </w:r>
    </w:p>
    <w:p>
      <w:pPr>
        <w:pStyle w:val="BodyText"/>
        <w:spacing w:line="480" w:lineRule="auto"/>
        <w:ind w:firstLine="720"/>
      </w:pPr>
      <w:r>
        <w:t xml:space="preserve">This acquisition literature is institutional and descriptive. It tells the reader how the government buys, from whom, and under what instruments, and it documents the temporal evolution of those choices. What it withholds is a counterfactual. Absent that counterfactual, the effect of those choices on the private capital that flows alongside them stays unmeasured.</w:t>
      </w:r>
    </w:p>
    <w:bookmarkEnd w:id="70"/>
    <w:bookmarkStart w:id="71" w:name="the-technical-infrastructure-literature"/>
    <w:p>
      <w:pPr>
        <w:pStyle w:val="Heading3"/>
        <w:spacing w:line="480" w:lineRule="auto"/>
      </w:pPr>
      <w:r>
        <w:t xml:space="preserve">2.2.5 The Technical Infrastructure Literature</w:t>
      </w:r>
    </w:p>
    <w:p>
      <w:pPr>
        <w:pStyle w:val="FirstParagraph"/>
        <w:spacing w:line="480" w:lineRule="auto"/>
      </w:pPr>
      <w:r>
        <w:t xml:space="preserve">The technical infrastructure literature on space situational awareness, communications, and Earth observation furnishes a useful descriptive backdrop to the partnership story by documenting the specific technical artifacts that NASA and other public agencies have either developed in house, contracted out to commercial vendors, or supported through hybrid arrangements. Nunes and colleagues document the development of a hyperspectral thermal imaging CubeSat for space situational awareness applications, an exemplar of the small-vehicle, university-anchored mode of capability development that the partnership architecture has explicitly encouraged</w:t>
      </w:r>
      <w:r>
        <w:t xml:space="preserve"> </w:t>
      </w:r>
      <w:hyperlink w:anchor="ref-15">
        <w:r>
          <w:rPr>
            <w:rStyle w:val="Hyperlink"/>
          </w:rPr>
          <w:t xml:space="preserve">[15]</w:t>
        </w:r>
      </w:hyperlink>
      <w:r>
        <w:t xml:space="preserve">. Geldzahler and colleagues, across a series of contributions on high-resolution radar for NASA and space situational awareness and on phased-array antennas for space communication and planetary radar, document the in-house development of infrastructure capability at NASA centers, with commercial participation entering at the supplier and component level rather than at the system level</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Hunter and colleagues describe NASA’s Starling mission and its implications for space situational awareness, an example of a contemporary in-house mission with explicit commercial relevance for downstream operators</w:t>
      </w:r>
      <w:r>
        <w:t xml:space="preserve"> </w:t>
      </w:r>
      <w:hyperlink w:anchor="ref-17">
        <w:r>
          <w:rPr>
            <w:rStyle w:val="Hyperlink"/>
          </w:rPr>
          <w:t xml:space="preserve">[17]</w:t>
        </w:r>
      </w:hyperlink>
      <w:r>
        <w:t xml:space="preserve">. These accounts are valuable in establishing that the partnership architecture has not displaced in-house capability so much as it has reorganized the boundary between agency development and commercial procurement.</w:t>
      </w:r>
    </w:p>
    <w:p>
      <w:pPr>
        <w:pStyle w:val="BodyText"/>
        <w:spacing w:line="480" w:lineRule="auto"/>
        <w:ind w:firstLine="720"/>
      </w:pPr>
      <w:r>
        <w:t xml:space="preserve">The Earth observation product-service literature offers a complementary descriptive contribution. Zancan, Trucco, and Locatelli identify the micro-foundations of product-service strategies in Earth observation as a distinct branch of the commercial space sector with its own demand-side logic</w:t>
      </w:r>
      <w:r>
        <w:t xml:space="preserve"> </w:t>
      </w:r>
      <w:hyperlink w:anchor="ref-22">
        <w:r>
          <w:rPr>
            <w:rStyle w:val="Hyperlink"/>
          </w:rPr>
          <w:t xml:space="preserve">[22]</w:t>
        </w:r>
      </w:hyperlink>
      <w:r>
        <w:t xml:space="preserve">. Paravano, Locatelli, and Trucco extend the account to the end-user perspective on satellite data and solutions, documenting the value chain through which downstream demand for Earth observation products is transmitted back to upstream investment in launch and platform capacity</w:t>
      </w:r>
      <w:r>
        <w:t xml:space="preserve"> </w:t>
      </w:r>
      <w:hyperlink w:anchor="ref-23">
        <w:r>
          <w:rPr>
            <w:rStyle w:val="Hyperlink"/>
          </w:rPr>
          <w:t xml:space="preserve">[23]</w:t>
        </w:r>
      </w:hyperlink>
      <w:r>
        <w:t xml:space="preserve">. McKeown, Dempster, Saydam, and Coulton, in their assessment of how potential space resources markets should be evaluated, identify the methodological state of the art for valuing markets that do not yet exist, a question that is structurally similar to the one this dissertation poses for the response of capital to public demand</w:t>
      </w:r>
      <w:r>
        <w:t xml:space="preserve"> </w:t>
      </w:r>
      <w:hyperlink w:anchor="ref-26">
        <w:r>
          <w:rPr>
            <w:rStyle w:val="Hyperlink"/>
          </w:rPr>
          <w:t xml:space="preserve">[26]</w:t>
        </w:r>
      </w:hyperlink>
      <w:r>
        <w:t xml:space="preserve">.</w:t>
      </w:r>
    </w:p>
    <w:bookmarkEnd w:id="71"/>
    <w:bookmarkStart w:id="72" w:name="Xe21f7b1efe96ef2f251485cfc3c85baee1fec1a"/>
    <w:p>
      <w:pPr>
        <w:pStyle w:val="Heading3"/>
        <w:spacing w:line="480" w:lineRule="auto"/>
      </w:pPr>
      <w:r>
        <w:t xml:space="preserve">2.2.6 The Political Economy and Citizen Expectations Literature</w:t>
      </w:r>
    </w:p>
    <w:p>
      <w:pPr>
        <w:pStyle w:val="FirstParagraph"/>
        <w:spacing w:line="480" w:lineRule="auto"/>
      </w:pPr>
      <w:r>
        <w:t xml:space="preserve">A final strand within the domain literature locates the partnership architecture within a broader political-economy frame. Sugita’s account of Nakasone Yasuhiro and Japanese space programs documents the long-running interaction between political leadership, agency posture, and commercial development in the Japanese case, providing a comparative reference point against which the U.S. partnership architecture can be read</w:t>
      </w:r>
      <w:r>
        <w:t xml:space="preserve"> </w:t>
      </w:r>
      <w:hyperlink w:anchor="ref-24">
        <w:r>
          <w:rPr>
            <w:rStyle w:val="Hyperlink"/>
          </w:rPr>
          <w:t xml:space="preserve">[24]</w:t>
        </w:r>
      </w:hyperlink>
      <w:r>
        <w:t xml:space="preserve">. Fehrler, Hornuf, and Vrankar’s study of what citizens expect from space provides a contemporary measurement of public preferences over space activity, identifying the legitimacy basis on which sustained public investment in the sector rests</w:t>
      </w:r>
      <w:r>
        <w:t xml:space="preserve"> </w:t>
      </w:r>
      <w:hyperlink w:anchor="ref-29">
        <w:r>
          <w:rPr>
            <w:rStyle w:val="Hyperlink"/>
          </w:rPr>
          <w:t xml:space="preserve">[29]</w:t>
        </w:r>
      </w:hyperlink>
      <w:r>
        <w:t xml:space="preserve">. These contributions situate the partnership architecture within the broader political economy of public investment in technology-intensive sectors and remind the reader that the choice of partnership model is itself a political act, sustained by configurations of citizen preferences and elite commitments that the econometric estimand alone does not capture.</w:t>
      </w:r>
    </w:p>
    <w:bookmarkEnd w:id="72"/>
    <w:bookmarkStart w:id="73" w:name="Xf47137e44fcfeb521b87ef801540dd64c38a2a0"/>
    <w:p>
      <w:pPr>
        <w:pStyle w:val="Heading3"/>
        <w:spacing w:line="480" w:lineRule="auto"/>
      </w:pPr>
      <w:r>
        <w:t xml:space="preserve">2.2.7 What the Domain Literature Establishes and What It Leaves Open</w:t>
      </w:r>
    </w:p>
    <w:p>
      <w:pPr>
        <w:pStyle w:val="FirstParagraph"/>
        <w:spacing w:line="480" w:lineRule="auto"/>
      </w:pPr>
      <w:r>
        <w:t xml:space="preserve">Taken together, the domain technical literature establishes four things. First, the partnership architecture is the central institutional fact of the contemporary commercial space sector and is the vehicle through which public dollars reach commercial firms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w:t>
      </w:r>
      <w:r>
        <w:t xml:space="preserve"> </w:t>
      </w:r>
      <w:hyperlink w:anchor="ref-25">
        <w:r>
          <w:rPr>
            <w:rStyle w:val="Hyperlink"/>
          </w:rPr>
          <w:t xml:space="preserve">[25]</w:t>
        </w:r>
      </w:hyperlink>
      <w:r>
        <w:t xml:space="preserve">,</w:t>
      </w:r>
      <w:r>
        <w:t xml:space="preserve"> </w:t>
      </w:r>
      <w:hyperlink w:anchor="ref-27">
        <w:r>
          <w:rPr>
            <w:rStyle w:val="Hyperlink"/>
          </w:rPr>
          <w:t xml:space="preserve">[27]</w:t>
        </w:r>
      </w:hyperlink>
      <w:r>
        <w:t xml:space="preserve">. Second, the cadence channel is the engineering mechanism by which public anchor-tenancy is expected to lower the cost of access to orbit and thereby expand commercial demand</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Third, private investment in the sector is dominated by venture capital, is well measured year by year, and is volatile under technical and regulatory stress</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9">
        <w:r>
          <w:rPr>
            <w:rStyle w:val="Hyperlink"/>
          </w:rPr>
          <w:t xml:space="preserve">[9]</w:t>
        </w:r>
      </w:hyperlink>
      <w:r>
        <w:t xml:space="preserve">,</w:t>
      </w:r>
      <w:r>
        <w:t xml:space="preserve"> </w:t>
      </w:r>
      <w:hyperlink w:anchor="ref-12">
        <w:r>
          <w:rPr>
            <w:rStyle w:val="Hyperlink"/>
          </w:rPr>
          <w:t xml:space="preserve">[12]</w:t>
        </w:r>
      </w:hyperlink>
      <w:r>
        <w:t xml:space="preserve">. Fourth, the acquisition behavior of the U.S. government is moving toward commercial instruments and away from legacy cost-plus development, with explicit anchor-tenancy and demand signaling baked into the post-2015 procurement posture</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p>
    <w:p>
      <w:pPr>
        <w:pStyle w:val="BodyText"/>
        <w:spacing w:line="480" w:lineRule="auto"/>
        <w:ind w:firstLine="720"/>
      </w:pPr>
      <w:r>
        <w:t xml:space="preserve">What the domain literature leaves open is the sign of the marginal effect of public obligations on private capital. The descriptive record establishes that the two series have moved together, that the partnership architecture is the channel through which the interaction is mediated, and that both crowding in and crowding out are structurally plausible. The literature does not, with rare and partial exceptions, advance a falsifiable causal hypothesis about the sign of the effect, nor does it deploy an identification strategy capable of recovering that sign from observational data.</w:t>
      </w:r>
    </w:p>
    <w:bookmarkEnd w:id="73"/>
    <w:bookmarkEnd w:id="74"/>
    <w:bookmarkStart w:id="79"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The second literature relevant to this dissertation is the methodological literature on the identification of public-investment effects, the estimation of learning curves, and the cliometric reading of technology-intensive sectors. The reference pool’s coverage of this literature is thinner than its coverage of the domain literature, which is itself a feature of the gap this dissertation aims to fill: the domain literature is rich in description and sparse in identification, and the curated corpus reflects that asymmetry. The methodological literature within the pool is therefore reviewed not as a standalone canon but as the residue of methodological commitments visible in the domain works themselves, supplemented by the explicit methodological choices that the candidate’s two pilot studies made.</w:t>
      </w:r>
    </w:p>
    <w:bookmarkStart w:id="75" w:name="Xb361f8f688e21cecdd7ad1eff7b32228d559791"/>
    <w:p>
      <w:pPr>
        <w:pStyle w:val="Heading3"/>
        <w:spacing w:line="480" w:lineRule="auto"/>
      </w:pPr>
      <w:r>
        <w:t xml:space="preserve">2.3.1 The Cliometric Tradition and Its Application to Space</w:t>
      </w:r>
    </w:p>
    <w:p>
      <w:pPr>
        <w:pStyle w:val="FirstParagraph"/>
        <w:spacing w:line="480" w:lineRule="auto"/>
      </w:pPr>
      <w:r>
        <w:t xml:space="preserve">The cliometric tradition asks econometric questions of historical and contemporary data on the joint evolution of public investment and private outcomes. Within the reference pool, the OECD’s Forecasting the Space Economy is the most explicitly econometric exercise, building on the BryceTech series of revealed quantities to produce sectoral forecasts and to characterize the elasticities of private flows to underlying drivers</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The forecasting work documents that venture capital dominates private financing, that flows are sensitive to technical and regulatory states, and that scenario-conditional projections of sectoral growth depend on assumptions about the future trajectory of public demand and cost reduction. The work is forecast oriented rather than identification oriented; it does not pose a counterfactual question about the marginal effect of public obligations on private flows.</w:t>
      </w:r>
    </w:p>
    <w:p>
      <w:pPr>
        <w:pStyle w:val="BodyText"/>
        <w:spacing w:line="480" w:lineRule="auto"/>
        <w:ind w:firstLine="720"/>
      </w:pPr>
      <w:r>
        <w:t xml:space="preserve">Weinzierl’s economic treatment of the space sector is the closest the pool comes to an explicitly cliometric reading of the partnership architecture</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Weinzierl identifies the partnership as a deliberate leverage of public expertise to stand up commercial capability, names the channels through which the leverage is expected to operate, and observes the joint movement of public budgets and private flows in the relevant period. The treatment is conceptual rather than econometric; it advances no estimating equation, no identification strategy, and no test of a null hypothesis against private-investment data. Its contribution is to specify the mechanism on which a subsequent identification exercise could be built.</w:t>
      </w:r>
    </w:p>
    <w:p>
      <w:pPr>
        <w:pStyle w:val="BodyText"/>
        <w:spacing w:line="480" w:lineRule="auto"/>
        <w:ind w:firstLine="720"/>
      </w:pPr>
      <w:r>
        <w:t xml:space="preserve">The economic statecraft review provides the methodological complement to Weinzierl’s conceptual treatment by typologizing the instruments through which sovereign actors influence the commercial space economy</w:t>
      </w:r>
      <w:r>
        <w:t xml:space="preserve"> </w:t>
      </w:r>
      <w:hyperlink w:anchor="ref-5">
        <w:r>
          <w:rPr>
            <w:rStyle w:val="Hyperlink"/>
          </w:rPr>
          <w:t xml:space="preserve">[5]</w:t>
        </w:r>
      </w:hyperlink>
      <w:r>
        <w:t xml:space="preserve">. The review identifies direct procurement, anchor-tenancy, equity participation, export controls, and licensing as the principal instruments, and observes that the sign of each instrument’s effect on private capital depends on the elasticity of supply of the constrained inputs and on the substitutability of public demand for private demand. The review does not estimate these elasticities; it names them.</w:t>
      </w:r>
    </w:p>
    <w:bookmarkEnd w:id="75"/>
    <w:bookmarkStart w:id="76" w:name="X0185f2119d9b0518fc11576f92ddcbc0f13c014"/>
    <w:p>
      <w:pPr>
        <w:pStyle w:val="Heading3"/>
        <w:spacing w:line="480" w:lineRule="auto"/>
      </w:pPr>
      <w:r>
        <w:t xml:space="preserve">2.3.2 The Identification Problem in Public Investment Studies</w:t>
      </w:r>
    </w:p>
    <w:p>
      <w:pPr>
        <w:pStyle w:val="FirstParagraph"/>
        <w:spacing w:line="480" w:lineRule="auto"/>
      </w:pPr>
      <w:r>
        <w:t xml:space="preserve">A reading of the methodological literature within the pool, together with the candidate’s two pilot studies, isolates the core identification problem that any test of the crowding question must confront. The problem has three layers.</w:t>
      </w:r>
    </w:p>
    <w:p>
      <w:pPr>
        <w:pStyle w:val="BodyText"/>
        <w:spacing w:line="480" w:lineRule="auto"/>
        <w:ind w:firstLine="720"/>
      </w:pPr>
      <w:r>
        <w:t xml:space="preserve">The first layer is reverse causality. Cause and effect can run backward here. If NASA directs program funding toward sectors that are already attracting private capital, then a naive regression of private investment on public obligations will recover a positive coefficient that conflates the agency’s selection rule with the causal effect of public dollars. The OECD forecasting literature implicitly acknowledges this concern by treating both series as endogenous to a common set of sectoral drivers</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but it does not advance an instrument that would break the endogeneity.</w:t>
      </w:r>
    </w:p>
    <w:p>
      <w:pPr>
        <w:pStyle w:val="BodyText"/>
        <w:spacing w:line="480" w:lineRule="auto"/>
        <w:ind w:firstLine="720"/>
      </w:pPr>
      <w:r>
        <w:t xml:space="preserve">The second layer is omitted confounders. Both public obligations and private flows respond to a set of macroeconomic, technical, and policy conditions that the analyst typically does not observe in full. The candidate’s first research paper [p1] illustrates the problem and the partial response: by controlling for the breadth of the deal market through annual deal counts and for the structural break of the post-2015 commercial era through an indicator variable, the paper isolated a residual coefficient on lagged NASA budget that was negative in point estimate but statistically indistinguishable from zero, with a robust standard error nearly as large as the coefficient itself. The control that did the work was the deal count, with each additional disclosed deal associated with roughly seventy-six million dollars of additional annual investment. The result rejected the strong form of the crowd-in hypothesis at the headline-budget level of aggregation and failed to confirm crowd-out, leaving the marginal sign undetermined under the headline specification.</w:t>
      </w:r>
    </w:p>
    <w:p>
      <w:pPr>
        <w:pStyle w:val="BodyText"/>
        <w:spacing w:line="480" w:lineRule="auto"/>
        <w:ind w:firstLine="720"/>
      </w:pPr>
      <w:r>
        <w:t xml:space="preserve">The third layer is aggregation. The first research paper used the total NASA appropriation as the regressor, an aggregation that obscures the program-line variation through which the partnership architecture actually operates. Commercial cargo, commercial crew, and the various commercial low Earth orbit and lunar service contracts each carry distinct demand signals, and pooling them with science, exploration, and mission directorate lines that are not commercially salient washes out the cross-program variation that any credible identification would exploit. The methodological literature within the pool does not advance the disaggregated specification that the partnership architecture demands; the second research paper [p2] gestures toward it by noting that, within vehicle programs, cadence and cost track each other in ways that the pooled cross-family slope cannot capture.</w:t>
      </w:r>
    </w:p>
    <w:bookmarkEnd w:id="76"/>
    <w:bookmarkStart w:id="77" w:name="Xd889f9ae1c084c77b629425cb525f3f6799f081"/>
    <w:p>
      <w:pPr>
        <w:pStyle w:val="Heading3"/>
        <w:spacing w:line="480" w:lineRule="auto"/>
      </w:pPr>
      <w:r>
        <w:t xml:space="preserve">2.3.3 Learning Curves and Wright’s Law as Methodological Anchors</w:t>
      </w:r>
    </w:p>
    <w:p>
      <w:pPr>
        <w:pStyle w:val="FirstParagraph"/>
        <w:spacing w:line="480" w:lineRule="auto"/>
      </w:pPr>
      <w:r>
        <w:t xml:space="preserve">The cliometric literature on technology-intensive sectors has long deployed the learning curve, in its Wright’s-law and Henderson-experience-curve variants, as the central econometric tool for recovering the relationship between cumulative experience and unit cost. The reference pool’s documentation of this method is concentrated in the synthesis literature on space-driven sustainability and development, which asserts the empirical regularity but does not advance the econometric specification, and in the candidate’s second research paper, which deploys the regularity directly as a log-log specification across a cross-vehicle panel</w:t>
      </w:r>
      <w:r>
        <w:t xml:space="preserve"> </w:t>
      </w:r>
      <w:hyperlink w:anchor="ref-2">
        <w:r>
          <w:rPr>
            <w:rStyle w:val="Hyperlink"/>
          </w:rPr>
          <w:t xml:space="preserve">[2]</w:t>
        </w:r>
      </w:hyperlink>
      <w:r>
        <w:t xml:space="preserve">, [p2]. The methodological point that the second research paper raises, and that the cliometric tradition would recognize, is that the Wright’s-law specification recovers a consistent estimate of the learning elasticity only when the population over which the estimation is conducted is homogeneous in the dimensions of cost that are not cumulative experience. Pooling across vehicles of incommensurable lift class and architecture produces a slope that is contaminated by between-family heterogeneity and that is in general too imprecise to support policy inference.</w:t>
      </w:r>
    </w:p>
    <w:p>
      <w:pPr>
        <w:pStyle w:val="BodyText"/>
        <w:spacing w:line="480" w:lineRule="auto"/>
        <w:ind w:firstLine="720"/>
      </w:pPr>
      <w:r>
        <w:t xml:space="preserve">The methodological lesson generalizes beyond the learning curve. Any test of the crowding question must specify the population over which the estimation is conducted such that the variation in public obligations across units is plausibly orthogonal to the variation in unobserved confounders. The two pilot studies, taken together, point toward a panel design at the firm-by-year level with two-way fixed effects to absorb firm and year heterogeneity, an instrumental-variables strategy to break the endogeneity of contemporaneous obligations to contemporaneous private flows, and a mediation analysis through cadence as the capacity channel. The prospectus advances exactly this design [prospectus]. The methodological literature within the pool does not advance it; the methodological move is the contribution.</w:t>
      </w:r>
    </w:p>
    <w:bookmarkEnd w:id="77"/>
    <w:bookmarkStart w:id="78" w:name="Xf415d5696cde38b528c9ed1ff357e46f0c78968"/>
    <w:p>
      <w:pPr>
        <w:pStyle w:val="Heading3"/>
        <w:spacing w:line="480" w:lineRule="auto"/>
      </w:pPr>
      <w:r>
        <w:t xml:space="preserve">2.3.4 The Forecasting Literature as a Reference Point</w:t>
      </w:r>
    </w:p>
    <w:p>
      <w:pPr>
        <w:pStyle w:val="FirstParagraph"/>
        <w:spacing w:line="480" w:lineRule="auto"/>
      </w:pPr>
      <w:r>
        <w:t xml:space="preserve">The OECD’s Forecasting the Space Economy is the methodological reference point against which the dissertation’s econometric strategy is most directly compared</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The forecasting work proceeds by specifying scenario-conditional trajectories of public and private flows, calibrating the trajectories to revealed quantities, and producing sectoral projections that depend on the assumed elasticities of demand and supply. The work is valuable as a description of where the sector is going under specified assumptions; it is silent on where the sector would have gone in the absence of a marginal dollar of public obligation. The distinction is the distinction between projection and identification, and it is the distinction the dissertation aims to close.</w:t>
      </w:r>
    </w:p>
    <w:p>
      <w:pPr>
        <w:pStyle w:val="BodyText"/>
        <w:spacing w:line="480" w:lineRule="auto"/>
        <w:ind w:firstLine="720"/>
      </w:pPr>
      <w:r>
        <w:t xml:space="preserve">BryceTech’s series is the empirical foundation on which the forecasting work rests and on which any identification exercise must build</w:t>
      </w:r>
      <w:r>
        <w:t xml:space="preserve"> </w:t>
      </w:r>
      <w:hyperlink w:anchor="ref-7">
        <w:r>
          <w:rPr>
            <w:rStyle w:val="Hyperlink"/>
          </w:rPr>
          <w:t xml:space="preserve">[7]</w:t>
        </w:r>
      </w:hyperlink>
      <w:r>
        <w:t xml:space="preserve">. The series documents the revealed quantities of disclosed deal counts and investment totals at moderate granularity, and the candidate’s first research paper used the series as the dependent variable in its headline regression. The series is the right side of the identification problem: it is the outcome whose marginal response to a unit change in public obligations the dissertation aims to recover.</w:t>
      </w:r>
    </w:p>
    <w:p>
      <w:pPr>
        <w:pStyle w:val="BodyText"/>
        <w:spacing w:line="480" w:lineRule="auto"/>
        <w:ind w:firstLine="720"/>
      </w:pPr>
      <w:r>
        <w:t xml:space="preserve">Space Capital’s Space Investment Quarterly is the complementary source that documents quarterly and segment-level breakdowns of investment activity</w:t>
      </w:r>
      <w:r>
        <w:t xml:space="preserve"> </w:t>
      </w:r>
      <w:hyperlink w:anchor="ref-12">
        <w:r>
          <w:rPr>
            <w:rStyle w:val="Hyperlink"/>
          </w:rPr>
          <w:t xml:space="preserve">[12]</w:t>
        </w:r>
      </w:hyperlink>
      <w:r>
        <w:t xml:space="preserve">. The quarterly granularity is finer than the BryceTech annual series, and the segment breakdowns offer a route into the disaggregation that the methodological lesson of the first research paper calls for. The two sources together, supplemented by the USAspending.gov record of NASA obligations and by the FAA Office of Commercial Space Transportation launch record, constitute the empirical foundation on which the dissertation’s identification strategy is built.</w:t>
      </w:r>
    </w:p>
    <w:bookmarkEnd w:id="78"/>
    <w:bookmarkEnd w:id="79"/>
    <w:bookmarkStart w:id="80" w:name="synthesis-and-the-gap"/>
    <w:p>
      <w:pPr>
        <w:pStyle w:val="Heading2"/>
        <w:spacing w:line="480" w:lineRule="auto"/>
      </w:pPr>
      <w:r>
        <w:t xml:space="preserve">2.4 Synthesis and the Gap</w:t>
      </w:r>
    </w:p>
    <w:p>
      <w:pPr>
        <w:pStyle w:val="FirstParagraph"/>
        <w:spacing w:line="480" w:lineRule="auto"/>
      </w:pPr>
      <w:r>
        <w:t xml:space="preserve">The two literatures, read together, define the gap that the dissertation aims to fill with precision. The domain technical literature has established the institutional architecture, the descriptive record, the cadence channel, and the composition of private flows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 The cliometric and econometric methodology literature, as represented within the pool and as supplemented by the candidate’s two pilot studies, has articulated the identification problem and gestured toward the panel and instrumental-variables design that a credible test would require</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[p1], [p2], [prospectus]. Neither literature, on its own, has answered the central question. Each holds half of what an answer needs. The domain literature has not posed it as a falsifiable causal hypothesis; the methodological literature has not deployed its tools in this setting.</w:t>
      </w:r>
    </w:p>
    <w:p>
      <w:pPr>
        <w:pStyle w:val="BodyText"/>
        <w:spacing w:line="480" w:lineRule="auto"/>
        <w:ind w:firstLine="720"/>
      </w:pPr>
      <w:r>
        <w:t xml:space="preserve">The gap is therefore not the absence of descriptive coverage. Coverage exists, and the curated corpus is sufficient to characterize the partnership architecture, the cadence channel, the composition of flows, and the institutional context in which the test is to be conducted. The gap is the absence of an identified causal estimate of the marginal effect of NASA program obligations to commercial launch and infrastructure vendors on subsequent private investment in the same sector, conditional on launch cadence as the capacity channel. The candidate’s first research paper documented that the headline-budget specification cannot resolve the question and that the residual variation at the aggregate level is too noisy to support either crowding hypothesis [p1]. The second research paper documented that the cadence channel itself, when measured across heterogeneous vehicle families, is too imprecisely estimated at the population level to carry policy weight on its own [p2]. Both null results sharpen the requirement that the larger test be conducted at a finer level of aggregation, with an explicit identification strategy, and with the cadence channel introduced as a mediating variable rather than as the headline regressor.</w:t>
      </w:r>
    </w:p>
    <w:p>
      <w:pPr>
        <w:pStyle w:val="BodyText"/>
        <w:spacing w:line="480" w:lineRule="auto"/>
        <w:ind w:firstLine="720"/>
      </w:pPr>
      <w:r>
        <w:t xml:space="preserve">The dissertation’s contribution is to close this gap. The estimand is the sign and magnitude of the elasticity of subsequent private investment with respect to exogenous variation in NASA program obligations, recovered at the firm-by-year level with two-way fixed effects and instrumented by congressionally appropriated, schedule-driven program budgets that are plausibly orthogonal to a single firm’s contemporaneous private-financing prospects [prospectus]. The cadence variable enters as the capacity channel through which the demand-anchor and capacity-absorption mechanisms operate in opposite directions on the sign of the effect. The decomposition permits a finding that is structurally interpretable rather than merely sign-revealing: a positive net elasticity attributable to the demand-anchor channel, a negative net elasticity attributable to the capacity-absorption channel, or, if the channels offset, a null on the headline question that is nonetheless informative about the mechanism by which the partnership architecture transmits public dollars to commercial firms.</w:t>
      </w:r>
    </w:p>
    <w:p>
      <w:pPr>
        <w:pStyle w:val="BodyText"/>
        <w:spacing w:line="480" w:lineRule="auto"/>
        <w:ind w:firstLine="720"/>
      </w:pPr>
      <w:r>
        <w:t xml:space="preserve">The two literatures will be joined in the empirical chapters of the dissertation in the following manner. The domain literature supplies the institutional and engineering specification of the cadence channel and the partnership architecture, against which the econometric specification is built. The methodological literature supplies the identification strategy and the panel design through which the institutional specification is rendered testable. The pilot studies, with their null results and their methodological lessons, supply the bridge between the two literatures and define the scale and granularity at which the central test must be conducted. The dissertation does not claim generalization beyond the U.S. commercial launch sector, and it does not claim that the partnership architecture is reducible to the single estimand that the test recovers. It claims only that the sign of that estimand is the directional fact on which any defensible public investment posture in the partnership architecture must rest, and that the sign is recoverable from the data with the design the prospectus advances. The remainder of the dissertation conducts that recovery.</w:t>
      </w:r>
    </w:p>
    <w:bookmarkEnd w:id="80"/>
    <w:bookmarkEnd w:id="81"/>
    <w:bookmarkStart w:id="91" w:name="Xcfcc00a3ded59aed0c781c16bfc121f2a509603"/>
    <w:p>
      <w:pPr>
        <w:pStyle w:val="Heading1"/>
        <w:spacing w:line="480" w:lineRule="auto"/>
      </w:pPr>
      <w:r>
        <w:t xml:space="preserve">Chapter 3. Theoretical Framework and Hypotheses</w:t>
      </w:r>
    </w:p>
    <w:bookmarkStart w:id="82" w:name="purpose-and-scope-of-the-chapter"/>
    <w:p>
      <w:pPr>
        <w:pStyle w:val="Heading2"/>
        <w:spacing w:line="480" w:lineRule="auto"/>
      </w:pPr>
      <w:r>
        <w:t xml:space="preserve">3.1 Purpose and Scope of the Chapter</w:t>
      </w:r>
    </w:p>
    <w:p>
      <w:pPr>
        <w:pStyle w:val="FirstParagraph"/>
        <w:spacing w:line="480" w:lineRule="auto"/>
      </w:pPr>
      <w:r>
        <w:t xml:space="preserve">This chapter develops the theoretical apparatus that converts the policy question posed in Chapter 1 into a falsifiable empirical claim. The dissertation asks whether NASA program funding crowds in or crowds out private investment in the U.S. commercial launch sector, with launch cadence operating as the intermediating capacity channel. The two preceding pilot papers established the descriptive and exploratory terrain. The first paper showed that, at the level of headline annual appropriations and aggregate private flows over the 2009 to 2024 window, the budget level by itself carries no statistically distinguishable association with subsequent private investment once market breadth is held constant, while the count of disclosed deals does most of the explanatory work. The second paper tested the engineering premise on which the crowding-in argument rests, namely that cumulative cadence buys cost reduction along a Wright’s-law slope, and recovered a point estimate of the correct sign that nonetheless could not be distinguished from zero in the pooled cross-vehicle sample. Both null findings constrain rather than refute the larger thesis. They tell the present chapter that the theoretical mechanism must be specified at a finer grain than headline budget against headline investment, and that the capacity channel through which cadence is supposed to deliver cost and demand effects must be modelled rather than asserted.</w:t>
      </w:r>
    </w:p>
    <w:p>
      <w:pPr>
        <w:pStyle w:val="BodyText"/>
        <w:spacing w:line="480" w:lineRule="auto"/>
        <w:ind w:firstLine="720"/>
      </w:pPr>
      <w:r>
        <w:t xml:space="preserve">The chapter is organised around three tasks. The first is to articulate the two competing mechanisms, crowding in through anchor tenancy and demand signalling and crowding out through absorption of finite inputs, in a form that yields opposite predictions on a single estimand. The second is to embed those mechanisms in a causal logic that specifies the unit of observation, the timing of the response, the mediating role of launch cadence, and the conditions under which one mechanism should dominate the other. The third is to state the formal null and alternative hypotheses, H0 and H1, in terms of the sign of a single parameter that the empirical design of Chapter 4 will estimate. The contribution is the identified sign of that parameter; the theoretical work of this chapter is to establish why that sign carries the meaning the dissertation claims for it.</w:t>
      </w:r>
    </w:p>
    <w:bookmarkEnd w:id="82"/>
    <w:bookmarkStart w:id="83" w:name="two-mechanisms-one-estimand"/>
    <w:p>
      <w:pPr>
        <w:pStyle w:val="Heading2"/>
        <w:spacing w:line="480" w:lineRule="auto"/>
      </w:pPr>
      <w:r>
        <w:t xml:space="preserve">3.2 Two Mechanisms, One Estimand</w:t>
      </w:r>
    </w:p>
    <w:p>
      <w:pPr>
        <w:pStyle w:val="FirstParagraph"/>
        <w:spacing w:line="480" w:lineRule="auto"/>
      </w:pPr>
      <w:r>
        <w:t xml:space="preserve">The first mechanism is crowding in through anchor tenancy and demand signalling. NASA program funding enters the commercial launch sector primarily as a procurement obligation: a contract for cargo, crew, science payload delivery, or launch service against which a private vendor commits production and operational capacity. Weinzierl characterises this arrangement as a deliberate leverage of agency expertise and demand to stand up commercial capability rather than as an arm’s-length transfer</w:t>
      </w:r>
      <w:r>
        <w:t xml:space="preserve"> </w:t>
      </w:r>
      <w:hyperlink w:anchor="ref-1">
        <w:r>
          <w:rPr>
            <w:rStyle w:val="Hyperlink"/>
          </w:rPr>
          <w:t xml:space="preserve">[1]</w:t>
        </w:r>
      </w:hyperlink>
      <w:r>
        <w:t xml:space="preserve">. The institutional argument is that a credible, multi-year obligation from a sovereign buyer reduces the technical and market risk that private investors price into early-stage commercial ventures. The credible buyer also transmits information: an award signals to venture capital that the recipient has cleared a technical bar and that a revenue floor is in prospect, which lowers the cost of capital for the recipient and, by demonstration, for adjacent firms operating in the same regime. The mechanism is therefore both contractual and informational. Its empirical signature is a positive association between exogenous variation in NASA obligations to a firm in year t and private investment received by that firm and its sectoral peers in year t plus one, with the strongest effect concentrated in firms whose business model is recognisably aligned with the anchor mission.</w:t>
      </w:r>
    </w:p>
    <w:p>
      <w:pPr>
        <w:pStyle w:val="BodyText"/>
        <w:spacing w:line="480" w:lineRule="auto"/>
        <w:ind w:firstLine="720"/>
      </w:pPr>
      <w:r>
        <w:t xml:space="preserve">The second mechanism is crowding out through absorption of finite inputs. Scarcity does the work here. Even an anchor buyer purchases real resources, and the resources that the commercial launch sector requires are scarce in the short run. Engineering labour with launch-vehicle experience, qualified suppliers for propulsion and avionics, ground-segment capacity, and licensed manifest slots are all bounded at any given moment. A NASA contract that absorbs a significant share of these resources at a given vendor raises their shadow price across the sector. Private operators not on the contract face higher input costs and, in the most binding regimes, are unable to procure capacity at any price within the planning horizon over which their investors operate. The substitution channel familiar from public-finance treatments of crowding out applies here in a sector-specific form: the public buyer competes with private buyers for the same finite inputs, and venture capital that would otherwise have financed expansion at the displaced operators is either re-directed to other sectors or withheld</w:t>
      </w:r>
      <w:r>
        <w:t xml:space="preserve"> </w:t>
      </w:r>
      <w:hyperlink w:anchor="ref-2">
        <w:r>
          <w:rPr>
            <w:rStyle w:val="Hyperlink"/>
          </w:rPr>
          <w:t xml:space="preserve">[2]</w:t>
        </w:r>
      </w:hyperlink>
      <w:r>
        <w:t xml:space="preserve">. The mechanism is structural rather than informational, and its empirical signature is a negative association between exogenous variation in NASA obligations and subsequent private investment, concentrated in periods and segments where capacity is binding.</w:t>
      </w:r>
    </w:p>
    <w:p>
      <w:pPr>
        <w:pStyle w:val="BodyText"/>
        <w:spacing w:line="480" w:lineRule="auto"/>
        <w:ind w:firstLine="720"/>
      </w:pPr>
      <w:r>
        <w:t xml:space="preserve">The crowding-in and crowding-out mechanisms are not mutually exclusive in the abstract. Both can operate simultaneously, and the observed net effect on private investment is the algebraic sum of an anchor-tenancy effect that is presumptively positive and a capacity-absorption effect that is presumptively negative. The dissertation’s contribution is to estimate the sign of that sum under a credible identification strategy. The theoretical framework is therefore not committed in advance to either pure mechanism. It is committed to the proposition that the sign is empirically determinate, and that its determination is a precondition for any defensible inference from the public-private partnership model to a recommended cadence and funding posture.</w:t>
      </w:r>
    </w:p>
    <w:bookmarkEnd w:id="83"/>
    <w:bookmarkStart w:id="84" w:name="Xfa328a5f6c9d4fa29c39deaef8856bc72e001c3"/>
    <w:p>
      <w:pPr>
        <w:pStyle w:val="Heading2"/>
        <w:spacing w:line="480" w:lineRule="auto"/>
      </w:pPr>
      <w:r>
        <w:t xml:space="preserve">3.3 Why the Sign Is Not Self-Evident from Existing Theory</w:t>
      </w:r>
    </w:p>
    <w:p>
      <w:pPr>
        <w:pStyle w:val="FirstParagraph"/>
        <w:spacing w:line="480" w:lineRule="auto"/>
      </w:pPr>
      <w:r>
        <w:t xml:space="preserve">Several strands of the retrieved literature are consistent with a presumption that the net sign is positive, and several are consistent with the opposite presumption. The space-economy literature treats the public-private partnership as the institutional vehicle through which scale was built in the U.S. commercial launch market, taking the NASA transition from the Space Shuttle to commercial cargo and crew providers as the canonical case</w:t>
      </w:r>
      <w:r>
        <w:t xml:space="preserve"> </w:t>
      </w:r>
      <w:hyperlink w:anchor="ref-3">
        <w:r>
          <w:rPr>
            <w:rStyle w:val="Hyperlink"/>
          </w:rPr>
          <w:t xml:space="preserve">[3]</w:t>
        </w:r>
      </w:hyperlink>
      <w:r>
        <w:t xml:space="preserve">. The transition from government contracting toward angel and venture-backed firms documented by BryceTech is consistent with a public sector that seeded rather than starved private activity, and the surge in private financing in the post-2015 window is at least temporally consistent with the maturation of those anchor programs</w:t>
      </w:r>
      <w:r>
        <w:t xml:space="preserve"> </w:t>
      </w:r>
      <w:hyperlink w:anchor="ref-7">
        <w:r>
          <w:rPr>
            <w:rStyle w:val="Hyperlink"/>
          </w:rPr>
          <w:t xml:space="preserve">[7]</w:t>
        </w:r>
      </w:hyperlink>
      <w:r>
        <w:t xml:space="preserve">. The OCEA forecasting work attributes much of the venture-capital response to a falling cost base for access to orbit, and a falling cost base is what the Wright’s-law mechanism tested in Paper 2 would predict if cadence is treated as a within-program experience variable rather than as a pooled cross-vehicle correlation</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The norm-level account further argues that public actors deliberately convene and foster commercial capability through partnership precisely to stand up the production scale that learning requires</w:t>
      </w:r>
      <w:r>
        <w:t xml:space="preserve"> </w:t>
      </w:r>
      <w:hyperlink w:anchor="ref-2">
        <w:r>
          <w:rPr>
            <w:rStyle w:val="Hyperlink"/>
          </w:rPr>
          <w:t xml:space="preserve">[2]</w:t>
        </w:r>
      </w:hyperlink>
      <w:r>
        <w:t xml:space="preserve">. Each of these strands supports an a priori expectation of crowding in.</w:t>
      </w:r>
    </w:p>
    <w:p>
      <w:pPr>
        <w:pStyle w:val="BodyText"/>
        <w:spacing w:line="480" w:lineRule="auto"/>
        <w:ind w:firstLine="720"/>
      </w:pPr>
      <w:r>
        <w:t xml:space="preserve">The same corpus, however, contains observations that point in the opposite direction. The sustainability and security synthesis records that private funding is fragile and conditional on technical and regulatory states and that specific orbital regimes and manifest slots have become crowded and capacity-constrained</w:t>
      </w:r>
      <w:r>
        <w:t xml:space="preserve"> </w:t>
      </w:r>
      <w:hyperlink w:anchor="ref-2">
        <w:r>
          <w:rPr>
            <w:rStyle w:val="Hyperlink"/>
          </w:rPr>
          <w:t xml:space="preserve">[2]</w:t>
        </w:r>
      </w:hyperlink>
      <w:r>
        <w:t xml:space="preserve">. The economic-statecraft review observes that sovereign instruments can indirectly influence the space economy by investing in commercial firms, naming the channel without quantifying its sign</w:t>
      </w:r>
      <w:r>
        <w:t xml:space="preserve"> </w:t>
      </w:r>
      <w:hyperlink w:anchor="ref-5">
        <w:r>
          <w:rPr>
            <w:rStyle w:val="Hyperlink"/>
          </w:rPr>
          <w:t xml:space="preserve">[5]</w:t>
        </w:r>
      </w:hyperlink>
      <w:r>
        <w:t xml:space="preserve">. The Acta Astronautica strand on governance evolution in the New Space sector emphasises that public buyers and private investors increasingly contest the same finite production base, and that the transition from Legacy Space to New Space governance is itself in part a response to that contestation</w:t>
      </w:r>
      <w:r>
        <w:t xml:space="preserve"> </w:t>
      </w:r>
      <w:hyperlink w:anchor="ref-27">
        <w:r>
          <w:rPr>
            <w:rStyle w:val="Hyperlink"/>
          </w:rPr>
          <w:t xml:space="preserve">[27]</w:t>
        </w:r>
      </w:hyperlink>
      <w:r>
        <w:t xml:space="preserve">. Empirical work on public-private partnership in space documents the interactive and at times congested character of the arrangement, with collaboration coexisting alongside competition for shared inputs</w:t>
      </w:r>
      <w:r>
        <w:t xml:space="preserve"> </w:t>
      </w:r>
      <w:hyperlink w:anchor="ref-25">
        <w:r>
          <w:rPr>
            <w:rStyle w:val="Hyperlink"/>
          </w:rPr>
          <w:t xml:space="preserve">[25]</w:t>
        </w:r>
      </w:hyperlink>
      <w:r>
        <w:t xml:space="preserve">. Studies of value creation in the New Space economy from the end-user perspective treat satellite and launch capacity as scarce inputs whose allocation is itself a matter of contested governance</w:t>
      </w:r>
      <w:r>
        <w:t xml:space="preserve"> </w:t>
      </w:r>
      <w:hyperlink w:anchor="ref-23">
        <w:r>
          <w:rPr>
            <w:rStyle w:val="Hyperlink"/>
          </w:rPr>
          <w:t xml:space="preserve">[23]</w:t>
        </w:r>
      </w:hyperlink>
      <w:r>
        <w:t xml:space="preserve">. Treatments of how potential resources markets should be evaluated note the structural difficulty of valuing scarce orbital and supply capacity in the presence of a dominant sovereign buyer</w:t>
      </w:r>
      <w:r>
        <w:t xml:space="preserve"> </w:t>
      </w:r>
      <w:hyperlink w:anchor="ref-26">
        <w:r>
          <w:rPr>
            <w:rStyle w:val="Hyperlink"/>
          </w:rPr>
          <w:t xml:space="preserve">[26]</w:t>
        </w:r>
      </w:hyperlink>
      <w:r>
        <w:t xml:space="preserve">.</w:t>
      </w:r>
    </w:p>
    <w:p>
      <w:pPr>
        <w:pStyle w:val="BodyText"/>
        <w:spacing w:line="480" w:lineRule="auto"/>
        <w:ind w:firstLine="720"/>
      </w:pPr>
      <w:r>
        <w:t xml:space="preserve">The presumption that public budget alone moves private investment in a measurable direction is further weakened by the null result from Paper 1, which showed that headline appropriations carry no statistically distinguishable effect once market breadth is controlled. The theoretical implication is that the relevant estimand is not the elasticity of private investment with respect to total NASA budget but rather its elasticity with respect to the firm-specific obligation flows that constitute the anchor-tenancy mechanism. The chapter therefore re-specifies the estimand at the firm-year level and treats launch cadence as a mediating capacity variable through which both mechanisms must operate. The result of this re-specification is that the sign of the net effect is, by construction, the sign of a parameter that has not been estimated in the retrieved corpus.</w:t>
      </w:r>
    </w:p>
    <w:bookmarkEnd w:id="84"/>
    <w:bookmarkStart w:id="85" w:name="causal-logic-and-unit-of-observation"/>
    <w:p>
      <w:pPr>
        <w:pStyle w:val="Heading2"/>
        <w:spacing w:line="480" w:lineRule="auto"/>
      </w:pPr>
      <w:r>
        <w:t xml:space="preserve">3.4 Causal Logic and Unit of Observation</w:t>
      </w:r>
    </w:p>
    <w:p>
      <w:pPr>
        <w:pStyle w:val="FirstParagraph"/>
        <w:spacing w:line="480" w:lineRule="auto"/>
      </w:pPr>
      <w:r>
        <w:t xml:space="preserve">The unit of observation is the firm-year. Everything else builds on that choice. A firm is a recipient of NASA obligations and a potential recipient of private investment, identified by legal entity and matched across the federal-funding panel, the investment series, and the launch-cadence registry. The year is the fiscal year of the obligation and the calendar year of the investment round, with a one-year lag separating the obligation from the investment outcome. The lag captures the timing of investor response: private capital is observed to deploy against publicly visible commitments rather than against contemporaneous appropriations, a structural feature of the venture-financing cycle that Paper 1 already exploited at the aggregate level.</w:t>
      </w:r>
    </w:p>
    <w:p>
      <w:pPr>
        <w:pStyle w:val="BodyText"/>
        <w:spacing w:line="480" w:lineRule="auto"/>
        <w:ind w:firstLine="720"/>
      </w:pPr>
      <w:r>
        <w:t xml:space="preserve">The causal chain at the firm-year level proceeds as follows. NASA obligates dollars to a vendor in year t under a procurement instrument that is publicly recorded. The obligation generates two simultaneous effects. The first is an information shock to capital markets: investors update their priors about the vendor’s technical credibility and revenue floor, and about the regulatory and procurement environment for adjacent firms. The second is a resource shock to the sector: the vendor consumes engineering labour, supplier slots, and manifest capacity in fulfilling the contract, and the shadow price of those inputs adjusts. Launch cadence enters the chain as the observable quantity through which the resource shock is realised: it is the rate at which capacity is consumed and replenished, and it is the variable that links the engineering learning argument tested in Paper 2 to the financial response that the present chapter sets out to model.</w:t>
      </w:r>
    </w:p>
    <w:p>
      <w:pPr>
        <w:pStyle w:val="BodyText"/>
        <w:spacing w:line="480" w:lineRule="auto"/>
        <w:ind w:firstLine="720"/>
      </w:pPr>
      <w:r>
        <w:t xml:space="preserve">The mediating role of launch cadence has two analytically distinct components. The first is a capacity-utilisation component: high cadence at the funded vendor signals that the contract is consuming real capacity and is therefore most likely to generate the substitution effect at unfunded peers. The second is a learning component: high cumulative cadence at the funded vendor is the channel through which Wright’s-law cost reductions, if they materialise, lower the cost base of the sector as a whole and pull in private capital that would otherwise have stayed on the sidelines. The two components are observationally distinct because the first depends on contemporaneous capacity utilisation against a fixed denominator and the second depends on cumulative experience along a log scale. A specification that admits both terms permits the framework to decompose the net effect into the anchor-tenancy and capacity-absorption channels rather than reporting their sum as a single uninterpretable coefficient.</w:t>
      </w:r>
    </w:p>
    <w:p>
      <w:pPr>
        <w:pStyle w:val="BodyText"/>
        <w:spacing w:line="480" w:lineRule="auto"/>
        <w:ind w:firstLine="720"/>
      </w:pPr>
      <w:r>
        <w:t xml:space="preserve">The response variable is private investment in the commercial launch sector at year t plus one, measured at the firm level where the data permit and at the sectoral level as a robustness aggregation. Private investment is operationalised through the BryceTech Start-Up Space series and the Space Capital Space IQ totals, the same sources used in Paper 1 and triangulated against publicly disclosed funding rounds</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The choice of a one-year lag is theoretically motivated by the diligence horizon of venture capital and is empirically supported by the absence of a contemporaneous association in Paper 1; a distributed-lag specification in Chapter 4 will test the assumption.</w:t>
      </w:r>
    </w:p>
    <w:bookmarkEnd w:id="85"/>
    <w:bookmarkStart w:id="86" w:name="scope-conditions-and-the-capacity-regime"/>
    <w:p>
      <w:pPr>
        <w:pStyle w:val="Heading2"/>
        <w:spacing w:line="480" w:lineRule="auto"/>
      </w:pPr>
      <w:r>
        <w:t xml:space="preserve">3.5 Scope Conditions and the Capacity Regime</w:t>
      </w:r>
    </w:p>
    <w:p>
      <w:pPr>
        <w:pStyle w:val="FirstParagraph"/>
        <w:spacing w:line="480" w:lineRule="auto"/>
      </w:pPr>
      <w:r>
        <w:t xml:space="preserve">The framework predicts that the sign of the net effect depends on whether the sector is operating in a slack or binding capacity regime. In a slack regime, where engineering labour, suppliers, and manifest slots are not fully utilised, the anchor-tenancy mechanism dominates because the resource shock is absorbed without raising shadow prices for unfunded peers. In a binding regime, where one or more of those inputs is at or near its short-run ceiling, the capacity-absorption mechanism dominates because the resource shock translates directly into higher input costs and constrained access for unfunded peers. The 2009 to 2024 window over which the dissertation’s data are observed contains both regimes: the early years of the post-Shuttle transition operated under slack conditions in most inputs, while the late post-2020 years exhibit documented congestion in specific orbital regimes and manifest slots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p>
    <w:p>
      <w:pPr>
        <w:pStyle w:val="BodyText"/>
        <w:spacing w:line="480" w:lineRule="auto"/>
        <w:ind w:firstLine="720"/>
      </w:pPr>
      <w:r>
        <w:t xml:space="preserve">This scope condition has two implications for the formal hypotheses. The first is that the headline estimate of the net effect, pooled across regimes, is itself a quantity of policy interest because it answers the question of which mechanism has dominated on average over the observation window. The second is that an interaction of the obligation flow with a capacity-utilisation proxy, included as a robustness specification, tests whether the sign flips under constraint. A regime-conditional estimate that recovers crowding in under slack and crowding out under binding capacity would qualify the headline estimate rather than refute it, and would constitute a richer empirical claim than the directional sign alone.</w:t>
      </w:r>
    </w:p>
    <w:p>
      <w:pPr>
        <w:pStyle w:val="BodyText"/>
        <w:spacing w:line="480" w:lineRule="auto"/>
        <w:ind w:firstLine="720"/>
      </w:pPr>
      <w:r>
        <w:t xml:space="preserve">A second scope condition concerns the firms over which the hypothesis is defined. The framework is specified for U.S. commercial launch and infrastructure vendors, the population for which USAspending.gov, BryceTech, and FAA Office of Commercial Space Transportation records can be matched at the firm-year level. Generalisation beyond this population, to international operators or to non-launch segments of the space economy, is not claimed. The two pilot papers, which drew on a broader cross-vehicle and aggregate-flow sample, illustrate both the value and the limits of the broader pool: aggregate associations are imprecise precisely because the operative mechanisms are firm-specific and regime-conditional, and the present framework’s restriction to the U.S. commercial launch population is a deliberate response to that lesson.</w:t>
      </w:r>
    </w:p>
    <w:bookmarkEnd w:id="86"/>
    <w:bookmarkStart w:id="87" w:name="X1326ee614b29d25c0feb56d7a1fef46985a87f9"/>
    <w:p>
      <w:pPr>
        <w:pStyle w:val="Heading2"/>
        <w:spacing w:line="480" w:lineRule="auto"/>
      </w:pPr>
      <w:r>
        <w:t xml:space="preserve">3.6 Why the Sign of beta Is the Right Estimand</w:t>
      </w:r>
    </w:p>
    <w:p>
      <w:pPr>
        <w:pStyle w:val="FirstParagraph"/>
        <w:spacing w:line="480" w:lineRule="auto"/>
      </w:pPr>
      <w:r>
        <w:t xml:space="preserve">The parameter that the framework places at the centre of the empirical exercise is the elasticity of private investment at the firm-year level with respect to exogenous variation in NASA obligations in the prior fiscal year. This parameter, denoted beta, is the algebraic sum of the anchor-tenancy and capacity-absorption effects under the identification strategy that Chapter 4 develops. Its sign is the falsifiable contribution of the dissertation: a positive sign corroborates the crowding-in interpretation of the public-private partnership model, a negative sign corroborates the crowding-out interpretation, and a confidence interval that straddles zero, while not a positive finding, places an upper bound on the magnitude of either effect and is itself informative for policy.</w:t>
      </w:r>
    </w:p>
    <w:p>
      <w:pPr>
        <w:pStyle w:val="BodyText"/>
        <w:spacing w:line="480" w:lineRule="auto"/>
        <w:ind w:firstLine="720"/>
      </w:pPr>
      <w:r>
        <w:t xml:space="preserve">The decision to estimate the sign of a single parameter rather than to attempt a structural model of the joint dynamics of public spending and private investment is theoretically motivated. A structural model would require assumptions about input-supply elasticities, investor risk aversion, and the discount rate at which sovereign demand commitments are capitalised into vendor valuations. None of those quantities is known with the precision required for a credible structural inference, and assuming them would convert the dissertation’s contribution from an identified empirical sign into a parameterised simulation. The reduced-form approach trades structural detail for identification, and the trade is justified by the policy stakes: the immediate question for an agency considering its cadence and funding posture is whether the marginal dollar adds to or subtracts from private flows, not the precise micro-foundations of either channel.</w:t>
      </w:r>
    </w:p>
    <w:p>
      <w:pPr>
        <w:pStyle w:val="BodyText"/>
        <w:spacing w:line="480" w:lineRule="auto"/>
        <w:ind w:firstLine="720"/>
      </w:pPr>
      <w:r>
        <w:t xml:space="preserve">The estimand is therefore the sign of beta in the regression of firm-year private investment at t plus one on instrumented NASA obligations at t, conditional on the firm and year fixed effects and on the launch-cadence mediator. The hypotheses are stated in terms of that sign.</w:t>
      </w:r>
    </w:p>
    <w:bookmarkEnd w:id="87"/>
    <w:bookmarkStart w:id="88" w:name="formal-hypotheses"/>
    <w:p>
      <w:pPr>
        <w:pStyle w:val="Heading2"/>
        <w:spacing w:line="480" w:lineRule="auto"/>
      </w:pPr>
      <w:r>
        <w:t xml:space="preserve">3.7 Formal Hypotheses</w:t>
      </w:r>
    </w:p>
    <w:p>
      <w:pPr>
        <w:pStyle w:val="FirstParagraph"/>
        <w:spacing w:line="480" w:lineRule="auto"/>
      </w:pPr>
      <w:r>
        <w:t xml:space="preserve">The null and alternative hypotheses are stated in terms of the sign of beta, the coefficient on instrumented NASA obligations in the firm-year specification described above.</w:t>
      </w:r>
    </w:p>
    <w:p>
      <w:pPr>
        <w:pStyle w:val="BodyText"/>
        <w:spacing w:line="480" w:lineRule="auto"/>
        <w:ind w:firstLine="720"/>
      </w:pPr>
      <w:r>
        <w:rPr>
          <w:b/>
          <w:bCs/>
        </w:rPr>
        <w:t xml:space="preserve">H0 (null, crowding out or neutrality).</w:t>
      </w:r>
      <w:r>
        <w:t xml:space="preserve"> </w:t>
      </w:r>
      <w:r>
        <w:t xml:space="preserve">A one-standard-deviation exogenous increase in NASA program obligations to a U.S. commercial launch or infrastructure vendor in fiscal year t produces an effect on private investment received by that vendor in calendar year t plus one that is less than or equal to zero. Formally, the estimated elasticity beta is less than or equal to zero. The substantive content of the null is that the capacity-absorption mechanism dominates the anchor-tenancy mechanism in net, or that the two mechanisms cancel within the precision of the design. The null encompasses both crowding out and exact neutrality because the policy implication of either, that public obligations do not deliver a positive net effect on private flows, is the same.</w:t>
      </w:r>
    </w:p>
    <w:p>
      <w:pPr>
        <w:pStyle w:val="BodyText"/>
        <w:spacing w:line="480" w:lineRule="auto"/>
        <w:ind w:firstLine="720"/>
      </w:pPr>
      <w:r>
        <w:rPr>
          <w:b/>
          <w:bCs/>
        </w:rPr>
        <w:t xml:space="preserve">H1 (alternative, crowding in).</w:t>
      </w:r>
      <w:r>
        <w:t xml:space="preserve"> </w:t>
      </w:r>
      <w:r>
        <w:t xml:space="preserve">The same increase produces a strictly positive effect on subsequent private investment. Formally, beta is strictly greater than zero. The substantive content of the alternative is that the anchor-tenancy mechanism, operating through both contractual and informational channels, dominates the capacity-absorption mechanism in net over the observation window. The alternative does not require that the capacity-absorption channel be absent, only that it be exceeded in magnitude by the anchor-tenancy channel.</w:t>
      </w:r>
    </w:p>
    <w:p>
      <w:pPr>
        <w:pStyle w:val="BodyText"/>
        <w:spacing w:line="480" w:lineRule="auto"/>
        <w:ind w:firstLine="720"/>
      </w:pPr>
      <w:r>
        <w:t xml:space="preserve">The hypotheses are falsifiable in both directions. Either sign can lose. An estimate of beta with a confidence interval strictly above zero refutes H0 and supports H1. An estimate with a confidence interval bounded at or below zero refutes H1 and is consistent with H0. An estimate whose confidence interval straddles zero refutes neither and reports an upper bound on the magnitude of either mechanism; the precedent from Paper 1, which produced a coefficient of the right sign for crowding out but with a standard error nearly as large as the coefficient, illustrates the substantive content of that case and shows why an inconclusive headline still constrains the policy claim.</w:t>
      </w:r>
    </w:p>
    <w:bookmarkEnd w:id="88"/>
    <w:bookmarkStart w:id="89" w:name="auxiliary-predictions"/>
    <w:p>
      <w:pPr>
        <w:pStyle w:val="Heading2"/>
        <w:spacing w:line="480" w:lineRule="auto"/>
      </w:pPr>
      <w:r>
        <w:t xml:space="preserve">3.8 Auxiliary Predictions</w:t>
      </w:r>
    </w:p>
    <w:p>
      <w:pPr>
        <w:pStyle w:val="FirstParagraph"/>
        <w:spacing w:line="480" w:lineRule="auto"/>
      </w:pPr>
      <w:r>
        <w:t xml:space="preserve">Three auxiliary predictions follow from the framework and will be tested alongside the headline estimate.</w:t>
      </w:r>
    </w:p>
    <w:p>
      <w:pPr>
        <w:pStyle w:val="BodyText"/>
        <w:spacing w:line="480" w:lineRule="auto"/>
        <w:ind w:firstLine="720"/>
      </w:pPr>
      <w:r>
        <w:t xml:space="preserve">The first is that the effect should be stronger on the extensive margin, that is, for firms receiving their first NASA contract, than on the intensive margin, that is, for firms receiving an incremental contract on top of an existing relationship. The information-shock component of the anchor-tenancy mechanism is largest at the moment a vendor first clears the procurement bar, because that is the moment at which investor priors update most sharply. A sub-sample restricted to first-contract observations should therefore produce a larger positive coefficient under H1.</w:t>
      </w:r>
    </w:p>
    <w:p>
      <w:pPr>
        <w:pStyle w:val="BodyText"/>
        <w:spacing w:line="480" w:lineRule="auto"/>
        <w:ind w:firstLine="720"/>
      </w:pPr>
      <w:r>
        <w:t xml:space="preserve">The second auxiliary prediction is that the effect should be conditional on the capacity regime. Under H1, the positive net effect should attenuate or reverse in years and segments where capacity utilisation is high. An interaction of the obligation variable with a capacity-utilisation proxy will test this prediction; a significant negative interaction coefficient would corroborate the framework’s claim that the two mechanisms are simultaneously present and that their relative weights are regime-dependent.</w:t>
      </w:r>
    </w:p>
    <w:p>
      <w:pPr>
        <w:pStyle w:val="BodyText"/>
        <w:spacing w:line="480" w:lineRule="auto"/>
        <w:ind w:firstLine="720"/>
      </w:pPr>
      <w:r>
        <w:t xml:space="preserve">The third auxiliary prediction concerns the cadence mediator. Under the learning channel through which crowding in is theoretically supposed to operate, the positive effect of obligations on private investment should be at least partially mediated by cumulative launch cadence at the funded vendor. A mediation specification that decomposes the total effect into a direct component and an indirect component routed through cadence will test the share of the net effect that operates through the engineering-learning mechanism that Paper 2 examined in pooled form. A non-trivial indirect component would corroborate the framework’s account of cadence as the operative channel; a negligible indirect component would suggest that the anchor-tenancy mechanism operates primarily through information and contractual commitment rather than through realised capacity and cost reduction.</w:t>
      </w:r>
    </w:p>
    <w:bookmarkEnd w:id="89"/>
    <w:bookmarkStart w:id="90" w:name="X953f507fad6f465eb7fa44127b2d1b01214ad90"/>
    <w:p>
      <w:pPr>
        <w:pStyle w:val="Heading2"/>
        <w:spacing w:line="480" w:lineRule="auto"/>
      </w:pPr>
      <w:r>
        <w:t xml:space="preserve">3.9 Position of the Framework Within the Literature</w:t>
      </w:r>
    </w:p>
    <w:p>
      <w:pPr>
        <w:pStyle w:val="FirstParagraph"/>
        <w:spacing w:line="480" w:lineRule="auto"/>
      </w:pPr>
      <w:r>
        <w:t xml:space="preserve">The framework occupies the gap that the retrieved corpus describes but does not close. The descriptive landscape is well documented: government spending on space reached roughly ninety-two billion dollars per year by 2021, with a widening set of nations investing in space infrastructure, and venture capital has come to dominate the private financing channel into the space economy</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The institutional architecture of the public-private partnership is documented as the vehicle through which both anchor-tenancy and capacity-absorption mechanisms would propagate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25">
        <w:r>
          <w:rPr>
            <w:rStyle w:val="Hyperlink"/>
          </w:rPr>
          <w:t xml:space="preserve">[25]</w:t>
        </w:r>
      </w:hyperlink>
      <w:r>
        <w:t xml:space="preserve">. The governance literature describes the transition from Legacy Space to New Space models as a contested reallocation of demand and capacity between public and private buyers</w:t>
      </w:r>
      <w:r>
        <w:t xml:space="preserve"> </w:t>
      </w:r>
      <w:hyperlink w:anchor="ref-27">
        <w:r>
          <w:rPr>
            <w:rStyle w:val="Hyperlink"/>
          </w:rPr>
          <w:t xml:space="preserve">[27]</w:t>
        </w:r>
      </w:hyperlink>
      <w:r>
        <w:t xml:space="preserve">. The end-user and value-creation literature treats satellite and launch capacity as scarce inputs whose allocation is itself a matter of governance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The resource-market literature acknowledges the difficulty of valuing those inputs under a dominant sovereign buyer</w:t>
      </w:r>
      <w:r>
        <w:t xml:space="preserve"> </w:t>
      </w:r>
      <w:hyperlink w:anchor="ref-26">
        <w:r>
          <w:rPr>
            <w:rStyle w:val="Hyperlink"/>
          </w:rPr>
          <w:t xml:space="preserve">[26]</w:t>
        </w:r>
      </w:hyperlink>
      <w:r>
        <w:t xml:space="preserve">. Public expectations and political-economy work on space programs further document that the institutional setting in which these mechanisms operate is itself a function of political commitments that vary over time and across nations</w:t>
      </w:r>
      <w:r>
        <w:t xml:space="preserve"> </w:t>
      </w:r>
      <w:hyperlink w:anchor="ref-24">
        <w:r>
          <w:rPr>
            <w:rStyle w:val="Hyperlink"/>
          </w:rPr>
          <w:t xml:space="preserve">[24]</w:t>
        </w:r>
      </w:hyperlink>
      <w:r>
        <w:t xml:space="preserve">,</w:t>
      </w:r>
      <w:r>
        <w:t xml:space="preserve"> </w:t>
      </w:r>
      <w:hyperlink w:anchor="ref-29">
        <w:r>
          <w:rPr>
            <w:rStyle w:val="Hyperlink"/>
          </w:rPr>
          <w:t xml:space="preserve">[29]</w:t>
        </w:r>
      </w:hyperlink>
      <w:r>
        <w:t xml:space="preserve">. The corpus contains no estimate of the sign of the parameter that the present framework places at its centre.</w:t>
      </w:r>
    </w:p>
    <w:p>
      <w:pPr>
        <w:pStyle w:val="BodyText"/>
        <w:spacing w:line="480" w:lineRule="auto"/>
        <w:ind w:firstLine="720"/>
      </w:pPr>
      <w:r>
        <w:t xml:space="preserve">The contribution of the framework is therefore neither descriptive nor structural. It is the specification of a single parameter whose sign carries the policy meaning that the corpus has implicitly contested, together with the causal logic that ties that parameter to two distinct and observable mechanisms operating through the launch-cadence channel. Chapter 4 develops the identification strategy that permits an exogenous estimate of beta, Chapter 5 reports the estimate and its robustness, and Chapter 6 returns the estimated sign to the policy question with which this chapter began.</w:t>
      </w:r>
    </w:p>
    <w:bookmarkEnd w:id="90"/>
    <w:bookmarkEnd w:id="91"/>
    <w:bookmarkStart w:id="103" w:name="chapter-4.-data-and-measurement"/>
    <w:p>
      <w:pPr>
        <w:pStyle w:val="Heading1"/>
        <w:spacing w:line="480" w:lineRule="auto"/>
      </w:pPr>
      <w:r>
        <w:t xml:space="preserve">Chapter 4. Data and Measurement</w:t>
      </w:r>
    </w:p>
    <w:bookmarkStart w:id="92" w:name="purpose-and-scope-of-the-chapter-1"/>
    <w:p>
      <w:pPr>
        <w:pStyle w:val="Heading2"/>
        <w:spacing w:line="480" w:lineRule="auto"/>
      </w:pPr>
      <w:r>
        <w:t xml:space="preserve">4.1 Purpose and Scope of the Chapter</w:t>
      </w:r>
    </w:p>
    <w:p>
      <w:pPr>
        <w:pStyle w:val="FirstParagraph"/>
        <w:spacing w:line="480" w:lineRule="auto"/>
      </w:pPr>
      <w:r>
        <w:t xml:space="preserve">The two empirical exercises that anchor this dissertation rest on distinct but overlapping bodies of evidence. The first paper estimates whether the prior year enacted appropriation for the National Aeronautics and Space Administration is associated with the annual flow of private investment into start-up space ventures over the sixteen year window from 2009 to 2024. The second paper estimates the elasticity of specific launch cost with respect to cumulative launch experience across the global population of vehicle families that have served the United States and international markets. Both exercises depend on durable public records, on a disciplined construction of the unit of analysis, and on a transparent decision about what each variable is meant to measure. This chapter documents those decisions. It identifies the authoritative source for every series used, explains how each variable is constructed from primary records, names the unit of observation, and discloses the residual measurement risks that condition the inference reported in the empirical chapters. The aim is not to defend a preferred specification, which is the work of the analysis chapters, but to make every series reproducible by an independent reader who returns to the original sources.</w:t>
      </w:r>
    </w:p>
    <w:p>
      <w:pPr>
        <w:pStyle w:val="BodyText"/>
        <w:spacing w:line="480" w:lineRule="auto"/>
        <w:ind w:firstLine="720"/>
      </w:pPr>
      <w:r>
        <w:t xml:space="preserve">The chapter is organized in two halves that correspond to the two papers. Sections 4.2 through 4.6 cover the public funding and private investment panel used to test the crowding question at the macro level. Sections 4.7 through 4.10 cover the vehicle program year panel used to test the Wright’s law learning relationship. A short concluding section, 4.11, summarizes the joint provenance discipline that ties the two exercises into a single dissertation level evidence base and signals the extensions toward firm year resolution that the prospectus identifies as the natural path to a credible causal estimate of the crowding sign</w:t>
      </w:r>
      <w:r>
        <w:t xml:space="preserve"> </w:t>
      </w:r>
      <w:hyperlink w:anchor="ref-1">
        <w:r>
          <w:rPr>
            <w:rStyle w:val="Hyperlink"/>
          </w:rPr>
          <w:t xml:space="preserve">[1]</w:t>
        </w:r>
      </w:hyperlink>
      <w:r>
        <w:t xml:space="preserve">.</w:t>
      </w:r>
    </w:p>
    <w:bookmarkEnd w:id="92"/>
    <w:bookmarkStart w:id="93" w:name="Xab4837aec141a35175f4456f1d31c3c3929a148"/>
    <w:p>
      <w:pPr>
        <w:pStyle w:val="Heading2"/>
        <w:spacing w:line="480" w:lineRule="auto"/>
      </w:pPr>
      <w:r>
        <w:t xml:space="preserve">4.2 The Public Funding and Private Investment Panel: Unit of Analysis</w:t>
      </w:r>
    </w:p>
    <w:p>
      <w:pPr>
        <w:pStyle w:val="FirstParagraph"/>
        <w:spacing w:line="480" w:lineRule="auto"/>
      </w:pPr>
      <w:r>
        <w:t xml:space="preserve">The unit of observation in the first paper is the calendar year aligned to the federal fiscal year of record. Each row of the panel represents a single year between 2009 and 2024 and carries four substantive fields and a source column. The substantive fields are the annual enacted appropriation for NASA in then year United States dollars, the annual flow of disclosed private investment into start-up space ventures in then year United States dollars, the count of disclosed private investment deals in the same population of firms, and a binary indicator for the post 2015 commercial era. The choice of the annual time series rather than a firm year panel is deliberate at this stage of the dissertation. The annual series is the unit at which the authoritative public sources publish, and it is the unit at which a clean lag structure can be defined between the prior year appropriation and the current year private flow without introducing the firm level matching problems that the prospectus identifies as a separate measurement risk</w:t>
      </w:r>
      <w:r>
        <w:t xml:space="preserve"> </w:t>
      </w:r>
      <w:hyperlink w:anchor="ref-1">
        <w:r>
          <w:rPr>
            <w:rStyle w:val="Hyperlink"/>
          </w:rPr>
          <w:t xml:space="preserve">[1]</w:t>
        </w:r>
      </w:hyperlink>
      <w:r>
        <w:t xml:space="preserve">. The cost of this choice is a small sample of sixteen observations, which the empirical chapter addresses through robust inference and which Chapter 6 returns to in the limitations discussion.</w:t>
      </w:r>
    </w:p>
    <w:p>
      <w:pPr>
        <w:pStyle w:val="BodyText"/>
        <w:spacing w:line="480" w:lineRule="auto"/>
        <w:ind w:firstLine="720"/>
      </w:pPr>
      <w:r>
        <w:t xml:space="preserve">The window from 2009 to 2024 is selected on substantive rather than statistical grounds. It begins with the year in which the BryceTech Start Up Space series first reports a continuous and methodologically consistent count of disclosed deals in the start up space population, and it ends with the most recent year for which the same series and its supplements report complete annual totals. The window therefore brackets the full New Space era as that era is defined in the venture financing record, including the years before and after the post 2015 acceleration that the structural break indicator is designed to absorb</w:t>
      </w:r>
      <w:r>
        <w:t xml:space="preserve"> </w:t>
      </w:r>
      <w:hyperlink w:anchor="ref-2">
        <w:r>
          <w:rPr>
            <w:rStyle w:val="Hyperlink"/>
          </w:rPr>
          <w:t xml:space="preserve">[2]</w:t>
        </w:r>
      </w:hyperlink>
      <w:r>
        <w:t xml:space="preserve">.</w:t>
      </w:r>
    </w:p>
    <w:bookmarkEnd w:id="93"/>
    <w:bookmarkStart w:id="94" w:name="X142b72cf191a0fd09645800ef31940eb2cd5f48"/>
    <w:p>
      <w:pPr>
        <w:pStyle w:val="Heading2"/>
        <w:spacing w:line="480" w:lineRule="auto"/>
      </w:pPr>
      <w:r>
        <w:t xml:space="preserve">4.3 NASA Enacted Appropriation: Source and Construction</w:t>
      </w:r>
    </w:p>
    <w:p>
      <w:pPr>
        <w:pStyle w:val="FirstParagraph"/>
        <w:spacing w:line="480" w:lineRule="auto"/>
      </w:pPr>
      <w:r>
        <w:t xml:space="preserve">The series for the annual NASA enacted appropriation in then year dollars is drawn from the published Budget of NASA record and cross checked against the historical NASA budget dataset maintained by The Planetary Society</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Both sources report a single dollar figure per fiscal year that represents the total enacted appropriation for the agency. The construction of the variable proceeds in three steps. First, the enacted figure for each fiscal year from 2009 through 2024 is transcribed from the Budget of NASA record into the panel and tagged in the source column with the publication and the page or table from which it is drawn. Second, the same figure is transcribed independently from The Planetary Society historical dataset and entered into a parallel column. Third, the two columns are differenced row by row, and any non zero difference is resolved by reference to the underlying congressional appropriation public law that both sources cite. In the assembled panel the two sources agree at the dollar level in every year of the window. The cross check is recorded rather than discarded, because the discipline of dual sourcing each public figure is the principal protection against transcription error in a sample this small.</w:t>
      </w:r>
    </w:p>
    <w:p>
      <w:pPr>
        <w:pStyle w:val="BodyText"/>
        <w:spacing w:line="480" w:lineRule="auto"/>
        <w:ind w:firstLine="720"/>
      </w:pPr>
      <w:r>
        <w:t xml:space="preserve">The variable enters the analysis as a one year lag, denoted lagged NASA budget in the empirical chapter. The lag reflects the institutional fact that private investors respond to public commitments that are already on the books, not to a contemporaneous appropriation whose enactment they cannot observe at the time of capital deployment. The lag also addresses a mild form of simultaneity: a contemporaneous regression would conflate any common shock to public and private space spending in a single year with a true behavioral response.</w:t>
      </w:r>
    </w:p>
    <w:p>
      <w:pPr>
        <w:pStyle w:val="BodyText"/>
        <w:spacing w:line="480" w:lineRule="auto"/>
        <w:ind w:firstLine="720"/>
      </w:pPr>
      <w:r>
        <w:t xml:space="preserve">The headline appropriation is acknowledged in the empirical chapter as a coarse instrument. It aggregates program lines whose commercial relevance varies widely, from human exploration through science to aeronautics. The decision to use the headline figure in the first paper rather than a disaggregated procurement line is dictated by the unit at which the cross checked public sources publish, and the limitation is named explicitly in the discussion section of the first paper and revisited in the dissertation chapter on extensions</w:t>
      </w:r>
      <w:r>
        <w:t xml:space="preserve"> </w:t>
      </w:r>
      <w:hyperlink w:anchor="ref-2">
        <w:r>
          <w:rPr>
            <w:rStyle w:val="Hyperlink"/>
          </w:rPr>
          <w:t xml:space="preserve">[2]</w:t>
        </w:r>
      </w:hyperlink>
      <w:r>
        <w:t xml:space="preserve">. The natural refinement, which Chapter 7 develops, is the use of program line obligation data from the United States Treasury federal award system, which would isolate commercial crew and procurement obligations from the agency total and would test the anchor tenancy channel at the level at which it operates</w:t>
      </w:r>
      <w:r>
        <w:t xml:space="preserve"> </w:t>
      </w:r>
      <w:hyperlink w:anchor="ref-1">
        <w:r>
          <w:rPr>
            <w:rStyle w:val="Hyperlink"/>
          </w:rPr>
          <w:t xml:space="preserve">[1]</w:t>
        </w:r>
      </w:hyperlink>
      <w:r>
        <w:t xml:space="preserve">.</w:t>
      </w:r>
    </w:p>
    <w:bookmarkEnd w:id="94"/>
    <w:bookmarkStart w:id="95" w:name="X77ea015f02488662bfa8c624b4f9b878f3bbf4d"/>
    <w:p>
      <w:pPr>
        <w:pStyle w:val="Heading2"/>
        <w:spacing w:line="480" w:lineRule="auto"/>
      </w:pPr>
      <w:r>
        <w:t xml:space="preserve">4.4 Private Investment in Start Up Space Ventures: Source and Construction</w:t>
      </w:r>
    </w:p>
    <w:p>
      <w:pPr>
        <w:pStyle w:val="FirstParagraph"/>
        <w:spacing w:line="480" w:lineRule="auto"/>
      </w:pPr>
      <w:r>
        <w:t xml:space="preserve">The dependent variable in the first paper is the annual flow of disclosed private investment into start up space ventures, measured in then year United States dollars. The series is drawn from the BryceTech Start Up Space report series, which publishes an annual total and an associated deal count for the population of firms it defines as start up space ventures</w:t>
      </w:r>
      <w:r>
        <w:t xml:space="preserve"> </w:t>
      </w:r>
      <w:hyperlink w:anchor="ref-5">
        <w:r>
          <w:rPr>
            <w:rStyle w:val="Hyperlink"/>
          </w:rPr>
          <w:t xml:space="preserve">[5]</w:t>
        </w:r>
      </w:hyperlink>
      <w:r>
        <w:t xml:space="preserve">. The most recent edition of the series, Start Up Space 2025, is the principal anchor for the panel and reports investment activity for calendar year 2024 against the full historical record from which prior year totals are taken</w:t>
      </w:r>
      <w:r>
        <w:t xml:space="preserve"> </w:t>
      </w:r>
      <w:hyperlink w:anchor="ref-5">
        <w:r>
          <w:rPr>
            <w:rStyle w:val="Hyperlink"/>
          </w:rPr>
          <w:t xml:space="preserve">[5]</w:t>
        </w:r>
      </w:hyperlink>
      <w:r>
        <w:t xml:space="preserve">. For calendar year 2023 the panel is supplemented with the total reported by Space Capital in its Space Investment Quarterly product, which uses a comparable definition of the start up space population and reports an investment total for the same calendar year</w:t>
      </w:r>
      <w:r>
        <w:t xml:space="preserve"> </w:t>
      </w:r>
      <w:hyperlink w:anchor="ref-6">
        <w:r>
          <w:rPr>
            <w:rStyle w:val="Hyperlink"/>
          </w:rPr>
          <w:t xml:space="preserve">[6]</w:t>
        </w:r>
      </w:hyperlink>
      <w:r>
        <w:t xml:space="preserve">. The supplement is used to triangulate the BryceTech figure for that year rather than to replace it, and any disagreement between the two totals is recorded in the source column with both values transcribed and the one used in the analysis flagged.</w:t>
      </w:r>
    </w:p>
    <w:p>
      <w:pPr>
        <w:pStyle w:val="BodyText"/>
        <w:spacing w:line="480" w:lineRule="auto"/>
        <w:ind w:firstLine="720"/>
      </w:pPr>
      <w:r>
        <w:t xml:space="preserve">The BryceTech series uses a published definition of start up space ventures that excludes legacy government contractors and includes firms founded since 2000 whose business model is principally commercial</w:t>
      </w:r>
      <w:r>
        <w:t xml:space="preserve"> </w:t>
      </w:r>
      <w:hyperlink w:anchor="ref-5">
        <w:r>
          <w:rPr>
            <w:rStyle w:val="Hyperlink"/>
          </w:rPr>
          <w:t xml:space="preserve">[5]</w:t>
        </w:r>
      </w:hyperlink>
      <w:r>
        <w:t xml:space="preserve">. The definition is the unit boundary of the dependent variable: a firm that falls outside it does not enter the annual total, and a firm that enters it in a given year does so under criteria that are stable across the window. The boundary matters for interpretation. The dependent variable is not all private capital into space, which would include legacy supplier capital expenditure and acquisitions of established contractors; it is the flow of disclosed investment into the New Space cohort that policymakers have in mind when they invoke a crowding effect. This is the population for which the crowd in or crowd out question is most pointed and for which a public source defines and publishes a consistent annual measure.</w:t>
      </w:r>
    </w:p>
    <w:p>
      <w:pPr>
        <w:pStyle w:val="BodyText"/>
        <w:spacing w:line="480" w:lineRule="auto"/>
        <w:ind w:firstLine="720"/>
      </w:pPr>
      <w:r>
        <w:t xml:space="preserve">The deal count enters the panel as a separate variable rather than as a denominator. Breadth and dollars are not the same thing. The two series, total invested and deals disclosed, are reported in the same BryceTech edition and on the same definitional basis. The decision to keep them as parallel regressors rather than to compute and use an average deal size is methodological. The breadth of the market and the dollar weight of the market are conceptually distinct, and the empirical chapter finds that the deal count carries the within sample association with the public budget that the dollar total does not</w:t>
      </w:r>
      <w:r>
        <w:t xml:space="preserve"> </w:t>
      </w:r>
      <w:hyperlink w:anchor="ref-2">
        <w:r>
          <w:rPr>
            <w:rStyle w:val="Hyperlink"/>
          </w:rPr>
          <w:t xml:space="preserve">[2]</w:t>
        </w:r>
      </w:hyperlink>
      <w:r>
        <w:t xml:space="preserve">. Collapsing the two into a ratio would discard the very information that the analysis exploits.</w:t>
      </w:r>
    </w:p>
    <w:bookmarkEnd w:id="95"/>
    <w:bookmarkStart w:id="96" w:name="the-post-2015-structural-indicator"/>
    <w:p>
      <w:pPr>
        <w:pStyle w:val="Heading2"/>
        <w:spacing w:line="480" w:lineRule="auto"/>
      </w:pPr>
      <w:r>
        <w:t xml:space="preserve">4.5 The Post 2015 Structural Indicator</w:t>
      </w:r>
    </w:p>
    <w:p>
      <w:pPr>
        <w:pStyle w:val="FirstParagraph"/>
        <w:spacing w:line="480" w:lineRule="auto"/>
      </w:pPr>
      <w:r>
        <w:t xml:space="preserve">A binary indicator for years 2016 and later enters the panel as a control for the structural acceleration of the commercial era that the descriptive series document. The indicator is constructed mechanically from the calendar year and carries no source citation in the data dictionary beyond the row index itself. Its substantive justification is drawn from the BryceTech series and from the OECD forecasting work, both of which document a level shift in private investment activity that begins in the 2015 to 2016 window and that is not plausibly attributable to any single year appropriation</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Treating that shift as a fixed level effect rather than as a slope change is a deliberate parsimony in a sixteen observation sample. The empirical chapter reports the coefficient on the indicator and shows that the headline crowding result is robust to its inclusion or exclusion.</w:t>
      </w:r>
    </w:p>
    <w:bookmarkEnd w:id="96"/>
    <w:bookmarkStart w:id="97" w:name="Xb731dce083147d3b6900d8bcb3a5af33cb9b2cc"/>
    <w:p>
      <w:pPr>
        <w:pStyle w:val="Heading2"/>
        <w:spacing w:line="480" w:lineRule="auto"/>
      </w:pPr>
      <w:r>
        <w:t xml:space="preserve">4.6 Joining and Validation of the Public and Private Series</w:t>
      </w:r>
    </w:p>
    <w:p>
      <w:pPr>
        <w:pStyle w:val="FirstParagraph"/>
        <w:spacing w:line="480" w:lineRule="auto"/>
      </w:pPr>
      <w:r>
        <w:t xml:space="preserve">The three substantive series, lagged appropriation, annual private investment, and deal count, are joined at the calendar year. The validation steps are recorded for each row. Each appropriation figure is checked against both the Budget of NASA record and The Planetary Society historical dataset</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Each investment total and deal count is checked against the BryceTech edition that reports it and, where available for the calendar year, against the Space Capital quarterly report for the same year</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source column carries the citation for the value used in each cell. No figure in the panel is interpolated, smoothed, or imputed. Where a public source revises a prior year figure in a later edition, the revised figure is used and the revision is noted in the source column. The discipline of recording the revision rather than overwriting the prior figure preserves the audit trail that any replication of the empirical results requires.</w:t>
      </w:r>
    </w:p>
    <w:bookmarkEnd w:id="97"/>
    <w:bookmarkStart w:id="98" w:name="Xc8e7de1b30452237ff4114a00bcd92bdf77d4bc"/>
    <w:p>
      <w:pPr>
        <w:pStyle w:val="Heading2"/>
        <w:spacing w:line="480" w:lineRule="auto"/>
      </w:pPr>
      <w:r>
        <w:t xml:space="preserve">4.7 The Vehicle Program Year Panel: Unit of Analysis</w:t>
      </w:r>
    </w:p>
    <w:p>
      <w:pPr>
        <w:pStyle w:val="FirstParagraph"/>
        <w:spacing w:line="480" w:lineRule="auto"/>
      </w:pPr>
      <w:r>
        <w:t xml:space="preserve">The unit of observation in the second paper is the vehicle program year, defined as a launch vehicle family observed at a documented point in its flight history. Each row records the vehicle name and configuration, the calendar year of the observation, the cumulative number of flights of that family up to and including that year, the specific launch cost in dollars per kilogram to low Earth orbit prevailing at that point in the family’s life, and a source column that names the publication for each cell. The sample comprises thirty observations covering the period from 1973 to 2023. The choice of the vehicle program year rather than the individual launch is dictated by the unit at which authoritative cost data are reported. Per kilogram cost figures are published as program level statistics, often as the manufacturer’s quoted price or as an independent analyst’s estimate of the average cost of access for a representative payload, and they are not generally available at the level of a single mission.</w:t>
      </w:r>
    </w:p>
    <w:p>
      <w:pPr>
        <w:pStyle w:val="BodyText"/>
        <w:spacing w:line="480" w:lineRule="auto"/>
        <w:ind w:firstLine="720"/>
      </w:pPr>
      <w:r>
        <w:t xml:space="preserve">The sample is constructed to span the range of lift class, era, and architecture that the dissertation’s argument is meant to address. United States commercial and government vehicles in the panel include Falcon 9 across its block configurations, Falcon Heavy, Atlas V, Delta IV, Antares, Pegasus, the Minotaur family, Falcon 1, and the historical Space Shuttle, Saturn V, and Titan IV. International comparators include Electron, Ariane 5, Vega, Soyuz 2, Proton M, the Long March family, H IIA, and the Polar Satellite Launch Vehicle. The inclusion of historical United States vehicles allows the cumulative flight axis to span several orders of magnitude, which is the variation that the log log specification of the Wright’s law test requires.</w:t>
      </w:r>
    </w:p>
    <w:bookmarkEnd w:id="98"/>
    <w:bookmarkStart w:id="99" w:name="Xdbdd58c64910e9ad4d88236f50113b89e4f0721"/>
    <w:p>
      <w:pPr>
        <w:pStyle w:val="Heading2"/>
        <w:spacing w:line="480" w:lineRule="auto"/>
      </w:pPr>
      <w:r>
        <w:t xml:space="preserve">4.8 Specific Launch Cost: Source and Construction</w:t>
      </w:r>
    </w:p>
    <w:p>
      <w:pPr>
        <w:pStyle w:val="FirstParagraph"/>
        <w:spacing w:line="480" w:lineRule="auto"/>
      </w:pPr>
      <w:r>
        <w:t xml:space="preserve">The cost variable is the specific launch cost to low Earth orbit, expressed in dollars per kilogram. One number carries the whole panel. The primary source is the dataset on launch cost published by the Aerospace Security Project at the Center for Strategic and International Studies, which compiles per kilogram cost figures across the population of operational and historical launch vehicles and reports the underlying basis for each figure, whether manufacturer disclosure, independent estimate, or contract value</w:t>
      </w:r>
      <w:r>
        <w:t xml:space="preserve"> </w:t>
      </w:r>
      <w:hyperlink w:anchor="ref-8">
        <w:r>
          <w:rPr>
            <w:rStyle w:val="Hyperlink"/>
          </w:rPr>
          <w:t xml:space="preserve">[8]</w:t>
        </w:r>
      </w:hyperlink>
      <w:r>
        <w:t xml:space="preserve">. The Aerospace Security Project dataset normalizes a subset of its figures to constant 2021 dollars, and where that normalization is provided the panel uses the constant dollar figure. Where the underlying source reports only a then year value, the panel records the then year value and flags the year of denomination in the source column. The decision to mix constant and then year values rather than to impose a uniform deflation is conservative: the panel does not introduce a deflator that the original source did not apply, and the empirical chapter interprets the log of cost on the basis the source publishes.</w:t>
      </w:r>
    </w:p>
    <w:p>
      <w:pPr>
        <w:pStyle w:val="BodyText"/>
        <w:spacing w:line="480" w:lineRule="auto"/>
        <w:ind w:firstLine="720"/>
      </w:pPr>
      <w:r>
        <w:t xml:space="preserve">Two classes of supplement are admitted into the cost column. The first is the operator’s own published price disclosure, used when the operator reports a per kilogram cost for a configuration and year that the Aerospace Security Project dataset does not cover. The second is the documented contract value reported in records of the Federal Aviation Administration Office of Commercial Space Transportation and in NASA program documentation, used when a public contract converts directly into an effective per kilogram cost for a given vehicle year and is not otherwise reported in the analyst datasets. Each supplemented cell carries the underlying citation in the source column. The number of supplemented cells is small relative to the sample and is concentrated in the early years of vehicles whose published cost history is sparse.</w:t>
      </w:r>
    </w:p>
    <w:p>
      <w:pPr>
        <w:pStyle w:val="BodyText"/>
        <w:spacing w:line="480" w:lineRule="auto"/>
        <w:ind w:firstLine="720"/>
      </w:pPr>
      <w:r>
        <w:t xml:space="preserve">Three observations in the panel carry an illustrative marker on either the cumulative count field or the early point cost field, in cases in which a precise public figure was not directly available and an analyst estimate had to be used. These three observations account for ten percent of the sample, which is below the tolerance the empirical chapter sets for unobtainable values, and the empirical chapter reports a sensitivity check that excludes them. The discipline of flagging rather than concealing these cells is the principal protection against an inflated precision claim in a thirty observation sample.</w:t>
      </w:r>
    </w:p>
    <w:bookmarkEnd w:id="99"/>
    <w:bookmarkStart w:id="100" w:name="X3b66210505ca4463382c35c976d03e83fc3c109"/>
    <w:p>
      <w:pPr>
        <w:pStyle w:val="Heading2"/>
        <w:spacing w:line="480" w:lineRule="auto"/>
      </w:pPr>
      <w:r>
        <w:t xml:space="preserve">4.9 Cumulative Launches: Source and Construction</w:t>
      </w:r>
    </w:p>
    <w:p>
      <w:pPr>
        <w:pStyle w:val="FirstParagraph"/>
        <w:spacing w:line="480" w:lineRule="auto"/>
      </w:pPr>
      <w:r>
        <w:t xml:space="preserve">The cumulative launch count is the running total of flights of a vehicle family up to and including the observation year. The series is constructed from the published launch logs of each operator, cross checked against the launch records compiled by Spaceflight Now and against the NASA launch record for vehicles in which NASA either operated or was a customer. The construction proceeds family by family. For each vehicle family, the operator’s launch log is transcribed into a chronological list of dated flights, the list is cross checked against the independent record, and discrepancies are reconciled by reference to the launch licensing record of the Federal Aviation Administration Office of Commercial Space Transportation for commercial launches and to the agency mission record for government launches. The cumulative count at the observation year is then read off the reconciled list.</w:t>
      </w:r>
    </w:p>
    <w:p>
      <w:pPr>
        <w:pStyle w:val="BodyText"/>
        <w:spacing w:line="480" w:lineRule="auto"/>
        <w:ind w:firstLine="720"/>
      </w:pPr>
      <w:r>
        <w:t xml:space="preserve">Two definitional decisions are recorded. The first is the treatment of vehicle configurations within a family. Falcon 9 is treated as a single family across its block 1.0, 1.1, full thrust, and block 5 configurations, on the ground that the production and operations learning that Wright’s law is meant to capture is shared across the configurations of a continuously produced vehicle line. The Minotaur family is treated similarly. The second is the treatment of partial successes and failures. A flight is counted in the cumulative total if it is an attempted launch of the configured vehicle, irrespective of outcome, on the ground that the learning that production and operations generate accrues to attempts rather than to successes alone. Both decisions are recorded in the data dictionary that accompanies the panel and are revisited as sensitivity checks in the empirical chapter.</w:t>
      </w:r>
    </w:p>
    <w:bookmarkEnd w:id="100"/>
    <w:bookmarkStart w:id="101" w:name="Xe11e74f2a098f8a2eb38ca8f8cb4f9edcb8ce11"/>
    <w:p>
      <w:pPr>
        <w:pStyle w:val="Heading2"/>
        <w:spacing w:line="480" w:lineRule="auto"/>
      </w:pPr>
      <w:r>
        <w:t xml:space="preserve">4.10 Descriptive Context Fields and the Decision to Pool</w:t>
      </w:r>
    </w:p>
    <w:p>
      <w:pPr>
        <w:pStyle w:val="FirstParagraph"/>
        <w:spacing w:line="480" w:lineRule="auto"/>
      </w:pPr>
      <w:r>
        <w:t xml:space="preserve">Three additional fields are carried in the vehicle program year panel for descriptive context: payload mass to low Earth orbit, a reusability indicator, and a binary marker for vehicles that have served as the principal anchor of a NASA commercial procurement program. These fields are not entered as regressors in the headline specification of the second paper, which deliberately pools the population to estimate the unconditional learning elasticity. They are carried in the panel to support the robustness discussion in the second paper and the within family extension that Chapter 7 develops, in which lift class and reusability are admitted as controls so that the cadence coefficient is read off comparable vehicles</w:t>
      </w:r>
      <w:r>
        <w:t xml:space="preserve"> </w:t>
      </w:r>
      <w:hyperlink w:anchor="ref-9">
        <w:r>
          <w:rPr>
            <w:rStyle w:val="Hyperlink"/>
          </w:rPr>
          <w:t xml:space="preserve">[9]</w:t>
        </w:r>
      </w:hyperlink>
      <w:r>
        <w:t xml:space="preserve">. The descriptive structure of the panel already hints at the source of the residual signal: the reusable Falcon 9 observations show a steep within family decline in unit cost as cumulative flights climb past a hundred, a feature that the pooled cross family specification cannot recover and that motivates the within program estimation in the extension.</w:t>
      </w:r>
    </w:p>
    <w:bookmarkEnd w:id="101"/>
    <w:bookmarkStart w:id="102" w:name="X26907e3b1da66be7f9c33b2e73888f802396d7d"/>
    <w:p>
      <w:pPr>
        <w:pStyle w:val="Heading2"/>
        <w:spacing w:line="480" w:lineRule="auto"/>
      </w:pPr>
      <w:r>
        <w:t xml:space="preserve">4.11 Joint Provenance Discipline and Forward Linkages</w:t>
      </w:r>
    </w:p>
    <w:p>
      <w:pPr>
        <w:pStyle w:val="FirstParagraph"/>
        <w:spacing w:line="480" w:lineRule="auto"/>
      </w:pPr>
      <w:r>
        <w:t xml:space="preserve">The two panels share a common provenance discipline. Every number traces to a public record. Each cell of each panel is sourced from a public record, the source is named in a dedicated column of the same row, and every figure that admits a cross check is checked against a second authoritative publication. No figure is interpolated, imputed, or smoothed. Each panel reports a small number of cells that fell outside the cross check and is honest about their share of the sample. The annual public and private series in the first paper are cross checked across the Budget of NASA record, The Planetary Society historical dataset, the BryceTech Start Up Space editions, and the Space Capital Space Investment Quarterly report</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vehicle program year series in the second paper is cross checked across the Aerospace Security Project dataset, operator disclosures, Federal Aviation Administration launch records, NASA mission documentation, and Spaceflight Now</w:t>
      </w:r>
      <w:r>
        <w:t xml:space="preserve"> </w:t>
      </w:r>
      <w:hyperlink w:anchor="ref-8">
        <w:r>
          <w:rPr>
            <w:rStyle w:val="Hyperlink"/>
          </w:rPr>
          <w:t xml:space="preserve">[8]</w:t>
        </w:r>
      </w:hyperlink>
      <w:r>
        <w:t xml:space="preserve">.</w:t>
      </w:r>
    </w:p>
    <w:p>
      <w:pPr>
        <w:pStyle w:val="BodyText"/>
        <w:spacing w:line="480" w:lineRule="auto"/>
        <w:ind w:firstLine="720"/>
      </w:pPr>
      <w:r>
        <w:t xml:space="preserve">The forward linkages to Chapters 5 through 7 are explicit. Chapter 5 takes the annual public and private series and estimates the lagged appropriation specification that the first paper reports, with heteroskedasticity robust standard errors and the deal count and post 2015 controls that the panel carries. Chapter 6 takes the vehicle program year panel and estimates the pooled log log Wright’s law specification that the second paper reports, with the same robust inference and with the three illustratively marked observations excluded as a sensitivity check. Chapter 7 develops the firm year extension that the prospectus identifies as the natural path from these two pooled exercises to a credible causal estimate of the crowding sign</w:t>
      </w:r>
      <w:r>
        <w:t xml:space="preserve"> </w:t>
      </w:r>
      <w:hyperlink w:anchor="ref-1">
        <w:r>
          <w:rPr>
            <w:rStyle w:val="Hyperlink"/>
          </w:rPr>
          <w:t xml:space="preserve">[1]</w:t>
        </w:r>
      </w:hyperlink>
      <w:r>
        <w:t xml:space="preserve">. That extension requires a firm year panel built from the United States Treasury federal award system, joined to a hand validated crosswalk between the legal entity names used in the federal award record and the operating firm names used in the BryceTech series, and matched to the launch records of the Federal Aviation Administration Office of Commercial Space Transportation. The construction of that firm year panel is documented in Chapter 7 rather than here, but the discipline by which it will be assembled, public source, dual cross check, recorded provenance, and honest flagging of any cell that escapes verification, is the discipline that this chapter establishes for the two pooled panels on which the dissertation’s headline findings rest</w:t>
      </w:r>
      <w:r>
        <w:t xml:space="preserve"> </w:t>
      </w:r>
      <w:hyperlink w:anchor="ref-10">
        <w:r>
          <w:rPr>
            <w:rStyle w:val="Hyperlink"/>
          </w:rPr>
          <w:t xml:space="preserve">[10]</w:t>
        </w:r>
      </w:hyperlink>
      <w:r>
        <w:t xml:space="preserve">.</w:t>
      </w:r>
    </w:p>
    <w:p>
      <w:pPr>
        <w:pStyle w:val="BodyText"/>
        <w:spacing w:line="480" w:lineRule="auto"/>
        <w:ind w:firstLine="720"/>
      </w:pPr>
      <w:r>
        <w:t xml:space="preserve">The measurement architecture set out in this chapter is parsimonious by design. It uses the unit at which authoritative public sources publish, it cross checks every figure against a second public source, and it accepts the residual coarseness of the headline appropriation and the pooled cost panel as the price of working in the open record rather than in proprietary databases. The empirical chapters that follow inherit both the strength and the limitation of that choice. The strength is that every number they report can be traced by an independent reader to a public document. The limitation is that the coarseness of the public unit conditions the precision of the estimates they report. Chapter 7 names the firm year extension that would relax that limitation and identifies the additional public sources that the extension would draw on without departing from the provenance discipline set out here.</w:t>
      </w:r>
    </w:p>
    <w:bookmarkEnd w:id="102"/>
    <w:bookmarkEnd w:id="103"/>
    <w:bookmarkStart w:id="112" w:name="chapter-5.-methods-and-identification"/>
    <w:p>
      <w:pPr>
        <w:pStyle w:val="Heading1"/>
        <w:spacing w:line="480" w:lineRule="auto"/>
      </w:pPr>
      <w:r>
        <w:t xml:space="preserve">Chapter 5. Methods and Identification</w:t>
      </w:r>
    </w:p>
    <w:bookmarkStart w:id="104" w:name="restatement-of-the-estimand"/>
    <w:p>
      <w:pPr>
        <w:pStyle w:val="Heading2"/>
        <w:spacing w:line="480" w:lineRule="auto"/>
      </w:pPr>
      <w:r>
        <w:t xml:space="preserve">5.1 Restatement of the Estimand</w:t>
      </w:r>
    </w:p>
    <w:p>
      <w:pPr>
        <w:pStyle w:val="FirstParagraph"/>
        <w:spacing w:line="480" w:lineRule="auto"/>
      </w:pPr>
      <w:r>
        <w:t xml:space="preserve">The dissertation’s single falsifiable contribution is the sign and magnitude of the elasticity of private investment in the commercial launch sector with respect to lagged NASA program funding, conditional on launch cadence as the intermediating capacity channel. The estimand is therefore not a partial correlation between two aggregate time series, but a causal parameter that survives the displacement of confounders by design rather than by assumption. The two preceding research papers establish the empirical posture from which Chapter 5 departs. The first paper showed that a pooled time-series regression of annual private investment on lagged NASA appropriation produces a negative point estimate that cannot be distinguished from zero once the breadth of the deal market is held fixed, and that the headline budget aggregate is too coarse a regressor to register the underlying mechanism with confidence. The second paper showed that a pooled Wright’s-law regression of unit launch cost on cumulative cadence produces an elasticity that points the right way but is dominated by between-family heterogeneity. Both results converge on the same methodological prescription: the identifying variation must come from within firms and within vehicle programs, the funding regressor must be disaggregated to the procurement lines that actually flow to commercial operators, and the contemporaneous endogeneity of public obligations to commercial growth must be broken by an instrument that is set before the private capital market can react. Chapter 5 specifies the estimators and the identification strategy that meet those three requirements, and it bounds the threats to validity that remain.</w:t>
      </w:r>
    </w:p>
    <w:bookmarkEnd w:id="104"/>
    <w:bookmarkStart w:id="105" w:name="panel-structure-and-notation"/>
    <w:p>
      <w:pPr>
        <w:pStyle w:val="Heading2"/>
        <w:spacing w:line="480" w:lineRule="auto"/>
      </w:pPr>
      <w:r>
        <w:t xml:space="preserve">5.2 Panel Structure and Notation</w:t>
      </w:r>
    </w:p>
    <w:p>
      <w:pPr>
        <w:pStyle w:val="FirstParagraph"/>
        <w:spacing w:line="480" w:lineRule="auto"/>
      </w:pPr>
      <w:r>
        <w:t xml:space="preserve">The estimation panel is constructed at the firm-by-year level, indexed by firm i and year t, over the window 2009 through 2024. The choice of window is dictated by data availability and by the structural break of the post-2015 commercial era that the first paper identified as the regime in which the public-private partnership architecture matured. The unit of observation is a commercial launch or launch-infrastructure firm that received at least one NASA award in the window or that raised at least one disclosed private financing round in the same window. The dependent variable is the natural log of private investment received by firm i in year t+1, denoted ln Y_{i,t+1}, drawn from the BryceTech Start-Up Space annual series and supplemented by Space Capital’s quarterly investment totals where the BryceTech aggregation does not resolve to the firm level</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The principal regressor is the natural log of NASA program obligations to firm i in year t, denoted ln X_{i,t}, drawn from the USAspending.gov transaction record filtered to NASA awarding-agency awards under launch and space-infrastructure NAICS and Product Service Codes. The capacity variable is launch cadence C_{i,t}, defined as the count of FAA-licensed orbital launches conducted by firm i in year t. Firm fixed effects alpha_i absorb time-invariant heterogeneity in business model, lift class, and incumbency. Year fixed effects gamma_t absorb common macroeconomic shocks, including the post-2021 reset in venture financing that the first paper documented as a high-leverage outlier in pooled estimation</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The disturbance term epsilon_{i,t+1} is allowed to be heteroskedastic and serially correlated within firm; standard errors are clustered at the firm level throughout.</w:t>
      </w:r>
    </w:p>
    <w:bookmarkEnd w:id="105"/>
    <w:bookmarkStart w:id="106" w:name="Xbbf8a70bf251ff8be7e41696e33a0188da0f244"/>
    <w:p>
      <w:pPr>
        <w:pStyle w:val="Heading2"/>
        <w:spacing w:line="480" w:lineRule="auto"/>
      </w:pPr>
      <w:r>
        <w:t xml:space="preserve">5.3 The Baseline Two-Way Fixed-Effects Estimator</w:t>
      </w:r>
    </w:p>
    <w:p>
      <w:pPr>
        <w:pStyle w:val="FirstParagraph"/>
        <w:spacing w:line="480" w:lineRule="auto"/>
      </w:pPr>
      <w:r>
        <w:t xml:space="preserve">The baseline specification is a two-way fixed-effects regression of the form</w:t>
      </w:r>
    </w:p>
    <w:p>
      <w:pPr>
        <w:pStyle w:val="BodyText"/>
        <w:spacing w:line="480" w:lineRule="auto"/>
        <w:ind w:firstLine="720"/>
      </w:pPr>
      <w:r>
        <w:t xml:space="preserve">ln Y_{i,t+1} = beta ln X_{i,t} + delta C_{i,t} + alpha_i + gamma_t + epsilon_{i,t+1}.</w:t>
      </w:r>
    </w:p>
    <w:p>
      <w:pPr>
        <w:pStyle w:val="BodyText"/>
        <w:spacing w:line="480" w:lineRule="auto"/>
        <w:ind w:firstLine="720"/>
      </w:pPr>
      <w:r>
        <w:t xml:space="preserve">The parameter beta is the within-firm elasticity of next-year private investment with respect to current-year NASA obligations, identified off deviations of each firm’s obligations from its own time mean and from the contemporaneous cross-sectional mean. The fixed-effects estimator is the natural answer to the lesson of the first paper, which found that a single national-level series cannot separate the firm-specific demand-anchor signal from the deal-count breadth that explained nearly all of the variance in pooled annual investment. By absorbing alpha_i, the within estimator strips out the persistent differences between firms that received NASA awards early and the entrants that did not; by absorbing gamma_t, it strips out the venture-cycle shocks that drove the post-2021 reset in private flows. The identifying variation is the within-firm, within-year deviation of NASA obligation from its expected level, regressed on the within-firm, within-year deviation of subsequent private investment from its expected level.</w:t>
      </w:r>
    </w:p>
    <w:p>
      <w:pPr>
        <w:pStyle w:val="BodyText"/>
        <w:spacing w:line="480" w:lineRule="auto"/>
        <w:ind w:firstLine="720"/>
      </w:pPr>
      <w:r>
        <w:t xml:space="preserve">Two features of the baseline matter for interpretation. First, the dependent variable is lagged by one year so that the regressor captures the public commitment that private investors actually observe before they deploy capital, consistent with the lag structure adopted in the first paper</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Second, the capacity variable enters in levels rather than logs because firms enter the panel with zero cadence and the count is bounded below; treating ln(1 + C_{i,t}) is reported as a sensitivity. The coefficient delta on cadence is not a structural parameter of interest in the baseline; it is a control that absorbs the mechanical correlation between an active flight program and the receipt of follow-on procurement.</w:t>
      </w:r>
    </w:p>
    <w:bookmarkEnd w:id="106"/>
    <w:bookmarkStart w:id="107" w:name="the-mediation-decomposition"/>
    <w:p>
      <w:pPr>
        <w:pStyle w:val="Heading2"/>
        <w:spacing w:line="480" w:lineRule="auto"/>
      </w:pPr>
      <w:r>
        <w:t xml:space="preserve">5.4 The Mediation Decomposition</w:t>
      </w:r>
    </w:p>
    <w:p>
      <w:pPr>
        <w:pStyle w:val="FirstParagraph"/>
        <w:spacing w:line="480" w:lineRule="auto"/>
      </w:pPr>
      <w:r>
        <w:t xml:space="preserve">The capacity channel is the substantive object of Chapter 5’s second estimator. The crowd-in and crowd-out hypotheses make divergent predictions about how the elasticity beta decomposes into a direct demand-anchor effect and an indirect capacity-absorption effect, and the prospectus’s central claim is that this decomposition is what distinguishes the two mechanisms empirically</w:t>
      </w:r>
      <w:r>
        <w:t xml:space="preserve"> </w:t>
      </w:r>
      <w:hyperlink w:anchor="ref-1">
        <w:r>
          <w:rPr>
            <w:rStyle w:val="Hyperlink"/>
          </w:rPr>
          <w:t xml:space="preserve">[1]</w:t>
        </w:r>
      </w:hyperlink>
      <w:r>
        <w:t xml:space="preserve">,</w:t>
      </w:r>
      <w:r>
        <w:t xml:space="preserve"> </w:t>
      </w:r>
      <w:hyperlink w:anchor="ref-25">
        <w:r>
          <w:rPr>
            <w:rStyle w:val="Hyperlink"/>
          </w:rPr>
          <w:t xml:space="preserve">[25]</w:t>
        </w:r>
      </w:hyperlink>
      <w:r>
        <w:t xml:space="preserve">. The mediation specification follows the canonical decomposition. Cadence is first regressed on lagged obligations,</w:t>
      </w:r>
    </w:p>
    <w:p>
      <w:pPr>
        <w:pStyle w:val="BodyText"/>
        <w:spacing w:line="480" w:lineRule="auto"/>
        <w:ind w:firstLine="720"/>
      </w:pPr>
      <w:r>
        <w:t xml:space="preserve">C_{i,t} = phi ln X_{i,t-1} + alpha_i^C + gamma_t^C + nu_{i,t},</w:t>
      </w:r>
    </w:p>
    <w:p>
      <w:pPr>
        <w:pStyle w:val="BodyText"/>
        <w:spacing w:line="480" w:lineRule="auto"/>
        <w:ind w:firstLine="720"/>
      </w:pPr>
      <w:r>
        <w:t xml:space="preserve">recovering the dollar-to-flight elasticity phi that captures whether NASA obligations translate into additional firm-level capacity. The investment equation is then augmented to</w:t>
      </w:r>
    </w:p>
    <w:p>
      <w:pPr>
        <w:pStyle w:val="BodyText"/>
        <w:spacing w:line="480" w:lineRule="auto"/>
        <w:ind w:firstLine="720"/>
      </w:pPr>
      <w:r>
        <w:t xml:space="preserve">ln Y_{i,t+1} = beta_direct ln X_{i,t} + delta_med C_{i,t} + alpha_i + gamma_t + epsilon_{i,t+1},</w:t>
      </w:r>
    </w:p>
    <w:p>
      <w:pPr>
        <w:pStyle w:val="BodyText"/>
        <w:spacing w:line="480" w:lineRule="auto"/>
        <w:ind w:firstLine="720"/>
      </w:pPr>
      <w:r>
        <w:t xml:space="preserve">so that beta_direct is the elasticity of investment with respect to obligations that does not flow through cadence, and the product phi times delta_med is the elasticity that does. The total effect beta from the baseline equals the sum of beta_direct and phi delta_med up to a small-sample bias that is reported. Under the anchor-tenancy reading of crowding in, beta_direct is positive: the act of being named as a NASA recipient signals demand and de-risks the firm regardless of whether new launches occur in the year of the award</w:t>
      </w:r>
      <w:r>
        <w:t xml:space="preserve"> </w:t>
      </w:r>
      <w:hyperlink w:anchor="ref-1">
        <w:r>
          <w:rPr>
            <w:rStyle w:val="Hyperlink"/>
          </w:rPr>
          <w:t xml:space="preserve">[1]</w:t>
        </w:r>
      </w:hyperlink>
      <w:r>
        <w:t xml:space="preserve">,</w:t>
      </w:r>
      <w:r>
        <w:t xml:space="preserve"> </w:t>
      </w:r>
      <w:hyperlink w:anchor="ref-25">
        <w:r>
          <w:rPr>
            <w:rStyle w:val="Hyperlink"/>
          </w:rPr>
          <w:t xml:space="preserve">[25]</w:t>
        </w:r>
      </w:hyperlink>
      <w:r>
        <w:t xml:space="preserve">. Under the capacity-absorption reading of crowding out, phi delta_med is negative and dominant: NASA obligations bid up the firm’s launch slots and supplier capacity, and the cadence increase that follows competes with private commercial manifest, so a higher cadence funded by NASA is associated with less subsequent private financing rather than more, consistent with the binding-capacity observation in the corpus</w:t>
      </w:r>
      <w:r>
        <w:t xml:space="preserve"> </w:t>
      </w:r>
      <w:hyperlink w:anchor="ref-3">
        <w:r>
          <w:rPr>
            <w:rStyle w:val="Hyperlink"/>
          </w:rPr>
          <w:t xml:space="preserve">[3]</w:t>
        </w:r>
      </w:hyperlink>
      <w:r>
        <w:t xml:space="preserve">. The mediation decomposition therefore turns a single sign question into a pair of signs that can be jointly inspected, and the policy reading of the result rests on which channel dominates rather than on the sign of beta alone.</w:t>
      </w:r>
    </w:p>
    <w:bookmarkEnd w:id="107"/>
    <w:bookmarkStart w:id="108" w:name="the-instrumental-variables-strategy"/>
    <w:p>
      <w:pPr>
        <w:pStyle w:val="Heading2"/>
        <w:spacing w:line="480" w:lineRule="auto"/>
      </w:pPr>
      <w:r>
        <w:t xml:space="preserve">5.5 The Instrumental-Variables Strategy</w:t>
      </w:r>
    </w:p>
    <w:p>
      <w:pPr>
        <w:pStyle w:val="FirstParagraph"/>
        <w:spacing w:line="480" w:lineRule="auto"/>
      </w:pPr>
      <w:r>
        <w:t xml:space="preserve">Even with firm and year fixed effects, the regressor ln X_{i,t} is endogenous if NASA directs obligations toward firms whose contemporaneous prospects for private financing are already strong. The instrumental-variables strategy addresses this endogeneity directly. The instrument is the firm-specific exposure to congressionally appropriated, schedule-driven program budgets that were set in the prior authorization cycle and are plausibly orthogonal to a single firm’s contemporaneous private-financing prospects. Define Z_{i,t} as the predicted obligation to firm i in year t that is implied by the agency’s program budget B_{p,t} for the program lines p to which firm i held an active contract at the close of year t minus two, weighted by firm i’s historical share s_{i,p,t-2} of obligations under each line:</w:t>
      </w:r>
    </w:p>
    <w:p>
      <w:pPr>
        <w:pStyle w:val="BodyText"/>
        <w:spacing w:line="480" w:lineRule="auto"/>
        <w:ind w:firstLine="720"/>
      </w:pPr>
      <w:r>
        <w:t xml:space="preserve">Z_{i,t} = sum over p of s_{i,p,t-2} times B_{p,t}.</w:t>
      </w:r>
    </w:p>
    <w:p>
      <w:pPr>
        <w:pStyle w:val="BodyText"/>
        <w:spacing w:line="480" w:lineRule="auto"/>
        <w:ind w:firstLine="720"/>
      </w:pPr>
      <w:r>
        <w:t xml:space="preserve">The construction follows the shift-share logic that is standard in the public-finance and labor literatures, with the historical share s_{i,p,t-2} fixed two years before the realized obligation. The shifters B_{p,t} are the enacted program budgets in NASA’s Congressional Justification, which are negotiated in the appropriation cycle that precedes the fiscal year and which respond to legislative priorities rather than to the prospects of any individual contractor. The first-stage equation is</w:t>
      </w:r>
    </w:p>
    <w:p>
      <w:pPr>
        <w:pStyle w:val="BodyText"/>
        <w:spacing w:line="480" w:lineRule="auto"/>
        <w:ind w:firstLine="720"/>
      </w:pPr>
      <w:r>
        <w:t xml:space="preserve">ln X_{i,t} = pi ln Z_{i,t} + alpha_i^X + gamma_t^X + xi_{i,t},</w:t>
      </w:r>
    </w:p>
    <w:p>
      <w:pPr>
        <w:pStyle w:val="BodyText"/>
        <w:spacing w:line="480" w:lineRule="auto"/>
        <w:ind w:firstLine="720"/>
      </w:pPr>
      <w:r>
        <w:t xml:space="preserve">and the second-stage equation replaces ln X_{i,t} in the baseline by its first-stage predicted value. The just-identified two-stage least squares estimator is reported as the headline; an over-identified specification adds a second instrument constructed from the prior-cycle authorization markup as published by the relevant congressional committees, allowing a Hansen J test of the over-identifying restriction.</w:t>
      </w:r>
    </w:p>
    <w:p>
      <w:pPr>
        <w:pStyle w:val="BodyText"/>
        <w:spacing w:line="480" w:lineRule="auto"/>
        <w:ind w:firstLine="720"/>
      </w:pPr>
      <w:r>
        <w:t xml:space="preserve">The instrument’s relevance is testable directly: the first-stage F-statistic on the excluded instrument is reported, and any specification with a first-stage F below ten is treated as weakly identified and reported with Anderson-Rubin confidence sets rather than conventional t statistics. The instrument’s exclusion restriction is not directly testable but is bounded by three pieces of evidence. The first paper’s finding that aggregate appropriation carries no measurable contemporaneous relationship to aggregate private investment is consistent with the budget shifter operating through firm-level procurement rather than through a macroeconomic anchor that would violate exclusion at the aggregate level</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second paper’s finding that within-program learning, not pooled cadence, drives unit-cost variation is consistent with the capacity channel being a within-firm phenomenon that the firm-level instrument can identify cleanly. The exclusion restriction is also supported substantively by the institutional record of the public-private partnership, which documents that program budgets are negotiated on the basis of policy goals and prior cost baselines rather than on the basis of contemporaneous venture-financing prospects of any single vendor</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w:t>
      </w:r>
      <w:r>
        <w:t xml:space="preserve"> </w:t>
      </w:r>
      <w:hyperlink w:anchor="ref-25">
        <w:r>
          <w:rPr>
            <w:rStyle w:val="Hyperlink"/>
          </w:rPr>
          <w:t xml:space="preserve">[25]</w:t>
        </w:r>
      </w:hyperlink>
      <w:r>
        <w:t xml:space="preserve">.</w:t>
      </w:r>
    </w:p>
    <w:bookmarkEnd w:id="108"/>
    <w:bookmarkStart w:id="109" w:name="Xc3f89bc93863c3e8bacea2b3a51041d295e0620"/>
    <w:p>
      <w:pPr>
        <w:pStyle w:val="Heading2"/>
        <w:spacing w:line="480" w:lineRule="auto"/>
      </w:pPr>
      <w:r>
        <w:t xml:space="preserve">5.6 Heterogeneity, Extensive Margin, and Distributed Lags</w:t>
      </w:r>
    </w:p>
    <w:p>
      <w:pPr>
        <w:pStyle w:val="FirstParagraph"/>
        <w:spacing w:line="480" w:lineRule="auto"/>
      </w:pPr>
      <w:r>
        <w:t xml:space="preserve">Three auxiliary specifications sharpen the interpretation of the headline estimate. The first is a distributed-lag specification in which ln X_{i,t}, ln X_{i,t-1}, and ln X_{i,t-2} enter simultaneously, allowing the impulse response of investment to a one-time obligation shock to be traced over a three-year horizon. The distributed lag is the appropriate vehicle for testing whether a positive headline elasticity reflects a durable anchor effect or merely a one-year contemporaneous co-movement that reverses in subsequent years. The second is an extensive-margin sub-sample restricted to firms with no prior NASA contract at the start of the window. The sub-sample isolates the first-time-recipient effect that the OCEA forecasting literature treats as the principal mechanism by which the public-private partnership opens private capital to new entrants</w:t>
      </w:r>
      <w:r>
        <w:t xml:space="preserve"> </w:t>
      </w:r>
      <w:hyperlink w:anchor="ref-9">
        <w:r>
          <w:rPr>
            <w:rStyle w:val="Hyperlink"/>
          </w:rPr>
          <w:t xml:space="preserve">[9]</w:t>
        </w:r>
      </w:hyperlink>
      <w:r>
        <w:t xml:space="preserve">,</w:t>
      </w:r>
      <w:r>
        <w:t xml:space="preserve"> </w:t>
      </w:r>
      <w:hyperlink w:anchor="ref-14">
        <w:r>
          <w:rPr>
            <w:rStyle w:val="Hyperlink"/>
          </w:rPr>
          <w:t xml:space="preserve">[14]</w:t>
        </w:r>
      </w:hyperlink>
      <w:r>
        <w:t xml:space="preserve">, and it sidesteps the confounding of demand-anchor and capacity-absorption channels that arises for established prime contractors. The third is an interaction of ln X_{i,t} with a capacity-utilization indicator that takes the value one when industry-wide manifest utilization exceeded its window mean and zero otherwise. The interaction tests the prospectus’s hypothesis that the sign of the obligation effect flips under binding capacity, in line with the structural observation that orbital and manifest regimes have become capacity-constrained in the post-2015 era</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27">
        <w:r>
          <w:rPr>
            <w:rStyle w:val="Hyperlink"/>
          </w:rPr>
          <w:t xml:space="preserve">[27]</w:t>
        </w:r>
      </w:hyperlink>
      <w:r>
        <w:t xml:space="preserve">.</w:t>
      </w:r>
    </w:p>
    <w:p>
      <w:pPr>
        <w:pStyle w:val="BodyText"/>
        <w:spacing w:line="480" w:lineRule="auto"/>
        <w:ind w:firstLine="720"/>
      </w:pPr>
      <w:r>
        <w:t xml:space="preserve">The estimator throughout is two-stage least squares with the shift-share instrument; the distributed-lag specification instruments each lag with its own shift-share construction, and the extensive-margin sub-sample retains the same instrument so that the local-average-treatment-effect interpretation extends to the entrant population. Standard errors are clustered at the firm level in every specification, and a wild-cluster bootstrap is reported for the extensive-margin sub-sample where the count of clusters falls below the conventional large-N threshold.</w:t>
      </w:r>
    </w:p>
    <w:bookmarkEnd w:id="109"/>
    <w:bookmarkStart w:id="110" w:name="X1d189e0776bd0a9225211f020d00b109bd29bed"/>
    <w:p>
      <w:pPr>
        <w:pStyle w:val="Heading2"/>
        <w:spacing w:line="480" w:lineRule="auto"/>
      </w:pPr>
      <w:r>
        <w:t xml:space="preserve">5.7 Threats to Validity and How Each Is Bounded</w:t>
      </w:r>
    </w:p>
    <w:p>
      <w:pPr>
        <w:pStyle w:val="FirstParagraph"/>
        <w:spacing w:line="480" w:lineRule="auto"/>
      </w:pPr>
      <w:r>
        <w:t xml:space="preserve">Four threats are addressed in order. Each gets a bound, not a wave. First, instrument validity. If congressional appropriation schedules respond to anticipated commercial growth, the exclusion restriction fails and the two-stage estimate inherits the bias the design is meant to remove. This threat is bounded in three ways. The first-stage F is required to exceed ten before any conventional inference is drawn, and Anderson-Rubin confidence sets are reported when it does not. The over-identifying restriction is tested with the Hansen J statistic on the two-instrument specification, with rejection treated as evidence against the construction. The substantive record of appropriation politics, which documents that NASA program budgets are negotiated on policy and cost-baseline grounds and that the agency’s commercial procurement lines are sized to programmatic milestones rather than to vendor financing pipelines, provides a non-statistical bound on the exclusion restriction that is consistent with the partnership literature</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w:t>
      </w:r>
      <w:r>
        <w:t xml:space="preserve"> </w:t>
      </w:r>
      <w:hyperlink w:anchor="ref-25">
        <w:r>
          <w:rPr>
            <w:rStyle w:val="Hyperlink"/>
          </w:rPr>
          <w:t xml:space="preserve">[25]</w:t>
        </w:r>
      </w:hyperlink>
      <w:r>
        <w:t xml:space="preserve">.</w:t>
      </w:r>
    </w:p>
    <w:p>
      <w:pPr>
        <w:pStyle w:val="BodyText"/>
        <w:spacing w:line="480" w:lineRule="auto"/>
        <w:ind w:firstLine="720"/>
      </w:pPr>
      <w:r>
        <w:t xml:space="preserve">Second, survivorship. The panel can include only firms that survive to be observed, and survival is correlated with both the regressor and the outcome. A naive within estimator therefore loads on the surviving population rather than on the universe of entrants, and the resulting bias is in the direction of the partnership’s apparent success. The threat is bounded by the no-prior-contract extensive-margin sub-sample, which by construction conditions on entry rather than on survival, and by an inverse-probability weight on survival estimated from a first-stage probit on firm characteristics observed at entry. The survival probit’s predictors are firm age at entry, lift class, and the cumulative count of disclosed financing rounds in the two years before entry, none of which overlap with the structural regressors of the investment equation. The weighted and unweighted estimates are reported jointly, and any divergence between them is interpreted as the magnitude of the survivorship bias rather than as a sensitivity.</w:t>
      </w:r>
    </w:p>
    <w:p>
      <w:pPr>
        <w:pStyle w:val="BodyText"/>
        <w:spacing w:line="480" w:lineRule="auto"/>
        <w:ind w:firstLine="720"/>
      </w:pPr>
      <w:r>
        <w:t xml:space="preserve">Third, measurement error in the firm match between obligation records and private financing rounds. USAspending.gov records obligations against the legal entity holding the contract, while BryceTech and Space Capital report rounds against the operating brand or holding company</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The match is implemented with a hand-validated crosswalk that joins on Unique Entity Identifier, parent company, and operating brand, and the small set of ambiguous matches is flagged. Two sensitivity analyses bound the error: an upper bound in which all ambiguous matches are treated as the same firm, and a lower bound in which all are treated as distinct. The reported elasticity is the central estimate from the hand-validated crosswalk, and the two bounds are reported alongside it. Measurement error in the cadence variable is smaller because the FAA licensed-launch record uses the operator name directly; residual error from joint-operator missions is absorbed by the firm fixed effect.</w:t>
      </w:r>
    </w:p>
    <w:p>
      <w:pPr>
        <w:pStyle w:val="BodyText"/>
        <w:spacing w:line="480" w:lineRule="auto"/>
        <w:ind w:firstLine="720"/>
      </w:pPr>
      <w:r>
        <w:t xml:space="preserve">Fourth, regime specificity of the capacity channel. The prospectus’s hypothesis is that crowding out appears only when manifest and supplier capacity is binding, consistent with the corpus observation that orbital and manifest regimes have become crowded</w:t>
      </w:r>
      <w:r>
        <w:t xml:space="preserve"> </w:t>
      </w:r>
      <w:hyperlink w:anchor="ref-3">
        <w:r>
          <w:rPr>
            <w:rStyle w:val="Hyperlink"/>
          </w:rPr>
          <w:t xml:space="preserve">[3]</w:t>
        </w:r>
      </w:hyperlink>
      <w:r>
        <w:t xml:space="preserve">,</w:t>
      </w:r>
      <w:r>
        <w:t xml:space="preserve"> </w:t>
      </w:r>
      <w:hyperlink w:anchor="ref-27">
        <w:r>
          <w:rPr>
            <w:rStyle w:val="Hyperlink"/>
          </w:rPr>
          <w:t xml:space="preserve">[27]</w:t>
        </w:r>
      </w:hyperlink>
      <w:r>
        <w:t xml:space="preserve">. A constant-elasticity specification that pooled across regimes would average a positive anchor effect under slack capacity with a negative absorption effect under binding capacity, returning a noisy null that resembles the first paper’s pooled finding. The capacity-utilization interaction described in Section 5.6 is the explicit test of this regime structure; if the interaction is significant and signed in the predicted direction, the headline elasticity is interpreted as a regime-weighted average rather than as a single structural parameter. The interpretation is therefore qualified rather than weakened by a significant interaction: the dissertation’s contribution becomes a regime-dependent rather than a regime-independent sign, and the policy reading adjusts accordingly.</w:t>
      </w:r>
    </w:p>
    <w:p>
      <w:pPr>
        <w:pStyle w:val="BodyText"/>
        <w:spacing w:line="480" w:lineRule="auto"/>
        <w:ind w:firstLine="720"/>
      </w:pPr>
      <w:r>
        <w:t xml:space="preserve">A fifth threat, raised here for completeness rather than as a separate section, concerns generalization. The estimand is the local average effect of an exogenous dollar of NASA obligation on next-year private investment for the population of U.S. commercial launch and infrastructure firms in the 2009 through 2024 window. The estimate does not extend to non-launch segments of the space economy, to non-U.S. operators, or to authorization cycles outside the window, and no such extension is claimed. The within-firm, within-year identification carries strong internal validity at the cost of restricting external validity to the window and population that generated the variation, and that restriction is reported as a feature rather than as a limitation of the design.</w:t>
      </w:r>
    </w:p>
    <w:bookmarkEnd w:id="110"/>
    <w:bookmarkStart w:id="111" w:name="summary-of-the-identification-logic"/>
    <w:p>
      <w:pPr>
        <w:pStyle w:val="Heading2"/>
        <w:spacing w:line="480" w:lineRule="auto"/>
      </w:pPr>
      <w:r>
        <w:t xml:space="preserve">5.8 Summary of the Identification Logic</w:t>
      </w:r>
    </w:p>
    <w:p>
      <w:pPr>
        <w:pStyle w:val="FirstParagraph"/>
        <w:spacing w:line="480" w:lineRule="auto"/>
      </w:pPr>
      <w:r>
        <w:t xml:space="preserve">The chapter’s identification logic can be stated in three lines. The baseline two-way fixed-effects estimator removes the persistent firm differences and the common-year shocks that confounded the pooled time-series regression of the first paper. The mediation decomposition separates the demand-anchor channel from the capacity-absorption channel that the second paper’s pooled Wright’s-law regression could not isolate. The shift-share instrument removes the residual endogeneity of contemporaneous obligations to contemporaneous financing prospects, exploiting the fact that program budgets are set in a prior cycle on policy grounds that are plausibly orthogonal to the contemporaneous private capital market</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25">
        <w:r>
          <w:rPr>
            <w:rStyle w:val="Hyperlink"/>
          </w:rPr>
          <w:t xml:space="preserve">[25]</w:t>
        </w:r>
      </w:hyperlink>
      <w:r>
        <w:t xml:space="preserve">. The signs of beta_direct and of phi delta_med, estimated jointly under the instrument and bounded by the four sensitivities of Section 5.7, are the empirical content of the contribution. Chapter 6 will report the estimates, the first-stage diagnostics, the over-identification test, the distributed-lag impulse response, the extensive-margin sub-sample, and the capacity-regime interaction, and will read the resulting decomposition against the crowd-in and crowd-out hypotheses set out in the prospectus.</w:t>
      </w:r>
    </w:p>
    <w:bookmarkEnd w:id="111"/>
    <w:bookmarkEnd w:id="112"/>
    <w:bookmarkStart w:id="126" w:name="chapter-6.-results"/>
    <w:p>
      <w:pPr>
        <w:pStyle w:val="Heading1"/>
        <w:spacing w:line="480" w:lineRule="auto"/>
      </w:pPr>
      <w:r>
        <w:t xml:space="preserve">Chapter 6. Results</w:t>
      </w:r>
    </w:p>
    <w:p>
      <w:pPr>
        <w:pStyle w:val="FirstParagraph"/>
        <w:spacing w:line="480" w:lineRule="auto"/>
      </w:pPr>
      <w:r>
        <w:t xml:space="preserve">This chapter reports the estimates produced by the two empirical papers that operationalise the dissertation’s central question. Paper 1 tests whether the lagged level of NASA’s enacted appropriation is associated with the annual flow of private capital into commercial space ventures, conditional on the breadth of the deal market and the post-2015 structural break. Paper 2 tests whether cumulative launch experience lowers the unit cost of access to orbit, the engineering precondition on which any crowd-in story ultimately rests. Together the two estimates speak to the dissertation’s directional hypothesis from opposite ends of the causal chain: Paper 1 from the financing-flow end, Paper 2 from the cost-of-production end. The supporting estimator output, descriptive tables, formulas, and figures appear in Appendix A and are not reproduced here. The numbers reported below come directly from the run of the registered estimators on the deposited data and are stated exactly as the output returned them.</w:t>
      </w:r>
    </w:p>
    <w:bookmarkStart w:id="118" w:name="X6770b31483ca499ca18ee8f14bbf49cb1421052"/>
    <w:p>
      <w:pPr>
        <w:pStyle w:val="Heading2"/>
        <w:spacing w:line="480" w:lineRule="auto"/>
      </w:pPr>
      <w:r>
        <w:t xml:space="preserve">6.1 Paper 1: Lagged NASA Appropriation and Annual Private Investment</w:t>
      </w:r>
    </w:p>
    <w:p>
      <w:pPr>
        <w:pStyle w:val="FirstParagraph"/>
        <w:spacing w:line="480" w:lineRule="auto"/>
      </w:pPr>
      <w:r>
        <w:t xml:space="preserve">The first paper estimates an ordinary-least-squares regression of annual private investment into commercial space ventures on three regressors: the one-year lag of NASA’s enacted appropriation in billions of then-year dollars, the annual count of disclosed investment deals, and a post-2015 indicator capturing the structural acceleration of the commercial era. The estimator is run with heteroskedasticity-robust HC1 standard errors over the annual series for 2009 through 2024, sixteen observations in total.</w:t>
      </w:r>
    </w:p>
    <w:bookmarkStart w:id="113" w:name="overall-fit"/>
    <w:p>
      <w:pPr>
        <w:pStyle w:val="Heading3"/>
        <w:spacing w:line="480" w:lineRule="auto"/>
      </w:pPr>
      <w:r>
        <w:t xml:space="preserve">6.1.1 Overall fit</w:t>
      </w:r>
    </w:p>
    <w:p>
      <w:pPr>
        <w:pStyle w:val="FirstParagraph"/>
        <w:spacing w:line="480" w:lineRule="auto"/>
      </w:pPr>
      <w:r>
        <w:t xml:space="preserve">The model fits the sixteen-year series tightly. The reported coefficient of determination is 0.9345 and the adjusted coefficient of determination is 0.9181, indicating that the three regressors together account for more than nine-tenths of the cross-year variation in private investment, with the adjustment for degrees of freedom leaving the substantive interpretation unchanged. The joint F-statistic is 39.40 with a p-value of 1.72 by ten to the minus six, so the hypothesis that all three slopes are simultaneously zero is decisively rejected. The fit and the joint test establish that the specification is not under-determined: the regressors are doing real work, and any null result on an individual coefficient cannot be attributed to a degenerate model.</w:t>
      </w:r>
    </w:p>
    <w:p>
      <w:pPr>
        <w:pStyle w:val="BodyText"/>
        <w:spacing w:line="480" w:lineRule="auto"/>
        <w:ind w:firstLine="720"/>
      </w:pPr>
      <w:r>
        <w:t xml:space="preserve">This is a non-trivial caveat for what follows. When the headline regressor of interest is statistically silent inside a model that itself explains the bulk of the variation in the outcome, the reasonable inference is not that the outcome is unexplained but that the explanation lives elsewhere in the regressor set. The fit therefore frames the null on the lagged budget term as a specific, informative null rather than a generic absence of signal.</w:t>
      </w:r>
    </w:p>
    <w:bookmarkEnd w:id="113"/>
    <w:bookmarkStart w:id="114" w:name="the-lagged-nasa-budget-coefficient"/>
    <w:p>
      <w:pPr>
        <w:pStyle w:val="Heading3"/>
        <w:spacing w:line="480" w:lineRule="auto"/>
      </w:pPr>
      <w:r>
        <w:t xml:space="preserve">6.1.2 The lagged NASA budget coefficient</w:t>
      </w:r>
    </w:p>
    <w:p>
      <w:pPr>
        <w:pStyle w:val="FirstParagraph"/>
        <w:spacing w:line="480" w:lineRule="auto"/>
      </w:pPr>
      <w:r>
        <w:t xml:space="preserve">The coefficient on the one-year lag of NASA’s enacted appropriation is -0.6156 with a robust standard error of 0.5491. The corresponding p-value is 0.2622. The implicit t-statistic is approximately -1.12, well inside the band that conventional significance thresholds treat as indistinguishable from zero. The point estimate is negative, which on its face is the direction predicted by the crowd-out hypothesis: each additional billion dollars of prior-year NASA appropriation is associated with roughly 616 million dollars less private investment in the following year, all else equal. But the standard error is nearly nine-tenths the magnitude of the point estimate, and the p-value places the coefficient comfortably in a region where the null of no effect cannot be rejected.</w:t>
      </w:r>
    </w:p>
    <w:p>
      <w:pPr>
        <w:pStyle w:val="BodyText"/>
        <w:spacing w:line="480" w:lineRule="auto"/>
        <w:ind w:firstLine="720"/>
      </w:pPr>
      <w:r>
        <w:t xml:space="preserve">The implied confidence interval at conventional levels straddles zero by a wide margin. Read against the prospectus’s pre-registered hypotheses, the estimate refutes Hypothesis 1, which required a strictly positive and significant elasticity to corroborate the anchor-tenant story</w:t>
      </w:r>
      <w:r>
        <w:t xml:space="preserve"> </w:t>
      </w:r>
      <w:hyperlink w:anchor="ref-1">
        <w:r>
          <w:rPr>
            <w:rStyle w:val="Hyperlink"/>
          </w:rPr>
          <w:t xml:space="preserve">[1]</w:t>
        </w:r>
      </w:hyperlink>
      <w:r>
        <w:t xml:space="preserve">. It also fails to confirm Hypothesis 2, the crowd-out hypothesis, because while the sign is correct the standard error denies any statistically defensible inference of displacement. The data are consistent with a small negative effect, with no effect at all, or with a modest positive effect, in roughly equal measure. The honest reading is that the headline-appropriation level, measured in this lagged, aggregate, dollar-denominated form, is not informative about the direction of the marginal financing response within the sample window.</w:t>
      </w:r>
    </w:p>
    <w:p>
      <w:pPr>
        <w:pStyle w:val="BodyText"/>
        <w:spacing w:line="480" w:lineRule="auto"/>
        <w:ind w:firstLine="720"/>
      </w:pPr>
      <w:r>
        <w:t xml:space="preserve">That null is itself the finding. The silence carries content. It supplies the directional sign that the prospectus committed to deliver, and that sign reads</w:t>
      </w:r>
      <w:r>
        <w:t xml:space="preserve"> </w:t>
      </w:r>
      <w:r>
        <w:t xml:space="preserve">“not separable from zero at the headline-budget margin.”</w:t>
      </w:r>
      <w:r>
        <w:t xml:space="preserve"> </w:t>
      </w:r>
      <w:r>
        <w:t xml:space="preserve">The negative point estimate is worth preserving for sensitivity analysis and for any future specification that disaggregates the appropriation into commercial-relevant and non-commercial lines, but it cannot bear a crowd-out interpretation on its own.</w:t>
      </w:r>
    </w:p>
    <w:bookmarkEnd w:id="114"/>
    <w:bookmarkStart w:id="115" w:name="the-deal-count-coefficient"/>
    <w:p>
      <w:pPr>
        <w:pStyle w:val="Heading3"/>
        <w:spacing w:line="480" w:lineRule="auto"/>
      </w:pPr>
      <w:r>
        <w:t xml:space="preserve">6.1.3 The deal-count coefficient</w:t>
      </w:r>
    </w:p>
    <w:p>
      <w:pPr>
        <w:pStyle w:val="FirstParagraph"/>
        <w:spacing w:line="480" w:lineRule="auto"/>
      </w:pPr>
      <w:r>
        <w:t xml:space="preserve">The control that does almost all of the explanatory work is the annual count of disclosed deals. Its coefficient is 0.0759 with a robust standard error of 0.0190 and a p-value of 0.0001. The implicit t-statistic is approximately 3.99, which clears any conventional significance threshold and meets the more demanding thresholds occasionally invoked in finance applications. The estimate states that each additional disclosed deal in a given year is associated with roughly 75.9 million dollars of additional annual investment in that year. Over the observed range of the deal count, which moves from a handful in the early years of the panel to several hundred at its peak, this single coefficient is sufficient to track the great majority of the observed swings in headline private investment.</w:t>
      </w:r>
    </w:p>
    <w:p>
      <w:pPr>
        <w:pStyle w:val="BodyText"/>
        <w:spacing w:line="480" w:lineRule="auto"/>
        <w:ind w:firstLine="720"/>
      </w:pPr>
      <w:r>
        <w:t xml:space="preserve">The substantive interpretation matters for the dissertation’s argument. The deal count is a measure of market breadth, the number of distinguishable funding events that the data sources observed and recorded. A coefficient this large and this precisely estimated implies that the year-to-year movement in aggregate private investment is dominated by the extensive margin, the number of fundable opportunities that materialise and close, rather than by the intensive margin of average check size. That conclusion aligns with the BryceTech descriptive series, which has emphasised the broadening of the investable universe during the commercial-era window</w:t>
      </w:r>
      <w:r>
        <w:t xml:space="preserve"> </w:t>
      </w:r>
      <w:hyperlink w:anchor="ref-7">
        <w:r>
          <w:rPr>
            <w:rStyle w:val="Hyperlink"/>
          </w:rPr>
          <w:t xml:space="preserve">[7]</w:t>
        </w:r>
      </w:hyperlink>
      <w:r>
        <w:t xml:space="preserve">. It is also consistent with the OCEA forecasting work, which models venture capital flow as conditional on the breadth and visibility of investable propositions in the sector</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p>
    <w:p>
      <w:pPr>
        <w:pStyle w:val="BodyText"/>
        <w:spacing w:line="480" w:lineRule="auto"/>
        <w:ind w:firstLine="720"/>
      </w:pPr>
      <w:r>
        <w:t xml:space="preserve">The implication for the crowd-in versus crowd-out question is that the channel through which public cadence would have to operate, if it operates at all in this window, runs through the formation of new commercial opportunities rather than through the dollar-weighted size of the agency’s appropriation. The headline-budget specification was designed to test the simplest possible causal hypothesis: that more public money pulls in more private money. The estimate produced here refuses to support that simple hypothesis but does not foreclose a richer one in which public commitments stimulate the creation of fundable firms whose subsequent deal flow the deal-count regressor is then picking up. That richer mechanism is not identified here and would require the disaggregated, program-line specification that the prospectus identified as a further-work item.</w:t>
      </w:r>
    </w:p>
    <w:bookmarkEnd w:id="115"/>
    <w:bookmarkStart w:id="116" w:name="X90d278328e260c9cbb775026a7b6789daf60ffe"/>
    <w:p>
      <w:pPr>
        <w:pStyle w:val="Heading3"/>
        <w:spacing w:line="480" w:lineRule="auto"/>
      </w:pPr>
      <w:r>
        <w:t xml:space="preserve">6.1.4 The post-2015 indicator and the intercept</w:t>
      </w:r>
    </w:p>
    <w:p>
      <w:pPr>
        <w:pStyle w:val="FirstParagraph"/>
        <w:spacing w:line="480" w:lineRule="auto"/>
      </w:pPr>
      <w:r>
        <w:t xml:space="preserve">The post-2015 indicator carries a coefficient of -0.4402 with a robust standard error of 0.5863 and a p-value of 0.4528. The implicit t-statistic is approximately -0.75. The variable was included to absorb the widely-observed structural acceleration of the commercial era from roughly 2015 onward, the window in which BryceTech, Space Capital, and OECD all record a step change in the volume and character of private financing</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The estimate’s failure to register at conventional significance is informative: once the deal-count regressor is in the model, the residual time-shift attributable to the post-2015 era is small and statistically silent. The structural acceleration that the indicator was meant to capture already sits encoded in the deal-count series, which itself rises sharply in the same window. This is not a sign that the post-2015 era did not occur but a sign that the deal count is the better-measured proxy for it.</w:t>
      </w:r>
    </w:p>
    <w:p>
      <w:pPr>
        <w:pStyle w:val="BodyText"/>
        <w:spacing w:line="480" w:lineRule="auto"/>
        <w:ind w:firstLine="720"/>
      </w:pPr>
      <w:r>
        <w:t xml:space="preserve">The intercept is 9.2694 with a standard error of 9.1209 and a p-value of 0.3095. It carries no behavioural interpretation; it simply locates the regression line and is statistically indistinguishable from zero. Its imprecision is consistent with the small sample and the wide dispersion of the dependent variable in the record years toward the end of the panel.</w:t>
      </w:r>
    </w:p>
    <w:bookmarkEnd w:id="116"/>
    <w:bookmarkStart w:id="117" w:name="Xe7343db74112f863ef11b87bce5df9d16c7f36a"/>
    <w:p>
      <w:pPr>
        <w:pStyle w:val="Heading3"/>
        <w:spacing w:line="480" w:lineRule="auto"/>
      </w:pPr>
      <w:r>
        <w:t xml:space="preserve">6.1.5 Interpretation of Paper 1 against the prospectus</w:t>
      </w:r>
    </w:p>
    <w:p>
      <w:pPr>
        <w:pStyle w:val="FirstParagraph"/>
        <w:spacing w:line="480" w:lineRule="auto"/>
      </w:pPr>
      <w:r>
        <w:t xml:space="preserve">The Paper 1 estimate delivers a clean null on the headline crowding question and a precise positive result on market breadth. Against the prospectus’s two-sided hypothesis structure, the directional sign of the lagged-budget coefficient is negative but unidentified, and the data therefore reject neither Hypothesis 1 nor Hypothesis 2 in their strict pre-registered forms. The finding is consistent with the Weinzierl reading of the NASA public-private partnership as a deliberate institutional lever whose effects propagate through the formation of commercial firms rather than through the size of the agency budget alone</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It is also consistent with the OECD and Space Capital observation that venture capital responds to the breadth and visibility of fundable opportunities rather than to the headline level of public spending</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r>
        <w:t xml:space="preserve"> </w:t>
      </w:r>
      <w:hyperlink w:anchor="ref-12">
        <w:r>
          <w:rPr>
            <w:rStyle w:val="Hyperlink"/>
          </w:rPr>
          <w:t xml:space="preserve">[12]</w:t>
        </w:r>
      </w:hyperlink>
      <w:r>
        <w:t xml:space="preserve">. The estimate does not corroborate the strict anchor-tenant story in which marginal NASA dollars translate mechanically into marginal private dollars, and it does not corroborate the strict crowd-out story in which the same marginal dollars displace private financing.</w:t>
      </w:r>
    </w:p>
    <w:p>
      <w:pPr>
        <w:pStyle w:val="BodyText"/>
        <w:spacing w:line="480" w:lineRule="auto"/>
        <w:ind w:firstLine="720"/>
      </w:pPr>
      <w:r>
        <w:t xml:space="preserve">Three caveats that the paper itself records bear on the strength of this interpretation. First, sixteen annual observations supply limited statistical power, so a true effect of modest size could go undetected here; the standard error is large enough to admit an underlying elasticity of plausible magnitude in either direction. Second, the record year of 2021, in which private investment reached historic highs, exerts leverage on the slope estimate, and while HC1 robust standard errors partially address the resulting heteroskedasticity they do not address leverage itself. Third, the headline appropriation aggregates program lines with very different commercial relevance, and a disaggregated measure isolating commercial-crew, commercial-cargo, and procurement lines would test the anchor-tenant channel more directly than the total appropriation can. These caveats define the further-work agenda for the dissertation but do not change the chapter’s stated finding: the headline-budget margin carries no statistically defensible directional signal in this window, and the year-to-year movement in private investment is dominated by the breadth of the deal market.</w:t>
      </w:r>
    </w:p>
    <w:bookmarkEnd w:id="117"/>
    <w:bookmarkEnd w:id="118"/>
    <w:bookmarkStart w:id="124" w:name="Xf62defa681c15119a40d0b8c9e9aa21b697e808"/>
    <w:p>
      <w:pPr>
        <w:pStyle w:val="Heading2"/>
        <w:spacing w:line="480" w:lineRule="auto"/>
      </w:pPr>
      <w:r>
        <w:t xml:space="preserve">6.2 Paper 2: Cumulative Cadence and Specific Launch Cost</w:t>
      </w:r>
    </w:p>
    <w:p>
      <w:pPr>
        <w:pStyle w:val="FirstParagraph"/>
        <w:spacing w:line="480" w:lineRule="auto"/>
      </w:pPr>
      <w:r>
        <w:t xml:space="preserve">The second paper estimates a log-log ordinary-least-squares regression of specific launch cost on cumulative launch experience, the canonical Wright’s-law specification for a learning curve. The dependent variable is the natural log of specific cost in constant dollars per kilogram to low Earth orbit; the regressor of interest is the natural log of cumulative flights to the year of observation. The estimator is run with HC1 robust standard errors over thirty vehicle-program-year observations covering 1973 to 2023 and spanning U.S. commercial and government vehicles together with international comparators. The output reports the elasticity of unit cost with respect to cumulative experience, the progress ratio implied by that elasticity, and the model’s coefficient of determination.</w:t>
      </w:r>
    </w:p>
    <w:bookmarkStart w:id="119" w:name="overall-fit-1"/>
    <w:p>
      <w:pPr>
        <w:pStyle w:val="Heading3"/>
        <w:spacing w:line="480" w:lineRule="auto"/>
      </w:pPr>
      <w:r>
        <w:t xml:space="preserve">6.2.1 Overall fit</w:t>
      </w:r>
    </w:p>
    <w:p>
      <w:pPr>
        <w:pStyle w:val="FirstParagraph"/>
        <w:spacing w:line="480" w:lineRule="auto"/>
      </w:pPr>
      <w:r>
        <w:t xml:space="preserve">The model explains a small fraction of the variation in log specific cost. The fit is thin, and that thinness is informative. The coefficient of determination is 0.0300, meaning that cumulative cadence alone accounts for roughly three percent of the cross-vehicle, cross-era dispersion in unit cost. The fit is on its face poor by the standards of cost-engineering models, and it is decisive evidence that the pooled cross-family specification is not a complete cost model. The number is not, however, a sign of estimator failure; it is a sign that the heterogeneity between vehicle families dominates the within-family learning signal when programs of incommensurable lift class, era, and architecture are forced into a single pooled slope.</w:t>
      </w:r>
    </w:p>
    <w:p>
      <w:pPr>
        <w:pStyle w:val="BodyText"/>
        <w:spacing w:line="480" w:lineRule="auto"/>
        <w:ind w:firstLine="720"/>
      </w:pPr>
      <w:r>
        <w:t xml:space="preserve">This is the central methodological point of the paper, and it conditions every other inference reported below. The estimator returned the number it should return given the design: a small R-squared, a wide confidence interval on the slope, and a sign on the slope that is consistent with the engineering hypothesis but not statistically separable from zero.</w:t>
      </w:r>
    </w:p>
    <w:bookmarkEnd w:id="119"/>
    <w:bookmarkStart w:id="120" w:name="the-learning-elasticity-coefficient"/>
    <w:p>
      <w:pPr>
        <w:pStyle w:val="Heading3"/>
        <w:spacing w:line="480" w:lineRule="auto"/>
      </w:pPr>
      <w:r>
        <w:t xml:space="preserve">6.2.2 The learning-elasticity coefficient</w:t>
      </w:r>
    </w:p>
    <w:p>
      <w:pPr>
        <w:pStyle w:val="FirstParagraph"/>
        <w:spacing w:line="480" w:lineRule="auto"/>
      </w:pPr>
      <w:r>
        <w:t xml:space="preserve">The coefficient on log cumulative launches is -0.1197 with a robust standard error of 0.1506 and a p-value of 0.4265. The implicit t-statistic is approximately -0.80. The point estimate is the learning elasticity in the Wright’s-law sense: a one-percent increase in cumulative flights is associated with a 0.12 percent reduction in specific cost. The sign is the sign predicted by the learning-curve hypothesis: cadence and cost move in opposite directions, more flights are associated with lower cost per kilogram. The magnitude is in the range that the aerospace cost-engineering literature has historically reported for complex hardware learning, where elasticities of roughly negative ten to negative thirty percent are typical for stable production programs.</w:t>
      </w:r>
    </w:p>
    <w:p>
      <w:pPr>
        <w:pStyle w:val="BodyText"/>
        <w:spacing w:line="480" w:lineRule="auto"/>
        <w:ind w:firstLine="720"/>
      </w:pPr>
      <w:r>
        <w:t xml:space="preserve">The standard error, however, is larger than the point estimate, and the p-value places the coefficient well inside the region where the null of zero elasticity cannot be rejected. The ninety-five percent confidence interval implied by the reported standard error runs roughly from -0.415 to 0.175, straddling zero by a comfortable margin in both directions. Read against the paper’s pre-registered hypothesis, which required a strictly negative and statistically significant elasticity to corroborate Wright’s law, the data refute the strict form of the hypothesis. They are equally consistent with a learning rate of zero, with the eight-percent learning rate that the point estimate implies, and with a small adverse cadence effect of the sort that would arise if cost growth in one program coincides with cadence growth in another in the pooled sample.</w:t>
      </w:r>
    </w:p>
    <w:p>
      <w:pPr>
        <w:pStyle w:val="BodyText"/>
        <w:spacing w:line="480" w:lineRule="auto"/>
        <w:ind w:firstLine="720"/>
      </w:pPr>
      <w:r>
        <w:t xml:space="preserve">The honest reading is that the sign points the right way but the estimate is too imprecise to bear policy weight on its own. The directional finding is consistent with the space-economy literature’s expectation that increases in launch volume continue to enable cost reduction through production and operations economies of scale</w:t>
      </w:r>
      <w:r>
        <w:t xml:space="preserve"> </w:t>
      </w:r>
      <w:hyperlink w:anchor="ref-2">
        <w:r>
          <w:rPr>
            <w:rStyle w:val="Hyperlink"/>
          </w:rPr>
          <w:t xml:space="preserve">[2]</w:t>
        </w:r>
      </w:hyperlink>
      <w:r>
        <w:t xml:space="preserve">. It is also consistent with the broader account of the NASA public-private partnership as the institutional vehicle through which production scale was built up</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w:t>
      </w:r>
      <w:r>
        <w:t xml:space="preserve"> </w:t>
      </w:r>
      <w:hyperlink w:anchor="ref-25">
        <w:r>
          <w:rPr>
            <w:rStyle w:val="Hyperlink"/>
          </w:rPr>
          <w:t xml:space="preserve">[25]</w:t>
        </w:r>
      </w:hyperlink>
      <w:r>
        <w:t xml:space="preserve">. But the point estimate cannot be reported as a corroboration of Wright’s law in the strict, statistically-defensible sense, and it cannot be reported as a refutation either.</w:t>
      </w:r>
    </w:p>
    <w:bookmarkEnd w:id="120"/>
    <w:bookmarkStart w:id="121" w:name="the-intercept"/>
    <w:p>
      <w:pPr>
        <w:pStyle w:val="Heading3"/>
        <w:spacing w:line="480" w:lineRule="auto"/>
      </w:pPr>
      <w:r>
        <w:t xml:space="preserve">6.2.3 The intercept</w:t>
      </w:r>
    </w:p>
    <w:p>
      <w:pPr>
        <w:pStyle w:val="FirstParagraph"/>
        <w:spacing w:line="480" w:lineRule="auto"/>
      </w:pPr>
      <w:r>
        <w:t xml:space="preserve">The intercept is 9.6602 with a standard error of 0.5183 and a p-value reported as 0.0000 to four decimal places. This is a tightly estimated nuisance parameter. It locates the cost level at one cumulative flight on the log scale and has no behavioural interpretation in the present specification; the substantive content of the regression is carried entirely by the slope on log cumulative launches. The precision of the intercept relative to the imprecision of the slope is the expected pattern in a small-sample log-log regression where the average level of the dependent variable is well measured but the slope is identified off limited within-sample variation in the regressor.</w:t>
      </w:r>
    </w:p>
    <w:bookmarkEnd w:id="121"/>
    <w:bookmarkStart w:id="122" w:name="the-implied-progress-ratio"/>
    <w:p>
      <w:pPr>
        <w:pStyle w:val="Heading3"/>
        <w:spacing w:line="480" w:lineRule="auto"/>
      </w:pPr>
      <w:r>
        <w:t xml:space="preserve">6.2.4 The implied progress ratio</w:t>
      </w:r>
    </w:p>
    <w:p>
      <w:pPr>
        <w:pStyle w:val="FirstParagraph"/>
        <w:spacing w:line="480" w:lineRule="auto"/>
      </w:pPr>
      <w:r>
        <w:t xml:space="preserve">The progress ratio implied by the point estimate is 0.9203, computed as two raised to the elasticity coefficient. The economic interpretation is that, taken at face value, the pooled estimate predicts unit cost falling to roughly ninety-two percent of its prior level at each doubling of cumulative experience, or equivalently a learning rate of about eight percent per doubling. A progress ratio in the low nineties is in the typical band reported for complex aerospace hardware in the cost-engineering literature, neither aggressively fast nor inconsistent with the observed history of the launch industry across the half-century of the sample.</w:t>
      </w:r>
    </w:p>
    <w:p>
      <w:pPr>
        <w:pStyle w:val="BodyText"/>
        <w:spacing w:line="480" w:lineRule="auto"/>
        <w:ind w:firstLine="720"/>
      </w:pPr>
      <w:r>
        <w:t xml:space="preserve">This progress ratio must be reported with the same caveat as the elasticity from which it is derived. The point estimate is not statistically distinguishable from a progress ratio of one, which would correspond to no learning at all, and the confidence interval on the underlying elasticity admits progress ratios on either side of unity. The number is a useful summary of the central tendency of the cross-family sample, and it has the right sign, but it cannot be advanced as a corroborated parameter of the launch sector’s learning behaviour in the strict statistical sense. It is more honestly read as the population-wide central tendency that the data permit, accompanied by an explicit acknowledgement that within-family learning slopes for the high-cadence vehicles are almost certainly steeper than this pooled figure.</w:t>
      </w:r>
    </w:p>
    <w:bookmarkEnd w:id="122"/>
    <w:bookmarkStart w:id="123" w:name="X81b6c2690975755b1e4e54def5ad5100394bf66"/>
    <w:p>
      <w:pPr>
        <w:pStyle w:val="Heading3"/>
        <w:spacing w:line="480" w:lineRule="auto"/>
      </w:pPr>
      <w:r>
        <w:t xml:space="preserve">6.2.5 Interpretation of Paper 2 against the prospectus</w:t>
      </w:r>
    </w:p>
    <w:p>
      <w:pPr>
        <w:pStyle w:val="FirstParagraph"/>
        <w:spacing w:line="480" w:lineRule="auto"/>
      </w:pPr>
      <w:r>
        <w:t xml:space="preserve">The Paper 2 estimate delivers a directionally-correct but statistically-null result on the cadence-buys-cost premise. The elasticity is negative, the progress ratio is below one, and both are in the range that the engineering and economic literature would lead a reader to expect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But the standard error is too wide and the R-squared too small for the estimate to carry policy weight as a stand-alone corroboration of Wright’s law in the launch sector. The mechanism does not appear at the pooled cross-family level once vehicles as different as the Pegasus small-lift air-launched booster and the Saturn V super-heavy are forced into a single slope.</w:t>
      </w:r>
    </w:p>
    <w:p>
      <w:pPr>
        <w:pStyle w:val="BodyText"/>
        <w:spacing w:line="480" w:lineRule="auto"/>
        <w:ind w:firstLine="720"/>
      </w:pPr>
      <w:r>
        <w:t xml:space="preserve">The estimator output is therefore best read as identifying where the learning signal does and does not live in the available data. It does not live in the pooled cross-family slope: between-family heterogeneity in lift class, era, and architecture dominates the within-family learning. The descriptive structure of the dataset, recorded in the paper but not reported here as estimates, indicates that within-family slopes for the high-cadence reusable Falcon 9 configurations are far steeper than the pooled elasticity, falling from roughly five thousand five hundred dollars per kilogram in early life toward the low two thousands as cumulative flights climb past a hundred. That within-family pattern is consistent with a steep learning curve operating inside specific vehicle programs and being washed out when the population is pooled.</w:t>
      </w:r>
    </w:p>
    <w:p>
      <w:pPr>
        <w:pStyle w:val="BodyText"/>
        <w:spacing w:line="480" w:lineRule="auto"/>
        <w:ind w:firstLine="720"/>
      </w:pPr>
      <w:r>
        <w:t xml:space="preserve">The substantive lesson for the dissertation’s broader argument is that the public case for NASA-anchored cadence as a cost-reduction lever should rest on within-program learning evidence, not on the pooled cross-vehicle correlation reported here. The pooled estimate refuses to refute the learning mechanism but also refuses to corroborate it. A credible learning estimate in this sector requires holding lift class, architecture, and reusability fixed, either by estimating within-family slopes for the high-cadence vehicles or by adding lift-class and reusability terms so that the cadence coefficient is read off comparable observations. That specification is a natural extension of the present work but is outside the scope of the registered Paper 2 estimator.</w:t>
      </w:r>
    </w:p>
    <w:bookmarkEnd w:id="123"/>
    <w:bookmarkEnd w:id="124"/>
    <w:bookmarkStart w:id="125" w:name="reading-the-two-findings-together"/>
    <w:p>
      <w:pPr>
        <w:pStyle w:val="Heading2"/>
        <w:spacing w:line="480" w:lineRule="auto"/>
      </w:pPr>
      <w:r>
        <w:t xml:space="preserve">6.3 Reading the Two Findings Together</w:t>
      </w:r>
    </w:p>
    <w:p>
      <w:pPr>
        <w:pStyle w:val="FirstParagraph"/>
        <w:spacing w:line="480" w:lineRule="auto"/>
      </w:pPr>
      <w:r>
        <w:t xml:space="preserve">Read together, the two estimators speak to the dissertation’s central question from opposite ends of the causal chain that the prospectus laid out. Paper 1 tests the financing end: whether the headline NASA appropriation, lagged one year, moves private investment. The estimate is a clean null at the headline-budget margin, with the explanatory work done by the deal-count proxy for market breadth. Paper 2 tests the production end: whether cumulative cadence lowers the unit cost of access to orbit. The estimate is a directionally-correct null at the pooled cross-family margin, with the genuine learning signal apparently living inside vehicle programs rather than across them.</w:t>
      </w:r>
    </w:p>
    <w:p>
      <w:pPr>
        <w:pStyle w:val="BodyText"/>
        <w:spacing w:line="480" w:lineRule="auto"/>
        <w:ind w:firstLine="720"/>
      </w:pPr>
      <w:r>
        <w:t xml:space="preserve">Neither estimator refutes the dissertation’s directional hypothesis in its richer form, and neither corroborates it in its strict, registered form. The combined inference is that the simple two-step story, in which public dollars buy cadence and cadence buys cost and cost falls draw in private financing, is not identifiable at the level of aggregation chosen by the two papers. It may yet be identifiable at the disaggregated, firm-by-program level that the prospectus’s instrumental-variables design contemplates</w:t>
      </w:r>
      <w:r>
        <w:t xml:space="preserve"> </w:t>
      </w:r>
      <w:hyperlink w:anchor="ref-1">
        <w:r>
          <w:rPr>
            <w:rStyle w:val="Hyperlink"/>
          </w:rPr>
          <w:t xml:space="preserve">[1]</w:t>
        </w:r>
      </w:hyperlink>
      <w:r>
        <w:t xml:space="preserve">,</w:t>
      </w:r>
      <w:r>
        <w:t xml:space="preserve"> </w:t>
      </w:r>
      <w:hyperlink w:anchor="ref-25">
        <w:r>
          <w:rPr>
            <w:rStyle w:val="Hyperlink"/>
          </w:rPr>
          <w:t xml:space="preserve">[25]</w:t>
        </w:r>
      </w:hyperlink>
      <w:r>
        <w:t xml:space="preserve">. The empirical content of this chapter is the boundary that the two pooled estimates draw around what the available headline data can and cannot say. Inside that boundary, the directional signs are consistent with the literature’s expectations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25">
        <w:r>
          <w:rPr>
            <w:rStyle w:val="Hyperlink"/>
          </w:rPr>
          <w:t xml:space="preserve">[25]</w:t>
        </w:r>
      </w:hyperlink>
      <w:r>
        <w:t xml:space="preserve">. Outside it, neither pooled regression carries enough precision to support a directional policy claim.</w:t>
      </w:r>
    </w:p>
    <w:p>
      <w:pPr>
        <w:pStyle w:val="BodyText"/>
        <w:spacing w:line="480" w:lineRule="auto"/>
        <w:ind w:firstLine="720"/>
      </w:pPr>
      <w:r>
        <w:t xml:space="preserve">The chapter’s contribution to the broader dissertation is therefore twofold. First, it documents that the headline-budget and pooled-cadence specifications, although they are the natural first cuts at the question, do not deliver the directionally-identified sign that the prospectus committed to produce. Second, it identifies, by exclusion, where the next cut must look: at the disaggregated program-line appropriation as a regressor and at the within-family or class-conditioned cadence slope as an outcome. The estimators reported here do not settle the crowd-in versus crowd-out question, but they do narrow it: they show that the answer is not visible at the headline-budget margin and is not visible at the pooled cross-family cadence margin, and they therefore concentrate the search for the answer on the firm-by-program and within-family margins that the further-work agenda will take up in Chapter 7.</w:t>
      </w:r>
    </w:p>
    <w:bookmarkEnd w:id="125"/>
    <w:bookmarkEnd w:id="126"/>
    <w:bookmarkStart w:id="133" w:name="X21322cb5e29cbf4eb576afddcad42f86ace4e0d"/>
    <w:p>
      <w:pPr>
        <w:pStyle w:val="Heading1"/>
        <w:spacing w:line="480" w:lineRule="auto"/>
      </w:pPr>
      <w:r>
        <w:t xml:space="preserve">Chapter 7. Discussion and Governance Implications</w:t>
      </w:r>
    </w:p>
    <w:bookmarkStart w:id="127" w:name="Xe8525dd3250db482ddc3dbb535ce9f43a4269ab"/>
    <w:p>
      <w:pPr>
        <w:pStyle w:val="Heading2"/>
        <w:spacing w:line="480" w:lineRule="auto"/>
      </w:pPr>
      <w:r>
        <w:t xml:space="preserve">7.1 Restating the Empirical Posture Before Drawing Implications</w:t>
      </w:r>
    </w:p>
    <w:p>
      <w:pPr>
        <w:pStyle w:val="FirstParagraph"/>
        <w:spacing w:line="480" w:lineRule="auto"/>
      </w:pPr>
      <w:r>
        <w:t xml:space="preserve">This dissertation set out to determine whether NASA program funding crowds in or crowds out private investment in the commercial launch sector, with launch cadence treated as the intermediating capacity channel. Two empirical papers were assembled to discipline that question. The first regressed annual private investment in start-up space ventures on the one-year lag of NASA’s enacted appropriation, conditioning on deal count and a post-2015 indicator</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It returned a coefficient of -0.616 on lagged budget with a robust standard error of 0.549, a null result at conventional levels, while the deal-count regressor entered strongly positive and significant. The second paper regressed log specific cost in dollars per kilogram on log cumulative launches across thirty vehicle-program-year observations, recovering a learning elasticity of -0.120 with a robust standard error of 0.151, again a null in the pooled cross-family sample, with an implied progress ratio of 0.92 that is consistent with learning in sign but imprecise in magnitude.</w:t>
      </w:r>
    </w:p>
    <w:p>
      <w:pPr>
        <w:pStyle w:val="BodyText"/>
        <w:spacing w:line="480" w:lineRule="auto"/>
        <w:ind w:firstLine="720"/>
      </w:pPr>
      <w:r>
        <w:t xml:space="preserve">Two nulls in succession do not yield a finding of no effect. They point somewhere more specific. They yield a finding that the headline instruments most accessible to a policy reader, total agency appropriation and pooled cumulative cadence, are too coarse to register the mechanisms that the qualitative literature attributes to the public-private partnership. The honest reading is that the directional sign of the cadence-investment relationship cannot be recovered from the highest-aggregation regressors, and that recovery requires the disaggregated program-line and within-family identification strategies that the prospectus anticipated</w:t>
      </w:r>
      <w:r>
        <w:t xml:space="preserve"> </w:t>
      </w:r>
      <w:hyperlink w:anchor="ref-11">
        <w:r>
          <w:rPr>
            <w:rStyle w:val="Hyperlink"/>
          </w:rPr>
          <w:t xml:space="preserve">[11]</w:t>
        </w:r>
      </w:hyperlink>
      <w:r>
        <w:t xml:space="preserve">. The implications for NASA program management and for the Jet Propulsion Laboratory follow from that more careful reading rather than from a triumphal claim in either direction.</w:t>
      </w:r>
    </w:p>
    <w:bookmarkEnd w:id="127"/>
    <w:bookmarkStart w:id="128"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The first managerial implication is that the headline appropriation is the wrong signal to invoke when justifying the public-private partnership to private capital. The first paper shows that once the deal count is held fixed, the prior-year agency budget carries no measurable association with private flows. Investors are not reading the top line of the agency budget as a buy signal in any econometrically detectable way. What they are reading is the breadth of the fundable opportunity set in front of them, captured here by the disclosed deal count, which absorbs almost all of the explanatory variance in the model. The policy corollary is that the agency’s communicative posture toward private capital should emphasize the cadence of awarded procurement vehicles, indefinite-delivery indefinite-quantity ceilings, milestone-based pay-for-performance contracts, and announced solicitation calendars, rather than the aggregate appropriation it secured from Congress. The transition documented by the European new-space synthesis, in which agencies move from cost-plus development toward catalytic procurement that seeds commercial supply, is the operational analogue of this point</w:t>
      </w:r>
      <w:r>
        <w:t xml:space="preserve"> </w:t>
      </w:r>
      <w:hyperlink w:anchor="ref-6">
        <w:r>
          <w:rPr>
            <w:rStyle w:val="Hyperlink"/>
          </w:rPr>
          <w:t xml:space="preserve">[6]</w:t>
        </w:r>
      </w:hyperlink>
      <w:r>
        <w:t xml:space="preserve">. The Japanese experience with new public-private partnership structures built around interactive collaboration in the space sector reinforces the same lesson at an institutional level: the legibility of the procurement architecture, not the size of the budget envelope, is what private participants respond to</w:t>
      </w:r>
      <w:r>
        <w:t xml:space="preserve"> </w:t>
      </w:r>
      <w:hyperlink w:anchor="ref-25">
        <w:r>
          <w:rPr>
            <w:rStyle w:val="Hyperlink"/>
          </w:rPr>
          <w:t xml:space="preserve">[25]</w:t>
        </w:r>
      </w:hyperlink>
      <w:r>
        <w:t xml:space="preserve">.</w:t>
      </w:r>
    </w:p>
    <w:p>
      <w:pPr>
        <w:pStyle w:val="BodyText"/>
        <w:spacing w:line="480" w:lineRule="auto"/>
        <w:ind w:firstLine="720"/>
      </w:pPr>
      <w:r>
        <w:t xml:space="preserve">The second managerial implication is that program managers should expect the cadence-buys-cost premise to hold within vehicle families but not across them. The second paper’s pooled slope explains three percent of the variation in log unit cost; the within-family pattern visible in the Falcon 9 sequence, where specific cost falls from roughly five thousand five hundred dollars per kilogram early in the program to the low two thousands as cumulative flights accumulate past one hundred, is far steeper than the pooled estimate. For program management, this means that the case for anchor-tenant cadence on any given line, commercial cargo, commercial crew, commercial low Earth orbit destinations, lunar terrain vehicles, must be built on the within-program learning evidence specific to that line, not on a generalized appeal to industry-wide cadence effects. A manager who tells appropriators that cadence reduces cost has a defensible story for Falcon 9 in isolation; the same manager cannot defensibly extend that story to a small-lift program that occupies a different lift class and architectural niche, because the cross-family pool returns a null. The synthesis on space-driven sustainability and development asserts the learning channel as a general regularity</w:t>
      </w:r>
      <w:r>
        <w:t xml:space="preserve"> </w:t>
      </w:r>
      <w:hyperlink w:anchor="ref-2">
        <w:r>
          <w:rPr>
            <w:rStyle w:val="Hyperlink"/>
          </w:rPr>
          <w:t xml:space="preserve">[2]</w:t>
        </w:r>
      </w:hyperlink>
      <w:r>
        <w:t xml:space="preserve">; the present finding qualifies that assertion to within-program estimation as the policy-relevant level of analysis.</w:t>
      </w:r>
    </w:p>
    <w:p>
      <w:pPr>
        <w:pStyle w:val="BodyText"/>
        <w:spacing w:line="480" w:lineRule="auto"/>
        <w:ind w:firstLine="720"/>
      </w:pPr>
      <w:r>
        <w:t xml:space="preserve">The third managerial implication concerns the choice of which programs to anchor at what depth. A null on the headline regressor cannot adjudicate whether more or less aggregate NASA spending is optimal, but it does adjudicate the composition question conditionally. If the agency’s purpose is to crowd in private capital, the program lines that deserve anchor-tenant treatment are the ones whose procurement vehicles will materially expand the deal count in the next funding cycle. Lines that fund a single sole-source incumbent at high dollar value but generate few additional awardable vehicles offer weak crowd-in leverage by the channel the first paper actually identifies. Lines that disburse a comparable dollar value across a portfolio of smaller fixed-price awards, broadening the awardable surface, leverage the same dollar more efficiently against the deal-count mechanism that the data show to matter. The norm-level reading of the public-private partnership, in which agencies deliberately convene and foster commercial capability through partnership</w:t>
      </w:r>
      <w:r>
        <w:t xml:space="preserve"> </w:t>
      </w:r>
      <w:hyperlink w:anchor="ref-3">
        <w:r>
          <w:rPr>
            <w:rStyle w:val="Hyperlink"/>
          </w:rPr>
          <w:t xml:space="preserve">[3]</w:t>
        </w:r>
      </w:hyperlink>
      <w:r>
        <w:t xml:space="preserve">, is consistent with portfolio breadth as a first-order design parameter rather than a residual.</w:t>
      </w:r>
    </w:p>
    <w:p>
      <w:pPr>
        <w:pStyle w:val="BodyText"/>
        <w:spacing w:line="480" w:lineRule="auto"/>
        <w:ind w:firstLine="720"/>
      </w:pPr>
      <w:r>
        <w:t xml:space="preserve">The fourth managerial implication concerns the volatility of the private channel and the agency’s role as a stabilizer. The descriptive literature documents that venture capital dominates private space financing and that the flow is fragile under technical, economic, and regulatory stress</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The empirical work here cannot speak directly to the stabilizing role of public cadence, because the test was a level-on-level association rather than a variance-decomposition exercise. The managerial implication is therefore conditional: if a future cycle of analysis confirms that agency cadence reduces the variance of private flows even when it does not raise their mean, the policy lever is the predictability of the procurement calendar, not the magnitude of the appropriation. Multi-year procurement authority, advance-notice solicitation schedules, and durable program lines that survive continuing-resolution disruption would all serve a stabilization objective that the present nulls neither confirm nor refute. The forecasting literature treats venture-capital responsiveness to technical and regulatory states as a known feature of the space economy</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the agency’s contribution to lowering that responsiveness is a hypothesis the next round of work should test.</w:t>
      </w:r>
    </w:p>
    <w:bookmarkEnd w:id="128"/>
    <w:bookmarkStart w:id="129"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The Jet Propulsion Laboratory occupies a particular position in the public-private partnership architecture. It is a federally funded research and development center whose work, historically concentrated on flagship science and planetary missions, intersects the commercial launch and infrastructure sector through the rides it procures, the instruments it places on commercial buses, the technology it transfers to commercial vendors, and the precision-radar, communications, and planetary-defense capabilities it has matured in partnership with industry</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r>
        <w:t xml:space="preserve"> </w:t>
      </w:r>
      <w:hyperlink w:anchor="ref-28">
        <w:r>
          <w:rPr>
            <w:rStyle w:val="Hyperlink"/>
          </w:rPr>
          <w:t xml:space="preserve">[28]</w:t>
        </w:r>
      </w:hyperlink>
      <w:r>
        <w:t xml:space="preserve">. The findings of this dissertation bear on JPL decision-making in three concrete ways.</w:t>
      </w:r>
    </w:p>
    <w:p>
      <w:pPr>
        <w:pStyle w:val="BodyText"/>
        <w:spacing w:line="480" w:lineRule="auto"/>
        <w:ind w:firstLine="720"/>
      </w:pPr>
      <w:r>
        <w:t xml:space="preserve">First, JPL’s decisions about how to procure launch services for science missions should be informed by the within-family learning structure that the second paper isolates. The pooled cross-family null implies that JPL cannot rely on a generic appeal to industry-wide cadence to justify any particular vehicle selection. The within-family pattern that the same data hint at implies that JPL gains the most from procuring on vehicles that are already deep into their learning curve and from staging follow-on missions onto the same vehicle family where feasible. The DART mission’s demonstrated planetary-defense success</w:t>
      </w:r>
      <w:r>
        <w:t xml:space="preserve"> </w:t>
      </w:r>
      <w:hyperlink w:anchor="ref-28">
        <w:r>
          <w:rPr>
            <w:rStyle w:val="Hyperlink"/>
          </w:rPr>
          <w:t xml:space="preserve">[28]</w:t>
        </w:r>
      </w:hyperlink>
      <w:r>
        <w:t xml:space="preserve"> </w:t>
      </w:r>
      <w:r>
        <w:t xml:space="preserve">illustrates the operational stakes of the procurement decision: a vehicle family selected at the right point in its cadence history is not merely cheaper, it is operationally more predictable. JPL’s mission-class strategy can read this as a guide to vehicle pairing rather than as a vehicle-agnostic budgetary exercise.</w:t>
      </w:r>
    </w:p>
    <w:p>
      <w:pPr>
        <w:pStyle w:val="BodyText"/>
        <w:spacing w:line="480" w:lineRule="auto"/>
        <w:ind w:firstLine="720"/>
      </w:pPr>
      <w:r>
        <w:t xml:space="preserve">Second, JPL’s decisions about technology partnerships with commercial firms should reflect the first paper’s finding that private investment responds to deal-count breadth. JPL’s history of partnered radar and communications development</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w:t>
      </w:r>
      <w:r>
        <w:t xml:space="preserve">generated commercially relevant capabilities through what amounted to structured deal-count expansions. The implication is that the laboratory’s technology-transfer and partnership offices are not auxiliary functions but are core to the agency-level crowd-in channel that the first paper identifies. A JPL that broadens the surface of partnered technology development, including cooperative research and development agreements, small business innovation research subcontracts, and partnered instrument development with commercial bus providers, is contributing to the deal-count regressor that the dissertation found to do the explanatory work. A JPL that concentrates its partnered activity on a small number of high-dollar arrangements does the opposite.</w:t>
      </w:r>
    </w:p>
    <w:p>
      <w:pPr>
        <w:pStyle w:val="BodyText"/>
        <w:spacing w:line="480" w:lineRule="auto"/>
        <w:ind w:firstLine="720"/>
      </w:pPr>
      <w:r>
        <w:t xml:space="preserve">Third, JPL’s strategic posture toward emerging mission domains, hyperspectral thermal imaging from CubeSats</w:t>
      </w:r>
      <w:r>
        <w:t xml:space="preserve"> </w:t>
      </w:r>
      <w:hyperlink w:anchor="ref-15">
        <w:r>
          <w:rPr>
            <w:rStyle w:val="Hyperlink"/>
          </w:rPr>
          <w:t xml:space="preserve">[15]</w:t>
        </w:r>
      </w:hyperlink>
      <w:r>
        <w:t xml:space="preserve">, distributed-aperture phased-array communications</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and autonomous on-orbit operations as exercised in the Starling mission</w:t>
      </w:r>
      <w:r>
        <w:t xml:space="preserve"> </w:t>
      </w:r>
      <w:hyperlink w:anchor="ref-17">
        <w:r>
          <w:rPr>
            <w:rStyle w:val="Hyperlink"/>
          </w:rPr>
          <w:t xml:space="preserve">[17]</w:t>
        </w:r>
      </w:hyperlink>
      <w:r>
        <w:t xml:space="preserve">, should be calibrated to the value architecture documented in the new-space economy literature. The end-user perspective on satellite data and solutions identifies the application surface as the locus of value capture in the new-space economy</w:t>
      </w:r>
      <w:r>
        <w:t xml:space="preserve"> </w:t>
      </w:r>
      <w:hyperlink w:anchor="ref-23">
        <w:r>
          <w:rPr>
            <w:rStyle w:val="Hyperlink"/>
          </w:rPr>
          <w:t xml:space="preserve">[23]</w:t>
        </w:r>
      </w:hyperlink>
      <w:r>
        <w:t xml:space="preserve">, and the product-service strategy literature identifies micro-foundations that distinguish doing things efficiently from doing the right things</w:t>
      </w:r>
      <w:r>
        <w:t xml:space="preserve"> </w:t>
      </w:r>
      <w:hyperlink w:anchor="ref-22">
        <w:r>
          <w:rPr>
            <w:rStyle w:val="Hyperlink"/>
          </w:rPr>
          <w:t xml:space="preserve">[22]</w:t>
        </w:r>
      </w:hyperlink>
      <w:r>
        <w:t xml:space="preserve">. For JPL, this means that internal portfolio decisions about which mission-enabling technologies to bring to flight readiness should be informed by the downstream application surface those technologies open. A capability with a narrow downstream application surface contributes weakly to the deal-count channel even when its development cost is high. A capability with a broad downstream application surface, whether in Earth observation, planetary defense, or low Earth orbit broadband</w:t>
      </w:r>
      <w:r>
        <w:t xml:space="preserve"> </w:t>
      </w:r>
      <w:hyperlink w:anchor="ref-18">
        <w:r>
          <w:rPr>
            <w:rStyle w:val="Hyperlink"/>
          </w:rPr>
          <w:t xml:space="preserve">[18]</w:t>
        </w:r>
      </w:hyperlink>
      <w:r>
        <w:t xml:space="preserve">, multiplies the partnership opportunities the laboratory and the agency can subsequently anchor.</w:t>
      </w:r>
    </w:p>
    <w:p>
      <w:pPr>
        <w:pStyle w:val="BodyText"/>
        <w:spacing w:line="480" w:lineRule="auto"/>
        <w:ind w:firstLine="720"/>
      </w:pPr>
      <w:r>
        <w:t xml:space="preserve">A fourth and more cautious implication concerns the laboratory’s exposure to the kind of competitive procurement decisions that have begun to characterize the agency’s institutional architecture. The cadence-investment results presented here do not adjudicate the question of laboratory recompete or the institutional form under which JPL operates. They do, however, suggest that the value JPL contributes to the public-private partnership cannot be summarized as a budget line. The laboratory’s value resides in the partnership architecture it sustains, the application surface it opens, and the cadence of technology demonstrations it places before commercial buyers. Decisions about institutional form should therefore be evaluated against their consequences for partnership cadence, not against their consequences for the headline laboratory budget alone.</w:t>
      </w:r>
    </w:p>
    <w:bookmarkEnd w:id="129"/>
    <w:bookmarkStart w:id="130" w:name="X27e7f53d413661116d6ec2028c6cb135da232fc"/>
    <w:p>
      <w:pPr>
        <w:pStyle w:val="Heading2"/>
        <w:spacing w:line="480" w:lineRule="auto"/>
      </w:pPr>
      <w:r>
        <w:t xml:space="preserve">7.4 Implications for the Broader Governance of Public Investment in Space</w:t>
      </w:r>
    </w:p>
    <w:p>
      <w:pPr>
        <w:pStyle w:val="FirstParagraph"/>
        <w:spacing w:line="480" w:lineRule="auto"/>
      </w:pPr>
      <w:r>
        <w:t xml:space="preserve">Beyond the agency and the laboratory, the findings bear on the governance question of how public investment in space should be defended in front of appropriators, oversight bodies, and the public. Three observations matter.</w:t>
      </w:r>
    </w:p>
    <w:p>
      <w:pPr>
        <w:pStyle w:val="BodyText"/>
        <w:spacing w:line="480" w:lineRule="auto"/>
        <w:ind w:firstLine="720"/>
      </w:pPr>
      <w:r>
        <w:t xml:space="preserve">First, the rhetoric of crowding in must be evaluated against the channel through which it actually operates. The first paper shows that the headline crowding-in claim, framed as a level association between agency budget and private investment, is not supported by the data once market breadth is controlled. The crowding-in story remains defensible, but only if it is restated as a deal-count story rather than as a budget-level story. Agency leadership making the case to appropriators should expect, and welcome, increasingly disaggregated questions about which lines generate which deal-count effects. Sovereign instruments influence the commercial space economy in part by investing in commercial firms</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 and the legibility of that channel is improved when the case is framed at the procurement level rather than at the appropriation level.</w:t>
      </w:r>
    </w:p>
    <w:p>
      <w:pPr>
        <w:pStyle w:val="BodyText"/>
        <w:spacing w:line="480" w:lineRule="auto"/>
        <w:ind w:firstLine="720"/>
      </w:pPr>
      <w:r>
        <w:t xml:space="preserve">Second, the rhetoric of cadence-buys-cost must be qualified. The pooled null in the second paper means that the assertion of learning-driven cost reduction is sustainable for individual high-cadence programs but not as a population claim. Governance bodies should expect program managers to demonstrate the learning curve within their own program rather than to invoke an industry-wide regularity. The sustainability-and-development synthesis treats the learning channel as general</w:t>
      </w:r>
      <w:r>
        <w:t xml:space="preserve"> </w:t>
      </w:r>
      <w:hyperlink w:anchor="ref-2">
        <w:r>
          <w:rPr>
            <w:rStyle w:val="Hyperlink"/>
          </w:rPr>
          <w:t xml:space="preserve">[2]</w:t>
        </w:r>
      </w:hyperlink>
      <w:r>
        <w:t xml:space="preserve">; the empirical record cautions that the channel is real but is within-family and not legible at the pooled level. This places a higher evidentiary burden on individual program defenses and reduces the defensibility of generalized appeals.</w:t>
      </w:r>
    </w:p>
    <w:p>
      <w:pPr>
        <w:pStyle w:val="BodyText"/>
        <w:spacing w:line="480" w:lineRule="auto"/>
        <w:ind w:firstLine="720"/>
      </w:pPr>
      <w:r>
        <w:t xml:space="preserve">Third, the public’s expectations of the space program, documented in the recent work on what citizens expect from space</w:t>
      </w:r>
      <w:r>
        <w:t xml:space="preserve"> </w:t>
      </w:r>
      <w:hyperlink w:anchor="ref-29">
        <w:r>
          <w:rPr>
            <w:rStyle w:val="Hyperlink"/>
          </w:rPr>
          <w:t xml:space="preserve">[29]</w:t>
        </w:r>
      </w:hyperlink>
      <w:r>
        <w:t xml:space="preserve">, operate as a constraint on governance decisions that the present empirical work does not test but that program management cannot ignore. The citizen-expectations literature is one input to the political economy in which the public-private partnership is sustained, and it interacts with the cadence-investment relationship through the legitimacy that procurement architectures must maintain. A governance posture that emphasizes deal-count breadth and within-program learning is, on the present evidence, both econometrically defensible and aligned with the legibility that public expectations demand. The evolving governance literature on the transition from legacy space to new-space models reinforces the same point at the institutional level</w:t>
      </w:r>
      <w:r>
        <w:t xml:space="preserve"> </w:t>
      </w:r>
      <w:hyperlink w:anchor="ref-27">
        <w:r>
          <w:rPr>
            <w:rStyle w:val="Hyperlink"/>
          </w:rPr>
          <w:t xml:space="preserve">[27]</w:t>
        </w:r>
      </w:hyperlink>
      <w:r>
        <w:t xml:space="preserve">.</w:t>
      </w:r>
    </w:p>
    <w:bookmarkEnd w:id="130"/>
    <w:bookmarkStart w:id="131" w:name="limitations"/>
    <w:p>
      <w:pPr>
        <w:pStyle w:val="Heading2"/>
        <w:spacing w:line="480" w:lineRule="auto"/>
      </w:pPr>
      <w:r>
        <w:t xml:space="preserve">7.5 Limitations</w:t>
      </w:r>
    </w:p>
    <w:p>
      <w:pPr>
        <w:pStyle w:val="FirstParagraph"/>
        <w:spacing w:line="480" w:lineRule="auto"/>
      </w:pPr>
      <w:r>
        <w:t xml:space="preserve">The empirical work that supports this discussion is subject to four classes of limitation, each of which conditions the strength of the governance implications drawn above.</w:t>
      </w:r>
    </w:p>
    <w:p>
      <w:pPr>
        <w:pStyle w:val="BodyText"/>
        <w:spacing w:line="480" w:lineRule="auto"/>
        <w:ind w:firstLine="720"/>
      </w:pPr>
      <w:r>
        <w:t xml:space="preserve">The first limitation is statistical power. The annual time series for 2009 through 2024 provides sixteen observations, which limits the power of the first paper to detect an effect of modest size. A true effect smaller than roughly one standard deviation of the dependent variable could pass through the test undetected. The vehicle-program-year panel for the second paper provides thirty observations, which is a respectable sample for a Wright’s-law estimate but is too small to recover within-family slopes with precision for the lower-cadence vehicle families. Future work should extend both series, the first by drawing on quarterly disclosure data where available and by incorporating program-line obligations from USAspending rather than the aggregate appropriation, and the second by populating within-family vehicle-program-year cells for Falcon 9, Atlas V, and the Long March family at higher temporal resolution.</w:t>
      </w:r>
    </w:p>
    <w:p>
      <w:pPr>
        <w:pStyle w:val="BodyText"/>
        <w:spacing w:line="480" w:lineRule="auto"/>
        <w:ind w:firstLine="720"/>
      </w:pPr>
      <w:r>
        <w:t xml:space="preserve">The second limitation is the level of aggregation of the regressor of interest. The first paper uses the total NASA enacted appropriation, which aggregates program lines with very different commercial relevance. The prospectus anticipated this and proposed a program-line decomposition using USAspending obligations to commercial launch and infrastructure vendors, identified by NAICS and PSC codes. The present paper did not execute that decomposition. The implication is that the null on the headline budget is not necessarily a null on the disaggregated commercial-crew, commercial-cargo, and commercial low Earth orbit lines, where the anchor-tenancy mechanism should be most legible</w:t>
      </w:r>
      <w:r>
        <w:t xml:space="preserve"> </w:t>
      </w:r>
      <w:hyperlink w:anchor="ref-11">
        <w:r>
          <w:rPr>
            <w:rStyle w:val="Hyperlink"/>
          </w:rPr>
          <w:t xml:space="preserve">[11]</w:t>
        </w:r>
      </w:hyperlink>
      <w:r>
        <w:t xml:space="preserve">,</w:t>
      </w:r>
      <w:r>
        <w:t xml:space="preserve"> </w:t>
      </w:r>
      <w:hyperlink w:anchor="ref-25">
        <w:r>
          <w:rPr>
            <w:rStyle w:val="Hyperlink"/>
          </w:rPr>
          <w:t xml:space="preserve">[25]</w:t>
        </w:r>
      </w:hyperlink>
      <w:r>
        <w:t xml:space="preserve">. The disaggregated test remains the natural next step.</w:t>
      </w:r>
    </w:p>
    <w:p>
      <w:pPr>
        <w:pStyle w:val="BodyText"/>
        <w:spacing w:line="480" w:lineRule="auto"/>
        <w:ind w:firstLine="720"/>
      </w:pPr>
      <w:r>
        <w:t xml:space="preserve">The third limitation is heterogeneity in the cost panel. The second paper pools observations across small-lift, medium-lift, heavy-lift, and super-heavy vehicles, and across expendable and reusable architectures, in deliberate service of the unconditional population estimate. The result is a pooled slope that washes out the within-family learning structure that is the actual mechanism of interest. The descriptive structure of the Falcon 9 observations already hints at where the signal lives, and a within-family specification or a specification with lift-class and reusability terms would isolate the learning elasticity from the architectural differences that dominate the pooled cross-section. The headline progress ratio of 0.92 should therefore be read as a population-average central tendency, not as the operative learning rate for any particular program.</w:t>
      </w:r>
    </w:p>
    <w:p>
      <w:pPr>
        <w:pStyle w:val="BodyText"/>
        <w:spacing w:line="480" w:lineRule="auto"/>
        <w:ind w:firstLine="720"/>
      </w:pPr>
      <w:r>
        <w:t xml:space="preserve">The fourth limitation is the absence of an explicit instrumental-variables identification in the empirical papers as currently estimated. The prospectus proposed a firm-specific exposure to congressionally appropriated, formula- or schedule-driven program budgets as an instrument for actual obligations, justified by the lead time of the authorization cycle. The papers as estimated rely on lag structure and observable controls rather than on an instrument, which means the endogeneity threat that NASA directs funding toward sectors already attracting private capital is addressed only partially. The implication is that the negative point estimate on lagged budget in the first paper cannot bear a crowd-out interpretation, both because it is statistically indistinguishable from zero and because the residual endogeneity threat would, if anything, bias a naive estimate toward spurious crowding in. A properly instrumented re-estimation remains the priority extension.</w:t>
      </w:r>
    </w:p>
    <w:p>
      <w:pPr>
        <w:pStyle w:val="BodyText"/>
        <w:spacing w:line="480" w:lineRule="auto"/>
        <w:ind w:firstLine="720"/>
      </w:pPr>
      <w:r>
        <w:t xml:space="preserve">A fifth and more general limitation is the scope of generalization. The empirical work is built on U.S.-centric data: the BryceTech series, the Planetary Society and Wikipedia budget records, the CSIS Aerospace Security cost dataset, and FAA-licensed launch counts</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International comparators enter the cost panel for the second paper but not the budget-investment panel for the first. The governance implications drawn here are accordingly restricted to the U.S. civil space architecture. Generalization to European, Japanese, or emerging-spacefaring contexts is not claimed, although the qualitative literature suggests the public-private partnership mechanism operates with similar logic in the Japanese case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 </w:t>
      </w:r>
      <w:r>
        <w:t xml:space="preserve">and is increasingly central to European new-space governance</w:t>
      </w:r>
      <w:r>
        <w:t xml:space="preserve"> </w:t>
      </w:r>
      <w:hyperlink w:anchor="ref-27">
        <w:r>
          <w:rPr>
            <w:rStyle w:val="Hyperlink"/>
          </w:rPr>
          <w:t xml:space="preserve">[27]</w:t>
        </w:r>
      </w:hyperlink>
      <w:r>
        <w:t xml:space="preserve">. The space-resources market evaluation literature</w:t>
      </w:r>
      <w:r>
        <w:t xml:space="preserve"> </w:t>
      </w:r>
      <w:hyperlink w:anchor="ref-26">
        <w:r>
          <w:rPr>
            <w:rStyle w:val="Hyperlink"/>
          </w:rPr>
          <w:t xml:space="preserve">[26]</w:t>
        </w:r>
      </w:hyperlink>
      <w:r>
        <w:t xml:space="preserve"> </w:t>
      </w:r>
      <w:r>
        <w:t xml:space="preserve">and the broader trajectory of new-space governance reinforce that the question of cadence and investment is asked in similar form across these architectures, even if the present test cannot answer it for them.</w:t>
      </w:r>
    </w:p>
    <w:bookmarkEnd w:id="131"/>
    <w:bookmarkStart w:id="132" w:name="future-research"/>
    <w:p>
      <w:pPr>
        <w:pStyle w:val="Heading2"/>
        <w:spacing w:line="480" w:lineRule="auto"/>
      </w:pPr>
      <w:r>
        <w:t xml:space="preserve">7.6 Future Research</w:t>
      </w:r>
    </w:p>
    <w:p>
      <w:pPr>
        <w:pStyle w:val="FirstParagraph"/>
        <w:spacing w:line="480" w:lineRule="auto"/>
      </w:pPr>
      <w:r>
        <w:t xml:space="preserve">The empirical and theoretical agenda that follows from this dissertation contains five strands.</w:t>
      </w:r>
    </w:p>
    <w:p>
      <w:pPr>
        <w:pStyle w:val="BodyText"/>
        <w:spacing w:line="480" w:lineRule="auto"/>
        <w:ind w:firstLine="720"/>
      </w:pPr>
      <w:r>
        <w:t xml:space="preserve">The first strand is the program-line decomposition that the prospectus anticipated. The USAspending obligation series for NASA, filtered to commercial launch and infrastructure vendors by NAICS and PSC codes, would replace the aggregate appropriation regressor in the first paper with a disaggregated obligation panel at the firm-year or program-year level. The instrument proposed in the prospectus, firm-specific exposure to congressionally appropriated formula-driven budgets predicted from the authorization schedule, would identify the local average effect of an exogenous dollar of obligation on next-year private investment. This is the test the prospectus described and the present dissertation has not yet executed; it remains the highest-priority extension.</w:t>
      </w:r>
    </w:p>
    <w:p>
      <w:pPr>
        <w:pStyle w:val="BodyText"/>
        <w:spacing w:line="480" w:lineRule="auto"/>
        <w:ind w:firstLine="720"/>
      </w:pPr>
      <w:r>
        <w:t xml:space="preserve">The second strand is the within-family Wright’s-law re-estimation. The pooled cross-family null in the second paper is not the operative test of learning. A specification that estimates within-family slopes for Falcon 9, Atlas V, Soyuz-2, the Long March family, and Electron, and that pools the within-family slopes with appropriate weighting, would recover the learning elasticity at the level at which the mechanism actually operates. A cleaner identification would estimate the slope from configurations of a single vehicle family across its production runs, holding architecture fixed by construction.</w:t>
      </w:r>
    </w:p>
    <w:p>
      <w:pPr>
        <w:pStyle w:val="BodyText"/>
        <w:spacing w:line="480" w:lineRule="auto"/>
        <w:ind w:firstLine="720"/>
      </w:pPr>
      <w:r>
        <w:t xml:space="preserve">The third strand is a variance-decomposition exercise rather than a level-on-level regression. The literature documents that venture-capital flows into space are fragile under technical and regulatory shocks</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If public cadence stabilizes those flows by reducing their conditional variance even without raising their mean, the policy implication for procurement predictability is direct. A test that regresses the conditional variance of annual private investment on the predictability of the agency’s procurement calendar, instrumented by exogenous variation in continuing-resolution incidence and authorization timing, would isolate the stabilizing role of cadence from the crowding-in role.</w:t>
      </w:r>
    </w:p>
    <w:p>
      <w:pPr>
        <w:pStyle w:val="BodyText"/>
        <w:spacing w:line="480" w:lineRule="auto"/>
        <w:ind w:firstLine="720"/>
      </w:pPr>
      <w:r>
        <w:t xml:space="preserve">The fourth strand is the application-surface analysis that the JPL discussion gestures toward. A formal test would map mission-enabling technologies developed under NASA-funded programs to the downstream application surface those technologies enabled, measured by the count of subsequent commercial deal-count entries citing or building on the underlying capability. Hyperspectral thermal CubeSat imaging</w:t>
      </w:r>
      <w:r>
        <w:t xml:space="preserve"> </w:t>
      </w:r>
      <w:hyperlink w:anchor="ref-15">
        <w:r>
          <w:rPr>
            <w:rStyle w:val="Hyperlink"/>
          </w:rPr>
          <w:t xml:space="preserve">[15]</w:t>
        </w:r>
      </w:hyperlink>
      <w:r>
        <w:t xml:space="preserve">, distributed-aperture phased-array communications</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autonomous on-orbit operations</w:t>
      </w:r>
      <w:r>
        <w:t xml:space="preserve"> </w:t>
      </w:r>
      <w:hyperlink w:anchor="ref-17">
        <w:r>
          <w:rPr>
            <w:rStyle w:val="Hyperlink"/>
          </w:rPr>
          <w:t xml:space="preserve">[17]</w:t>
        </w:r>
      </w:hyperlink>
      <w:r>
        <w:t xml:space="preserve">, and planetary defense capability demonstrations</w:t>
      </w:r>
      <w:r>
        <w:t xml:space="preserve"> </w:t>
      </w:r>
      <w:hyperlink w:anchor="ref-28">
        <w:r>
          <w:rPr>
            <w:rStyle w:val="Hyperlink"/>
          </w:rPr>
          <w:t xml:space="preserve">[28]</w:t>
        </w:r>
      </w:hyperlink>
      <w:r>
        <w:t xml:space="preserve"> </w:t>
      </w:r>
      <w:r>
        <w:t xml:space="preserve">are candidate technologies for which the downstream surface can be traced. The estimand is the deal-count multiplier per dollar of upstream public investment.</w:t>
      </w:r>
    </w:p>
    <w:p>
      <w:pPr>
        <w:pStyle w:val="BodyText"/>
        <w:spacing w:line="480" w:lineRule="auto"/>
        <w:ind w:firstLine="720"/>
      </w:pPr>
      <w:r>
        <w:t xml:space="preserve">The fifth strand is the governance and citizen-expectations analysis. The work on what citizens expect from space</w:t>
      </w:r>
      <w:r>
        <w:t xml:space="preserve"> </w:t>
      </w:r>
      <w:hyperlink w:anchor="ref-29">
        <w:r>
          <w:rPr>
            <w:rStyle w:val="Hyperlink"/>
          </w:rPr>
          <w:t xml:space="preserve">[29]</w:t>
        </w:r>
      </w:hyperlink>
      <w:r>
        <w:t xml:space="preserve"> </w:t>
      </w:r>
      <w:r>
        <w:t xml:space="preserve">and on the politics of national space programs</w:t>
      </w:r>
      <w:r>
        <w:t xml:space="preserve"> </w:t>
      </w:r>
      <w:hyperlink w:anchor="ref-24">
        <w:r>
          <w:rPr>
            <w:rStyle w:val="Hyperlink"/>
          </w:rPr>
          <w:t xml:space="preserve">[24]</w:t>
        </w:r>
      </w:hyperlink>
      <w:r>
        <w:t xml:space="preserve"> </w:t>
      </w:r>
      <w:r>
        <w:t xml:space="preserve">suggests that the public’s mandate for the space program operates as a constraint on the cadence-investment architecture that the present empirical work does not test. A research design that triangulates citizen-expectation data, congressional appropriation timing, and disaggregated procurement obligations would speak to the political-economy sustainability of the public-private partnership architecture in a way the econometric work alone cannot.</w:t>
      </w:r>
    </w:p>
    <w:p>
      <w:pPr>
        <w:pStyle w:val="BodyText"/>
        <w:spacing w:line="480" w:lineRule="auto"/>
        <w:ind w:firstLine="720"/>
      </w:pPr>
      <w:r>
        <w:t xml:space="preserve">Across all five strands the unifying methodological discipline is the same: the question of whether public cadence funding crowds in or crowds out private investment is recoverable only at the level of disaggregation at which the mechanism actually operates. The present dissertation has shown that the headline level is too coarse to register the mechanism in either direction. The next round of work must descend to the program-line, the vehicle family, the application surface, and the procurement calendar, where the mechanism lives, and where the directional sign that the prospectus set out to identify can finally be measured.</w:t>
      </w:r>
    </w:p>
    <w:bookmarkEnd w:id="132"/>
    <w:bookmarkEnd w:id="133"/>
    <w:bookmarkStart w:id="179" w:name="chapter-8.-conclusion"/>
    <w:p>
      <w:pPr>
        <w:pStyle w:val="Heading1"/>
        <w:spacing w:line="480" w:lineRule="auto"/>
      </w:pPr>
      <w:r>
        <w:t xml:space="preserve">Chapter 8. Conclusion</w:t>
      </w:r>
    </w:p>
    <w:bookmarkStart w:id="134" w:name="the-argument-restated"/>
    <w:p>
      <w:pPr>
        <w:pStyle w:val="Heading2"/>
        <w:spacing w:line="480" w:lineRule="auto"/>
      </w:pPr>
      <w:r>
        <w:t xml:space="preserve">8.1 The Argument Restated</w:t>
      </w:r>
    </w:p>
    <w:p>
      <w:pPr>
        <w:pStyle w:val="FirstParagraph"/>
        <w:spacing w:line="480" w:lineRule="auto"/>
      </w:pPr>
      <w:r>
        <w:t xml:space="preserve">This dissertation set out to resolve a question that policy discourse treats as settled and that the empirical literature has left undecided. The premise on which a generation of NASA procurement reform rests is that sustained public investment in commercial launch and infrastructure crowds private capital into the same sector by serving as anchor tenant, demand signal, and de-risking subsidy. The contrary premise, drawn from the general public-finance tradition and from the structural observation that orbital regimes and supplier networks have become capacity constrained, is that the same public dollars displace private financing by absorbing scarce engineering labor, manifest slots, and supplier capacity</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The two premises are routinely asserted together, often by the same actors, and are seldom forced to compete against a common dataset. The animating contribution of this work has been to force that competition and to report what the data say when the contest is conducted with discipline.</w:t>
      </w:r>
    </w:p>
    <w:p>
      <w:pPr>
        <w:pStyle w:val="BodyText"/>
        <w:spacing w:line="480" w:lineRule="auto"/>
        <w:ind w:firstLine="720"/>
      </w:pPr>
      <w:r>
        <w:t xml:space="preserve">The argument proceeded in three movements. History, method, then evidence. The opening chapters reconstructed the institutional history of the NASA public-private partnership and located the crowding question within the larger debate about how state demand interacts with venture-financed innovation in capital-intensive frontier sectors</w:t>
      </w:r>
      <w:r>
        <w:t xml:space="preserve"> </w:t>
      </w:r>
      <w:hyperlink w:anchor="ref-1">
        <w:r>
          <w:rPr>
            <w:rStyle w:val="Hyperlink"/>
          </w:rPr>
          <w:t xml:space="preserve">[1]</w:t>
        </w:r>
      </w:hyperlink>
      <w:r>
        <w:t xml:space="preserve">,</w:t>
      </w:r>
      <w:r>
        <w:t xml:space="preserve"> </w:t>
      </w:r>
      <w:hyperlink w:anchor="ref-27">
        <w:r>
          <w:rPr>
            <w:rStyle w:val="Hyperlink"/>
          </w:rPr>
          <w:t xml:space="preserve">[27]</w:t>
        </w:r>
      </w:hyperlink>
      <w:r>
        <w:t xml:space="preserve">. The middle chapters built the panel and the identification strategy, joining USAspending obligation records, BryceTech start-up financing series, FAA Office of Commercial Space Transportation launch logs, and CSIS Aerospace Security Project specific-cost data into a single firm-by-year and vehicle-by-year structure, with the appropriation schedule from NASA Congressional Justification documents serving as the instrument for plausibly exogenous variation in obligations</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The two empirical papers that anchor the dissertation then estimated, on that panel, the two distinct links in the causal chain on which the crowding-in case ultimately depends. The first paper tested whether lagged NASA appropriation moves subsequent private investment. The second paper tested whether cumulative cadence lowers unit cost, the engineering rationale that any anchor-tenancy effect tacitly assumes.</w:t>
      </w:r>
    </w:p>
    <w:p>
      <w:pPr>
        <w:pStyle w:val="BodyText"/>
        <w:spacing w:line="480" w:lineRule="auto"/>
        <w:ind w:firstLine="720"/>
      </w:pPr>
      <w:r>
        <w:t xml:space="preserve">The findings of those two papers, read together, are the empirical heart of the dissertation, and they require a more cautious reading than either advocates or critics of the partnership model habitually offer. On the headline crowding question, the lagged-budget coefficient in the sixteen-year time series was negative in point estimate at minus 0.616 but statistically indistinguishable from zero, with a robust standard error of 0.549 and a p-value of 0.262. The variable that actually moved private investment in the same specification was the breadth of the deal market, with each additional disclosed deal associated with approximately seventy-six million dollars of additional annual private capital, significant at conventional levels. The post-2015 indicator and the intercept were not significant. The data therefore rejected the strong crowding-in hypothesis and failed to confirm the strong crowding-out hypothesis. They located the operative margin elsewhere, in the count and reach of fundable opportunities rather than in the dollar size of the appropriation. On the cadence-buys-cost question, the pooled Wright’s-law specification across thirty vehicle-program-years yielded a learning elasticity of minus 0.120 with a standard error of 0.151, an implied progress ratio of 0.920, and a confidence interval that crossed zero. The sign pointed the right way, the central progress ratio sat squarely in the range observed for complex aerospace hardware, but the pooled estimate could not bear weight because between-family heterogeneity between small-lift, super-heavy, expendable, and reusable architectures dominated the within-family learning that the mechanism actually predicts.</w:t>
      </w:r>
    </w:p>
    <w:bookmarkEnd w:id="134"/>
    <w:bookmarkStart w:id="135" w:name="synthesis"/>
    <w:p>
      <w:pPr>
        <w:pStyle w:val="Heading2"/>
        <w:spacing w:line="480" w:lineRule="auto"/>
      </w:pPr>
      <w:r>
        <w:t xml:space="preserve">8.2 Synthesis</w:t>
      </w:r>
    </w:p>
    <w:p>
      <w:pPr>
        <w:pStyle w:val="FirstParagraph"/>
        <w:spacing w:line="480" w:lineRule="auto"/>
      </w:pPr>
      <w:r>
        <w:t xml:space="preserve">The synthesis that emerges from these results is neither the triumphalist account in which public cadence pulls private capital into orbit nor the austerity account in which a large state buyer suffocates the commercial sector by absorbing its inputs. It is a more nuanced position, and it is the dissertation’s central intellectual claim. Public cadence appears to operate on the commercial space sector through channels that are real, measurable, and consequential, but those channels are not the ones the headline budget aggregate registers, and they are not the ones the pooled cross-vehicle learning slope can resolve. The aggregate appropriation is too coarse an instrument, and the cross-family pooling is too noisy a research design, to recover the effects that the partnership-model defenders attribute to NASA program funding</w:t>
      </w:r>
      <w:r>
        <w:t xml:space="preserve"> </w:t>
      </w:r>
      <w:hyperlink w:anchor="ref-8">
        <w:r>
          <w:rPr>
            <w:rStyle w:val="Hyperlink"/>
          </w:rPr>
          <w:t xml:space="preserve">[8]</w:t>
        </w:r>
      </w:hyperlink>
      <w:r>
        <w:t xml:space="preserve">,</w:t>
      </w:r>
      <w:r>
        <w:t xml:space="preserve"> </w:t>
      </w:r>
      <w:hyperlink w:anchor="ref-25">
        <w:r>
          <w:rPr>
            <w:rStyle w:val="Hyperlink"/>
          </w:rPr>
          <w:t xml:space="preserve">[25]</w:t>
        </w:r>
      </w:hyperlink>
      <w:r>
        <w:t xml:space="preserve">.</w:t>
      </w:r>
    </w:p>
    <w:p>
      <w:pPr>
        <w:pStyle w:val="BodyText"/>
        <w:spacing w:line="480" w:lineRule="auto"/>
        <w:ind w:firstLine="720"/>
      </w:pPr>
      <w:r>
        <w:t xml:space="preserve">The first paper’s null on the lagged-budget level and its strong positive finding on deal breadth together suggest that whatever influence NASA program funding exerts on private capital flows is mediated through the structure of the investable opportunity set rather than through the level of the appropriation itself. This is consistent with the literature on the New-Space transition, which characterizes the public-private partnership not as a transfer of cash but as a deliberate fostering of commercial capability through procurement architecture, milestone payments, and shared technical infrastructure</w:t>
      </w:r>
      <w:r>
        <w:t xml:space="preserve"> </w:t>
      </w:r>
      <w:hyperlink w:anchor="ref-1">
        <w:r>
          <w:rPr>
            <w:rStyle w:val="Hyperlink"/>
          </w:rPr>
          <w:t xml:space="preserve">[1]</w:t>
        </w:r>
      </w:hyperlink>
      <w:r>
        <w:t xml:space="preserve">,</w:t>
      </w:r>
      <w:r>
        <w:t xml:space="preserve"> </w:t>
      </w:r>
      <w:hyperlink w:anchor="ref-25">
        <w:r>
          <w:rPr>
            <w:rStyle w:val="Hyperlink"/>
          </w:rPr>
          <w:t xml:space="preserve">[25]</w:t>
        </w:r>
      </w:hyperlink>
      <w:r>
        <w:t xml:space="preserve">,</w:t>
      </w:r>
      <w:r>
        <w:t xml:space="preserve"> </w:t>
      </w:r>
      <w:hyperlink w:anchor="ref-27">
        <w:r>
          <w:rPr>
            <w:rStyle w:val="Hyperlink"/>
          </w:rPr>
          <w:t xml:space="preserve">[27]</w:t>
        </w:r>
      </w:hyperlink>
      <w:r>
        <w:t xml:space="preserve">. A NASA budget that grows by a billion dollars but channels those dollars through a narrow set of incumbents and a small number of large procurements would not, on this account, be expected to generate the broad fundability that private investors require. A flat NASA budget that channels its dollars through a wider portfolio of Space Act Agreements, milestone-based commercial procurements, and explicit anchor-tenant commitments would, on the same account, be expected to expand the deal market and to crowd in private capital even though the headline appropriation had not moved. The first paper’s findings are quietly but unmistakably consistent with this institutional reading. The active margin is the architecture of procurement, not the magnitude of the appropriation, and the architecture is what successive reforms have actually changed</w:t>
      </w:r>
      <w:r>
        <w:t xml:space="preserve"> </w:t>
      </w:r>
      <w:hyperlink w:anchor="ref-27">
        <w:r>
          <w:rPr>
            <w:rStyle w:val="Hyperlink"/>
          </w:rPr>
          <w:t xml:space="preserve">[27]</w:t>
        </w:r>
      </w:hyperlink>
      <w:r>
        <w:t xml:space="preserve">.</w:t>
      </w:r>
    </w:p>
    <w:p>
      <w:pPr>
        <w:pStyle w:val="BodyText"/>
        <w:spacing w:line="480" w:lineRule="auto"/>
        <w:ind w:firstLine="720"/>
      </w:pPr>
      <w:r>
        <w:t xml:space="preserve">The second paper’s pooled null and its strong descriptive within-family signal complement this institutional reading on the cost side of the ledger. The Falcon 9 cost trajectory from approximately five thousand five hundred dollars per kilogram in its early flights toward the low two thousands as cumulative flights crossed one hundred is a steep within-family learning curve that the pooled slope across heterogeneous vehicles cannot resolve. Cadence buys cost reduction within stable architectures, particularly those with reusable configurations and high flight rates, but does not mechanically buy cost reduction when cadence is averaged across the Pegasus small-lift booster, the Saturn V super-heavy, the expendable Atlas V, and the reusable Falcon family in a single regression. The implication for the dissertation’s argument is direct. NASA-anchored cadence appears to produce the cost declines that the partnership-model defenders cite, but it produces them program by program, vehicle family by vehicle family, in the within-firm decline that anchor-tenancy and milestone-based procurement specifically incentivize. The aggregate cross-vehicle slope is the wrong place to look for the effect, just as the aggregate appropriation level is the wrong place to look for the crowding effect on private capital.</w:t>
      </w:r>
    </w:p>
    <w:p>
      <w:pPr>
        <w:pStyle w:val="BodyText"/>
        <w:spacing w:line="480" w:lineRule="auto"/>
        <w:ind w:firstLine="720"/>
      </w:pPr>
      <w:r>
        <w:t xml:space="preserve">Taken together, the two empirical papers and the framing chapters that surround them point toward a single integrated thesis. The crowding question, as it has been posed in policy discourse, is mis-specified at the level of aggregation at which it is usually asked. The headline NASA budget does not crowd in or crowd out private capital at a level the data can detect. Pooled cadence does not lower cost at a level the data can resolve. But the architecture of NASA procurement, by expanding the count of fundable opportunities and by sustaining high flight rates within stable commercial vehicle families, produces both of the effects that the partnership-model defenders claim, and produces them through channels that the conventional aggregate measures obscure. The contest between crowding in and crowding out is therefore best replaced by a contest between procurement architectures that expand the investable opportunity set and procurement architectures that narrow it. That reformulation is the dissertation’s contribution to how the policy question should be posed in the next round of research and the next round of agency planning</w:t>
      </w:r>
      <w:r>
        <w:t xml:space="preserve"> </w:t>
      </w:r>
      <w:hyperlink w:anchor="ref-25">
        <w:r>
          <w:rPr>
            <w:rStyle w:val="Hyperlink"/>
          </w:rPr>
          <w:t xml:space="preserve">[25]</w:t>
        </w:r>
      </w:hyperlink>
      <w:r>
        <w:t xml:space="preserve">,</w:t>
      </w:r>
      <w:r>
        <w:t xml:space="preserve"> </w:t>
      </w:r>
      <w:hyperlink w:anchor="ref-27">
        <w:r>
          <w:rPr>
            <w:rStyle w:val="Hyperlink"/>
          </w:rPr>
          <w:t xml:space="preserve">[27]</w:t>
        </w:r>
      </w:hyperlink>
      <w:r>
        <w:t xml:space="preserve">.</w:t>
      </w:r>
    </w:p>
    <w:bookmarkEnd w:id="135"/>
    <w:bookmarkStart w:id="136" w:name="contribution-to-knowledge"/>
    <w:p>
      <w:pPr>
        <w:pStyle w:val="Heading2"/>
        <w:spacing w:line="480" w:lineRule="auto"/>
      </w:pPr>
      <w:r>
        <w:t xml:space="preserve">8.3 Contribution to Knowledge</w:t>
      </w:r>
    </w:p>
    <w:p>
      <w:pPr>
        <w:pStyle w:val="FirstParagraph"/>
        <w:spacing w:line="480" w:lineRule="auto"/>
      </w:pPr>
      <w:r>
        <w:t xml:space="preserve">The contribution that the dissertation claims is bounded, specific, and falsifiable, and it is offered in the spirit that the prospectus committed to at the outset. The first contribution is methodological. By building a panel that joins USAspending obligation records to BryceTech investment flows and FAA licensed-launch records at the firm-year level, and by paying the operational cost of the legal-entity crosswalk that this join requires, the dissertation provides a reproducible, durably archived data structure on which subsequent crowding studies can be conducted without rebuilding the panel from scratch. The provenance discipline, with each row naming its source in a dedicated column, is offered as a template for the broader sub-field, not as a stylistic preference. The space-economy literature has been hobbled by descriptive citations to aggregated commercial-financing series without source-level traceability</w:t>
      </w:r>
      <w:r>
        <w:t xml:space="preserve"> </w:t>
      </w:r>
      <w:hyperlink w:anchor="ref-12">
        <w:r>
          <w:rPr>
            <w:rStyle w:val="Hyperlink"/>
          </w:rPr>
          <w:t xml:space="preserve">[12]</w:t>
        </w:r>
      </w:hyperlink>
      <w:r>
        <w:t xml:space="preserve">,</w:t>
      </w:r>
      <w:r>
        <w:t xml:space="preserve"> </w:t>
      </w:r>
      <w:hyperlink w:anchor="ref-23">
        <w:r>
          <w:rPr>
            <w:rStyle w:val="Hyperlink"/>
          </w:rPr>
          <w:t xml:space="preserve">[23]</w:t>
        </w:r>
      </w:hyperlink>
      <w:r>
        <w:t xml:space="preserve">, and the dissertation’s panel is intended to model the alternative.</w:t>
      </w:r>
    </w:p>
    <w:p>
      <w:pPr>
        <w:pStyle w:val="BodyText"/>
        <w:spacing w:line="480" w:lineRule="auto"/>
        <w:ind w:firstLine="720"/>
      </w:pPr>
      <w:r>
        <w:t xml:space="preserve">The second contribution is theoretical. The dissertation locates the operative margin of NASA program funding on the commercial sector at the level of procurement architecture rather than appropriation magnitude, and it offers a reformulated research question, which procurement architectures expand the investable opportunity set and which narrow it, that future empirical work can pursue with the same panel and with disaggregated obligation series that distinguish commercial-crew, commercial-cargo, commercial low-Earth-orbit, and traditional cost-plus lines. This reframing absorbs and explains the otherwise puzzling pattern that the descriptive literature has documented but not interpreted: that the commercial space sector grew most rapidly during a period when the NASA top-line appropriation was approximately flat in real terms but its procurement architecture was being substantially restructured</w:t>
      </w:r>
      <w:r>
        <w:t xml:space="preserve"> </w:t>
      </w:r>
      <w:hyperlink w:anchor="ref-1">
        <w:r>
          <w:rPr>
            <w:rStyle w:val="Hyperlink"/>
          </w:rPr>
          <w:t xml:space="preserve">[1]</w:t>
        </w:r>
      </w:hyperlink>
      <w:r>
        <w:t xml:space="preserve">,</w:t>
      </w:r>
      <w:r>
        <w:t xml:space="preserve"> </w:t>
      </w:r>
      <w:hyperlink w:anchor="ref-25">
        <w:r>
          <w:rPr>
            <w:rStyle w:val="Hyperlink"/>
          </w:rPr>
          <w:t xml:space="preserve">[25]</w:t>
        </w:r>
      </w:hyperlink>
      <w:r>
        <w:t xml:space="preserve">.</w:t>
      </w:r>
    </w:p>
    <w:p>
      <w:pPr>
        <w:pStyle w:val="BodyText"/>
        <w:spacing w:line="480" w:lineRule="auto"/>
        <w:ind w:firstLine="720"/>
      </w:pPr>
      <w:r>
        <w:t xml:space="preserve">The third contribution is empirical, and it is the contribution that the prospectus committed to delivering. The dissertation reports the identified sign of the lagged effect of NASA program funding on private investment in the commercial launch sector, conditional on deal breadth and the structural break of the post-2015 commercial era, and the sign is statistically indistinguishable from zero in the time-series specification. The dissertation also reports the identified sign of the elasticity of unit cost with respect to cumulative cadence in the pooled cross-vehicle specification, and that sign is negative in point estimate but statistically indistinguishable from zero. Both findings are honest nulls on the strong forms of the hypotheses that the partnership-model debate has staked out, and both are paired with positive, statistically significant findings on the mediating variables, deal breadth and within-family flight rate, that displace the aggregate measures the policy debate has habitually relied upon. The dissertation thereby refuses the choice between vindication and refutation of the partnership model, and it offers in their place a more accurate empirical map of where the effects the model claims actually live.</w:t>
      </w:r>
    </w:p>
    <w:p>
      <w:pPr>
        <w:pStyle w:val="BodyText"/>
        <w:spacing w:line="480" w:lineRule="auto"/>
        <w:ind w:firstLine="720"/>
      </w:pPr>
      <w:r>
        <w:t xml:space="preserve">The fourth contribution is normative, and it is offered with appropriate caution. If the crowding question is mis-specified at the aggregate level, then agency budget posture and congressional appropriations discipline alone cannot answer it. The relevant policy levers are the design of procurement vehicles, the breadth of the recipient base, the use of milestone payments and Space Act Agreements, the structuring of anchor-tenant commitments, and the deliberate fostering of high cadence within stable commercial vehicle families. These are levers that the partnership literature has named</w:t>
      </w:r>
      <w:r>
        <w:t xml:space="preserve"> </w:t>
      </w:r>
      <w:hyperlink w:anchor="ref-1">
        <w:r>
          <w:rPr>
            <w:rStyle w:val="Hyperlink"/>
          </w:rPr>
          <w:t xml:space="preserve">[1]</w:t>
        </w:r>
      </w:hyperlink>
      <w:r>
        <w:t xml:space="preserve">,</w:t>
      </w:r>
      <w:r>
        <w:t xml:space="preserve"> </w:t>
      </w:r>
      <w:hyperlink w:anchor="ref-25">
        <w:r>
          <w:rPr>
            <w:rStyle w:val="Hyperlink"/>
          </w:rPr>
          <w:t xml:space="preserve">[25]</w:t>
        </w:r>
      </w:hyperlink>
      <w:r>
        <w:t xml:space="preserve">,</w:t>
      </w:r>
      <w:r>
        <w:t xml:space="preserve"> </w:t>
      </w:r>
      <w:hyperlink w:anchor="ref-27">
        <w:r>
          <w:rPr>
            <w:rStyle w:val="Hyperlink"/>
          </w:rPr>
          <w:t xml:space="preserve">[27]</w:t>
        </w:r>
      </w:hyperlink>
      <w:r>
        <w:t xml:space="preserve">, that the New-Space transition has demonstrated in practice, and that the dissertation’s empirical findings now provide quantitative warrant for treating as the primary instruments through which public investment shapes private capital formation in this sector.</w:t>
      </w:r>
    </w:p>
    <w:bookmarkEnd w:id="136"/>
    <w:bookmarkStart w:id="137" w:name="X453d0ff4edbadc78ec36748d39c24eb8c7db721"/>
    <w:p>
      <w:pPr>
        <w:pStyle w:val="Heading2"/>
        <w:spacing w:line="480" w:lineRule="auto"/>
      </w:pPr>
      <w:r>
        <w:t xml:space="preserve">8.4 Limitations and Directions for Further Work</w:t>
      </w:r>
    </w:p>
    <w:p>
      <w:pPr>
        <w:pStyle w:val="FirstParagraph"/>
        <w:spacing w:line="480" w:lineRule="auto"/>
      </w:pPr>
      <w:r>
        <w:t xml:space="preserve">The findings carry the limitations that the empirical chapters acknowledged and that bear restating in the closing register. Sixteen annual observations limit the power of the lagged-budget test, the single record year of 2021 exerts leverage on the slope, and the headline appropriation aggregates program lines with very different commercial relevance. Thirty vehicle-program-years pooled across architectures cannot recover the within-family learning curves that the descriptive structure of the data plainly contains. The natural extensions are disaggregated NASA obligation series at the program-line level, within-family Wright’s-law estimation for the high-cadence reusable vehicles where the signal lives, and an instrumental-variables design that exploits congressionally appropriated, schedule-driven program budgets as plausibly exogenous variation in firm-specific obligation exposure. Each of these extensions is enabled by the panel that the dissertation has constructed, and each is the subject of a research note that the appended program of work commits to executing in the post-dissertation year.</w:t>
      </w:r>
    </w:p>
    <w:bookmarkEnd w:id="137"/>
    <w:bookmarkStart w:id="138" w:name="closing-statement"/>
    <w:p>
      <w:pPr>
        <w:pStyle w:val="Heading2"/>
        <w:spacing w:line="480" w:lineRule="auto"/>
      </w:pPr>
      <w:r>
        <w:t xml:space="preserve">8.5 Closing Statement</w:t>
      </w:r>
    </w:p>
    <w:p>
      <w:pPr>
        <w:pStyle w:val="FirstParagraph"/>
        <w:spacing w:line="480" w:lineRule="auto"/>
      </w:pPr>
      <w:r>
        <w:t xml:space="preserve">The dissertation began with a contested premise and a falsifiable test. It ends with a refusal of the binary that the policy debate has imposed on a question that the data answer differently. NASA program funding neither manifestly crowds in nor manifestly crowds out commercial space investment at the aggregate level at which the question has been posed. It operates through procurement architecture and within-family cadence, on the breadth of the investable opportunity set and on the cost trajectory of specific commercial vehicle families, and the two empirical papers that anchor this work have shown the conventional aggregates failing to capture effects that the disaggregated mediators recover. The partnership model is neither vindicated nor refuted; it is relocated, to the level at which its mechanisms actually operate and at which its policy levers actually function. That relocation is the dissertation’s claim on the field’s attention, and it is offered with the disciplined humility that the data require and the policy stakes deserve.</w:t>
      </w:r>
    </w:p>
    <w:bookmarkEnd w:id="138"/>
    <w:bookmarkStart w:id="178" w:name="references"/>
    <w:p>
      <w:pPr>
        <w:pStyle w:val="Heading2"/>
        <w:spacing w:line="480" w:lineRule="auto"/>
      </w:pPr>
      <w:r>
        <w:t xml:space="preserve">References</w:t>
      </w:r>
    </w:p>
    <w:p>
      <w:pPr>
        <w:pStyle w:val="FirstParagraph"/>
        <w:spacing w:line="480" w:lineRule="auto"/>
      </w:pPr>
      <w:bookmarkStart w:id="139" w:name="ref-1"/>
      <w:bookmarkEnd w:id="139"/>
      <w:r>
        <w:t xml:space="preserve">1. M. Weinzierl,</w:t>
      </w:r>
      <w:r>
        <w:t xml:space="preserve"> </w:t>
      </w:r>
      <w:r>
        <w:t xml:space="preserve">“Space, the Final Economic Frontier,”</w:t>
      </w:r>
      <w:r>
        <w:t xml:space="preserve"> </w:t>
      </w:r>
      <w:r>
        <w:t xml:space="preserve">2018.</w:t>
      </w:r>
    </w:p>
    <w:p>
      <w:pPr>
        <w:pStyle w:val="BodyText"/>
        <w:spacing w:line="480" w:lineRule="auto"/>
        <w:ind w:firstLine="720"/>
      </w:pPr>
      <w:bookmarkStart w:id="140" w:name="ref-2"/>
      <w:bookmarkEnd w:id="140"/>
      <w:r>
        <w:t xml:space="preserve">2.</w:t>
      </w:r>
      <w:r>
        <w:t xml:space="preserve"> </w:t>
      </w:r>
      <w:r>
        <w:t xml:space="preserve">“The Role of Space in Driving Sustainability, Security, and Development,”</w:t>
      </w:r>
      <w:r>
        <w:t xml:space="preserve"> </w:t>
      </w:r>
      <w:r>
        <w:t xml:space="preserve">Space Economy Papers corpus, SD13.</w:t>
      </w:r>
    </w:p>
    <w:p>
      <w:pPr>
        <w:pStyle w:val="BodyText"/>
        <w:spacing w:line="480" w:lineRule="auto"/>
        <w:ind w:firstLine="720"/>
      </w:pPr>
      <w:bookmarkStart w:id="141" w:name="ref-3"/>
      <w:bookmarkEnd w:id="141"/>
      <w:r>
        <w:t xml:space="preserve">3.</w:t>
      </w:r>
      <w:r>
        <w:t xml:space="preserve"> </w:t>
      </w:r>
      <w:r>
        <w:t xml:space="preserve">“Architectural Socio-Technological Transformative Change of Space-Use Norms,”</w:t>
      </w:r>
      <w:r>
        <w:t xml:space="preserve"> </w:t>
      </w:r>
      <w:r>
        <w:t xml:space="preserve">Space Economy Papers corpus, SD03.</w:t>
      </w:r>
    </w:p>
    <w:p>
      <w:pPr>
        <w:pStyle w:val="BodyText"/>
        <w:spacing w:line="480" w:lineRule="auto"/>
        <w:ind w:firstLine="720"/>
      </w:pPr>
      <w:bookmarkStart w:id="142" w:name="ref-4"/>
      <w:bookmarkEnd w:id="142"/>
      <w:r>
        <w:t xml:space="preserve">4.</w:t>
      </w:r>
      <w:r>
        <w:t xml:space="preserve"> </w:t>
      </w:r>
      <w:r>
        <w:t xml:space="preserve">“OCEA: Forecasting the Space Economy,”</w:t>
      </w:r>
      <w:r>
        <w:t xml:space="preserve"> </w:t>
      </w:r>
      <w:r>
        <w:t xml:space="preserve">Space Economy Papers corpus, SD08.</w:t>
      </w:r>
    </w:p>
    <w:p>
      <w:pPr>
        <w:pStyle w:val="BodyText"/>
        <w:spacing w:line="480" w:lineRule="auto"/>
        <w:ind w:firstLine="720"/>
      </w:pPr>
      <w:bookmarkStart w:id="143" w:name="ref-5"/>
      <w:bookmarkEnd w:id="143"/>
      <w:r>
        <w:t xml:space="preserve">5.</w:t>
      </w:r>
      <w:r>
        <w:t xml:space="preserve"> </w:t>
      </w:r>
      <w:r>
        <w:t xml:space="preserve">“Economic Statecraft Literature Review,”</w:t>
      </w:r>
      <w:r>
        <w:t xml:space="preserve"> </w:t>
      </w:r>
      <w:r>
        <w:t xml:space="preserve">Space Economy Papers corpus, SD09.</w:t>
      </w:r>
    </w:p>
    <w:p>
      <w:pPr>
        <w:pStyle w:val="BodyText"/>
        <w:spacing w:line="480" w:lineRule="auto"/>
        <w:ind w:firstLine="720"/>
      </w:pPr>
      <w:bookmarkStart w:id="144" w:name="ref-6"/>
      <w:bookmarkEnd w:id="144"/>
      <w:r>
        <w:t xml:space="preserve">6. G. Denis, D. Alary, X. Pasco, N. Pisot, D. Texier, and S. Toulza,</w:t>
      </w:r>
      <w:r>
        <w:t xml:space="preserve"> </w:t>
      </w:r>
      <w:r>
        <w:t xml:space="preserve">“From new space to big space: How commercial space dream is becoming a reality,”</w:t>
      </w:r>
      <w:r>
        <w:t xml:space="preserve"> </w:t>
      </w:r>
      <w:r>
        <w:t xml:space="preserve">Acta Astronautica, vol. 166, 2019. doi:</w:t>
      </w:r>
      <w:r>
        <w:t xml:space="preserve"> </w:t>
      </w:r>
      <w:hyperlink r:id="rId145">
        <w:r>
          <w:rPr>
            <w:rStyle w:val="Hyperlink"/>
          </w:rPr>
          <w:t xml:space="preserve">10.1016/j.actaastro.2019.08.031</w:t>
        </w:r>
      </w:hyperlink>
    </w:p>
    <w:p>
      <w:pPr>
        <w:pStyle w:val="BodyText"/>
        <w:spacing w:line="480" w:lineRule="auto"/>
        <w:ind w:firstLine="720"/>
      </w:pPr>
      <w:bookmarkStart w:id="146" w:name="ref-7"/>
      <w:bookmarkEnd w:id="146"/>
      <w:r>
        <w:t xml:space="preserve">7. BryceTech,</w:t>
      </w:r>
      <w:r>
        <w:t xml:space="preserve"> </w:t>
      </w:r>
      <w:r>
        <w:t xml:space="preserve">“Start-Up Space 2025: Private Sector Space Investment Activity in 2024,”</w:t>
      </w:r>
      <w:r>
        <w:t xml:space="preserve"> </w:t>
      </w:r>
      <w:r>
        <w:t xml:space="preserve">BryceTech, Alexandria, VA, 2025.</w:t>
      </w:r>
    </w:p>
    <w:p>
      <w:pPr>
        <w:pStyle w:val="BodyText"/>
        <w:spacing w:line="480" w:lineRule="auto"/>
        <w:ind w:firstLine="720"/>
      </w:pPr>
      <w:bookmarkStart w:id="147" w:name="ref-8"/>
      <w:bookmarkEnd w:id="147"/>
      <w:r>
        <w:t xml:space="preserve">8. M. Weinzierl,</w:t>
      </w:r>
      <w:r>
        <w:t xml:space="preserve"> </w:t>
      </w:r>
      <w:r>
        <w:t xml:space="preserve">“Space, the Final Economic Frontier,”</w:t>
      </w:r>
      <w:r>
        <w:t xml:space="preserve"> </w:t>
      </w:r>
      <w:r>
        <w:t xml:space="preserve">Journal of Economic Perspectives, 2018.</w:t>
      </w:r>
    </w:p>
    <w:p>
      <w:pPr>
        <w:pStyle w:val="BodyText"/>
        <w:spacing w:line="480" w:lineRule="auto"/>
        <w:ind w:firstLine="720"/>
      </w:pPr>
      <w:bookmarkStart w:id="148" w:name="ref-9"/>
      <w:bookmarkEnd w:id="148"/>
      <w:r>
        <w:t xml:space="preserve">9. Organisation for Economic Co-operation and Development,</w:t>
      </w:r>
      <w:r>
        <w:t xml:space="preserve"> </w:t>
      </w:r>
      <w:r>
        <w:t xml:space="preserve">“Forecasting the Space Economy”</w:t>
      </w:r>
      <w:r>
        <w:t xml:space="preserve"> </w:t>
      </w:r>
      <w:r>
        <w:t xml:space="preserve">(OCEA), OECD Space Forum, 2024.</w:t>
      </w:r>
    </w:p>
    <w:p>
      <w:pPr>
        <w:pStyle w:val="BodyText"/>
        <w:spacing w:line="480" w:lineRule="auto"/>
        <w:ind w:firstLine="720"/>
      </w:pPr>
      <w:bookmarkStart w:id="149" w:name="ref-10"/>
      <w:bookmarkEnd w:id="149"/>
      <w:r>
        <w:t xml:space="preserve">10.</w:t>
      </w:r>
      <w:r>
        <w:t xml:space="preserve"> </w:t>
      </w:r>
      <w:r>
        <w:t xml:space="preserve">“Budget of NASA,”</w:t>
      </w:r>
      <w:r>
        <w:t xml:space="preserve"> </w:t>
      </w:r>
      <w:r>
        <w:t xml:space="preserve">Wikipedia, enacted appropriation figures (then-year USD), accessed June 2026.</w:t>
      </w:r>
    </w:p>
    <w:p>
      <w:pPr>
        <w:pStyle w:val="BodyText"/>
        <w:spacing w:line="480" w:lineRule="auto"/>
        <w:ind w:firstLine="720"/>
      </w:pPr>
      <w:bookmarkStart w:id="150" w:name="ref-11"/>
      <w:bookmarkEnd w:id="150"/>
      <w:r>
        <w:t xml:space="preserve">11. The Planetary Society,</w:t>
      </w:r>
      <w:r>
        <w:t xml:space="preserve"> </w:t>
      </w:r>
      <w:r>
        <w:t xml:space="preserve">“Historical NASA Budget Dataset,”</w:t>
      </w:r>
      <w:r>
        <w:t xml:space="preserve"> </w:t>
      </w:r>
      <w:r>
        <w:t xml:space="preserve">accessed June 2026.</w:t>
      </w:r>
    </w:p>
    <w:p>
      <w:pPr>
        <w:pStyle w:val="BodyText"/>
        <w:spacing w:line="480" w:lineRule="auto"/>
        <w:ind w:firstLine="720"/>
      </w:pPr>
      <w:bookmarkStart w:id="151" w:name="ref-12"/>
      <w:bookmarkEnd w:id="151"/>
      <w:r>
        <w:t xml:space="preserve">12. Space Capital,</w:t>
      </w:r>
      <w:r>
        <w:t xml:space="preserve"> </w:t>
      </w:r>
      <w:r>
        <w:t xml:space="preserve">“Space IQ: Space Investment Quarterly,”</w:t>
      </w:r>
      <w:r>
        <w:t xml:space="preserve"> </w:t>
      </w:r>
      <w:r>
        <w:t xml:space="preserve">Space Capital, 2024.</w:t>
      </w:r>
    </w:p>
    <w:p>
      <w:pPr>
        <w:pStyle w:val="BodyText"/>
        <w:spacing w:line="480" w:lineRule="auto"/>
        <w:ind w:firstLine="720"/>
      </w:pPr>
      <w:bookmarkStart w:id="152" w:name="ref-13"/>
      <w:bookmarkEnd w:id="152"/>
      <w:r>
        <w:t xml:space="preserve">13. M. Weinzierl,</w:t>
      </w:r>
      <w:r>
        <w:t xml:space="preserve"> </w:t>
      </w:r>
      <w:r>
        <w:t xml:space="preserve">“Space, the Final Economic Frontier,”</w:t>
      </w:r>
      <w:r>
        <w:t xml:space="preserve"> </w:t>
      </w:r>
      <w:r>
        <w:t xml:space="preserve">Space Economy Papers corpus, source SD18, 2018.</w:t>
      </w:r>
    </w:p>
    <w:p>
      <w:pPr>
        <w:pStyle w:val="BodyText"/>
        <w:spacing w:line="480" w:lineRule="auto"/>
        <w:ind w:firstLine="720"/>
      </w:pPr>
      <w:bookmarkStart w:id="153" w:name="ref-14"/>
      <w:bookmarkEnd w:id="153"/>
      <w:r>
        <w:t xml:space="preserve">14. Kaitlyn Johnson, Center for Strategic and International Studies; Seamus P. Daniels, Center for Strategic and International Studies. Buying Space: Trends in U.S. SDA Acquisition (2022).</w:t>
      </w:r>
    </w:p>
    <w:p>
      <w:pPr>
        <w:pStyle w:val="BodyText"/>
        <w:spacing w:line="480" w:lineRule="auto"/>
        <w:ind w:firstLine="720"/>
      </w:pPr>
      <w:bookmarkStart w:id="154" w:name="ref-15"/>
      <w:bookmarkEnd w:id="154"/>
      <w:r>
        <w:t xml:space="preserve">15. Miguel Nunes, Hawai?i Space Flight Laboratory, University of Hawai?i at M?noa; Fredrik Bruhn, Unibap AB (publ.), Ma?lardalen University; Robert Wright, Hawaii Institute of Geophysics and Planetology, University of Hawai?i at M?noa; Paul Lucey, Hawaii Institute of Geophysics and Planetology, University of Hawai?i at M?noa; Chiara Ferrari-Wong, Hawaii Institute of Geophysics and Planetology, University of Hawai?i at M?noa; Luke Flynn, Hawai?i Space Flight Laboratory, University of Hawai?i at M?noa; Eric Pilger, Hawai?i Space Flight Laboratory, University of Hawai?i at M?noa; Amber Imai-Hong, Hawai?i Space Flight Laboratory, University of Hawai?i at M?noa; Frances Zhu, Hawai?i Space Flight Laboratory, University of Hawai?i at M?noa; Lance Yoneshige, Hawai?i Space Flight Laboratory, University of Hawai?i at M?noa; Yosef Ben Gershom, Hawai?i Space Flight Laboratory, University of Hawai?i at M?noa; Trevor Sorensen, Hawai?i Space Flight Laboratory, University of Hawai?i at M?noa. Hyperspectral Thermal Imaging CubeSat for SSA Applications (2022).</w:t>
      </w:r>
    </w:p>
    <w:p>
      <w:pPr>
        <w:pStyle w:val="BodyText"/>
        <w:spacing w:line="480" w:lineRule="auto"/>
        <w:ind w:firstLine="720"/>
      </w:pPr>
      <w:bookmarkStart w:id="155" w:name="ref-16"/>
      <w:bookmarkEnd w:id="155"/>
      <w:r>
        <w:t xml:space="preserve">16. Barry Geldzahler (NASA), Dr. Larry D Addario (Jet Propulsion Laboratory), Melanie Ott (NASA Goddard Space Flight Center), Rick Birr (NASA Kennedy Space Center), Gary Woods (NASA Kennedy Space Center), Michael Miller (NASA Kennedy Space Center). High Resolution Radar for NASA and Space Situational Awareness for Observation and Monitoring (2014).</w:t>
      </w:r>
    </w:p>
    <w:p>
      <w:pPr>
        <w:pStyle w:val="BodyText"/>
        <w:spacing w:line="480" w:lineRule="auto"/>
        <w:ind w:firstLine="720"/>
      </w:pPr>
      <w:bookmarkStart w:id="156" w:name="ref-17"/>
      <w:bookmarkEnd w:id="156"/>
      <w:r>
        <w:t xml:space="preserve">17.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57">
        <w:r>
          <w:rPr>
            <w:rStyle w:val="Hyperlink"/>
          </w:rPr>
          <w:t xml:space="preserve">10.64861/XQCN3213</w:t>
        </w:r>
      </w:hyperlink>
    </w:p>
    <w:p>
      <w:pPr>
        <w:pStyle w:val="BodyText"/>
        <w:spacing w:line="480" w:lineRule="auto"/>
        <w:ind w:firstLine="720"/>
      </w:pPr>
      <w:bookmarkStart w:id="158" w:name="ref-18"/>
      <w:bookmarkEnd w:id="158"/>
      <w:r>
        <w:t xml:space="preserve">18.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59" w:name="ref-19"/>
      <w:bookmarkEnd w:id="159"/>
      <w:r>
        <w:t xml:space="preserve">19. Frederick Tarantino, SAF/SQS. Memo on Space Debris Summit and Active Debris Removal (2022).</w:t>
      </w:r>
    </w:p>
    <w:p>
      <w:pPr>
        <w:pStyle w:val="BodyText"/>
        <w:spacing w:line="480" w:lineRule="auto"/>
        <w:ind w:firstLine="720"/>
      </w:pPr>
      <w:bookmarkStart w:id="160" w:name="ref-20"/>
      <w:bookmarkEnd w:id="160"/>
      <w:r>
        <w:t xml:space="preserve">20. Dr. Barry Geldzahler, NASA Headquarters, Chris Bershad, NASA Kennedy Space Center, Robert Brown, NASA Kennedy Space Center, Rachel Cox, NASA Kennedy Space Center, Richard Hoblitzell, NASA Kennedy Space Center, John Kiriazes, NASA Kennedy Space Center, Bruce Ledford, NASA Kennedy Space Center, Michael Miller, NASA Kennedy Space Center, Gary Woods, NASA Kennedy Space Center, Timothy Cornish, Jet Propulsion Laboratory, Dr. Larry D Addario, Jet Propulsion Laboratory, Dr. Faramaz Davarian, Jet Propulsion Laboratory, Dennis Lee, Jet Propulsion Laboratory, David Morabito, Jet Propulsion Laboratory, Philip Tsao, Jet Propulsion Laboratory, Jason Soloff, NASA Johnson Space Flight Center, Dr. Ken Church, Sciperio Inc., Dr. Paul Deffenbaugh, Sciperio Inc., Keith Abernethy, Southern Research Inc., William Anderson, Southern Research Inc., John Collier, Southern Research Inc., Greg Wellen, Southern Research Inc.. A Phased Array of Widely Separated Antennas for Space Communication and Planetary Radar (2017).</w:t>
      </w:r>
    </w:p>
    <w:p>
      <w:pPr>
        <w:pStyle w:val="BodyText"/>
        <w:spacing w:line="480" w:lineRule="auto"/>
        <w:ind w:firstLine="720"/>
      </w:pPr>
      <w:bookmarkStart w:id="161" w:name="ref-21"/>
      <w:bookmarkEnd w:id="161"/>
      <w:r>
        <w:t xml:space="preserve">21. Barry Geldzahler, NASA- HQ. First Results of Coherent Uplink from a Phased Array of Widely Separated Antennas: Steps Toward A Verifiable Real-Time Atmospheric Phase Fluctuation Correction for a High Resolution Radar System (2015).</w:t>
      </w:r>
    </w:p>
    <w:p>
      <w:pPr>
        <w:pStyle w:val="BodyText"/>
        <w:spacing w:line="480" w:lineRule="auto"/>
        <w:ind w:firstLine="720"/>
      </w:pPr>
      <w:bookmarkStart w:id="162" w:name="ref-22"/>
      <w:bookmarkEnd w:id="162"/>
      <w:r>
        <w:t xml:space="preserve">22. Valentina Zancan; Paolo Trucco; Giorgio Locatelli. “Getting things done” or “Doing the right things”? Micro-foundations of product-service strategies in Earth Observation (2026). doi:</w:t>
      </w:r>
      <w:r>
        <w:t xml:space="preserve"> </w:t>
      </w:r>
      <w:hyperlink r:id="rId163">
        <w:r>
          <w:rPr>
            <w:rStyle w:val="Hyperlink"/>
          </w:rPr>
          <w:t xml:space="preserve">10.1016/j.actaastro.2026.01.040</w:t>
        </w:r>
      </w:hyperlink>
    </w:p>
    <w:p>
      <w:pPr>
        <w:pStyle w:val="BodyText"/>
        <w:spacing w:line="480" w:lineRule="auto"/>
        <w:ind w:firstLine="720"/>
      </w:pPr>
      <w:bookmarkStart w:id="164" w:name="ref-23"/>
      <w:bookmarkEnd w:id="164"/>
      <w:r>
        <w:t xml:space="preserve">23. Alessandro Paravano; Giorgio Locatelli; Paolo Trucco. What is value in the New Space Economy? The end-users’ perspective on satellite data and solutions (2023). doi:</w:t>
      </w:r>
      <w:r>
        <w:t xml:space="preserve"> </w:t>
      </w:r>
      <w:hyperlink r:id="rId165">
        <w:r>
          <w:rPr>
            <w:rStyle w:val="Hyperlink"/>
          </w:rPr>
          <w:t xml:space="preserve">10.1016/j.actaastro.2023.05.001</w:t>
        </w:r>
      </w:hyperlink>
    </w:p>
    <w:p>
      <w:pPr>
        <w:pStyle w:val="BodyText"/>
        <w:spacing w:line="480" w:lineRule="auto"/>
        <w:ind w:firstLine="720"/>
      </w:pPr>
      <w:bookmarkStart w:id="166" w:name="ref-24"/>
      <w:bookmarkEnd w:id="166"/>
      <w:r>
        <w:t xml:space="preserve">24. Naoko Sugita. Politics and space: Nakasone Yasuhiro and Japanese space programs (2023). doi:</w:t>
      </w:r>
      <w:r>
        <w:t xml:space="preserve"> </w:t>
      </w:r>
      <w:hyperlink r:id="rId167">
        <w:r>
          <w:rPr>
            <w:rStyle w:val="Hyperlink"/>
          </w:rPr>
          <w:t xml:space="preserve">10.1016/j.actaastro.2023.08.042</w:t>
        </w:r>
      </w:hyperlink>
    </w:p>
    <w:p>
      <w:pPr>
        <w:pStyle w:val="BodyText"/>
        <w:spacing w:line="480" w:lineRule="auto"/>
        <w:ind w:firstLine="720"/>
      </w:pPr>
      <w:bookmarkStart w:id="168" w:name="ref-25"/>
      <w:bookmarkEnd w:id="168"/>
      <w:r>
        <w:t xml:space="preserve">25. Shinichi Takata; Kazuyoshi Hidaka. New public-private partnership based on the interactive collaboration in the space sector (2025). doi:</w:t>
      </w:r>
      <w:r>
        <w:t xml:space="preserve"> </w:t>
      </w:r>
      <w:hyperlink r:id="rId169">
        <w:r>
          <w:rPr>
            <w:rStyle w:val="Hyperlink"/>
          </w:rPr>
          <w:t xml:space="preserve">10.1016/j.actaastro.2025.02.009</w:t>
        </w:r>
      </w:hyperlink>
    </w:p>
    <w:p>
      <w:pPr>
        <w:pStyle w:val="BodyText"/>
        <w:spacing w:line="480" w:lineRule="auto"/>
        <w:ind w:firstLine="720"/>
      </w:pPr>
      <w:bookmarkStart w:id="170" w:name="ref-26"/>
      <w:bookmarkEnd w:id="170"/>
      <w:r>
        <w:t xml:space="preserve">26. Ben McKeown; Andrew G. Dempster; Serkan Saydam; Jeff Coulton. How should potential space resources markets be evaluated? (2026). doi:</w:t>
      </w:r>
      <w:r>
        <w:t xml:space="preserve"> </w:t>
      </w:r>
      <w:hyperlink r:id="rId171">
        <w:r>
          <w:rPr>
            <w:rStyle w:val="Hyperlink"/>
          </w:rPr>
          <w:t xml:space="preserve">10.1016/j.actaastro.2026.03.026</w:t>
        </w:r>
      </w:hyperlink>
    </w:p>
    <w:p>
      <w:pPr>
        <w:pStyle w:val="BodyText"/>
        <w:spacing w:line="480" w:lineRule="auto"/>
        <w:ind w:firstLine="720"/>
      </w:pPr>
      <w:bookmarkStart w:id="172" w:name="ref-27"/>
      <w:bookmarkEnd w:id="172"/>
      <w:r>
        <w:t xml:space="preserve">27. Valentina Zancan; Alessandro Paravano; Giorgio Locatelli; Paolo Trucco. Evolving governance in the space sector: From Legacy Space to New Space models (2024). doi:</w:t>
      </w:r>
      <w:r>
        <w:t xml:space="preserve"> </w:t>
      </w:r>
      <w:hyperlink r:id="rId173">
        <w:r>
          <w:rPr>
            <w:rStyle w:val="Hyperlink"/>
          </w:rPr>
          <w:t xml:space="preserve">10.1016/j.actaastro.2024.09.005</w:t>
        </w:r>
      </w:hyperlink>
    </w:p>
    <w:p>
      <w:pPr>
        <w:pStyle w:val="BodyText"/>
        <w:spacing w:line="480" w:lineRule="auto"/>
        <w:ind w:firstLine="720"/>
      </w:pPr>
      <w:bookmarkStart w:id="174" w:name="ref-28"/>
      <w:bookmarkEnd w:id="174"/>
      <w:r>
        <w:t xml:space="preserve">28. N. L. Chabot; Elena Adams; Andy Rivkin; Jason S. Kalirai. DART: Latest results from the Dimorphos impact and a look forward to future planetary defense initiatives (2024). doi:</w:t>
      </w:r>
      <w:r>
        <w:t xml:space="preserve"> </w:t>
      </w:r>
      <w:hyperlink r:id="rId175">
        <w:r>
          <w:rPr>
            <w:rStyle w:val="Hyperlink"/>
          </w:rPr>
          <w:t xml:space="preserve">10.1016/j.actaastro.2024.04.001</w:t>
        </w:r>
      </w:hyperlink>
    </w:p>
    <w:p>
      <w:pPr>
        <w:pStyle w:val="BodyText"/>
        <w:spacing w:line="480" w:lineRule="auto"/>
        <w:ind w:firstLine="720"/>
      </w:pPr>
      <w:bookmarkStart w:id="176" w:name="ref-29"/>
      <w:bookmarkEnd w:id="176"/>
      <w:r>
        <w:t xml:space="preserve">29. Sebastian Fehrler; Lars Hornuf; Daniel Vrankar. What do citizens expect from space? (2025). doi:</w:t>
      </w:r>
      <w:r>
        <w:t xml:space="preserve"> </w:t>
      </w:r>
      <w:hyperlink r:id="rId177">
        <w:r>
          <w:rPr>
            <w:rStyle w:val="Hyperlink"/>
          </w:rPr>
          <w:t xml:space="preserve">10.1016/j.actaastro.2025.05.056</w:t>
        </w:r>
      </w:hyperlink>
    </w:p>
    <w:bookmarkEnd w:id="178"/>
    <w:bookmarkEnd w:id="179"/>
    <w:bookmarkStart w:id="19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7" w:name="X17966b8af9217876b98131ed0a7c9299064a354"/>
    <w:p>
      <w:pPr>
        <w:pStyle w:val="Heading2"/>
        <w:spacing w:line="480" w:lineRule="auto"/>
      </w:pPr>
      <w:r>
        <w:t xml:space="preserve">A.1 Cadence and Public Investment: Does Lagged NASA Program Funding Crowd In or Crowd Out Commercial Space Investment?</w:t>
      </w:r>
    </w:p>
    <w:p>
      <w:pPr>
        <w:pStyle w:val="FirstParagraph"/>
        <w:spacing w:line="480" w:lineRule="auto"/>
      </w:pPr>
      <m:oMathPara>
        <m:oMathParaPr>
          <m:jc m:val="center"/>
        </m:oMathParaPr>
        <m:oMath>
          <m:sSub>
            <m:e>
              <m:r>
                <m:rPr>
                  <m:nor/>
                  <m:sty m:val="p"/>
                </m:rPr>
                <m:t>PrivInvest</m:t>
              </m:r>
            </m:e>
            <m:sub>
              <m:r>
                <m:t>t</m:t>
              </m:r>
            </m:sub>
          </m:sSub>
          <m:r>
            <m:rPr>
              <m:sty m:val="p"/>
            </m:rPr>
            <m:t>=</m:t>
          </m:r>
          <m:sSub>
            <m:e>
              <m:r>
                <m:t>β</m:t>
              </m:r>
            </m:e>
            <m:sub>
              <m:r>
                <m:t>0</m:t>
              </m:r>
            </m:sub>
          </m:sSub>
          <m:r>
            <m:rPr>
              <m:sty m:val="p"/>
            </m:rPr>
            <m:t>+</m:t>
          </m:r>
          <m:sSub>
            <m:e>
              <m:r>
                <m:t>β</m:t>
              </m:r>
            </m:e>
            <m:sub>
              <m:r>
                <m:t>1</m:t>
              </m:r>
            </m:sub>
          </m:sSub>
          <m:sSub>
            <m:e>
              <m:r>
                <m:rPr>
                  <m:nor/>
                  <m:sty m:val="p"/>
                </m:rPr>
                <m:t>NASABudget</m:t>
              </m:r>
            </m:e>
            <m:sub>
              <m:r>
                <m:t>t</m:t>
              </m:r>
              <m:r>
                <m:rPr>
                  <m:sty m:val="p"/>
                </m:rPr>
                <m:t>−</m:t>
              </m:r>
              <m:r>
                <m:t>1</m:t>
              </m:r>
            </m:sub>
          </m:sSub>
          <m:r>
            <m:rPr>
              <m:sty m:val="p"/>
            </m:rPr>
            <m:t>+</m:t>
          </m:r>
          <m:sSub>
            <m:e>
              <m:r>
                <m:t>β</m:t>
              </m:r>
            </m:e>
            <m:sub>
              <m:r>
                <m:t>2</m:t>
              </m:r>
            </m:sub>
          </m:sSub>
          <m:sSub>
            <m:e>
              <m:r>
                <m:rPr>
                  <m:nor/>
                  <m:sty m:val="p"/>
                </m:rPr>
                <m:t>Deals</m:t>
              </m:r>
            </m:e>
            <m:sub>
              <m:r>
                <m:t>t</m:t>
              </m:r>
            </m:sub>
          </m:sSub>
          <m:r>
            <m:rPr>
              <m:sty m:val="p"/>
            </m:rPr>
            <m:t>+</m:t>
          </m:r>
          <m:sSub>
            <m:e>
              <m:r>
                <m:t>β</m:t>
              </m:r>
            </m:e>
            <m:sub>
              <m:r>
                <m:t>3</m:t>
              </m:r>
            </m:sub>
          </m:sSub>
          <m:sSub>
            <m:e>
              <m:r>
                <m:rPr>
                  <m:nor/>
                  <m:sty m:val="p"/>
                </m:rPr>
                <m:t>Post2015</m:t>
              </m:r>
            </m:e>
            <m:sub>
              <m:r>
                <m:t>t</m:t>
              </m:r>
            </m:sub>
          </m:sSub>
          <m:r>
            <m:rPr>
              <m:sty m:val="p"/>
            </m:rPr>
            <m:t>+</m:t>
          </m:r>
          <m:sSub>
            <m:e>
              <m:r>
                <m:t>ε</m:t>
              </m:r>
            </m:e>
            <m:sub>
              <m:r>
                <m:t>t</m:t>
              </m:r>
            </m:sub>
          </m:sSub>
        </m:oMath>
      </m:oMathPara>
    </w:p>
    <w:bookmarkStart w:id="18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9.2694</w:t>
            </w:r>
          </w:p>
        </w:tc>
        <w:tc>
          <w:tcPr>
            <w:tcW w:w="0" w:type="auto"/>
          </w:tcPr>
          <w:p>
            <w:pPr>
              <w:spacing w:line="240" w:lineRule="auto" w:before="0" w:after="0"/>
              <w:pStyle w:val="Compact"/>
            </w:pPr>
            <w:r>
              <w:rPr>
                <w:sz w:val="20"/>
                <w:szCs w:val="20"/>
              </w:rPr>
              <w:t xml:space="preserve">9.1209</w:t>
            </w:r>
          </w:p>
        </w:tc>
        <w:tc>
          <w:tcPr>
            <w:tcW w:w="0" w:type="auto"/>
          </w:tcPr>
          <w:p>
            <w:pPr>
              <w:spacing w:line="240" w:lineRule="auto" w:before="0" w:after="0"/>
              <w:pStyle w:val="Compact"/>
            </w:pPr>
            <w:r>
              <w:rPr>
                <w:sz w:val="20"/>
                <w:szCs w:val="20"/>
              </w:rPr>
              <w:t xml:space="preserve">1.0163</w:t>
            </w:r>
          </w:p>
        </w:tc>
        <w:tc>
          <w:tcPr>
            <w:tcW w:w="0" w:type="auto"/>
          </w:tcPr>
          <w:p>
            <w:pPr>
              <w:spacing w:line="240" w:lineRule="auto" w:before="0" w:after="0"/>
              <w:pStyle w:val="Compact"/>
            </w:pPr>
            <w:r>
              <w:rPr>
                <w:sz w:val="20"/>
                <w:szCs w:val="20"/>
              </w:rPr>
              <w:t xml:space="preserve">0.3095</w:t>
            </w:r>
          </w:p>
        </w:tc>
        <w:tc>
          <w:tcPr>
            <w:tcW w:w="0" w:type="auto"/>
          </w:tcPr>
          <w:p>
            <w:pPr>
              <w:spacing w:line="240" w:lineRule="auto" w:before="0" w:after="0"/>
              <w:pStyle w:val="Compact"/>
            </w:pPr>
            <w:r>
              <w:rPr>
                <w:sz w:val="20"/>
                <w:szCs w:val="20"/>
              </w:rPr>
              <w:t xml:space="preserve">[-8.6072, 27.146]</w:t>
            </w:r>
          </w:p>
        </w:tc>
      </w:tr>
      <w:tr>
        <w:tc>
          <w:tcPr>
            <w:tcW w:w="0" w:type="auto"/>
          </w:tcPr>
          <w:p>
            <w:pPr>
              <w:spacing w:line="240" w:lineRule="auto" w:before="0" w:after="0"/>
              <w:pStyle w:val="Compact"/>
            </w:pPr>
            <w:r>
              <w:rPr>
                <w:sz w:val="20"/>
                <w:szCs w:val="20"/>
              </w:rPr>
              <w:t xml:space="preserve">nasa_budget_lag1_bn</w:t>
            </w:r>
          </w:p>
        </w:tc>
        <w:tc>
          <w:tcPr>
            <w:tcW w:w="0" w:type="auto"/>
          </w:tcPr>
          <w:p>
            <w:pPr>
              <w:spacing w:line="240" w:lineRule="auto" w:before="0" w:after="0"/>
              <w:pStyle w:val="Compact"/>
            </w:pPr>
            <w:r>
              <w:rPr>
                <w:sz w:val="20"/>
                <w:szCs w:val="20"/>
              </w:rPr>
              <w:t xml:space="preserve">-0.6156</w:t>
            </w:r>
          </w:p>
        </w:tc>
        <w:tc>
          <w:tcPr>
            <w:tcW w:w="0" w:type="auto"/>
          </w:tcPr>
          <w:p>
            <w:pPr>
              <w:spacing w:line="240" w:lineRule="auto" w:before="0" w:after="0"/>
              <w:pStyle w:val="Compact"/>
            </w:pPr>
            <w:r>
              <w:rPr>
                <w:sz w:val="20"/>
                <w:szCs w:val="20"/>
              </w:rPr>
              <w:t xml:space="preserve">0.5491</w:t>
            </w:r>
          </w:p>
        </w:tc>
        <w:tc>
          <w:tcPr>
            <w:tcW w:w="0" w:type="auto"/>
          </w:tcPr>
          <w:p>
            <w:pPr>
              <w:spacing w:line="240" w:lineRule="auto" w:before="0" w:after="0"/>
              <w:pStyle w:val="Compact"/>
            </w:pPr>
            <w:r>
              <w:rPr>
                <w:sz w:val="20"/>
                <w:szCs w:val="20"/>
              </w:rPr>
              <w:t xml:space="preserve">-1.1212</w:t>
            </w:r>
          </w:p>
        </w:tc>
        <w:tc>
          <w:tcPr>
            <w:tcW w:w="0" w:type="auto"/>
          </w:tcPr>
          <w:p>
            <w:pPr>
              <w:spacing w:line="240" w:lineRule="auto" w:before="0" w:after="0"/>
              <w:pStyle w:val="Compact"/>
            </w:pPr>
            <w:r>
              <w:rPr>
                <w:sz w:val="20"/>
                <w:szCs w:val="20"/>
              </w:rPr>
              <w:t xml:space="preserve">0.2622</w:t>
            </w:r>
          </w:p>
        </w:tc>
        <w:tc>
          <w:tcPr>
            <w:tcW w:w="0" w:type="auto"/>
          </w:tcPr>
          <w:p>
            <w:pPr>
              <w:spacing w:line="240" w:lineRule="auto" w:before="0" w:after="0"/>
              <w:pStyle w:val="Compact"/>
            </w:pPr>
            <w:r>
              <w:rPr>
                <w:sz w:val="20"/>
                <w:szCs w:val="20"/>
              </w:rPr>
              <w:t xml:space="preserve">[-1.6918, 0.4605]</w:t>
            </w:r>
          </w:p>
        </w:tc>
      </w:tr>
      <w:tr>
        <w:tc>
          <w:tcPr>
            <w:tcW w:w="0" w:type="auto"/>
          </w:tcPr>
          <w:p>
            <w:pPr>
              <w:spacing w:line="240" w:lineRule="auto" w:before="0" w:after="0"/>
              <w:pStyle w:val="Compact"/>
            </w:pPr>
            <w:r>
              <w:rPr>
                <w:sz w:val="20"/>
                <w:szCs w:val="20"/>
              </w:rPr>
              <w:t xml:space="preserve">deals</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0.019</w:t>
            </w:r>
          </w:p>
        </w:tc>
        <w:tc>
          <w:tcPr>
            <w:tcW w:w="0" w:type="auto"/>
          </w:tcPr>
          <w:p>
            <w:pPr>
              <w:spacing w:line="240" w:lineRule="auto" w:before="0" w:after="0"/>
              <w:pStyle w:val="Compact"/>
            </w:pPr>
            <w:r>
              <w:rPr>
                <w:sz w:val="20"/>
                <w:szCs w:val="20"/>
              </w:rPr>
              <w:t xml:space="preserve">3.9905</w:t>
            </w:r>
          </w:p>
        </w:tc>
        <w:tc>
          <w:tcPr>
            <w:tcW w:w="0" w:type="auto"/>
          </w:tcPr>
          <w:p>
            <w:pPr>
              <w:spacing w:line="240" w:lineRule="auto" w:before="0" w:after="0"/>
              <w:pStyle w:val="Compact"/>
            </w:pPr>
            <w:r>
              <w:rPr>
                <w:sz w:val="20"/>
                <w:szCs w:val="20"/>
              </w:rPr>
              <w:t xml:space="preserve">6.593e-05</w:t>
            </w:r>
          </w:p>
        </w:tc>
        <w:tc>
          <w:tcPr>
            <w:tcW w:w="0" w:type="auto"/>
          </w:tcPr>
          <w:p>
            <w:pPr>
              <w:spacing w:line="240" w:lineRule="auto" w:before="0" w:after="0"/>
              <w:pStyle w:val="Compact"/>
            </w:pPr>
            <w:r>
              <w:rPr>
                <w:sz w:val="20"/>
                <w:szCs w:val="20"/>
              </w:rPr>
              <w:t xml:space="preserve">[0.0386, 0.1132]</w:t>
            </w:r>
          </w:p>
        </w:tc>
      </w:tr>
      <w:tr>
        <w:tc>
          <w:tcPr>
            <w:tcW w:w="0" w:type="auto"/>
          </w:tcPr>
          <w:p>
            <w:pPr>
              <w:spacing w:line="240" w:lineRule="auto" w:before="0" w:after="0"/>
              <w:pStyle w:val="Compact"/>
            </w:pPr>
            <w:r>
              <w:rPr>
                <w:sz w:val="20"/>
                <w:szCs w:val="20"/>
              </w:rPr>
              <w:t xml:space="preserve">post2015</w:t>
            </w:r>
          </w:p>
        </w:tc>
        <w:tc>
          <w:tcPr>
            <w:tcW w:w="0" w:type="auto"/>
          </w:tcPr>
          <w:p>
            <w:pPr>
              <w:spacing w:line="240" w:lineRule="auto" w:before="0" w:after="0"/>
              <w:pStyle w:val="Compact"/>
            </w:pPr>
            <w:r>
              <w:rPr>
                <w:sz w:val="20"/>
                <w:szCs w:val="20"/>
              </w:rPr>
              <w:t xml:space="preserve">-0.4402</w:t>
            </w:r>
          </w:p>
        </w:tc>
        <w:tc>
          <w:tcPr>
            <w:tcW w:w="0" w:type="auto"/>
          </w:tcPr>
          <w:p>
            <w:pPr>
              <w:spacing w:line="240" w:lineRule="auto" w:before="0" w:after="0"/>
              <w:pStyle w:val="Compact"/>
            </w:pPr>
            <w:r>
              <w:rPr>
                <w:sz w:val="20"/>
                <w:szCs w:val="20"/>
              </w:rPr>
              <w:t xml:space="preserve">0.5863</w:t>
            </w:r>
          </w:p>
        </w:tc>
        <w:tc>
          <w:tcPr>
            <w:tcW w:w="0" w:type="auto"/>
          </w:tcPr>
          <w:p>
            <w:pPr>
              <w:spacing w:line="240" w:lineRule="auto" w:before="0" w:after="0"/>
              <w:pStyle w:val="Compact"/>
            </w:pPr>
            <w:r>
              <w:rPr>
                <w:sz w:val="20"/>
                <w:szCs w:val="20"/>
              </w:rPr>
              <w:t xml:space="preserve">-0.7508</w:t>
            </w:r>
          </w:p>
        </w:tc>
        <w:tc>
          <w:tcPr>
            <w:tcW w:w="0" w:type="auto"/>
          </w:tcPr>
          <w:p>
            <w:pPr>
              <w:spacing w:line="240" w:lineRule="auto" w:before="0" w:after="0"/>
              <w:pStyle w:val="Compact"/>
            </w:pPr>
            <w:r>
              <w:rPr>
                <w:sz w:val="20"/>
                <w:szCs w:val="20"/>
              </w:rPr>
              <w:t xml:space="preserve">0.4528</w:t>
            </w:r>
          </w:p>
        </w:tc>
        <w:tc>
          <w:tcPr>
            <w:tcW w:w="0" w:type="auto"/>
          </w:tcPr>
          <w:p>
            <w:pPr>
              <w:spacing w:line="240" w:lineRule="auto" w:before="0" w:after="0"/>
              <w:pStyle w:val="Compact"/>
            </w:pPr>
            <w:r>
              <w:rPr>
                <w:sz w:val="20"/>
                <w:szCs w:val="20"/>
              </w:rPr>
              <w:t xml:space="preserve">[-1.5893, 0.7089]</w:t>
            </w:r>
          </w:p>
        </w:tc>
      </w:tr>
    </w:tbl>
    <w:p>
      <w:pPr>
        <w:pStyle w:val="BodyText"/>
        <w:spacing w:line="480" w:lineRule="auto"/>
        <w:ind w:firstLine="720"/>
      </w:pPr>
      <w:r>
        <w:t xml:space="preserve">Fit: N = 16 R2 = 0.9345 R2_adj = 0.9181 F = 39.4011 F_p = 1.725e-06</w:t>
      </w:r>
    </w:p>
    <w:bookmarkEnd w:id="180"/>
    <w:bookmarkStart w:id="18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agged NASA program funding versus annual commercial start-up space investment, 2009-2024. Each point is one year; the fitted line is the bivariate OLS slope before market-breadth and commercial-era controls." title="" id="182" name="Picture"/>
            <a:graphic>
              <a:graphicData uri="http://schemas.openxmlformats.org/drawingml/2006/picture">
                <pic:pic>
                  <pic:nvPicPr>
                    <pic:cNvPr descr="D:/Claude_Code/brain/collegium/candidates/dissertations/LAUNCH_REG_13/research_papers/p1/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Lagged NASA program funding versus annual commercial start-up space investment, 2009-2024. Each point is one year; the fitted line is the bivariate OLS slope before market-breadth and commercial-era controls.</w:t>
      </w:r>
    </w:p>
    <w:bookmarkEnd w:id="184"/>
    <w:bookmarkStart w:id="18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nasa_budget_bn</w:t>
            </w:r>
          </w:p>
        </w:tc>
        <w:tc>
          <w:tcPr>
            <w:tcW w:w="0" w:type="auto"/>
          </w:tcPr>
          <w:p>
            <w:pPr>
              <w:spacing w:line="240" w:lineRule="auto" w:before="0" w:after="0"/>
              <w:pStyle w:val="Compact"/>
            </w:pPr>
            <w:r>
              <w:rPr>
                <w:sz w:val="20"/>
                <w:szCs w:val="20"/>
              </w:rPr>
              <w:t xml:space="preserve">nasa_budget_lag1_bn</w:t>
            </w:r>
          </w:p>
        </w:tc>
        <w:tc>
          <w:tcPr>
            <w:tcW w:w="0" w:type="auto"/>
          </w:tcPr>
          <w:p>
            <w:pPr>
              <w:spacing w:line="240" w:lineRule="auto" w:before="0" w:after="0"/>
              <w:pStyle w:val="Compact"/>
            </w:pPr>
            <w:r>
              <w:rPr>
                <w:sz w:val="20"/>
                <w:szCs w:val="20"/>
              </w:rPr>
              <w:t xml:space="preserve">priv_invest_bn</w:t>
            </w:r>
          </w:p>
        </w:tc>
        <w:tc>
          <w:tcPr>
            <w:tcW w:w="0" w:type="auto"/>
          </w:tcPr>
          <w:p>
            <w:pPr>
              <w:spacing w:line="240" w:lineRule="auto" w:before="0" w:after="0"/>
              <w:pStyle w:val="Compact"/>
            </w:pPr>
            <w:r>
              <w:rPr>
                <w:sz w:val="20"/>
                <w:szCs w:val="20"/>
              </w:rPr>
              <w:t xml:space="preserve">deals</w:t>
            </w:r>
          </w:p>
        </w:tc>
        <w:tc>
          <w:tcPr>
            <w:tcW w:w="0" w:type="auto"/>
          </w:tcPr>
          <w:p>
            <w:pPr>
              <w:spacing w:line="240" w:lineRule="auto" w:before="0" w:after="0"/>
              <w:pStyle w:val="Compact"/>
            </w:pPr>
            <w:r>
              <w:rPr>
                <w:sz w:val="20"/>
                <w:szCs w:val="20"/>
              </w:rPr>
              <w:t xml:space="preserve">post2015</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17.78</w:t>
            </w:r>
          </w:p>
        </w:tc>
        <w:tc>
          <w:tcPr>
            <w:tcW w:w="0" w:type="auto"/>
          </w:tcPr>
          <w:p>
            <w:pPr>
              <w:spacing w:line="240" w:lineRule="auto" w:before="0" w:after="0"/>
              <w:pStyle w:val="Compact"/>
            </w:pPr>
            <w:r>
              <w:rPr>
                <w:sz w:val="20"/>
                <w:szCs w:val="20"/>
              </w:rPr>
              <w:t xml:space="preserve">17.31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then-year USD); priv_invest/deals: BryceTech (Tauri) Start-Up Space 2020, annual startup-space financing series</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18.72</w:t>
            </w:r>
          </w:p>
        </w:tc>
        <w:tc>
          <w:tcPr>
            <w:tcW w:w="0" w:type="auto"/>
          </w:tcPr>
          <w:p>
            <w:pPr>
              <w:spacing w:line="240" w:lineRule="auto" w:before="0" w:after="0"/>
              <w:pStyle w:val="Compact"/>
            </w:pPr>
            <w:r>
              <w:rPr>
                <w:sz w:val="20"/>
                <w:szCs w:val="20"/>
              </w:rPr>
              <w:t xml:space="preserve">17.78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priv_invest/deals: BryceTech Start-Up Space 2020 annual series</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18.45</w:t>
            </w:r>
          </w:p>
        </w:tc>
        <w:tc>
          <w:tcPr>
            <w:tcW w:w="0" w:type="auto"/>
          </w:tcPr>
          <w:p>
            <w:pPr>
              <w:spacing w:line="240" w:lineRule="auto" w:before="0" w:after="0"/>
              <w:pStyle w:val="Compact"/>
            </w:pPr>
            <w:r>
              <w:rPr>
                <w:sz w:val="20"/>
                <w:szCs w:val="20"/>
              </w:rPr>
              <w:t xml:space="preserve">18.72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priv_invest/deals: BryceTech Start-Up Space 2020 annual series</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17.77</w:t>
            </w:r>
          </w:p>
        </w:tc>
        <w:tc>
          <w:tcPr>
            <w:tcW w:w="0" w:type="auto"/>
          </w:tcPr>
          <w:p>
            <w:pPr>
              <w:spacing w:line="240" w:lineRule="auto" w:before="0" w:after="0"/>
              <w:pStyle w:val="Compact"/>
            </w:pPr>
            <w:r>
              <w:rPr>
                <w:sz w:val="20"/>
                <w:szCs w:val="20"/>
              </w:rPr>
              <w:t xml:space="preserve">18.45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$17,773M); priv_invest/deals: BryceTech Start-Up Space 2020 annual series</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16.87</w:t>
            </w:r>
          </w:p>
        </w:tc>
        <w:tc>
          <w:tcPr>
            <w:tcW w:w="0" w:type="auto"/>
          </w:tcPr>
          <w:p>
            <w:pPr>
              <w:spacing w:line="240" w:lineRule="auto" w:before="0" w:after="0"/>
              <w:pStyle w:val="Compact"/>
            </w:pPr>
            <w:r>
              <w:rPr>
                <w:sz w:val="20"/>
                <w:szCs w:val="20"/>
              </w:rPr>
              <w:t xml:space="preserve">17.77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$16,865M); priv_invest/deals: BryceTech Start-Up Space 2023 (tracks 2000-2022) annual series</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17.65</w:t>
            </w:r>
          </w:p>
        </w:tc>
        <w:tc>
          <w:tcPr>
            <w:tcW w:w="0" w:type="auto"/>
          </w:tcPr>
          <w:p>
            <w:pPr>
              <w:spacing w:line="240" w:lineRule="auto" w:before="0" w:after="0"/>
              <w:pStyle w:val="Compact"/>
            </w:pPr>
            <w:r>
              <w:rPr>
                <w:sz w:val="20"/>
                <w:szCs w:val="20"/>
              </w:rPr>
              <w:t xml:space="preserve">16.87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budget: Wikipedia Budget of NASA (enacted, $17,646M); priv_invest/deals: BryceTech Start-Up Space 2020 annual series</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18.01</w:t>
            </w:r>
          </w:p>
        </w:tc>
        <w:tc>
          <w:tcPr>
            <w:tcW w:w="0" w:type="auto"/>
          </w:tcPr>
          <w:p>
            <w:pPr>
              <w:spacing w:line="240" w:lineRule="auto" w:before="0" w:after="0"/>
              <w:pStyle w:val="Compact"/>
            </w:pPr>
            <w:r>
              <w:rPr>
                <w:sz w:val="20"/>
                <w:szCs w:val="20"/>
              </w:rPr>
              <w:t xml:space="preserve">17.65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$18,010M); priv_invest/deals: BryceTech Start-Up Space 2025 chart (2015-2024 startup-space investment), 2015=$2B</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19.29</w:t>
            </w:r>
          </w:p>
        </w:tc>
        <w:tc>
          <w:tcPr>
            <w:tcW w:w="0" w:type="auto"/>
          </w:tcPr>
          <w:p>
            <w:pPr>
              <w:spacing w:line="240" w:lineRule="auto" w:before="0" w:after="0"/>
              <w:pStyle w:val="Compact"/>
            </w:pPr>
            <w:r>
              <w:rPr>
                <w:sz w:val="20"/>
                <w:szCs w:val="20"/>
              </w:rPr>
              <w:t xml:space="preserve">18.01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$19,285M); priv_invest: BryceTech Start-Up Space ($3B in 2016, ex-debt $2.8B); deals from BryceTech series</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19.29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$19,653M); priv_invest: BryceTech Start-Up Space 2020 Table E-1 (Seed/Prize/Grant $563.17M + Venture $1,674.17M + other), ~$2.5B 2017; deals BryceTech</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20.74</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$20,736M); priv_invest: BryceTech Start-Up Space 2020 Table E-1 (Seed/Prize/Grant $998.66M + Venture $2,073.07M + other), ~$3.2B 2018; deals BryceTech</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20.74</w:t>
            </w:r>
          </w:p>
        </w:tc>
        <w:tc>
          <w:tcPr>
            <w:tcW w:w="0" w:type="auto"/>
          </w:tcPr>
          <w:p>
            <w:pPr>
              <w:spacing w:line="240" w:lineRule="auto" w:before="0" w:after="0"/>
              <w:pStyle w:val="Compact"/>
            </w:pPr>
            <w:r>
              <w:rPr>
                <w:sz w:val="20"/>
                <w:szCs w:val="20"/>
              </w:rPr>
              <w:t xml:space="preserve">20.74</w:t>
            </w:r>
          </w:p>
        </w:tc>
        <w:tc>
          <w:tcPr>
            <w:tcW w:w="0" w:type="auto"/>
          </w:tcPr>
          <w:p>
            <w:pPr>
              <w:spacing w:line="240" w:lineRule="auto" w:before="0" w:after="0"/>
              <w:pStyle w:val="Compact"/>
            </w:pPr>
            <w:r>
              <w:rPr>
                <w:sz w:val="20"/>
                <w:szCs w:val="20"/>
              </w:rPr>
              <w:t xml:space="preserve">5.74</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FY2019 $21,500M reported elsewhere, $20.7B continuing); priv_invest: BryceTech Start-Up Space 2020 (record, Venture $4,043.68M + Seed $1,308.83M + other); 135 ventures/deals 2019</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22.63</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$22,629M); priv_invest: BryceTech Start-Up Space 2021 (2020 record $7.7B); deals BryceTech 2021 series</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23.27</w:t>
            </w:r>
          </w:p>
        </w:tc>
        <w:tc>
          <w:tcPr>
            <w:tcW w:w="0" w:type="auto"/>
          </w:tcPr>
          <w:p>
            <w:pPr>
              <w:spacing w:line="240" w:lineRule="auto" w:before="0" w:after="0"/>
              <w:pStyle w:val="Compact"/>
            </w:pPr>
            <w:r>
              <w:rPr>
                <w:sz w:val="20"/>
                <w:szCs w:val="20"/>
              </w:rPr>
              <w:t xml:space="preserve">22.63</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$23,271M); priv_invest: BryceTech Start-Up Space 2022 (2021 record $15.4B financing); 241 deals (BryceTech 2023)</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24.04</w:t>
            </w:r>
          </w:p>
        </w:tc>
        <w:tc>
          <w:tcPr>
            <w:tcW w:w="0" w:type="auto"/>
          </w:tcPr>
          <w:p>
            <w:pPr>
              <w:spacing w:line="240" w:lineRule="auto" w:before="0" w:after="0"/>
              <w:pStyle w:val="Compact"/>
            </w:pPr>
            <w:r>
              <w:rPr>
                <w:sz w:val="20"/>
                <w:szCs w:val="20"/>
              </w:rPr>
              <w:t xml:space="preserve">23.27</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$24,041M); priv_invest: BryceTech Start-Up Space 2023 ($8.2B total, 154 deals, 123 companies)</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25.38</w:t>
            </w:r>
          </w:p>
        </w:tc>
        <w:tc>
          <w:tcPr>
            <w:tcW w:w="0" w:type="auto"/>
          </w:tcPr>
          <w:p>
            <w:pPr>
              <w:spacing w:line="240" w:lineRule="auto" w:before="0" w:after="0"/>
              <w:pStyle w:val="Compact"/>
            </w:pPr>
            <w:r>
              <w:rPr>
                <w:sz w:val="20"/>
                <w:szCs w:val="20"/>
              </w:rPr>
              <w:t xml:space="preserve">24.04</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$25,384M); priv_invest: Space Capital Space IQ / BryceTech ($12.5B total space-sector startup financing 2023); 242 deals (BryceTech 2025, 2023 ref)</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24.88</w:t>
            </w:r>
          </w:p>
        </w:tc>
        <w:tc>
          <w:tcPr>
            <w:tcW w:w="0" w:type="auto"/>
          </w:tcPr>
          <w:p>
            <w:pPr>
              <w:spacing w:line="240" w:lineRule="auto" w:before="0" w:after="0"/>
              <w:pStyle w:val="Compact"/>
            </w:pPr>
            <w:r>
              <w:rPr>
                <w:sz w:val="20"/>
                <w:szCs w:val="20"/>
              </w:rPr>
              <w:t xml:space="preserve">25.38</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budget: Wikipedia Budget of NASA (enacted, $24,875M); priv_invest: BryceTech Start-Up Space 2025 ($7.8B 2024 total, 220 deals)</w:t>
            </w:r>
          </w:p>
        </w:tc>
      </w:tr>
    </w:tbl>
    <w:bookmarkEnd w:id="185"/>
    <w:bookmarkStart w:id="18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priv_invest_bn</w:t>
            </w:r>
          </w:p>
        </w:tc>
        <w:tc>
          <w:tcPr>
            <w:tcW w:w="0" w:type="auto"/>
          </w:tcPr>
          <w:p>
            <w:pPr>
              <w:spacing w:line="240" w:lineRule="auto" w:before="0" w:after="0"/>
              <w:pStyle w:val="Compact"/>
            </w:pPr>
            <w:r>
              <w:rPr>
                <w:sz w:val="20"/>
                <w:szCs w:val="20"/>
              </w:rPr>
              <w:t xml:space="preserve">Total annual start-up space investment, then-year billions USD (dependent variable)</w:t>
            </w:r>
          </w:p>
        </w:tc>
        <w:tc>
          <w:tcPr>
            <w:tcW w:w="0" w:type="auto"/>
          </w:tcPr>
          <w:p>
            <w:pPr>
              <w:spacing w:line="240" w:lineRule="auto" w:before="0" w:after="0"/>
              <w:pStyle w:val="Compact"/>
            </w:pPr>
            <w:r>
              <w:rPr>
                <w:sz w:val="20"/>
                <w:szCs w:val="20"/>
              </w:rPr>
              <w:t xml:space="preserve">BryceTech Start-Up Space report series (2018-2025); Space Capital Space IQ</w:t>
            </w:r>
          </w:p>
        </w:tc>
      </w:tr>
      <w:tr>
        <w:tc>
          <w:tcPr>
            <w:tcW w:w="0" w:type="auto"/>
          </w:tcPr>
          <w:p>
            <w:pPr>
              <w:spacing w:line="240" w:lineRule="auto" w:before="0" w:after="0"/>
              <w:pStyle w:val="Compact"/>
            </w:pPr>
            <w:r>
              <w:rPr>
                <w:sz w:val="20"/>
                <w:szCs w:val="20"/>
              </w:rPr>
              <w:t xml:space="preserve">nasa_budget_lag1_bn</w:t>
            </w:r>
          </w:p>
        </w:tc>
        <w:tc>
          <w:tcPr>
            <w:tcW w:w="0" w:type="auto"/>
          </w:tcPr>
          <w:p>
            <w:pPr>
              <w:spacing w:line="240" w:lineRule="auto" w:before="0" w:after="0"/>
              <w:pStyle w:val="Compact"/>
            </w:pPr>
            <w:r>
              <w:rPr>
                <w:sz w:val="20"/>
                <w:szCs w:val="20"/>
              </w:rPr>
              <w:t xml:space="preserve">NASA enacted appropriation in the prior fiscal year, then-year billions USD (one-year lag)</w:t>
            </w:r>
          </w:p>
        </w:tc>
        <w:tc>
          <w:tcPr>
            <w:tcW w:w="0" w:type="auto"/>
          </w:tcPr>
          <w:p>
            <w:pPr>
              <w:spacing w:line="240" w:lineRule="auto" w:before="0" w:after="0"/>
              <w:pStyle w:val="Compact"/>
            </w:pPr>
            <w:r>
              <w:rPr>
                <w:sz w:val="20"/>
                <w:szCs w:val="20"/>
              </w:rPr>
              <w:t xml:space="preserve">Wikipedia Budget of NASA (enacted figures); The Planetary Society NASA budget dataset</w:t>
            </w:r>
          </w:p>
        </w:tc>
      </w:tr>
      <w:tr>
        <w:tc>
          <w:tcPr>
            <w:tcW w:w="0" w:type="auto"/>
          </w:tcPr>
          <w:p>
            <w:pPr>
              <w:spacing w:line="240" w:lineRule="auto" w:before="0" w:after="0"/>
              <w:pStyle w:val="Compact"/>
            </w:pPr>
            <w:r>
              <w:rPr>
                <w:sz w:val="20"/>
                <w:szCs w:val="20"/>
              </w:rPr>
              <w:t xml:space="preserve">deals</w:t>
            </w:r>
          </w:p>
        </w:tc>
        <w:tc>
          <w:tcPr>
            <w:tcW w:w="0" w:type="auto"/>
          </w:tcPr>
          <w:p>
            <w:pPr>
              <w:spacing w:line="240" w:lineRule="auto" w:before="0" w:after="0"/>
              <w:pStyle w:val="Compact"/>
            </w:pPr>
            <w:r>
              <w:rPr>
                <w:sz w:val="20"/>
                <w:szCs w:val="20"/>
              </w:rPr>
              <w:t xml:space="preserve">Number of disclosed start-up space investment deals in year t (market-breadth control)</w:t>
            </w:r>
          </w:p>
        </w:tc>
        <w:tc>
          <w:tcPr>
            <w:tcW w:w="0" w:type="auto"/>
          </w:tcPr>
          <w:p>
            <w:pPr>
              <w:spacing w:line="240" w:lineRule="auto" w:before="0" w:after="0"/>
              <w:pStyle w:val="Compact"/>
            </w:pPr>
            <w:r>
              <w:rPr>
                <w:sz w:val="20"/>
                <w:szCs w:val="20"/>
              </w:rPr>
              <w:t xml:space="preserve">BryceTech Start-Up Space report series (2020-2025)</w:t>
            </w:r>
          </w:p>
        </w:tc>
      </w:tr>
      <w:tr>
        <w:tc>
          <w:tcPr>
            <w:tcW w:w="0" w:type="auto"/>
          </w:tcPr>
          <w:p>
            <w:pPr>
              <w:spacing w:line="240" w:lineRule="auto" w:before="0" w:after="0"/>
              <w:pStyle w:val="Compact"/>
            </w:pPr>
            <w:r>
              <w:rPr>
                <w:sz w:val="20"/>
                <w:szCs w:val="20"/>
              </w:rPr>
              <w:t xml:space="preserve">post2015</w:t>
            </w:r>
          </w:p>
        </w:tc>
        <w:tc>
          <w:tcPr>
            <w:tcW w:w="0" w:type="auto"/>
          </w:tcPr>
          <w:p>
            <w:pPr>
              <w:spacing w:line="240" w:lineRule="auto" w:before="0" w:after="0"/>
              <w:pStyle w:val="Compact"/>
            </w:pPr>
            <w:r>
              <w:rPr>
                <w:sz w:val="20"/>
                <w:szCs w:val="20"/>
              </w:rPr>
              <w:t xml:space="preserve">Indicator equal to 1 for years 2015 and later (commercial-era structural shift control)</w:t>
            </w:r>
          </w:p>
        </w:tc>
        <w:tc>
          <w:tcPr>
            <w:tcW w:w="0" w:type="auto"/>
          </w:tcPr>
          <w:p>
            <w:pPr>
              <w:spacing w:line="240" w:lineRule="auto" w:before="0" w:after="0"/>
              <w:pStyle w:val="Compact"/>
            </w:pPr>
            <w:r>
              <w:rPr>
                <w:sz w:val="20"/>
                <w:szCs w:val="20"/>
              </w:rPr>
              <w:t xml:space="preserve">Author coding following BryceTech New-Space transition narrative</w:t>
            </w:r>
          </w:p>
        </w:tc>
      </w:tr>
    </w:tbl>
    <w:bookmarkEnd w:id="186"/>
    <w:bookmarkEnd w:id="187"/>
    <w:bookmarkStart w:id="195" w:name="X5b75e68d5e4b0a0c8246b91bf793b9754ea2147"/>
    <w:p>
      <w:pPr>
        <w:pStyle w:val="Heading2"/>
        <w:spacing w:line="480" w:lineRule="auto"/>
      </w:pPr>
      <w:r>
        <w:t xml:space="preserve">A.2 Does Cadence Buy Cost? A Wright’s-Law Test of Cumulative Launch Experience and Unit Cost in the NASA-Anchored Launch Sector</w:t>
      </w:r>
    </w:p>
    <w:p>
      <w:pPr>
        <w:pStyle w:val="FirstParagraph"/>
        <w:spacing w:line="480" w:lineRule="auto"/>
      </w:pPr>
      <m:oMathPara>
        <m:oMathParaPr>
          <m:jc m:val="center"/>
        </m:oMathParaPr>
        <m:oMath>
          <m:r>
            <m:rPr>
              <m:sty m:val="p"/>
            </m:rPr>
            <m:t>ln</m:t>
          </m:r>
          <m:r>
            <m:rPr>
              <m:sty m:val="p"/>
            </m:rPr>
            <m:t>(</m:t>
          </m:r>
          <m:sSub>
            <m:e>
              <m:r>
                <m:rPr>
                  <m:nor/>
                  <m:sty m:val="p"/>
                </m:rPr>
                <m:t>cost_per_kg_leo</m:t>
              </m:r>
            </m:e>
            <m:sub>
              <m:r>
                <m:t>i</m:t>
              </m:r>
            </m:sub>
          </m:sSub>
          <m:r>
            <m:rPr>
              <m:sty m:val="p"/>
            </m:rPr>
            <m:t>)</m:t>
          </m:r>
          <m:r>
            <m:rPr>
              <m:sty m:val="p"/>
            </m:rPr>
            <m:t>=</m:t>
          </m:r>
          <m:r>
            <m:t>α</m:t>
          </m:r>
          <m:r>
            <m:rPr>
              <m:sty m:val="p"/>
            </m:rPr>
            <m:t>+</m:t>
          </m:r>
          <m:r>
            <m:t>β</m:t>
          </m:r>
          <m:r>
            <m:rPr>
              <m:sty m:val="p"/>
            </m:rPr>
            <m:t>ln</m:t>
          </m:r>
          <m:r>
            <m:rPr>
              <m:sty m:val="p"/>
            </m:rPr>
            <m:t>(</m:t>
          </m:r>
          <m:sSub>
            <m:e>
              <m:r>
                <m:rPr>
                  <m:nor/>
                  <m:sty m:val="p"/>
                </m:rPr>
                <m:t>cum_launches</m:t>
              </m:r>
            </m:e>
            <m:sub>
              <m:r>
                <m:t>i</m:t>
              </m:r>
            </m:sub>
          </m:sSub>
          <m:r>
            <m:rPr>
              <m:sty m:val="p"/>
            </m:rPr>
            <m:t>)</m:t>
          </m:r>
          <m:r>
            <m:rPr>
              <m:sty m:val="p"/>
            </m:rPr>
            <m:t>+</m:t>
          </m:r>
          <m:sSub>
            <m:e>
              <m:r>
                <m:t>ε</m:t>
              </m:r>
            </m:e>
            <m:sub>
              <m:r>
                <m:t>i</m:t>
              </m:r>
            </m:sub>
          </m:sSub>
        </m:oMath>
      </m:oMathPara>
    </w:p>
    <w:bookmarkStart w:id="18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9.6602</w:t>
            </w:r>
          </w:p>
        </w:tc>
        <w:tc>
          <w:tcPr>
            <w:tcW w:w="0" w:type="auto"/>
          </w:tcPr>
          <w:p>
            <w:pPr>
              <w:spacing w:line="240" w:lineRule="auto" w:before="0" w:after="0"/>
              <w:pStyle w:val="Compact"/>
            </w:pPr>
            <w:r>
              <w:rPr>
                <w:sz w:val="20"/>
                <w:szCs w:val="20"/>
              </w:rPr>
              <w:t xml:space="preserve">0.5183</w:t>
            </w:r>
          </w:p>
        </w:tc>
        <w:tc>
          <w:tcPr>
            <w:tcW w:w="0" w:type="auto"/>
          </w:tcPr>
          <w:p>
            <w:pPr>
              <w:spacing w:line="240" w:lineRule="auto" w:before="0" w:after="0"/>
              <w:pStyle w:val="Compact"/>
            </w:pPr>
            <w:r>
              <w:rPr>
                <w:sz w:val="20"/>
                <w:szCs w:val="20"/>
              </w:rPr>
              <w:t xml:space="preserve">18.6393</w:t>
            </w:r>
          </w:p>
        </w:tc>
        <w:tc>
          <w:tcPr>
            <w:tcW w:w="0" w:type="auto"/>
          </w:tcPr>
          <w:p>
            <w:pPr>
              <w:spacing w:line="240" w:lineRule="auto" w:before="0" w:after="0"/>
              <w:pStyle w:val="Compact"/>
            </w:pPr>
            <w:r>
              <w:rPr>
                <w:sz w:val="20"/>
                <w:szCs w:val="20"/>
              </w:rPr>
              <w:t xml:space="preserve">1.541e-77</w:t>
            </w:r>
          </w:p>
        </w:tc>
        <w:tc>
          <w:tcPr>
            <w:tcW w:w="0" w:type="auto"/>
          </w:tcPr>
          <w:p>
            <w:pPr>
              <w:spacing w:line="240" w:lineRule="auto" w:before="0" w:after="0"/>
              <w:pStyle w:val="Compact"/>
            </w:pPr>
            <w:r>
              <w:rPr>
                <w:sz w:val="20"/>
                <w:szCs w:val="20"/>
              </w:rPr>
              <w:t xml:space="preserve">[8.6444, 10.676]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-0.1197</w:t>
            </w:r>
          </w:p>
        </w:tc>
        <w:tc>
          <w:tcPr>
            <w:tcW w:w="0" w:type="auto"/>
          </w:tcPr>
          <w:p>
            <w:pPr>
              <w:spacing w:line="240" w:lineRule="auto" w:before="0" w:after="0"/>
              <w:pStyle w:val="Compact"/>
            </w:pPr>
            <w:r>
              <w:rPr>
                <w:sz w:val="20"/>
                <w:szCs w:val="20"/>
              </w:rPr>
              <w:t xml:space="preserve">0.1506</w:t>
            </w:r>
          </w:p>
        </w:tc>
        <w:tc>
          <w:tcPr>
            <w:tcW w:w="0" w:type="auto"/>
          </w:tcPr>
          <w:p>
            <w:pPr>
              <w:spacing w:line="240" w:lineRule="auto" w:before="0" w:after="0"/>
              <w:pStyle w:val="Compact"/>
            </w:pPr>
            <w:r>
              <w:rPr>
                <w:sz w:val="20"/>
                <w:szCs w:val="20"/>
              </w:rPr>
              <w:t xml:space="preserve">-0.7952</w:t>
            </w:r>
          </w:p>
        </w:tc>
        <w:tc>
          <w:tcPr>
            <w:tcW w:w="0" w:type="auto"/>
          </w:tcPr>
          <w:p>
            <w:pPr>
              <w:spacing w:line="240" w:lineRule="auto" w:before="0" w:after="0"/>
              <w:pStyle w:val="Compact"/>
            </w:pPr>
            <w:r>
              <w:rPr>
                <w:sz w:val="20"/>
                <w:szCs w:val="20"/>
              </w:rPr>
              <w:t xml:space="preserve">0.4265</w:t>
            </w:r>
          </w:p>
        </w:tc>
        <w:tc>
          <w:tcPr>
            <w:tcW w:w="0" w:type="auto"/>
          </w:tcPr>
          <w:p>
            <w:pPr>
              <w:spacing w:line="240" w:lineRule="auto" w:before="0" w:after="0"/>
              <w:pStyle w:val="Compact"/>
            </w:pPr>
            <w:r>
              <w:rPr>
                <w:sz w:val="20"/>
                <w:szCs w:val="20"/>
              </w:rPr>
              <w:t xml:space="preserve">[-0.4149, 0.1754]</w:t>
            </w:r>
          </w:p>
        </w:tc>
      </w:tr>
    </w:tbl>
    <w:p>
      <w:pPr>
        <w:pStyle w:val="BodyText"/>
        <w:spacing w:line="480" w:lineRule="auto"/>
        <w:ind w:firstLine="720"/>
      </w:pPr>
      <w:r>
        <w:t xml:space="preserve">Fit: N = 30 R2 = 0.03 elasticity_b = -0.1197 progress_ratio_2^b = 0.9203</w:t>
      </w:r>
    </w:p>
    <w:bookmarkEnd w:id="188"/>
    <w:bookmarkStart w:id="19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Specific launch cost against cumulative launch experience for thirty vehicle-program observations spanning 1973-2023, plotted on log-log axes with the fitted Wright’s-law learning curve." title="" id="190" name="Picture"/>
            <a:graphic>
              <a:graphicData uri="http://schemas.openxmlformats.org/drawingml/2006/picture">
                <pic:pic>
                  <pic:nvPicPr>
                    <pic:cNvPr descr="D:/Claude_Code/brain/collegium/candidates/dissertations/LAUNCH_REG_13/research_papers/p2/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Specific launch cost against cumulative launch experience for thirty vehicle-program observations spanning 1973-2023, plotted on log-log axes with the fitted Wright’s-law learning curve.</w:t>
      </w:r>
    </w:p>
    <w:bookmarkEnd w:id="192"/>
    <w:bookmarkStart w:id="19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vehicle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cum_launches</w:t>
            </w:r>
          </w:p>
        </w:tc>
        <w:tc>
          <w:tcPr>
            <w:tcW w:w="0" w:type="auto"/>
          </w:tcPr>
          <w:p>
            <w:pPr>
              <w:spacing w:line="240" w:lineRule="auto" w:before="0" w:after="0"/>
              <w:pStyle w:val="Compact"/>
            </w:pPr>
            <w:r>
              <w:rPr>
                <w:sz w:val="20"/>
                <w:szCs w:val="20"/>
              </w:rPr>
              <w:t xml:space="preserve">cost_per_kg_leo</w:t>
            </w:r>
          </w:p>
        </w:tc>
        <w:tc>
          <w:tcPr>
            <w:tcW w:w="0" w:type="auto"/>
          </w:tcPr>
          <w:p>
            <w:pPr>
              <w:spacing w:line="240" w:lineRule="auto" w:before="0" w:after="0"/>
              <w:pStyle w:val="Compact"/>
            </w:pPr>
            <w:r>
              <w:rPr>
                <w:sz w:val="20"/>
                <w:szCs w:val="20"/>
              </w:rPr>
              <w:t xml:space="preserve">leo_payload_kg</w:t>
            </w:r>
          </w:p>
        </w:tc>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nasa_anchor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Falcon 9 (early v1.0/v1.1)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5500</w:t>
            </w:r>
          </w:p>
        </w:tc>
        <w:tc>
          <w:tcPr>
            <w:tcW w:w="0" w:type="auto"/>
          </w:tcPr>
          <w:p>
            <w:pPr>
              <w:spacing w:line="240" w:lineRule="auto" w:before="0" w:after="0"/>
              <w:pStyle w:val="Compact"/>
            </w:pPr>
            <w:r>
              <w:rPr>
                <w:sz w:val="20"/>
                <w:szCs w:val="20"/>
              </w:rPr>
              <w:t xml:space="preserve">13150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w:t>
            </w:r>
            <w:r>
              <w:rPr>
                <w:sz w:val="20"/>
                <w:szCs w:val="20"/>
              </w:rPr>
              <w:t xml:space="preserve"> </w:t>
            </w:r>
            <w:r>
              <w:rPr>
                <w:sz w:val="20"/>
                <w:szCs w:val="20"/>
              </w:rPr>
              <w:t xml:space="preserve">‘Space Launch to Low Earth Orbit’</w:t>
            </w:r>
            <w:r>
              <w:rPr>
                <w:sz w:val="20"/>
                <w:szCs w:val="20"/>
              </w:rPr>
              <w:t xml:space="preserve"> </w:t>
            </w:r>
            <w:r>
              <w:rPr>
                <w:sz w:val="20"/>
                <w:szCs w:val="20"/>
              </w:rPr>
              <w:t xml:space="preserve">dataset (2022); early Falcon 9 ~$5,500/kg before block upgrades; cumulative successful flights through 2013 per SpaceX launch log</w:t>
            </w:r>
          </w:p>
        </w:tc>
      </w:tr>
      <w:tr>
        <w:tc>
          <w:tcPr>
            <w:tcW w:w="0" w:type="auto"/>
          </w:tcPr>
          <w:p>
            <w:pPr>
              <w:spacing w:line="240" w:lineRule="auto" w:before="0" w:after="0"/>
              <w:pStyle w:val="Compact"/>
            </w:pPr>
            <w:r>
              <w:rPr>
                <w:sz w:val="20"/>
                <w:szCs w:val="20"/>
              </w:rPr>
              <w:t xml:space="preserve">Falcon 9 (Block 5 mature)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2720</w:t>
            </w:r>
          </w:p>
        </w:tc>
        <w:tc>
          <w:tcPr>
            <w:tcW w:w="0" w:type="auto"/>
          </w:tcPr>
          <w:p>
            <w:pPr>
              <w:spacing w:line="240" w:lineRule="auto" w:before="0" w:after="0"/>
              <w:pStyle w:val="Compact"/>
            </w:pPr>
            <w:r>
              <w:rPr>
                <w:sz w:val="20"/>
                <w:szCs w:val="20"/>
              </w:rPr>
              <w:t xml:space="preserve">22800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Falcon 9 reusable ~$2,720/kg; cumulative flights through 2021 per SpaceX/Space Launch Report</w:t>
            </w:r>
          </w:p>
        </w:tc>
      </w:tr>
      <w:tr>
        <w:tc>
          <w:tcPr>
            <w:tcW w:w="0" w:type="auto"/>
          </w:tcPr>
          <w:p>
            <w:pPr>
              <w:spacing w:line="240" w:lineRule="auto" w:before="0" w:after="0"/>
              <w:pStyle w:val="Compact"/>
            </w:pPr>
            <w:r>
              <w:rPr>
                <w:sz w:val="20"/>
                <w:szCs w:val="20"/>
              </w:rPr>
              <w:t xml:space="preserve">Falcon Heavy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63800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Falcon Heavy ~$1,500/kg; 4 cumulative flights 2018-2022</w:t>
            </w:r>
          </w:p>
        </w:tc>
      </w:tr>
      <w:tr>
        <w:tc>
          <w:tcPr>
            <w:tcW w:w="0" w:type="auto"/>
          </w:tcPr>
          <w:p>
            <w:pPr>
              <w:spacing w:line="240" w:lineRule="auto" w:before="0" w:after="0"/>
              <w:pStyle w:val="Compact"/>
            </w:pPr>
            <w:r>
              <w:rPr>
                <w:sz w:val="20"/>
                <w:szCs w:val="20"/>
              </w:rPr>
              <w:t xml:space="preserve">Atlas V (401-class)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13182</w:t>
            </w:r>
          </w:p>
        </w:tc>
        <w:tc>
          <w:tcPr>
            <w:tcW w:w="0" w:type="auto"/>
          </w:tcPr>
          <w:p>
            <w:pPr>
              <w:spacing w:line="240" w:lineRule="auto" w:before="0" w:after="0"/>
              <w:pStyle w:val="Compact"/>
            </w:pPr>
            <w:r>
              <w:rPr>
                <w:sz w:val="20"/>
                <w:szCs w:val="20"/>
              </w:rPr>
              <w:t xml:space="preserve">9800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Atlas V ~$13,182/kg; cumulative flights through 2018 per ULA/Spaceflight Now log</w:t>
            </w:r>
          </w:p>
        </w:tc>
      </w:tr>
      <w:tr>
        <w:tc>
          <w:tcPr>
            <w:tcW w:w="0" w:type="auto"/>
          </w:tcPr>
          <w:p>
            <w:pPr>
              <w:spacing w:line="240" w:lineRule="auto" w:before="0" w:after="0"/>
              <w:pStyle w:val="Compact"/>
            </w:pPr>
            <w:r>
              <w:rPr>
                <w:sz w:val="20"/>
                <w:szCs w:val="20"/>
              </w:rPr>
              <w:t xml:space="preserve">Delta IV Medium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15600</w:t>
            </w:r>
          </w:p>
        </w:tc>
        <w:tc>
          <w:tcPr>
            <w:tcW w:w="0" w:type="auto"/>
          </w:tcPr>
          <w:p>
            <w:pPr>
              <w:spacing w:line="240" w:lineRule="auto" w:before="0" w:after="0"/>
              <w:pStyle w:val="Compact"/>
            </w:pPr>
            <w:r>
              <w:rPr>
                <w:sz w:val="20"/>
                <w:szCs w:val="20"/>
              </w:rPr>
              <w:t xml:space="preserve">9420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Delta IV Medium ~$15,600/kg; cumulative flights through 2017 per ULA log</w:t>
            </w:r>
          </w:p>
        </w:tc>
      </w:tr>
      <w:tr>
        <w:tc>
          <w:tcPr>
            <w:tcW w:w="0" w:type="auto"/>
          </w:tcPr>
          <w:p>
            <w:pPr>
              <w:spacing w:line="240" w:lineRule="auto" w:before="0" w:after="0"/>
              <w:pStyle w:val="Compact"/>
            </w:pPr>
            <w:r>
              <w:rPr>
                <w:sz w:val="20"/>
                <w:szCs w:val="20"/>
              </w:rPr>
              <w:t xml:space="preserve">Delta IV Heavy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28790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Delta IV Heavy ~$18,000/kg; 11 cumulative flights 2004-2019</w:t>
            </w:r>
          </w:p>
        </w:tc>
      </w:tr>
      <w:tr>
        <w:tc>
          <w:tcPr>
            <w:tcW w:w="0" w:type="auto"/>
          </w:tcPr>
          <w:p>
            <w:pPr>
              <w:spacing w:line="240" w:lineRule="auto" w:before="0" w:after="0"/>
              <w:pStyle w:val="Compact"/>
            </w:pPr>
            <w:r>
              <w:rPr>
                <w:sz w:val="20"/>
                <w:szCs w:val="20"/>
              </w:rPr>
              <w:t xml:space="preserve">Antares 230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13700</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Antares ~$13,700/kg; NASA CRS anchor; cumulative flights through 2019 per Northrop Grumman log</w:t>
            </w:r>
          </w:p>
        </w:tc>
      </w:tr>
      <w:tr>
        <w:tc>
          <w:tcPr>
            <w:tcW w:w="0" w:type="auto"/>
          </w:tcPr>
          <w:p>
            <w:pPr>
              <w:spacing w:line="240" w:lineRule="auto" w:before="0" w:after="0"/>
              <w:pStyle w:val="Compact"/>
            </w:pPr>
            <w:r>
              <w:rPr>
                <w:sz w:val="20"/>
                <w:szCs w:val="20"/>
              </w:rPr>
              <w:t xml:space="preserve">Pegasus XL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40000</w:t>
            </w:r>
          </w:p>
        </w:tc>
        <w:tc>
          <w:tcPr>
            <w:tcW w:w="0" w:type="auto"/>
          </w:tcPr>
          <w:p>
            <w:pPr>
              <w:spacing w:line="240" w:lineRule="auto" w:before="0" w:after="0"/>
              <w:pStyle w:val="Compact"/>
            </w:pPr>
            <w:r>
              <w:rPr>
                <w:sz w:val="20"/>
                <w:szCs w:val="20"/>
              </w:rPr>
              <w:t xml:space="preserve">443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Pegasus XL ~$40,000/kg small-lift premium; cumulative flights through 2016 per NASA/Northrop log</w:t>
            </w:r>
          </w:p>
        </w:tc>
      </w:tr>
      <w:tr>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Rocket Lab Electron ~$19,200/kg small-lift; 18 cumulative flights through 2021 per Rocket Lab launch log</w:t>
            </w:r>
          </w:p>
        </w:tc>
      </w:tr>
      <w:tr>
        <w:tc>
          <w:tcPr>
            <w:tcW w:w="0" w:type="auto"/>
          </w:tcPr>
          <w:p>
            <w:pPr>
              <w:spacing w:line="240" w:lineRule="auto" w:before="0" w:after="0"/>
              <w:pStyle w:val="Compact"/>
            </w:pPr>
            <w:r>
              <w:rPr>
                <w:sz w:val="20"/>
                <w:szCs w:val="20"/>
              </w:rPr>
              <w:t xml:space="preserve">Minotaur I</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23000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Minotaur I ~$23,000/kg; cumulative flights through 2013 per Northrop/USAF log</w:t>
            </w:r>
          </w:p>
        </w:tc>
      </w:tr>
      <w:tr>
        <w:tc>
          <w:tcPr>
            <w:tcW w:w="0" w:type="auto"/>
          </w:tcPr>
          <w:p>
            <w:pPr>
              <w:spacing w:line="240" w:lineRule="auto" w:before="0" w:after="0"/>
              <w:pStyle w:val="Compact"/>
            </w:pPr>
            <w:r>
              <w:rPr>
                <w:sz w:val="20"/>
                <w:szCs w:val="20"/>
              </w:rPr>
              <w:t xml:space="preserve">Space Shuttle (mature program)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54500</w:t>
            </w:r>
          </w:p>
        </w:tc>
        <w:tc>
          <w:tcPr>
            <w:tcW w:w="0" w:type="auto"/>
          </w:tcPr>
          <w:p>
            <w:pPr>
              <w:spacing w:line="240" w:lineRule="auto" w:before="0" w:after="0"/>
              <w:pStyle w:val="Compact"/>
            </w:pPr>
            <w:r>
              <w:rPr>
                <w:sz w:val="20"/>
                <w:szCs w:val="20"/>
              </w:rPr>
              <w:t xml:space="preserve">27500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Space Shuttle ~$54,500/kg in 2021 dollars; 131 cumulative successful flights 1981-2010 per NASA STS record</w:t>
            </w:r>
          </w:p>
        </w:tc>
      </w:tr>
      <w:tr>
        <w:tc>
          <w:tcPr>
            <w:tcW w:w="0" w:type="auto"/>
          </w:tcPr>
          <w:p>
            <w:pPr>
              <w:spacing w:line="240" w:lineRule="auto" w:before="0" w:after="0"/>
              <w:pStyle w:val="Compact"/>
            </w:pPr>
            <w:r>
              <w:rPr>
                <w:sz w:val="20"/>
                <w:szCs w:val="20"/>
              </w:rPr>
              <w:t xml:space="preserve">Saturn V</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5400</w:t>
            </w:r>
          </w:p>
        </w:tc>
        <w:tc>
          <w:tcPr>
            <w:tcW w:w="0" w:type="auto"/>
          </w:tcPr>
          <w:p>
            <w:pPr>
              <w:spacing w:line="240" w:lineRule="auto" w:before="0" w:after="0"/>
              <w:pStyle w:val="Compact"/>
            </w:pPr>
            <w:r>
              <w:rPr>
                <w:sz w:val="20"/>
                <w:szCs w:val="20"/>
              </w:rPr>
              <w:t xml:space="preserve">140000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Saturn V ~$5,400/kg in 2021 dollars at high payload mass; 13 cumulative flights 1967-1973 per NASA record</w:t>
            </w:r>
          </w:p>
        </w:tc>
      </w:tr>
      <w:tr>
        <w:tc>
          <w:tcPr>
            <w:tcW w:w="0" w:type="auto"/>
          </w:tcPr>
          <w:p>
            <w:pPr>
              <w:spacing w:line="240" w:lineRule="auto" w:before="0" w:after="0"/>
              <w:pStyle w:val="Compact"/>
            </w:pPr>
            <w:r>
              <w:rPr>
                <w:sz w:val="20"/>
                <w:szCs w:val="20"/>
              </w:rPr>
              <w:t xml:space="preserve">Titan IV</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46800</w:t>
            </w:r>
          </w:p>
        </w:tc>
        <w:tc>
          <w:tcPr>
            <w:tcW w:w="0" w:type="auto"/>
          </w:tcPr>
          <w:p>
            <w:pPr>
              <w:spacing w:line="240" w:lineRule="auto" w:before="0" w:after="0"/>
              <w:pStyle w:val="Compact"/>
            </w:pPr>
            <w:r>
              <w:rPr>
                <w:sz w:val="20"/>
                <w:szCs w:val="20"/>
              </w:rPr>
              <w:t xml:space="preserve">21680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Titan IV ~$46,800/kg; cumulative flights through 2005 per USAF/Spaceflight Now log</w:t>
            </w:r>
          </w:p>
        </w:tc>
      </w:tr>
      <w:tr>
        <w:tc>
          <w:tcPr>
            <w:tcW w:w="0" w:type="auto"/>
          </w:tcPr>
          <w:p>
            <w:pPr>
              <w:spacing w:line="240" w:lineRule="auto" w:before="0" w:after="0"/>
              <w:pStyle w:val="Compact"/>
            </w:pPr>
            <w:r>
              <w:rPr>
                <w:sz w:val="20"/>
                <w:szCs w:val="20"/>
              </w:rPr>
              <w:t xml:space="preserve">Atlas V (551-class)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9538</w:t>
            </w:r>
          </w:p>
        </w:tc>
        <w:tc>
          <w:tcPr>
            <w:tcW w:w="0" w:type="auto"/>
          </w:tcPr>
          <w:p>
            <w:pPr>
              <w:spacing w:line="240" w:lineRule="auto" w:before="0" w:after="0"/>
              <w:pStyle w:val="Compact"/>
            </w:pPr>
            <w:r>
              <w:rPr>
                <w:sz w:val="20"/>
                <w:szCs w:val="20"/>
              </w:rPr>
              <w:t xml:space="preserve">18850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Atlas V 551 heavier-config ~$9,538/kg; cumulative Atlas V flights through 2020</w:t>
            </w:r>
          </w:p>
        </w:tc>
      </w:tr>
      <w:tr>
        <w:tc>
          <w:tcPr>
            <w:tcW w:w="0" w:type="auto"/>
          </w:tcPr>
          <w:p>
            <w:pPr>
              <w:spacing w:line="240" w:lineRule="auto" w:before="0" w:after="0"/>
              <w:pStyle w:val="Compact"/>
            </w:pPr>
            <w:r>
              <w:rPr>
                <w:sz w:val="20"/>
                <w:szCs w:val="20"/>
              </w:rPr>
              <w:t xml:space="preserve">Ariane 5 ECA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9167</w:t>
            </w:r>
          </w:p>
        </w:tc>
        <w:tc>
          <w:tcPr>
            <w:tcW w:w="0" w:type="auto"/>
          </w:tcPr>
          <w:p>
            <w:pPr>
              <w:spacing w:line="240" w:lineRule="auto" w:before="0" w:after="0"/>
              <w:pStyle w:val="Compact"/>
            </w:pPr>
            <w:r>
              <w:rPr>
                <w:sz w:val="20"/>
                <w:szCs w:val="20"/>
              </w:rPr>
              <w:t xml:space="preserve">21000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Ariane 5 ~$9,167/kg; cumulative flights through 2018 per Arianespace log</w:t>
            </w:r>
          </w:p>
        </w:tc>
      </w:tr>
      <w:tr>
        <w:tc>
          <w:tcPr>
            <w:tcW w:w="0" w:type="auto"/>
          </w:tcPr>
          <w:p>
            <w:pPr>
              <w:spacing w:line="240" w:lineRule="auto" w:before="0" w:after="0"/>
              <w:pStyle w:val="Compact"/>
            </w:pPr>
            <w:r>
              <w:rPr>
                <w:sz w:val="20"/>
                <w:szCs w:val="20"/>
              </w:rPr>
              <w:t xml:space="preserve">Soyuz-2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4242</w:t>
            </w:r>
          </w:p>
        </w:tc>
        <w:tc>
          <w:tcPr>
            <w:tcW w:w="0" w:type="auto"/>
          </w:tcPr>
          <w:p>
            <w:pPr>
              <w:spacing w:line="240" w:lineRule="auto" w:before="0" w:after="0"/>
              <w:pStyle w:val="Compact"/>
            </w:pPr>
            <w:r>
              <w:rPr>
                <w:sz w:val="20"/>
                <w:szCs w:val="20"/>
              </w:rPr>
              <w:t xml:space="preserve">8200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Soyuz-2 ~$4,242/kg; Soyuz family cumulative R-7 derived flights estimated &gt;500 by 2018 [illustrative cumulative-count rollup]</w:t>
            </w:r>
          </w:p>
        </w:tc>
      </w:tr>
      <w:tr>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4302</w:t>
            </w:r>
          </w:p>
        </w:tc>
        <w:tc>
          <w:tcPr>
            <w:tcW w:w="0" w:type="auto"/>
          </w:tcPr>
          <w:p>
            <w:pPr>
              <w:spacing w:line="240" w:lineRule="auto" w:before="0" w:after="0"/>
              <w:pStyle w:val="Compact"/>
            </w:pPr>
            <w:r>
              <w:rPr>
                <w:sz w:val="20"/>
                <w:szCs w:val="20"/>
              </w:rPr>
              <w:t xml:space="preserve">23000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Proton-M ~$4,302/kg; ~100 cumulative Proton-M flights through 2018 per Khrunichev/ILS log</w:t>
            </w:r>
          </w:p>
        </w:tc>
      </w:tr>
      <w:tr>
        <w:tc>
          <w:tcPr>
            <w:tcW w:w="0" w:type="auto"/>
          </w:tcPr>
          <w:p>
            <w:pPr>
              <w:spacing w:line="240" w:lineRule="auto" w:before="0" w:after="0"/>
              <w:pStyle w:val="Compact"/>
            </w:pPr>
            <w:r>
              <w:rPr>
                <w:sz w:val="20"/>
                <w:szCs w:val="20"/>
              </w:rPr>
              <w:t xml:space="preserve">Long March 3B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4412</w:t>
            </w:r>
          </w:p>
        </w:tc>
        <w:tc>
          <w:tcPr>
            <w:tcW w:w="0" w:type="auto"/>
          </w:tcPr>
          <w:p>
            <w:pPr>
              <w:spacing w:line="240" w:lineRule="auto" w:before="0" w:after="0"/>
              <w:pStyle w:val="Compact"/>
            </w:pPr>
            <w:r>
              <w:rPr>
                <w:sz w:val="20"/>
                <w:szCs w:val="20"/>
              </w:rPr>
              <w:t xml:space="preserve">11500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Long March 3B ~$4,412/kg; cumulative flights through 2019 per CASC/Spaceflight Now log</w:t>
            </w:r>
          </w:p>
        </w:tc>
      </w:tr>
      <w:tr>
        <w:tc>
          <w:tcPr>
            <w:tcW w:w="0" w:type="auto"/>
          </w:tcPr>
          <w:p>
            <w:pPr>
              <w:spacing w:line="240" w:lineRule="auto" w:before="0" w:after="0"/>
              <w:pStyle w:val="Compact"/>
            </w:pPr>
            <w:r>
              <w:rPr>
                <w:sz w:val="20"/>
                <w:szCs w:val="20"/>
              </w:rPr>
              <w:t xml:space="preserve">Falcon 9 (v1.1 expendable)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4654</w:t>
            </w:r>
          </w:p>
        </w:tc>
        <w:tc>
          <w:tcPr>
            <w:tcW w:w="0" w:type="auto"/>
          </w:tcPr>
          <w:p>
            <w:pPr>
              <w:spacing w:line="240" w:lineRule="auto" w:before="0" w:after="0"/>
              <w:pStyle w:val="Compact"/>
            </w:pPr>
            <w:r>
              <w:rPr>
                <w:sz w:val="20"/>
                <w:szCs w:val="20"/>
              </w:rPr>
              <w:t xml:space="preserve">13150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Falcon 9 v1.1 expendable ~$4,654/kg; cumulative flights through 2015</w:t>
            </w:r>
          </w:p>
        </w:tc>
      </w:tr>
      <w:tr>
        <w:tc>
          <w:tcPr>
            <w:tcW w:w="0" w:type="auto"/>
          </w:tcPr>
          <w:p>
            <w:pPr>
              <w:spacing w:line="240" w:lineRule="auto" w:before="0" w:after="0"/>
              <w:pStyle w:val="Compact"/>
            </w:pPr>
            <w:r>
              <w:rPr>
                <w:sz w:val="20"/>
                <w:szCs w:val="20"/>
              </w:rPr>
              <w:t xml:space="preserve">Vega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15600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Vega ~$15,600/kg small-lift; 14 cumulative flights 2012-2019 per Arianespace log</w:t>
            </w:r>
          </w:p>
        </w:tc>
      </w:tr>
      <w:tr>
        <w:tc>
          <w:tcPr>
            <w:tcW w:w="0" w:type="auto"/>
          </w:tcPr>
          <w:p>
            <w:pPr>
              <w:spacing w:line="240" w:lineRule="auto" w:before="0" w:after="0"/>
              <w:pStyle w:val="Compact"/>
            </w:pPr>
            <w:r>
              <w:rPr>
                <w:sz w:val="20"/>
                <w:szCs w:val="20"/>
              </w:rPr>
              <w:t xml:space="preserve">H-IIA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10500</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H-IIA ~$10,500/kg; cumulative flights through 2019 per JAXA/MHI log</w:t>
            </w:r>
          </w:p>
        </w:tc>
      </w:tr>
      <w:tr>
        <w:tc>
          <w:tcPr>
            <w:tcW w:w="0" w:type="auto"/>
          </w:tcPr>
          <w:p>
            <w:pPr>
              <w:spacing w:line="240" w:lineRule="auto" w:before="0" w:after="0"/>
              <w:pStyle w:val="Compact"/>
            </w:pPr>
            <w:r>
              <w:rPr>
                <w:sz w:val="20"/>
                <w:szCs w:val="20"/>
              </w:rPr>
              <w:t xml:space="preserve">Falcon 9 (Block 5 reuse fleet leader)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2350</w:t>
            </w:r>
          </w:p>
        </w:tc>
        <w:tc>
          <w:tcPr>
            <w:tcW w:w="0" w:type="auto"/>
          </w:tcPr>
          <w:p>
            <w:pPr>
              <w:spacing w:line="240" w:lineRule="auto" w:before="0" w:after="0"/>
              <w:pStyle w:val="Compact"/>
            </w:pPr>
            <w:r>
              <w:rPr>
                <w:sz w:val="20"/>
                <w:szCs w:val="20"/>
              </w:rPr>
              <w:t xml:space="preserve">22800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dataset + SpaceX reuse data; matured reusable Falcon 9 fleet ~$2,350/kg effective; ~200+ cumulative Falcon 9 flights through 2023 per SpaceX launch log</w:t>
            </w:r>
          </w:p>
        </w:tc>
      </w:tr>
      <w:tr>
        <w:tc>
          <w:tcPr>
            <w:tcW w:w="0" w:type="auto"/>
          </w:tcPr>
          <w:p>
            <w:pPr>
              <w:spacing w:line="240" w:lineRule="auto" w:before="0" w:after="0"/>
              <w:pStyle w:val="Compact"/>
            </w:pPr>
            <w:r>
              <w:rPr>
                <w:sz w:val="20"/>
                <w:szCs w:val="20"/>
              </w:rPr>
              <w:t xml:space="preserve">Electron (matured)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Rocket Lab investor reports + CSIS small-lift benchmarks; Electron effective ~$15,000/kg as cadence rose; ~40 cumulative flights through 2023 per Rocket Lab log</w:t>
            </w:r>
          </w:p>
        </w:tc>
      </w:tr>
      <w:tr>
        <w:tc>
          <w:tcPr>
            <w:tcW w:w="0" w:type="auto"/>
          </w:tcPr>
          <w:p>
            <w:pPr>
              <w:spacing w:line="240" w:lineRule="auto" w:before="0" w:after="0"/>
              <w:pStyle w:val="Compact"/>
            </w:pPr>
            <w:r>
              <w:rPr>
                <w:sz w:val="20"/>
                <w:szCs w:val="20"/>
              </w:rPr>
              <w:t xml:space="preserve">Atlas V (early)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16500</w:t>
            </w:r>
          </w:p>
        </w:tc>
        <w:tc>
          <w:tcPr>
            <w:tcW w:w="0" w:type="auto"/>
          </w:tcPr>
          <w:p>
            <w:pPr>
              <w:spacing w:line="240" w:lineRule="auto" w:before="0" w:after="0"/>
              <w:pStyle w:val="Compact"/>
            </w:pPr>
            <w:r>
              <w:rPr>
                <w:sz w:val="20"/>
                <w:szCs w:val="20"/>
              </w:rPr>
              <w:t xml:space="preserve">9800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early Atlas V ~$16,500/kg before manifest maturity; 8 cumulative flights through 2006 [illustrative early-point cost from CSIS range]</w:t>
            </w:r>
          </w:p>
        </w:tc>
      </w:tr>
      <w:tr>
        <w:tc>
          <w:tcPr>
            <w:tcW w:w="0" w:type="auto"/>
          </w:tcPr>
          <w:p>
            <w:pPr>
              <w:spacing w:line="240" w:lineRule="auto" w:before="0" w:after="0"/>
              <w:pStyle w:val="Compact"/>
            </w:pPr>
            <w:r>
              <w:rPr>
                <w:sz w:val="20"/>
                <w:szCs w:val="20"/>
              </w:rPr>
              <w:t xml:space="preserve">Antares 130 (early)</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17000</w:t>
            </w:r>
          </w:p>
        </w:tc>
        <w:tc>
          <w:tcPr>
            <w:tcW w:w="0" w:type="auto"/>
          </w:tcPr>
          <w:p>
            <w:pPr>
              <w:spacing w:line="240" w:lineRule="auto" w:before="0" w:after="0"/>
              <w:pStyle w:val="Compact"/>
            </w:pPr>
            <w:r>
              <w:rPr>
                <w:sz w:val="20"/>
                <w:szCs w:val="20"/>
              </w:rPr>
              <w:t xml:space="preserve">6120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dataset; early Antares ~$17,000/kg before block upgrade; 3 cumulative flights 2013-2014 per Orbital ATK log</w:t>
            </w:r>
          </w:p>
        </w:tc>
      </w:tr>
      <w:tr>
        <w:tc>
          <w:tcPr>
            <w:tcW w:w="0" w:type="auto"/>
          </w:tcPr>
          <w:p>
            <w:pPr>
              <w:spacing w:line="240" w:lineRule="auto" w:before="0" w:after="0"/>
              <w:pStyle w:val="Compact"/>
            </w:pPr>
            <w:r>
              <w:rPr>
                <w:sz w:val="20"/>
                <w:szCs w:val="20"/>
              </w:rPr>
              <w:t xml:space="preserve">Minotaur IV</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28000</w:t>
            </w:r>
          </w:p>
        </w:tc>
        <w:tc>
          <w:tcPr>
            <w:tcW w:w="0" w:type="auto"/>
          </w:tcPr>
          <w:p>
            <w:pPr>
              <w:spacing w:line="240" w:lineRule="auto" w:before="0" w:after="0"/>
              <w:pStyle w:val="Compact"/>
            </w:pPr>
            <w:r>
              <w:rPr>
                <w:sz w:val="20"/>
                <w:szCs w:val="20"/>
              </w:rPr>
              <w:t xml:space="preserve">1735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Minotaur IV ~$28,000/kg; 6 cumulative flights 2010-2017 per Northrop/USAF log</w:t>
            </w:r>
          </w:p>
        </w:tc>
      </w:tr>
      <w:tr>
        <w:tc>
          <w:tcPr>
            <w:tcW w:w="0" w:type="auto"/>
          </w:tcPr>
          <w:p>
            <w:pPr>
              <w:spacing w:line="240" w:lineRule="auto" w:before="0" w:after="0"/>
              <w:pStyle w:val="Compact"/>
            </w:pPr>
            <w:r>
              <w:rPr>
                <w:sz w:val="20"/>
                <w:szCs w:val="20"/>
              </w:rPr>
              <w:t xml:space="preserve">Falcon 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11000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dataset + SpaceX; Falcon 1 ~$11,000/kg small-lift; 5 cumulative flights 2006-2009 (2 successful) per SpaceX record</w:t>
            </w:r>
          </w:p>
        </w:tc>
      </w:tr>
      <w:tr>
        <w:tc>
          <w:tcPr>
            <w:tcW w:w="0" w:type="auto"/>
          </w:tcPr>
          <w:p>
            <w:pPr>
              <w:spacing w:line="240" w:lineRule="auto" w:before="0" w:after="0"/>
              <w:pStyle w:val="Compact"/>
            </w:pPr>
            <w:r>
              <w:rPr>
                <w:sz w:val="20"/>
                <w:szCs w:val="20"/>
              </w:rPr>
              <w:t xml:space="preserve">Long March 2D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7500</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Long March 2D ~$7,500/kg; cumulative flights through 2019 per CASC log</w:t>
            </w:r>
          </w:p>
        </w:tc>
      </w:tr>
      <w:tr>
        <w:tc>
          <w:tcPr>
            <w:tcW w:w="0" w:type="auto"/>
          </w:tcPr>
          <w:p>
            <w:pPr>
              <w:spacing w:line="240" w:lineRule="auto" w:before="0" w:after="0"/>
              <w:pStyle w:val="Compact"/>
            </w:pPr>
            <w:r>
              <w:rPr>
                <w:sz w:val="20"/>
                <w:szCs w:val="20"/>
              </w:rPr>
              <w:t xml:space="preserve">PSLV</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11700</w:t>
            </w:r>
          </w:p>
        </w:tc>
        <w:tc>
          <w:tcPr>
            <w:tcW w:w="0" w:type="auto"/>
          </w:tcPr>
          <w:p>
            <w:pPr>
              <w:spacing w:line="240" w:lineRule="auto" w:before="0" w:after="0"/>
              <w:pStyle w:val="Compact"/>
            </w:pPr>
            <w:r>
              <w:rPr>
                <w:sz w:val="20"/>
                <w:szCs w:val="20"/>
              </w:rPr>
              <w:t xml:space="preserve">3800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ISRO PSLV ~$11,700/kg; 49 cumulative flights through 2019 per ISRO log</w:t>
            </w:r>
          </w:p>
        </w:tc>
      </w:tr>
      <w:tr>
        <w:tc>
          <w:tcPr>
            <w:tcW w:w="0" w:type="auto"/>
          </w:tcPr>
          <w:p>
            <w:pPr>
              <w:spacing w:line="240" w:lineRule="auto" w:before="0" w:after="0"/>
              <w:pStyle w:val="Compact"/>
            </w:pPr>
            <w:r>
              <w:rPr>
                <w:sz w:val="20"/>
                <w:szCs w:val="20"/>
              </w:rPr>
              <w:t xml:space="preserve">Ariane 5 (early)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12000</w:t>
            </w:r>
          </w:p>
        </w:tc>
        <w:tc>
          <w:tcPr>
            <w:tcW w:w="0" w:type="auto"/>
          </w:tcPr>
          <w:p>
            <w:pPr>
              <w:spacing w:line="240" w:lineRule="auto" w:before="0" w:after="0"/>
              <w:pStyle w:val="Compact"/>
            </w:pPr>
            <w:r>
              <w:rPr>
                <w:sz w:val="20"/>
                <w:szCs w:val="20"/>
              </w:rPr>
              <w:t xml:space="preserve">21000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dataset; early Ariane 5 ~$12,000/kg before reliability maturity; 15 cumulative flights through 2003 per Arianespace log [illustrative early-point cost from CSIS range]</w:t>
            </w:r>
          </w:p>
        </w:tc>
      </w:tr>
    </w:tbl>
    <w:bookmarkEnd w:id="193"/>
    <w:bookmarkStart w:id="19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cost_per_kg_leo</w:t>
            </w:r>
          </w:p>
        </w:tc>
        <w:tc>
          <w:tcPr>
            <w:tcW w:w="0" w:type="auto"/>
          </w:tcPr>
          <w:p>
            <w:pPr>
              <w:spacing w:line="240" w:lineRule="auto" w:before="0" w:after="0"/>
              <w:pStyle w:val="Compact"/>
            </w:pPr>
            <w:r>
              <w:rPr>
                <w:sz w:val="20"/>
                <w:szCs w:val="20"/>
              </w:rPr>
              <w:t xml:space="preserve">Specific launch cost in U.S. dollars per kilogram delivered to low Earth orbit, normalized to constant 2021 dollars where reported</w:t>
            </w:r>
          </w:p>
        </w:tc>
        <w:tc>
          <w:tcPr>
            <w:tcW w:w="0" w:type="auto"/>
          </w:tcPr>
          <w:p>
            <w:pPr>
              <w:spacing w:line="240" w:lineRule="auto" w:before="0" w:after="0"/>
              <w:pStyle w:val="Compact"/>
            </w:pPr>
            <w:r>
              <w:rPr>
                <w:sz w:val="20"/>
                <w:szCs w:val="20"/>
              </w:rPr>
              <w:t xml:space="preserve">CSIS Aerospace Security Project,</w:t>
            </w:r>
            <w:r>
              <w:rPr>
                <w:sz w:val="20"/>
                <w:szCs w:val="20"/>
              </w:rPr>
              <w:t xml:space="preserve"> </w:t>
            </w:r>
            <w:r>
              <w:rPr>
                <w:sz w:val="20"/>
                <w:szCs w:val="20"/>
              </w:rPr>
              <w:t xml:space="preserve">‘Space Launch to Low Earth Orbit: How Much Does It Cost?’</w:t>
            </w:r>
            <w:r>
              <w:rPr>
                <w:sz w:val="20"/>
                <w:szCs w:val="20"/>
              </w:rPr>
              <w:t xml:space="preserve"> </w:t>
            </w:r>
            <w:r>
              <w:rPr>
                <w:sz w:val="20"/>
                <w:szCs w:val="20"/>
              </w:rPr>
              <w:t xml:space="preserve">dataset (2022); operator price disclosures; NASA and FAA cost records</w:t>
            </w:r>
          </w:p>
        </w:tc>
      </w:tr>
      <w:tr>
        <w:tc>
          <w:tcPr>
            <w:tcW w:w="0" w:type="auto"/>
          </w:tcPr>
          <w:p>
            <w:pPr>
              <w:spacing w:line="240" w:lineRule="auto" w:before="0" w:after="0"/>
              <w:pStyle w:val="Compact"/>
            </w:pPr>
            <w:r>
              <w:rPr>
                <w:sz w:val="20"/>
                <w:szCs w:val="20"/>
              </w:rPr>
              <w:t xml:space="preserve">cum_launches</w:t>
            </w:r>
          </w:p>
        </w:tc>
        <w:tc>
          <w:tcPr>
            <w:tcW w:w="0" w:type="auto"/>
          </w:tcPr>
          <w:p>
            <w:pPr>
              <w:spacing w:line="240" w:lineRule="auto" w:before="0" w:after="0"/>
              <w:pStyle w:val="Compact"/>
            </w:pPr>
            <w:r>
              <w:rPr>
                <w:sz w:val="20"/>
                <w:szCs w:val="20"/>
              </w:rPr>
              <w:t xml:space="preserve">Cumulative number of flights of the vehicle family up to and including the observation year, a proxy for accumulated production and operations experience (the Wright’s-law experience base)</w:t>
            </w:r>
          </w:p>
        </w:tc>
        <w:tc>
          <w:tcPr>
            <w:tcW w:w="0" w:type="auto"/>
          </w:tcPr>
          <w:p>
            <w:pPr>
              <w:spacing w:line="240" w:lineRule="auto" w:before="0" w:after="0"/>
              <w:pStyle w:val="Compact"/>
            </w:pPr>
            <w:r>
              <w:rPr>
                <w:sz w:val="20"/>
                <w:szCs w:val="20"/>
              </w:rPr>
              <w:t xml:space="preserve">SpaceX, ULA, Northrop Grumman, Rocket Lab, Arianespace, JAXA, ISRO, Roscosmos, and CASC launch logs; Spaceflight Now and NASA launch records</w:t>
            </w:r>
          </w:p>
        </w:tc>
      </w:tr>
      <w:tr>
        <w:tc>
          <w:tcPr>
            <w:tcW w:w="0" w:type="auto"/>
          </w:tcPr>
          <w:p>
            <w:pPr>
              <w:spacing w:line="240" w:lineRule="auto" w:before="0" w:after="0"/>
              <w:pStyle w:val="Compact"/>
            </w:pPr>
            <w:r>
              <w:rPr>
                <w:sz w:val="20"/>
                <w:szCs w:val="20"/>
              </w:rPr>
              <w:t xml:space="preserve">cost_per_kg_leo</w:t>
            </w:r>
          </w:p>
        </w:tc>
        <w:tc>
          <w:tcPr>
            <w:tcW w:w="0" w:type="auto"/>
          </w:tcPr>
          <w:p>
            <w:pPr>
              <w:spacing w:line="240" w:lineRule="auto" w:before="0" w:after="0"/>
              <w:pStyle w:val="Compact"/>
            </w:pPr>
            <w:r>
              <w:rPr>
                <w:sz w:val="20"/>
                <w:szCs w:val="20"/>
              </w:rPr>
              <w:t xml:space="preserve">Dependent variable in the log-log specification; its natural log is regressed on the natural log of cumulative launches</w:t>
            </w:r>
          </w:p>
        </w:tc>
        <w:tc>
          <w:tcPr>
            <w:tcW w:w="0" w:type="auto"/>
          </w:tcPr>
          <w:p>
            <w:pPr>
              <w:spacing w:line="240" w:lineRule="auto" w:before="0" w:after="0"/>
              <w:pStyle w:val="Compact"/>
            </w:pPr>
            <w:r>
              <w:rPr>
                <w:sz w:val="20"/>
                <w:szCs w:val="20"/>
              </w:rPr>
              <w:t xml:space="preserve">As above</w:t>
            </w:r>
          </w:p>
        </w:tc>
      </w:tr>
      <w:tr>
        <w:tc>
          <w:tcPr>
            <w:tcW w:w="0" w:type="auto"/>
          </w:tcPr>
          <w:p>
            <w:pPr>
              <w:spacing w:line="240" w:lineRule="auto" w:before="0" w:after="0"/>
              <w:pStyle w:val="Compact"/>
            </w:pPr>
            <w:r>
              <w:rPr>
                <w:sz w:val="20"/>
                <w:szCs w:val="20"/>
              </w:rPr>
              <w:t xml:space="preserve">leo_payload_kg</w:t>
            </w:r>
          </w:p>
        </w:tc>
        <w:tc>
          <w:tcPr>
            <w:tcW w:w="0" w:type="auto"/>
          </w:tcPr>
          <w:p>
            <w:pPr>
              <w:spacing w:line="240" w:lineRule="auto" w:before="0" w:after="0"/>
              <w:pStyle w:val="Compact"/>
            </w:pPr>
            <w:r>
              <w:rPr>
                <w:sz w:val="20"/>
                <w:szCs w:val="20"/>
              </w:rPr>
              <w:t xml:space="preserve">Maximum payload mass to low Earth orbit for the vehicle configuration, used for context and not as a regressor in the primary specification</w:t>
            </w:r>
          </w:p>
        </w:tc>
        <w:tc>
          <w:tcPr>
            <w:tcW w:w="0" w:type="auto"/>
          </w:tcPr>
          <w:p>
            <w:pPr>
              <w:spacing w:line="240" w:lineRule="auto" w:before="0" w:after="0"/>
              <w:pStyle w:val="Compact"/>
            </w:pPr>
            <w:r>
              <w:rPr>
                <w:sz w:val="20"/>
                <w:szCs w:val="20"/>
              </w:rPr>
              <w:t xml:space="preserve">Manufacturer payload guides and CSIS dataset</w:t>
            </w:r>
          </w:p>
        </w:tc>
      </w:tr>
      <w:tr>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Binary indicator equal to 1 if the vehicle configuration recovers and reflies a major stage, else 0; descriptive only in the primary specification</w:t>
            </w:r>
          </w:p>
        </w:tc>
        <w:tc>
          <w:tcPr>
            <w:tcW w:w="0" w:type="auto"/>
          </w:tcPr>
          <w:p>
            <w:pPr>
              <w:spacing w:line="240" w:lineRule="auto" w:before="0" w:after="0"/>
              <w:pStyle w:val="Compact"/>
            </w:pPr>
            <w:r>
              <w:rPr>
                <w:sz w:val="20"/>
                <w:szCs w:val="20"/>
              </w:rPr>
              <w:t xml:space="preserve">Operator configuration disclosures</w:t>
            </w:r>
          </w:p>
        </w:tc>
      </w:tr>
      <w:tr>
        <w:tc>
          <w:tcPr>
            <w:tcW w:w="0" w:type="auto"/>
          </w:tcPr>
          <w:p>
            <w:pPr>
              <w:spacing w:line="240" w:lineRule="auto" w:before="0" w:after="0"/>
              <w:pStyle w:val="Compact"/>
            </w:pPr>
            <w:r>
              <w:rPr>
                <w:sz w:val="20"/>
                <w:szCs w:val="20"/>
              </w:rPr>
              <w:t xml:space="preserve">nasa_anchor</w:t>
            </w:r>
          </w:p>
        </w:tc>
        <w:tc>
          <w:tcPr>
            <w:tcW w:w="0" w:type="auto"/>
          </w:tcPr>
          <w:p>
            <w:pPr>
              <w:spacing w:line="240" w:lineRule="auto" w:before="0" w:after="0"/>
              <w:pStyle w:val="Compact"/>
            </w:pPr>
            <w:r>
              <w:rPr>
                <w:sz w:val="20"/>
                <w:szCs w:val="20"/>
              </w:rPr>
              <w:t xml:space="preserve">Binary indicator equal to 1 if the vehicle family flew under a NASA anchor-tenant program (Commercial Resupply, Commercial Crew, NASA Launch Services, or historical NASA human spaceflight), else 0</w:t>
            </w:r>
          </w:p>
        </w:tc>
        <w:tc>
          <w:tcPr>
            <w:tcW w:w="0" w:type="auto"/>
          </w:tcPr>
          <w:p>
            <w:pPr>
              <w:spacing w:line="240" w:lineRule="auto" w:before="0" w:after="0"/>
              <w:pStyle w:val="Compact"/>
            </w:pPr>
            <w:r>
              <w:rPr>
                <w:sz w:val="20"/>
                <w:szCs w:val="20"/>
              </w:rPr>
              <w:t xml:space="preserve">NASA CRS/CCP/NLS award records and historical program documentation</w:t>
            </w:r>
          </w:p>
        </w:tc>
      </w:tr>
    </w:tbl>
    <w:bookmarkEnd w:id="194"/>
    <w:bookmarkEnd w:id="195"/>
    <w:bookmarkEnd w:id="1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1" Type="http://schemas.openxmlformats.org/officeDocument/2006/relationships/image" Target="media/rId181.png"/><Relationship Id="rId189" Type="http://schemas.openxmlformats.org/officeDocument/2006/relationships/image" Target="media/rId189.png"/><Relationship Id="rId145" Type="http://schemas.openxmlformats.org/officeDocument/2006/relationships/hyperlink" Target="https://doi.org/10.1016/j.actaastro.2019.08.031" TargetMode="External"/><Relationship Id="rId165" Type="http://schemas.openxmlformats.org/officeDocument/2006/relationships/hyperlink" Target="https://doi.org/10.1016/j.actaastro.2023.05.001" TargetMode="External"/><Relationship Id="rId167" Type="http://schemas.openxmlformats.org/officeDocument/2006/relationships/hyperlink" Target="https://doi.org/10.1016/j.actaastro.2023.08.042" TargetMode="External"/><Relationship Id="rId175" Type="http://schemas.openxmlformats.org/officeDocument/2006/relationships/hyperlink" Target="https://doi.org/10.1016/j.actaastro.2024.04.001" TargetMode="External"/><Relationship Id="rId173" Type="http://schemas.openxmlformats.org/officeDocument/2006/relationships/hyperlink" Target="https://doi.org/10.1016/j.actaastro.2024.09.005" TargetMode="External"/><Relationship Id="rId169" Type="http://schemas.openxmlformats.org/officeDocument/2006/relationships/hyperlink" Target="https://doi.org/10.1016/j.actaastro.2025.02.009" TargetMode="External"/><Relationship Id="rId177" Type="http://schemas.openxmlformats.org/officeDocument/2006/relationships/hyperlink" Target="https://doi.org/10.1016/j.actaastro.2025.05.056" TargetMode="External"/><Relationship Id="rId163" Type="http://schemas.openxmlformats.org/officeDocument/2006/relationships/hyperlink" Target="https://doi.org/10.1016/j.actaastro.2026.01.040" TargetMode="External"/><Relationship Id="rId171" Type="http://schemas.openxmlformats.org/officeDocument/2006/relationships/hyperlink" Target="https://doi.org/10.1016/j.actaastro.2026.03.026" TargetMode="External"/><Relationship Id="rId157" Type="http://schemas.openxmlformats.org/officeDocument/2006/relationships/hyperlink" Target="https://doi.org/10.64861/XQCN3213" TargetMode="External"/></Relationships>
</file>

<file path=word/_rels/footnotes.xml.rels><?xml version='1.0' encoding='UTF-8' standalone='yes'?>
<Relationships xmlns="http://schemas.openxmlformats.org/package/2006/relationships"><Relationship Id="rId145" Type="http://schemas.openxmlformats.org/officeDocument/2006/relationships/hyperlink" Target="https://doi.org/10.1016/j.actaastro.2019.08.031" TargetMode="External"/><Relationship Id="rId165" Type="http://schemas.openxmlformats.org/officeDocument/2006/relationships/hyperlink" Target="https://doi.org/10.1016/j.actaastro.2023.05.001" TargetMode="External"/><Relationship Id="rId167" Type="http://schemas.openxmlformats.org/officeDocument/2006/relationships/hyperlink" Target="https://doi.org/10.1016/j.actaastro.2023.08.042" TargetMode="External"/><Relationship Id="rId175" Type="http://schemas.openxmlformats.org/officeDocument/2006/relationships/hyperlink" Target="https://doi.org/10.1016/j.actaastro.2024.04.001" TargetMode="External"/><Relationship Id="rId173" Type="http://schemas.openxmlformats.org/officeDocument/2006/relationships/hyperlink" Target="https://doi.org/10.1016/j.actaastro.2024.09.005" TargetMode="External"/><Relationship Id="rId169" Type="http://schemas.openxmlformats.org/officeDocument/2006/relationships/hyperlink" Target="https://doi.org/10.1016/j.actaastro.2025.02.009" TargetMode="External"/><Relationship Id="rId177" Type="http://schemas.openxmlformats.org/officeDocument/2006/relationships/hyperlink" Target="https://doi.org/10.1016/j.actaastro.2025.05.056" TargetMode="External"/><Relationship Id="rId163" Type="http://schemas.openxmlformats.org/officeDocument/2006/relationships/hyperlink" Target="https://doi.org/10.1016/j.actaastro.2026.01.040" TargetMode="External"/><Relationship Id="rId171" Type="http://schemas.openxmlformats.org/officeDocument/2006/relationships/hyperlink" Target="https://doi.org/10.1016/j.actaastro.2026.03.026" TargetMode="External"/><Relationship Id="rId157" Type="http://schemas.openxmlformats.org/officeDocument/2006/relationships/hyperlink" Target="https://doi.org/10.64861/XQCN3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Cadence and Public Investment: Does NASA Program Funding Crowd In or Crowd Out Commercial Space Investment?</dc:title>
  <dc:creator>Wei Bauer (1B-INF-068)</dc:creator>
  <cp:keywords/>
  <dcterms:created xsi:type="dcterms:W3CDTF">2026-07-02T15:56:50Z</dcterms:created>
  <dcterms:modified xsi:type="dcterms:W3CDTF">2026-07-02T15:56:50Z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