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80.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8" w:name="X4e45c5849b7492ef61e4164c6ab4a79b540e7c6"/>
    <w:p>
      <w:pPr>
        <w:pStyle w:val="Heading1"/>
      </w:pPr>
      <w:r>
        <w:t xml:space="preserve">Attention Accumulation in The Casualty-Expectation Threshold is the 1-in-10,000 public-risk criterion bin: A Learning-Curve Analysis of Citation Growth by Article Age</w:t>
      </w:r>
    </w:p>
    <w:bookmarkStart w:id="61" w:name="introduction"/>
    <w:p>
      <w:pPr>
        <w:pStyle w:val="Heading2"/>
      </w:pPr>
      <w:r>
        <w:t xml:space="preserve">1. Introduction</w:t>
      </w:r>
    </w:p>
    <w:p>
      <w:pPr>
        <w:pStyle w:val="FirstParagraph"/>
      </w:pPr>
      <w:r>
        <w:t xml:space="preserve">This empirical paper supports Roland Lund (1B-INF-178) and the dissertation project</w:t>
      </w:r>
      <w:r>
        <w:t xml:space="preserve"> </w:t>
      </w:r>
      <w:r>
        <w:rPr>
          <w:i/>
          <w:iCs/>
        </w:rPr>
        <w:t xml:space="preserve">The Casualty-Expectation Threshold: is the 1-in-10,000 public-risk criterion bin</w:t>
      </w:r>
      <w:r>
        <w:t xml:space="preserve">. The model tests whether citation accumulation is structured by article age inside the retrieved corpus. The analysis uses the local candidate source pack and reports only deterministic workbook results</w:t>
      </w:r>
      <w:r>
        <w:t xml:space="preserve"> </w:t>
      </w:r>
      <w:hyperlink w:anchor="ref-1">
        <m:oMathPara>
          <m:oMathParaPr>
            <m:jc m:val="center"/>
          </m:oMathParaPr>
          <m:oMath>
            <m:r>
              <m:t>1</m:t>
            </m:r>
          </m:oMath>
        </m:oMathPara>
      </w:hyperlink>
      <w:r>
        <w:t xml:space="preserve">,</w:t>
      </w:r>
      <w:r>
        <w:t xml:space="preserve"> </w:t>
      </w:r>
      <w:hyperlink w:anchor="ref-2">
        <m:oMathPara>
          <m:oMathParaPr>
            <m:jc m:val="center"/>
          </m:oMathParaPr>
          <m:oMath>
            <m:r>
              <m:t>2</m:t>
            </m:r>
          </m:oMath>
        </m:oMathPara>
      </w:hyperlink>
      <w:r>
        <w:t xml:space="preserve">,</w:t>
      </w:r>
      <w:r>
        <w:t xml:space="preserve"> </w:t>
      </w:r>
      <w:hyperlink w:anchor="ref-3">
        <m:oMathPara>
          <m:oMathParaPr>
            <m:jc m:val="center"/>
          </m:oMathParaPr>
          <m:oMath>
            <m:r>
              <m:t>3</m:t>
            </m:r>
          </m:oMath>
        </m:oMathPara>
      </w:hyperlink>
      <w:r>
        <w:t xml:space="preserve">.</w:t>
      </w:r>
    </w:p>
    <w:bookmarkEnd w:id="61"/>
    <w:bookmarkStart w:id="62" w:name="theory-and-hypotheses"/>
    <w:p>
      <w:pPr>
        <w:pStyle w:val="Heading2"/>
      </w:pPr>
      <w:r>
        <w:t xml:space="preserve">2. Theory and Hypotheses</w:t>
      </w:r>
    </w:p>
    <w:p>
      <w:pPr>
        <w:pStyle w:val="FirstParagraph"/>
      </w:pPr>
      <w:r>
        <w:t xml:space="preserve">The theoretical claim is intentionally narrow. If the candidate topic has become more visible in the retrieved literature, then source metadata should show structure across time, attention, or venue. If it has not, the model should return weak or unstable associations</w:t>
      </w:r>
      <w:r>
        <w:t xml:space="preserve"> </w:t>
      </w:r>
      <w:hyperlink w:anchor="ref-3">
        <m:oMathPara>
          <m:oMathParaPr>
            <m:jc m:val="center"/>
          </m:oMathParaPr>
          <m:oMath>
            <m:r>
              <m:t>3</m:t>
            </m:r>
          </m:oMath>
        </m:oMathPara>
      </w:hyperlink>
      <w:r>
        <w:t xml:space="preserve">,</w:t>
      </w:r>
      <w:r>
        <w:t xml:space="preserve"> </w:t>
      </w:r>
      <w:hyperlink w:anchor="ref-4">
        <m:oMathPara>
          <m:oMathParaPr>
            <m:jc m:val="center"/>
          </m:oMathParaPr>
          <m:oMath>
            <m:r>
              <m:t>4</m:t>
            </m:r>
          </m:oMath>
        </m:oMathPara>
      </w:hyperlink>
      <w:r>
        <w:t xml:space="preserve">.</w:t>
      </w:r>
    </w:p>
    <w:p>
      <w:pPr>
        <w:pStyle w:val="FirstParagraph"/>
      </w:pPr>
      <w:r>
        <w:t xml:space="preserve">H0: the modeled outcome is unrelated to the specified predictors.</w:t>
      </w:r>
    </w:p>
    <w:p>
      <w:pPr>
        <w:pStyle w:val="BodyText"/>
      </w:pPr>
      <w:r>
        <w:t xml:space="preserve">H1: the modeled outcome is systematically related to the specified predictors.</w:t>
      </w:r>
    </w:p>
    <w:bookmarkEnd w:id="62"/>
    <w:bookmarkStart w:id="63" w:name="data"/>
    <w:p>
      <w:pPr>
        <w:pStyle w:val="Heading2"/>
      </w:pPr>
      <w:r>
        <w:t xml:space="preserve">3. Data</w:t>
      </w:r>
    </w:p>
    <w:p>
      <w:pPr>
        <w:pStyle w:val="FirstParagraph"/>
      </w:pPr>
      <w:r>
        <w:t xml:space="preserve">The estimation file contains 30 retrieved source records. Variables are constructed from local metadata, including publication year, reported citation count, venue family, and deterministic topic-signal fields. Every row preserves a source column so the empirical workbook remains auditable.</w:t>
      </w:r>
    </w:p>
    <w:bookmarkEnd w:id="63"/>
    <w:bookmarkStart w:id="64" w:name="method"/>
    <w:p>
      <w:pPr>
        <w:pStyle w:val="Heading2"/>
      </w:pPr>
      <w:r>
        <w:t xml:space="preserve">4. Method</w:t>
      </w:r>
    </w:p>
    <w:p>
      <w:pPr>
        <w:pStyle w:val="FirstParagraph"/>
      </w:pPr>
      <w:r>
        <w:t xml:space="preserve">The estimator is a log-log learning-curve model with robust HC1 standard errors. The exact fit summary is: N=30, R2=0.023128571028817713, elasticity_b=-0.22539074200585557, progress_ratio_2^b=0.8553633262328474. The exact term summary is: const coef=0.8852643988958413 p=0.0763900745689139; _ln_x coef=-0.22539074200585557 p=0.37489210436473086. These values are interpreted as corpus-screen evidence, not as final causal estimates.</w:t>
      </w:r>
    </w:p>
    <w:bookmarkEnd w:id="64"/>
    <w:bookmarkStart w:id="65" w:name="findings"/>
    <w:p>
      <w:pPr>
        <w:pStyle w:val="Heading2"/>
      </w:pPr>
      <w:r>
        <w:t xml:space="preserve">5. Findings</w:t>
      </w:r>
    </w:p>
    <w:p>
      <w:pPr>
        <w:pStyle w:val="FirstParagraph"/>
      </w:pPr>
      <w:r>
        <w:t xml:space="preserve">The findings are bounded by the estimator output. Where a coefficient is signed and precise, it indicates structure in the retrieved source corpus. Where a coefficient is imprecise, the paper treats the result as evidence against a strong claim. This distinction matters because a noisy source pack should not be forced to carry more policy weight than it can bear</w:t>
      </w:r>
      <w:r>
        <w:t xml:space="preserve"> </w:t>
      </w:r>
      <w:hyperlink w:anchor="ref-2">
        <m:oMathPara>
          <m:oMathParaPr>
            <m:jc m:val="center"/>
          </m:oMathParaPr>
          <m:oMath>
            <m:r>
              <m:t>2</m:t>
            </m:r>
          </m:oMath>
        </m:oMathPara>
      </w:hyperlink>
      <w:r>
        <w:t xml:space="preserve">,</w:t>
      </w:r>
      <w:r>
        <w:t xml:space="preserve"> </w:t>
      </w:r>
      <w:hyperlink w:anchor="ref-5">
        <m:oMathPara>
          <m:oMathParaPr>
            <m:jc m:val="center"/>
          </m:oMathParaPr>
          <m:oMath>
            <m:r>
              <m:t>5</m:t>
            </m:r>
          </m:oMath>
        </m:oMathPara>
      </w:hyperlink>
      <w:r>
        <w:t xml:space="preserve">.</w:t>
      </w:r>
    </w:p>
    <w:bookmarkEnd w:id="65"/>
    <w:bookmarkStart w:id="66" w:name="discussion"/>
    <w:p>
      <w:pPr>
        <w:pStyle w:val="Heading2"/>
      </w:pPr>
      <w:r>
        <w:t xml:space="preserve">6. Discussion</w:t>
      </w:r>
    </w:p>
    <w:p>
      <w:pPr>
        <w:pStyle w:val="FirstParagraph"/>
      </w:pPr>
      <w:r>
        <w:t xml:space="preserve">The paper contributes to the dissertation by keeping the evidentiary chain inspectable. It shows which parts of the candidate topic are visible in metadata and which parts need a more direct document-coding design. The result is a disciplined bridge from source retrieval to dissertation-level interpretation</w:t>
      </w:r>
      <w:r>
        <w:t xml:space="preserve"> </w:t>
      </w:r>
      <w:hyperlink w:anchor="ref-1">
        <m:oMathPara>
          <m:oMathParaPr>
            <m:jc m:val="center"/>
          </m:oMathParaPr>
          <m:oMath>
            <m:r>
              <m:t>1</m:t>
            </m:r>
          </m:oMath>
        </m:oMathPara>
      </w:hyperlink>
      <w:r>
        <w:t xml:space="preserve">,</w:t>
      </w:r>
      <w:r>
        <w:t xml:space="preserve"> </w:t>
      </w:r>
      <w:hyperlink w:anchor="ref-6">
        <m:oMathPara>
          <m:oMathParaPr>
            <m:jc m:val="center"/>
          </m:oMathParaPr>
          <m:oMath>
            <m:r>
              <m:t>6</m:t>
            </m:r>
          </m:oMath>
        </m:oMathPara>
      </w:hyperlink>
      <w:r>
        <w:t xml:space="preserve">.</w:t>
      </w:r>
    </w:p>
    <w:bookmarkEnd w:id="66"/>
    <w:bookmarkStart w:id="78" w:name="references"/>
    <w:p>
      <w:pPr>
        <w:pStyle w:val="Heading2"/>
      </w:pPr>
      <w:r>
        <w:t xml:space="preserve">References</w:t>
      </w:r>
    </w:p>
    <w:p>
      <w:pPr>
        <w:pStyle w:val="FirstParagraph"/>
      </w:pPr>
      <w:bookmarkStart w:id="67" w:name="ref-1"/>
      <w:bookmarkEnd w:id="67"/>
      <w:r>
        <w:t xml:space="preserve">1. Michael Byers, The University of British Columbia; Ewan Wright, The University of British Columbia; Aaron Boley, The University of British Columbia, Cameron Byers, The University of British Columbia. Unnecessary Risks Created By Uncontrolled Rocket Reentries (2022). [AMOS]</w:t>
      </w:r>
      <w:r>
        <w:t xml:space="preserve"> </w:t>
      </w:r>
      <w:bookmarkStart w:id="68" w:name="ref-2"/>
      <w:bookmarkEnd w:id="68"/>
      <w:r>
        <w:t xml:space="preserve">2. Phillip Schmedeman, US Space Command; Joseph Gerber, Proxima Aerospace; Daniel Herber, Colorado State University. A Mission-Oriented Framework for Evaluating Space Situational Awareness Data (2025). doi:</w:t>
      </w:r>
      <w:r>
        <w:t xml:space="preserve"> </w:t>
      </w:r>
      <w:hyperlink r:id="rId69">
        <w:r>
          <w:rPr>
            <w:rStyle w:val="Hyperlink"/>
          </w:rPr>
          <w:t xml:space="preserve">10.64861/QAOZ6812</w:t>
        </w:r>
      </w:hyperlink>
      <w:r>
        <w:t xml:space="preserve"> </w:t>
      </w:r>
      <w:bookmarkStart w:id="70" w:name="ref-3"/>
      <w:bookmarkEnd w:id="70"/>
      <w:r>
        <w:t xml:space="preserve">3. Yash Chandramouli, Amazon Project Kuiper; Liberty Shockley, Amazon Project Kuiper. A Sensitivity Analysis of DAS Lifetime Collision Probability Estimates (2025). doi:</w:t>
      </w:r>
      <w:r>
        <w:t xml:space="preserve"> </w:t>
      </w:r>
      <w:hyperlink r:id="rId71">
        <w:r>
          <w:rPr>
            <w:rStyle w:val="Hyperlink"/>
          </w:rPr>
          <w:t xml:space="preserve">10.64861/VHJU7246</w:t>
        </w:r>
      </w:hyperlink>
      <w:r>
        <w:t xml:space="preserve"> </w:t>
      </w:r>
      <w:bookmarkStart w:id="72" w:name="ref-4"/>
      <w:bookmarkEnd w:id="72"/>
      <w:r>
        <w:t xml:space="preserve">4. Mirco Rasotto, Dinamica, Giuseppe Di Mauro, Dinamica SrL, Mauro Massari, Politecnico di Milano, Pierluigi Di Lizia, Politecnico di Milano, Roberto Armellin, University of Southampton, Quirin Funke, IMS SPACE CONSULTANCY GMBH, Tim Flohrer, ESA-ESOC. Optimization of Observation Strategy to Improve Re-entry Prediction of Objects in HEO (2016). [AMOS]</w:t>
      </w:r>
      <w:r>
        <w:t xml:space="preserve"> </w:t>
      </w:r>
      <w:bookmarkStart w:id="73" w:name="ref-5"/>
      <w:bookmarkEnd w:id="73"/>
      <w:r>
        <w:t xml:space="preserve">5. Islam I. Hussein, Trusted Space, Inc.; Thomas Kubancik, Trusted Space, Inc; Erin Griggs, Trusted Space, Inc.; Holly Borowski, Trusted Space, Inc.; Mark Bolden, Trusted Space, Inc.. Risk-Based Decision-Making for Space Traffic Management (2022). [AMOS]</w:t>
      </w:r>
      <w:r>
        <w:t xml:space="preserve"> </w:t>
      </w:r>
      <w:bookmarkStart w:id="74" w:name="ref-6"/>
      <w:bookmarkEnd w:id="74"/>
      <w:r>
        <w:t xml:space="preserve">6. Paul Diaz, SpaceNav; Pol Mesalles Ripoll, SpaceNav; Matthew Duncan, SpaceNav; Mike Lindsay, Astroscale; Toby Harris, Astroscale; Hugh G. Lewis, University of Southampton. Data-Driven Lifetime Risk Assessment and Mitigation Planning for Large-Scale Satellite Constellations (2022). [AMOS]</w:t>
      </w:r>
      <w:r>
        <w:t xml:space="preserve"> </w:t>
      </w:r>
      <w:bookmarkStart w:id="75" w:name="ref-7"/>
      <w:bookmarkEnd w:id="75"/>
      <w:r>
        <w:t xml:space="preserve">7. Mark Vincent, Raytheon. Bridging the Gap between Academia and Operations for Orbital Debris Risk Mitigation (2015). [AMOS]</w:t>
      </w:r>
      <w:r>
        <w:t xml:space="preserve"> </w:t>
      </w:r>
      <w:bookmarkStart w:id="76" w:name="ref-8"/>
      <w:bookmarkEnd w:id="76"/>
      <w:r>
        <w:t xml:space="preserve">8. Mariel Borowitz, Office of Space Commerce; Cristina Pérez Hernández, Spanish Space Agency; Morgane Jouisse, CNES; Aurélie Gillet, EU SST; Pascal Faucher, CNES. Advancing Concepts for Global Coordination on SSA (2025). doi:</w:t>
      </w:r>
      <w:r>
        <w:t xml:space="preserve"> </w:t>
      </w:r>
      <w:hyperlink r:id="rId77">
        <w:r>
          <w:rPr>
            <w:rStyle w:val="Hyperlink"/>
          </w:rPr>
          <w:t xml:space="preserve">10.64861/LCET1122</w:t>
        </w:r>
      </w:hyperlink>
    </w:p>
    <w:bookmarkEnd w:id="78"/>
    <w:bookmarkStart w:id="79" w:name="specification"/>
    <w:p>
      <w:pPr>
        <w:pStyle w:val="Heading2"/>
      </w:pPr>
      <w:r>
        <w:t xml:space="preserve">Specification</w:t>
      </w:r>
    </w:p>
    <w:p>
      <w:pPr>
        <w:pStyle w:val="FirstParagraph"/>
      </w:pPr>
      <m:oMathPara>
        <m:oMathParaPr>
          <m:jc m:val="center"/>
        </m:oMathParaPr>
        <m:oMath>
          <m:r>
            <m:rPr>
              <m:sty m:val="p"/>
            </m:rPr>
            <m:t>ln</m:t>
          </m:r>
          <m:r>
            <m:rPr>
              <m:sty m:val="p"/>
            </m:rPr>
            <m:t>(</m:t>
          </m:r>
          <m:sSub>
            <m:e>
              <m:r>
                <m:rPr>
                  <m:nor/>
                  <m:sty m:val="p"/>
                </m:rPr>
                <m:t>CitesPlus1</m:t>
              </m:r>
            </m:e>
            <m:sub>
              <m:r>
                <m:t>i</m:t>
              </m:r>
            </m:sub>
          </m:sSub>
          <m:r>
            <m:rPr>
              <m:sty m:val="p"/>
            </m:rPr>
            <m:t>)</m:t>
          </m:r>
          <m:r>
            <m:rPr>
              <m:sty m:val="p"/>
            </m:rPr>
            <m:t>=</m:t>
          </m:r>
          <m:r>
            <m:t>α</m:t>
          </m:r>
          <m:r>
            <m:rPr>
              <m:sty m:val="p"/>
            </m:rPr>
            <m:t>+</m:t>
          </m:r>
          <m:sSub>
            <m:e>
              <m:r>
                <m:t>β</m:t>
              </m:r>
            </m:e>
            <m:sub>
              <m:r>
                <m:t>1</m:t>
              </m:r>
            </m:sub>
          </m:sSub>
          <m:r>
            <m:rPr>
              <m:sty m:val="p"/>
            </m:rPr>
            <m:t>ln</m:t>
          </m:r>
          <m:r>
            <m:rPr>
              <m:sty m:val="p"/>
            </m:rPr>
            <m:t>(</m:t>
          </m:r>
          <m:sSub>
            <m:e>
              <m:r>
                <m:rPr>
                  <m:nor/>
                  <m:sty m:val="p"/>
                </m:rPr>
                <m:t>AgeIndex</m:t>
              </m:r>
            </m:e>
            <m:sub>
              <m:r>
                <m:t>i</m:t>
              </m:r>
            </m:sub>
          </m:sSub>
          <m:r>
            <m:rPr>
              <m:sty m:val="p"/>
            </m:rPr>
            <m:t>)</m:t>
          </m:r>
          <m:r>
            <m:rPr>
              <m:sty m:val="p"/>
            </m:rPr>
            <m:t>+</m:t>
          </m:r>
          <m:sSub>
            <m:e>
              <m:r>
                <m:t>ε</m:t>
              </m:r>
            </m:e>
            <m:sub>
              <m:r>
                <m:t>i</m:t>
              </m:r>
            </m:sub>
          </m:sSub>
        </m:oMath>
      </m:oMathPara>
    </w:p>
    <w:bookmarkEnd w:id="79"/>
    <w:bookmarkStart w:id="83"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0.8853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1.772</w:t>
            </w:r>
          </w:p>
        </w:tc>
        <w:tc>
          <w:tcPr>
            <w:tcW w:w="0" w:type="auto"/>
          </w:tcPr>
          <w:p>
            <w:pPr>
              <w:spacing w:line="240" w:lineRule="auto" w:before="0" w:after="0"/>
              <w:pStyle w:val="Compact"/>
            </w:pPr>
            <w:r>
              <w:rPr>
                <w:sz w:val="20"/>
                <w:szCs w:val="20"/>
              </w:rPr>
              <w:t xml:space="preserve">0.0764</w:t>
            </w:r>
          </w:p>
        </w:tc>
        <w:tc>
          <w:tcPr>
            <w:tcW w:w="0" w:type="auto"/>
          </w:tcPr>
          <w:p>
            <w:pPr>
              <w:spacing w:line="240" w:lineRule="auto" w:before="0" w:after="0"/>
              <w:pStyle w:val="Compact"/>
            </w:pPr>
            <w:r>
              <w:rPr>
                <w:sz w:val="20"/>
                <w:szCs w:val="20"/>
              </w:rPr>
              <w:t xml:space="preserve">[-0.0939, 1.8644]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-0.2254</w:t>
            </w:r>
          </w:p>
        </w:tc>
        <w:tc>
          <w:tcPr>
            <w:tcW w:w="0" w:type="auto"/>
          </w:tcPr>
          <w:p>
            <w:pPr>
              <w:spacing w:line="240" w:lineRule="auto" w:before="0" w:after="0"/>
              <w:pStyle w:val="Compact"/>
            </w:pPr>
            <w:r>
              <w:rPr>
                <w:sz w:val="20"/>
                <w:szCs w:val="20"/>
              </w:rPr>
              <w:t xml:space="preserve">0.254</w:t>
            </w:r>
          </w:p>
        </w:tc>
        <w:tc>
          <w:tcPr>
            <w:tcW w:w="0" w:type="auto"/>
          </w:tcPr>
          <w:p>
            <w:pPr>
              <w:spacing w:line="240" w:lineRule="auto" w:before="0" w:after="0"/>
              <w:pStyle w:val="Compact"/>
            </w:pPr>
            <w:r>
              <w:rPr>
                <w:sz w:val="20"/>
                <w:szCs w:val="20"/>
              </w:rPr>
              <w:t xml:space="preserve">-0.8873</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[-0.7232, 0.2725]</w:t>
            </w:r>
          </w:p>
        </w:tc>
      </w:tr>
    </w:tbl>
    <w:p>
      <w:pPr>
        <w:pStyle w:val="BodyText"/>
      </w:pPr>
      <w:r>
        <w:t xml:space="preserve">Fit: N = 30 R2 = 0.0231 elasticity_b = -0.2254 progress_ratio_2^b = 0.8554</w:t>
      </w:r>
    </w:p>
    <w:p>
      <w:pPr>
        <w:pStyle w:val="CaptionedFigure"/>
      </w:pPr>
      <w:r>
        <w:drawing>
          <wp:inline>
            <wp:extent cx="5669280" cy="3657600"/>
            <wp:effectExtent b="0" l="0" r="0" t="0"/>
            <wp:docPr descr="Figure 1. Citation accumulation against article age in the retrieved topic literature." title="" id="81" name="Picture"/>
            <a:graphic>
              <a:graphicData uri="http://schemas.openxmlformats.org/drawingml/2006/picture">
                <pic:pic>
                  <pic:nvPicPr>
                    <pic:cNvPr descr="D:\Claude_Code\brain\collegium\candidates\dissertations\LAUNCH_REG_12\research_papers\p2\paper_fig1.png" id="82" name="Picture"/>
                    <pic:cNvPicPr>
                      <a:picLocks noChangeArrowheads="1" noChangeAspect="1"/>
                    </pic:cNvPicPr>
                  </pic:nvPicPr>
                  <pic:blipFill>
                    <a:blip r:embed="rId80"/>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Citation accumulation against article age in the retrieved topic literature.</w:t>
      </w:r>
    </w:p>
    <w:bookmarkEnd w:id="83"/>
    <w:bookmarkStart w:id="87"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4"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doc_id</w:t>
            </w:r>
          </w:p>
        </w:tc>
        <w:tc>
          <w:tcPr>
            <w:tcW w:w="0" w:type="auto"/>
          </w:tcPr>
          <w:p>
            <w:pPr>
              <w:spacing w:line="240" w:lineRule="auto" w:before="0" w:after="0"/>
              <w:pStyle w:val="Compact"/>
            </w:pPr>
            <w:r>
              <w:rPr>
                <w:sz w:val="20"/>
                <w:szCs w:val="20"/>
              </w:rPr>
              <w:t xml:space="preserve">year_num</w:t>
            </w:r>
          </w:p>
        </w:tc>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cites_num</w:t>
            </w:r>
          </w:p>
        </w:tc>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signal_score</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https://amostech.space/year/2022/unnecessary-risks-created-by-uncontrolled-rocket-reentries/</w:t>
            </w:r>
          </w:p>
        </w:tc>
      </w:tr>
      <w:tr>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10.64861/QAOZ6812</w:t>
            </w:r>
          </w:p>
        </w:tc>
      </w:tr>
      <w:tr>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10.64861/VHJU7246</w:t>
            </w:r>
          </w:p>
        </w:tc>
      </w:tr>
      <w:tr>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https://amostech.space/year/2016/optimization-of-observation-strategy-to-improve-re-entry-prediction-of-objects-in-heo/</w:t>
            </w:r>
          </w:p>
        </w:tc>
      </w:tr>
      <w:tr>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https://amostech.space/year/2022/risk-based-decision-making-for-space-traffic-management/</w:t>
            </w:r>
          </w:p>
        </w:tc>
      </w:tr>
      <w:tr>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https://amostech.space/year/2022/data-driven-lifetime-risk-assessment-and-mitigation-planning-for-large-scale-satellite-constellations/</w:t>
            </w:r>
          </w:p>
        </w:tc>
      </w:tr>
      <w:tr>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https://amostech.space/year/2015/bridging-the-gap-between-academia-and-operations-for-orbital-debris-risk-mitigation/</w:t>
            </w:r>
          </w:p>
        </w:tc>
      </w:tr>
      <w:tr>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10.64861/LCET1122</w:t>
            </w:r>
          </w:p>
        </w:tc>
      </w:tr>
      <w:tr>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https://amostech.space/year/2014/evolution-and-implementation-of-the-nasa-robotic-conjunction-assessment-risk-analysis-concept-of-operations/</w:t>
            </w:r>
          </w:p>
        </w:tc>
      </w:tr>
      <w:tr>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10.64861/AJUV7773</w:t>
            </w:r>
          </w:p>
        </w:tc>
      </w:tr>
      <w:tr>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https://amostech.space/year/2011/efficient-all-vs-all-collision-risk-analyses/</w:t>
            </w:r>
          </w:p>
        </w:tc>
      </w:tr>
      <w:tr>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https://amostech.space/year/2019/policy-and-geopolitical-implications-of-launch-on-demand-capabilities/</w:t>
            </w:r>
          </w:p>
        </w:tc>
      </w:tr>
      <w:tr>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2026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10.1016/j.actaastro.2026.01.049</w:t>
            </w:r>
          </w:p>
        </w:tc>
      </w:tr>
      <w:tr>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10.1016/j.actaastro.2024.05.026</w:t>
            </w:r>
          </w:p>
        </w:tc>
      </w:tr>
      <w:tr>
        <w:tc>
          <w:tcPr>
            <w:tcW w:w="0" w:type="auto"/>
          </w:tcPr>
          <w:p>
            <w:pPr>
              <w:spacing w:line="240" w:lineRule="auto" w:before="0" w:after="0"/>
              <w:pStyle w:val="Compact"/>
            </w:pPr>
            <w:r>
              <w:rPr>
                <w:sz w:val="20"/>
                <w:szCs w:val="20"/>
              </w:rPr>
              <w:t xml:space="preserve">15</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10.1016/j.actaastro.2024.03.057</w:t>
            </w:r>
          </w:p>
        </w:tc>
      </w:tr>
      <w:tr>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10.1016/j.actaastro.2018.10.015</w:t>
            </w:r>
          </w:p>
        </w:tc>
      </w:tr>
      <w:tr>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10.1016/j.actaastro.2024.06.013</w:t>
            </w:r>
          </w:p>
        </w:tc>
      </w:tr>
      <w:tr>
        <w:tc>
          <w:tcPr>
            <w:tcW w:w="0" w:type="auto"/>
          </w:tcPr>
          <w:p>
            <w:pPr>
              <w:spacing w:line="240" w:lineRule="auto" w:before="0" w:after="0"/>
              <w:pStyle w:val="Compact"/>
            </w:pPr>
            <w:r>
              <w:rPr>
                <w:sz w:val="20"/>
                <w:szCs w:val="20"/>
              </w:rPr>
              <w:t xml:space="preserve">18</w:t>
            </w:r>
          </w:p>
        </w:tc>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10.1016/j.actaastro.2023.11.020</w:t>
            </w:r>
          </w:p>
        </w:tc>
      </w:tr>
      <w:tr>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10.1016/j.actaastro.2019.07.033</w:t>
            </w:r>
          </w:p>
        </w:tc>
      </w:tr>
      <w:tr>
        <w:tc>
          <w:tcPr>
            <w:tcW w:w="0" w:type="auto"/>
          </w:tcPr>
          <w:p>
            <w:pPr>
              <w:spacing w:line="240" w:lineRule="auto" w:before="0" w:after="0"/>
              <w:pStyle w:val="Compact"/>
            </w:pPr>
            <w:r>
              <w:rPr>
                <w:sz w:val="20"/>
                <w:szCs w:val="20"/>
              </w:rPr>
              <w:t xml:space="preserve">20</w:t>
            </w:r>
          </w:p>
        </w:tc>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10.1016/j.actaastro.2024.09.024</w:t>
            </w:r>
          </w:p>
        </w:tc>
      </w:tr>
      <w:tr>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Stilwell et al. (IAC 2024) propose a</w:t>
            </w:r>
            <w:r>
              <w:rPr>
                <w:sz w:val="20"/>
                <w:szCs w:val="20"/>
              </w:rPr>
              <w:t xml:space="preserve"> </w:t>
            </w:r>
            <w:r>
              <w:rPr>
                <w:sz w:val="20"/>
                <w:szCs w:val="20"/>
              </w:rPr>
              <w:t xml:space="preserve">“LEO Class”</w:t>
            </w:r>
            <w:r>
              <w:rPr>
                <w:sz w:val="20"/>
                <w:szCs w:val="20"/>
              </w:rPr>
              <w:t xml:space="preserve"> </w:t>
            </w:r>
            <w:r>
              <w:rPr>
                <w:sz w:val="20"/>
                <w:szCs w:val="20"/>
              </w:rPr>
              <w:t xml:space="preserve">system modeled on ICAO aviation airspace classification, arguing that orbital carrying capacity is a safety metric best managed through altitude-band-specific entry requirements tied to maneuverability, SSA quality, and collision risk tolerance rather than a single satellite count threshold.</w:t>
            </w:r>
          </w:p>
        </w:tc>
      </w:tr>
      <w:tr>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Leveraging Circular Economy for Space Sustainability</w:t>
            </w:r>
          </w:p>
        </w:tc>
      </w:tr>
      <w:tr>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The Space Imperative (Whole-of-Nation)</w:t>
            </w:r>
          </w:p>
        </w:tc>
      </w:tr>
      <w:tr>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IRD Project Research Designs V2.0</w:t>
            </w:r>
          </w:p>
        </w:tc>
      </w:tr>
      <w:tr>
        <w:tc>
          <w:tcPr>
            <w:tcW w:w="0" w:type="auto"/>
          </w:tcPr>
          <w:p>
            <w:pPr>
              <w:spacing w:line="240" w:lineRule="auto" w:before="0" w:after="0"/>
              <w:pStyle w:val="Compact"/>
            </w:pPr>
            <w:r>
              <w:rPr>
                <w:sz w:val="20"/>
                <w:szCs w:val="20"/>
              </w:rPr>
              <w:t xml:space="preserve">25</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Stilwell IAC 2024 Orbital Capacity</w:t>
            </w:r>
          </w:p>
        </w:tc>
      </w:tr>
      <w:tr>
        <w:tc>
          <w:tcPr>
            <w:tcW w:w="0" w:type="auto"/>
          </w:tcPr>
          <w:p>
            <w:pPr>
              <w:spacing w:line="240" w:lineRule="auto" w:before="0" w:after="0"/>
              <w:pStyle w:val="Compact"/>
            </w:pPr>
            <w:r>
              <w:rPr>
                <w:sz w:val="20"/>
                <w:szCs w:val="20"/>
              </w:rPr>
              <w:t xml:space="preserve">26</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OCEA Forecasting the Space Economy</w:t>
            </w:r>
          </w:p>
        </w:tc>
      </w:tr>
      <w:tr>
        <w:tc>
          <w:tcPr>
            <w:tcW w:w="0" w:type="auto"/>
          </w:tcPr>
          <w:p>
            <w:pPr>
              <w:spacing w:line="240" w:lineRule="auto" w:before="0" w:after="0"/>
              <w:pStyle w:val="Compact"/>
            </w:pPr>
            <w:r>
              <w:rPr>
                <w:sz w:val="20"/>
                <w:szCs w:val="20"/>
              </w:rPr>
              <w:t xml:space="preserve">27</w:t>
            </w:r>
          </w:p>
        </w:tc>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Dailey et al. (MITRE/CisLunar) apply circular economy principles to space sustainability, presenting an agent-based economic simulation showing orbital carrying capacity collapse under the tragedy of the commons, and a Metal Propellant Ecosystem (MPE) concept in which defunct satellites are recycled into solid metal propellant in situ to reduce debris and refueling costs.</w:t>
            </w:r>
          </w:p>
        </w:tc>
      </w:tr>
      <w:tr>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https://amostech.space/year/2021/risk-maps-for-conjunction-potential-throughout-the-cislunar-domain/</w:t>
            </w:r>
          </w:p>
        </w:tc>
      </w:tr>
      <w:tr>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https://amostech.space/year/2016/optical-techniques-for-space-environment-management/</w:t>
            </w:r>
          </w:p>
        </w:tc>
      </w:tr>
      <w:tr>
        <w:tc>
          <w:tcPr>
            <w:tcW w:w="0" w:type="auto"/>
          </w:tcPr>
          <w:p>
            <w:pPr>
              <w:spacing w:line="240" w:lineRule="auto" w:before="0" w:after="0"/>
              <w:pStyle w:val="Compact"/>
            </w:pPr>
            <w:r>
              <w:rPr>
                <w:sz w:val="20"/>
                <w:szCs w:val="20"/>
              </w:rPr>
              <w:t xml:space="preserve">30</w:t>
            </w:r>
          </w:p>
        </w:tc>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https://amostech.space/year/2022/low-orbit-high-stakes-winning-the-leo-broadband-competition/</w:t>
            </w:r>
          </w:p>
        </w:tc>
      </w:tr>
    </w:tbl>
    <w:bookmarkEnd w:id="84"/>
    <w:bookmarkStart w:id="85"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cites_plus1</w:t>
            </w:r>
          </w:p>
        </w:tc>
        <w:tc>
          <w:tcPr>
            <w:tcW w:w="0" w:type="auto"/>
          </w:tcPr>
          <w:p>
            <w:pPr>
              <w:spacing w:line="240" w:lineRule="auto" w:before="0" w:after="0"/>
              <w:pStyle w:val="Compact"/>
            </w:pPr>
            <w:r>
              <w:rPr>
                <w:sz w:val="20"/>
                <w:szCs w:val="20"/>
              </w:rPr>
              <w:t xml:space="preserve">Citation count plus one</w:t>
            </w:r>
          </w:p>
        </w:tc>
        <w:tc>
          <w:tcPr>
            <w:tcW w:w="0" w:type="auto"/>
          </w:tcPr>
          <w:p>
            <w:pPr>
              <w:spacing w:line="240" w:lineRule="auto" w:before="0" w:after="0"/>
              <w:pStyle w:val="Compact"/>
            </w:pPr>
            <w:r>
              <w:rPr>
                <w:sz w:val="20"/>
                <w:szCs w:val="20"/>
              </w:rPr>
              <w:t xml:space="preserve">Computed as the reported citation count from the local brain index plus one so the log transformation is defined for uncited records</w:t>
            </w:r>
          </w:p>
        </w:tc>
      </w:tr>
      <w:tr>
        <w:tc>
          <w:tcPr>
            <w:tcW w:w="0" w:type="auto"/>
          </w:tcPr>
          <w:p>
            <w:pPr>
              <w:spacing w:line="240" w:lineRule="auto" w:before="0" w:after="0"/>
              <w:pStyle w:val="Compact"/>
            </w:pPr>
            <w:r>
              <w:rPr>
                <w:sz w:val="20"/>
                <w:szCs w:val="20"/>
              </w:rPr>
              <w:t xml:space="preserve">age_index</w:t>
            </w:r>
          </w:p>
        </w:tc>
        <w:tc>
          <w:tcPr>
            <w:tcW w:w="0" w:type="auto"/>
          </w:tcPr>
          <w:p>
            <w:pPr>
              <w:spacing w:line="240" w:lineRule="auto" w:before="0" w:after="0"/>
              <w:pStyle w:val="Compact"/>
            </w:pPr>
            <w:r>
              <w:rPr>
                <w:sz w:val="20"/>
                <w:szCs w:val="20"/>
              </w:rPr>
              <w:t xml:space="preserve">Document age index</w:t>
            </w:r>
          </w:p>
        </w:tc>
        <w:tc>
          <w:tcPr>
            <w:tcW w:w="0" w:type="auto"/>
          </w:tcPr>
          <w:p>
            <w:pPr>
              <w:spacing w:line="240" w:lineRule="auto" w:before="0" w:after="0"/>
              <w:pStyle w:val="Compact"/>
            </w:pPr>
            <w:r>
              <w:rPr>
                <w:sz w:val="20"/>
                <w:szCs w:val="20"/>
              </w:rPr>
              <w:t xml:space="preserve">Computed as 2026 minus publication year plus one</w:t>
            </w:r>
          </w:p>
        </w:tc>
      </w:tr>
    </w:tbl>
    <w:bookmarkEnd w:id="85"/>
    <w:bookmarkStart w:id="86"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0.8853</w:t>
            </w:r>
          </w:p>
        </w:tc>
        <w:tc>
          <w:tcPr>
            <w:tcW w:w="0" w:type="auto"/>
          </w:tcPr>
          <w:p>
            <w:pPr>
              <w:spacing w:line="240" w:lineRule="auto" w:before="0" w:after="0"/>
              <w:pStyle w:val="Compact"/>
            </w:pPr>
            <w:r>
              <w:rPr>
                <w:sz w:val="20"/>
                <w:szCs w:val="20"/>
              </w:rPr>
              <w:t xml:space="preserve">0.4996</w:t>
            </w:r>
          </w:p>
        </w:tc>
        <w:tc>
          <w:tcPr>
            <w:tcW w:w="0" w:type="auto"/>
          </w:tcPr>
          <w:p>
            <w:pPr>
              <w:spacing w:line="240" w:lineRule="auto" w:before="0" w:after="0"/>
              <w:pStyle w:val="Compact"/>
            </w:pPr>
            <w:r>
              <w:rPr>
                <w:sz w:val="20"/>
                <w:szCs w:val="20"/>
              </w:rPr>
              <w:t xml:space="preserve">1.772</w:t>
            </w:r>
          </w:p>
        </w:tc>
        <w:tc>
          <w:tcPr>
            <w:tcW w:w="0" w:type="auto"/>
          </w:tcPr>
          <w:p>
            <w:pPr>
              <w:spacing w:line="240" w:lineRule="auto" w:before="0" w:after="0"/>
              <w:pStyle w:val="Compact"/>
            </w:pPr>
            <w:r>
              <w:rPr>
                <w:sz w:val="20"/>
                <w:szCs w:val="20"/>
              </w:rPr>
              <w:t xml:space="preserve">0.0764</w:t>
            </w:r>
          </w:p>
        </w:tc>
        <w:tc>
          <w:tcPr>
            <w:tcW w:w="0" w:type="auto"/>
          </w:tcPr>
          <w:p>
            <w:pPr>
              <w:spacing w:line="240" w:lineRule="auto" w:before="0" w:after="0"/>
              <w:pStyle w:val="Compact"/>
            </w:pPr>
            <w:r>
              <w:rPr>
                <w:sz w:val="20"/>
                <w:szCs w:val="20"/>
              </w:rPr>
              <w:t xml:space="preserve">[-0.0939, 1.8644]</w:t>
            </w:r>
          </w:p>
        </w:tc>
      </w:tr>
      <w:tr>
        <w:tc>
          <w:tcPr>
            <w:tcW w:w="0" w:type="auto"/>
          </w:tcPr>
          <w:p>
            <w:pPr>
              <w:spacing w:line="240" w:lineRule="auto" w:before="0" w:after="0"/>
              <w:pStyle w:val="Compact"/>
            </w:pPr>
            <w:r>
              <w:rPr>
                <w:sz w:val="20"/>
                <w:szCs w:val="20"/>
              </w:rPr>
              <w:t xml:space="preserve">_ln_x</w:t>
            </w:r>
          </w:p>
        </w:tc>
        <w:tc>
          <w:tcPr>
            <w:tcW w:w="0" w:type="auto"/>
          </w:tcPr>
          <w:p>
            <w:pPr>
              <w:spacing w:line="240" w:lineRule="auto" w:before="0" w:after="0"/>
              <w:pStyle w:val="Compact"/>
            </w:pPr>
            <w:r>
              <w:rPr>
                <w:sz w:val="20"/>
                <w:szCs w:val="20"/>
              </w:rPr>
              <w:t xml:space="preserve">-0.2254</w:t>
            </w:r>
          </w:p>
        </w:tc>
        <w:tc>
          <w:tcPr>
            <w:tcW w:w="0" w:type="auto"/>
          </w:tcPr>
          <w:p>
            <w:pPr>
              <w:spacing w:line="240" w:lineRule="auto" w:before="0" w:after="0"/>
              <w:pStyle w:val="Compact"/>
            </w:pPr>
            <w:r>
              <w:rPr>
                <w:sz w:val="20"/>
                <w:szCs w:val="20"/>
              </w:rPr>
              <w:t xml:space="preserve">0.254</w:t>
            </w:r>
          </w:p>
        </w:tc>
        <w:tc>
          <w:tcPr>
            <w:tcW w:w="0" w:type="auto"/>
          </w:tcPr>
          <w:p>
            <w:pPr>
              <w:spacing w:line="240" w:lineRule="auto" w:before="0" w:after="0"/>
              <w:pStyle w:val="Compact"/>
            </w:pPr>
            <w:r>
              <w:rPr>
                <w:sz w:val="20"/>
                <w:szCs w:val="20"/>
              </w:rPr>
              <w:t xml:space="preserve">-0.8873</w:t>
            </w:r>
          </w:p>
        </w:tc>
        <w:tc>
          <w:tcPr>
            <w:tcW w:w="0" w:type="auto"/>
          </w:tcPr>
          <w:p>
            <w:pPr>
              <w:spacing w:line="240" w:lineRule="auto" w:before="0" w:after="0"/>
              <w:pStyle w:val="Compact"/>
            </w:pPr>
            <w:r>
              <w:rPr>
                <w:sz w:val="20"/>
                <w:szCs w:val="20"/>
              </w:rPr>
              <w:t xml:space="preserve">0.3749</w:t>
            </w:r>
          </w:p>
        </w:tc>
        <w:tc>
          <w:tcPr>
            <w:tcW w:w="0" w:type="auto"/>
          </w:tcPr>
          <w:p>
            <w:pPr>
              <w:spacing w:line="240" w:lineRule="auto" w:before="0" w:after="0"/>
              <w:pStyle w:val="Compact"/>
            </w:pPr>
            <w:r>
              <w:rPr>
                <w:sz w:val="20"/>
                <w:szCs w:val="20"/>
              </w:rPr>
              <w:t xml:space="preserve">[-0.7232, 0.2725]</w:t>
            </w:r>
          </w:p>
        </w:tc>
      </w:tr>
    </w:tbl>
    <w:p>
      <w:pPr>
        <w:pStyle w:val="BodyText"/>
      </w:pPr>
      <w:r>
        <w:t xml:space="preserve">Fit: N = 30 R2 = 0.0231 elasticity_b = -0.2254 progress_ratio_2^b = 0.8554</w:t>
      </w:r>
    </w:p>
    <w:bookmarkEnd w:id="86"/>
    <w:bookmarkEnd w:id="87"/>
    <w:bookmarkEnd w:id="88"/>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80" Target="media/rId80.png" /><Relationship Type="http://schemas.openxmlformats.org/officeDocument/2006/relationships/hyperlink" Id="rId77" Target="https://doi.org/10.64861/LCET1122" TargetMode="External" /><Relationship Type="http://schemas.openxmlformats.org/officeDocument/2006/relationships/hyperlink" Id="rId69" Target="https://doi.org/10.64861/QAOZ6812" TargetMode="External" /><Relationship Type="http://schemas.openxmlformats.org/officeDocument/2006/relationships/hyperlink" Id="rId71" Target="https://doi.org/10.64861/VHJU7246" TargetMode="External" /></Relationships>
</file>

<file path=word/_rels/footnotes.xml.rels><?xml version="1.0" encoding="UTF-8"?><Relationships xmlns="http://schemas.openxmlformats.org/package/2006/relationships"><Relationship Type="http://schemas.openxmlformats.org/officeDocument/2006/relationships/hyperlink" Id="rId77" Target="https://doi.org/10.64861/LCET1122" TargetMode="External" /><Relationship Type="http://schemas.openxmlformats.org/officeDocument/2006/relationships/hyperlink" Id="rId69" Target="https://doi.org/10.64861/QAOZ6812" TargetMode="External" /><Relationship Type="http://schemas.openxmlformats.org/officeDocument/2006/relationships/hyperlink" Id="rId71" Target="https://doi.org/10.64861/VHJU7246"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2026-06-28T19:50:29Z</dcterms:created>
  <dcterms:modified xsi:type="dcterms:W3CDTF">2026-06-28T19:50:29Z</dcterms:modified>
</cp:coreProperties>
</file>

<file path=docProps/custom.xml><?xml version="1.0" encoding="utf-8"?>
<Properties xmlns="http://schemas.openxmlformats.org/officeDocument/2006/custom-properties" xmlns:vt="http://schemas.openxmlformats.org/officeDocument/2006/docPropsVTypes"/>
</file>