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8b646e4535eb88e86d8b732150cc526fd4a6be2"/>
    <w:p>
      <w:pPr>
        <w:pStyle w:val="Heading1"/>
      </w:pPr>
      <w:r>
        <w:t xml:space="preserve">Signal Intensity in The Casualty-Expectation Threshold is the 1-in-10,000 public-risk criterion bin: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Roland Lund (1B-INF-178) and the dissertation project</w:t>
      </w:r>
      <w:r>
        <w:t xml:space="preserve"> </w:t>
      </w:r>
      <w:r>
        <w:rPr>
          <w:i/>
          <w:iCs/>
        </w:rPr>
        <w:t xml:space="preserve">The Casualty-Expectation Threshold: is the 1-in-10,000 public-risk criterion bin</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R2=0.23237915092160766, R2_adj=0.14380751448948548, F=2.038423735750143, F_p=0.13311093389538803. The exact term summary is: const coef=8.636781915706532 p=5.000417022945936e-08; recency_index coef=0.06073896050214998 p=0.637360211520132; cites_num coef=0.17526425587016523 p=0.1524251508015497; venue_score coef=-2.007771305695952 p=0.023095366168361272.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Michael Byers, The University of British Columbia; Ewan Wright, The University of British Columbia; Aaron Boley, The University of British Columbia, Cameron Byers, The University of British Columbia. Unnecessary Risks Created By Uncontrolled Rocket Reentries (2022). [AMOS]</w:t>
      </w:r>
      <w:r>
        <w:t xml:space="preserve"> </w:t>
      </w:r>
      <w:bookmarkStart w:id="68" w:name="ref-2"/>
      <w:bookmarkEnd w:id="68"/>
      <w:r>
        <w:t xml:space="preserve">2. Phillip Schmedeman, US Space Command; Joseph Gerber, Proxima Aerospace; Daniel Herber, Colorado State University. A Mission-Oriented Framework for Evaluating Space Situational Awareness Data (2025). doi:</w:t>
      </w:r>
      <w:r>
        <w:t xml:space="preserve"> </w:t>
      </w:r>
      <w:hyperlink r:id="rId69">
        <w:r>
          <w:rPr>
            <w:rStyle w:val="Hyperlink"/>
          </w:rPr>
          <w:t xml:space="preserve">10.64861/QAOZ6812</w:t>
        </w:r>
      </w:hyperlink>
      <w:r>
        <w:t xml:space="preserve"> </w:t>
      </w:r>
      <w:bookmarkStart w:id="70" w:name="ref-3"/>
      <w:bookmarkEnd w:id="70"/>
      <w:r>
        <w:t xml:space="preserve">3. Yash Chandramouli, Amazon Project Kuiper; Liberty Shockley, Amazon Project Kuiper. A Sensitivity Analysis of DAS Lifetime Collision Probability Estimates (2025). doi:</w:t>
      </w:r>
      <w:r>
        <w:t xml:space="preserve"> </w:t>
      </w:r>
      <w:hyperlink r:id="rId71">
        <w:r>
          <w:rPr>
            <w:rStyle w:val="Hyperlink"/>
          </w:rPr>
          <w:t xml:space="preserve">10.64861/VHJU7246</w:t>
        </w:r>
      </w:hyperlink>
      <w:r>
        <w:t xml:space="preserve"> </w:t>
      </w:r>
      <w:bookmarkStart w:id="72" w:name="ref-4"/>
      <w:bookmarkEnd w:id="72"/>
      <w:r>
        <w:t xml:space="preserve">4. Mirco Rasotto, Dinamica, Giuseppe Di Mauro, Dinamica SrL, Mauro Massari, Politecnico di Milano, Pierluigi Di Lizia, Politecnico di Milano, Roberto Armellin, University of Southampton, Quirin Funke, IMS SPACE CONSULTANCY GMBH, Tim Flohrer, ESA-ESOC. Optimization of Observation Strategy to Improve Re-entry Prediction of Objects in HEO (2016). [AMOS]</w:t>
      </w:r>
      <w:r>
        <w:t xml:space="preserve"> </w:t>
      </w:r>
      <w:bookmarkStart w:id="73" w:name="ref-5"/>
      <w:bookmarkEnd w:id="73"/>
      <w:r>
        <w:t xml:space="preserve">5. Islam I. Hussein, Trusted Space, Inc.; Thomas Kubancik, Trusted Space, Inc; Erin Griggs, Trusted Space, Inc.; Holly Borowski, Trusted Space, Inc.; Mark Bolden, Trusted Space, Inc.. Risk-Based Decision-Making for Space Traffic Management (2022). [AMOS]</w:t>
      </w:r>
      <w:r>
        <w:t xml:space="preserve"> </w:t>
      </w:r>
      <w:bookmarkStart w:id="74" w:name="ref-6"/>
      <w:bookmarkEnd w:id="74"/>
      <w:r>
        <w:t xml:space="preserve">6. Paul Diaz, SpaceNav; Pol Mesalles Ripoll, SpaceNav; Matthew Duncan, SpaceNav; Mike Lindsay, Astroscale; Toby Harris, Astroscale; Hugh G. Lewis, University of Southampton. Data-Driven Lifetime Risk Assessment and Mitigation Planning for Large-Scale Satellite Constellations (2022). [AMOS]</w:t>
      </w:r>
      <w:r>
        <w:t xml:space="preserve"> </w:t>
      </w:r>
      <w:bookmarkStart w:id="75" w:name="ref-7"/>
      <w:bookmarkEnd w:id="75"/>
      <w:r>
        <w:t xml:space="preserve">7. Mark Vincent, Raytheon. Bridging the Gap between Academia and Operations for Orbital Debris Risk Mitigation (2015). [AMOS]</w:t>
      </w:r>
      <w:r>
        <w:t xml:space="preserve"> </w:t>
      </w:r>
      <w:bookmarkStart w:id="76" w:name="ref-8"/>
      <w:bookmarkEnd w:id="76"/>
      <w:r>
        <w:t xml:space="preserve">8. Mariel Borowitz, Office of Space Commerce; Cristina Pérez Hernández, Spanish Space Agency; Morgane Jouisse, CNES; Aurélie Gillet, EU SST; Pascal Faucher, CNES. Advancing Concepts for Global Coordination on SSA (2025). doi:</w:t>
      </w:r>
      <w:r>
        <w:t xml:space="preserve"> </w:t>
      </w:r>
      <w:hyperlink r:id="rId77">
        <w:r>
          <w:rPr>
            <w:rStyle w:val="Hyperlink"/>
          </w:rPr>
          <w:t xml:space="preserve">10.64861/LCET1122</w:t>
        </w:r>
      </w:hyperlink>
    </w:p>
    <w:bookmarkEnd w:id="78"/>
    <w:bookmarkStart w:id="79"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8.6368</w:t>
            </w:r>
          </w:p>
        </w:tc>
        <w:tc>
          <w:tcPr>
            <w:tcW w:w="0" w:type="auto"/>
          </w:tcPr>
          <w:p>
            <w:pPr>
              <w:spacing w:line="240" w:lineRule="auto" w:before="0" w:after="0"/>
              <w:pStyle w:val="Compact"/>
            </w:pPr>
            <w:r>
              <w:rPr>
                <w:sz w:val="20"/>
                <w:szCs w:val="20"/>
              </w:rPr>
              <w:t xml:space="preserve">1.5844</w:t>
            </w:r>
          </w:p>
        </w:tc>
        <w:tc>
          <w:tcPr>
            <w:tcW w:w="0" w:type="auto"/>
          </w:tcPr>
          <w:p>
            <w:pPr>
              <w:spacing w:line="240" w:lineRule="auto" w:before="0" w:after="0"/>
              <w:pStyle w:val="Compact"/>
            </w:pPr>
            <w:r>
              <w:rPr>
                <w:sz w:val="20"/>
                <w:szCs w:val="20"/>
              </w:rPr>
              <w:t xml:space="preserve">5.4513</w:t>
            </w:r>
          </w:p>
        </w:tc>
        <w:tc>
          <w:tcPr>
            <w:tcW w:w="0" w:type="auto"/>
          </w:tcPr>
          <w:p>
            <w:pPr>
              <w:spacing w:line="240" w:lineRule="auto" w:before="0" w:after="0"/>
              <w:pStyle w:val="Compact"/>
            </w:pPr>
            <w:r>
              <w:rPr>
                <w:sz w:val="20"/>
                <w:szCs w:val="20"/>
              </w:rPr>
              <w:t xml:space="preserve">5e-08</w:t>
            </w:r>
          </w:p>
        </w:tc>
        <w:tc>
          <w:tcPr>
            <w:tcW w:w="0" w:type="auto"/>
          </w:tcPr>
          <w:p>
            <w:pPr>
              <w:spacing w:line="240" w:lineRule="auto" w:before="0" w:after="0"/>
              <w:pStyle w:val="Compact"/>
            </w:pPr>
            <w:r>
              <w:rPr>
                <w:sz w:val="20"/>
                <w:szCs w:val="20"/>
              </w:rPr>
              <w:t xml:space="preserve">[5.5315, 11.7421]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0.0607</w:t>
            </w:r>
          </w:p>
        </w:tc>
        <w:tc>
          <w:tcPr>
            <w:tcW w:w="0" w:type="auto"/>
          </w:tcPr>
          <w:p>
            <w:pPr>
              <w:spacing w:line="240" w:lineRule="auto" w:before="0" w:after="0"/>
              <w:pStyle w:val="Compact"/>
            </w:pPr>
            <w:r>
              <w:rPr>
                <w:sz w:val="20"/>
                <w:szCs w:val="20"/>
              </w:rPr>
              <w:t xml:space="preserve">0.1288</w:t>
            </w:r>
          </w:p>
        </w:tc>
        <w:tc>
          <w:tcPr>
            <w:tcW w:w="0" w:type="auto"/>
          </w:tcPr>
          <w:p>
            <w:pPr>
              <w:spacing w:line="240" w:lineRule="auto" w:before="0" w:after="0"/>
              <w:pStyle w:val="Compact"/>
            </w:pPr>
            <w:r>
              <w:rPr>
                <w:sz w:val="20"/>
                <w:szCs w:val="20"/>
              </w:rPr>
              <w:t xml:space="preserve">0.4714</w:t>
            </w:r>
          </w:p>
        </w:tc>
        <w:tc>
          <w:tcPr>
            <w:tcW w:w="0" w:type="auto"/>
          </w:tcPr>
          <w:p>
            <w:pPr>
              <w:spacing w:line="240" w:lineRule="auto" w:before="0" w:after="0"/>
              <w:pStyle w:val="Compact"/>
            </w:pPr>
            <w:r>
              <w:rPr>
                <w:sz w:val="20"/>
                <w:szCs w:val="20"/>
              </w:rPr>
              <w:t xml:space="preserve">0.6374</w:t>
            </w:r>
          </w:p>
        </w:tc>
        <w:tc>
          <w:tcPr>
            <w:tcW w:w="0" w:type="auto"/>
          </w:tcPr>
          <w:p>
            <w:pPr>
              <w:spacing w:line="240" w:lineRule="auto" w:before="0" w:after="0"/>
              <w:pStyle w:val="Compact"/>
            </w:pPr>
            <w:r>
              <w:rPr>
                <w:sz w:val="20"/>
                <w:szCs w:val="20"/>
              </w:rPr>
              <w:t xml:space="preserve">[-0.1918, 0.3133]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0.1753</w:t>
            </w:r>
          </w:p>
        </w:tc>
        <w:tc>
          <w:tcPr>
            <w:tcW w:w="0" w:type="auto"/>
          </w:tcPr>
          <w:p>
            <w:pPr>
              <w:spacing w:line="240" w:lineRule="auto" w:before="0" w:after="0"/>
              <w:pStyle w:val="Compact"/>
            </w:pPr>
            <w:r>
              <w:rPr>
                <w:sz w:val="20"/>
                <w:szCs w:val="20"/>
              </w:rPr>
              <w:t xml:space="preserve">0.1225</w:t>
            </w:r>
          </w:p>
        </w:tc>
        <w:tc>
          <w:tcPr>
            <w:tcW w:w="0" w:type="auto"/>
          </w:tcPr>
          <w:p>
            <w:pPr>
              <w:spacing w:line="240" w:lineRule="auto" w:before="0" w:after="0"/>
              <w:pStyle w:val="Compact"/>
            </w:pPr>
            <w:r>
              <w:rPr>
                <w:sz w:val="20"/>
                <w:szCs w:val="20"/>
              </w:rPr>
              <w:t xml:space="preserve">1.431</w:t>
            </w:r>
          </w:p>
        </w:tc>
        <w:tc>
          <w:tcPr>
            <w:tcW w:w="0" w:type="auto"/>
          </w:tcPr>
          <w:p>
            <w:pPr>
              <w:spacing w:line="240" w:lineRule="auto" w:before="0" w:after="0"/>
              <w:pStyle w:val="Compact"/>
            </w:pPr>
            <w:r>
              <w:rPr>
                <w:sz w:val="20"/>
                <w:szCs w:val="20"/>
              </w:rPr>
              <w:t xml:space="preserve">0.1524</w:t>
            </w:r>
          </w:p>
        </w:tc>
        <w:tc>
          <w:tcPr>
            <w:tcW w:w="0" w:type="auto"/>
          </w:tcPr>
          <w:p>
            <w:pPr>
              <w:spacing w:line="240" w:lineRule="auto" w:before="0" w:after="0"/>
              <w:pStyle w:val="Compact"/>
            </w:pPr>
            <w:r>
              <w:rPr>
                <w:sz w:val="20"/>
                <w:szCs w:val="20"/>
              </w:rPr>
              <w:t xml:space="preserve">[-0.0648, 0.4153]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-2.0078</w:t>
            </w:r>
          </w:p>
        </w:tc>
        <w:tc>
          <w:tcPr>
            <w:tcW w:w="0" w:type="auto"/>
          </w:tcPr>
          <w:p>
            <w:pPr>
              <w:spacing w:line="240" w:lineRule="auto" w:before="0" w:after="0"/>
              <w:pStyle w:val="Compact"/>
            </w:pPr>
            <w:r>
              <w:rPr>
                <w:sz w:val="20"/>
                <w:szCs w:val="20"/>
              </w:rPr>
              <w:t xml:space="preserve">0.8838</w:t>
            </w:r>
          </w:p>
        </w:tc>
        <w:tc>
          <w:tcPr>
            <w:tcW w:w="0" w:type="auto"/>
          </w:tcPr>
          <w:p>
            <w:pPr>
              <w:spacing w:line="240" w:lineRule="auto" w:before="0" w:after="0"/>
              <w:pStyle w:val="Compact"/>
            </w:pPr>
            <w:r>
              <w:rPr>
                <w:sz w:val="20"/>
                <w:szCs w:val="20"/>
              </w:rPr>
              <w:t xml:space="preserve">-2.2719</w:t>
            </w:r>
          </w:p>
        </w:tc>
        <w:tc>
          <w:tcPr>
            <w:tcW w:w="0" w:type="auto"/>
          </w:tcPr>
          <w:p>
            <w:pPr>
              <w:spacing w:line="240" w:lineRule="auto" w:before="0" w:after="0"/>
              <w:pStyle w:val="Compact"/>
            </w:pPr>
            <w:r>
              <w:rPr>
                <w:sz w:val="20"/>
                <w:szCs w:val="20"/>
              </w:rPr>
              <w:t xml:space="preserve">0.0231</w:t>
            </w:r>
          </w:p>
        </w:tc>
        <w:tc>
          <w:tcPr>
            <w:tcW w:w="0" w:type="auto"/>
          </w:tcPr>
          <w:p>
            <w:pPr>
              <w:spacing w:line="240" w:lineRule="auto" w:before="0" w:after="0"/>
              <w:pStyle w:val="Compact"/>
            </w:pPr>
            <w:r>
              <w:rPr>
                <w:sz w:val="20"/>
                <w:szCs w:val="20"/>
              </w:rPr>
              <w:t xml:space="preserve">[-3.7399, -0.2756]</w:t>
            </w:r>
          </w:p>
        </w:tc>
      </w:tr>
    </w:tbl>
    <w:p>
      <w:pPr>
        <w:pStyle w:val="BodyText"/>
      </w:pPr>
      <w:r>
        <w:t xml:space="preserve">Fit: N = 30 R2 = 0.2324 R2_adj = 0.1438 F = 2.0384 F_p = 0.1331</w:t>
      </w:r>
    </w:p>
    <w:p>
      <w:pPr>
        <w:pStyle w:val="CaptionedFigure"/>
      </w:pPr>
      <w:r>
        <w:drawing>
          <wp:inline>
            <wp:extent cx="5669280" cy="3657600"/>
            <wp:effectExtent b="0" l="0" r="0" t="0"/>
            <wp:docPr descr="Figure 1. Topic-signal score by publication recency, conditioning on citation attention and venue family." title="" id="81" name="Picture"/>
            <a:graphic>
              <a:graphicData uri="http://schemas.openxmlformats.org/drawingml/2006/picture">
                <pic:pic>
                  <pic:nvPicPr>
                    <pic:cNvPr descr="D:\Claude_Code\brain\collegium\candidates\dissertations\LAUNCH_REG_12\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https://amostech.space/year/2022/unnecessary-risks-created-by-uncontrolled-rocket-reentries/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10.64861/QAOZ6812</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10.64861/VHJU7246</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https://amostech.space/year/2016/optimization-of-observation-strategy-to-improve-re-entry-prediction-of-objects-in-heo/</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https://amostech.space/year/2022/risk-based-decision-making-for-space-traffic-management/</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https://amostech.space/year/2022/data-driven-lifetime-risk-assessment-and-mitigation-planning-for-large-scale-satellite-constellations/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https://amostech.space/year/2015/bridging-the-gap-between-academia-and-operations-for-orbital-debris-risk-mitigation/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10.64861/LCET1122</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https://amostech.space/year/2014/evolution-and-implementation-of-the-nasa-robotic-conjunction-assessment-risk-analysis-concept-of-operations/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10.64861/AJUV7773</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https://amostech.space/year/2011/efficient-all-vs-all-collision-risk-analyses/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https://amostech.space/year/2019/policy-and-geopolitical-implications-of-launch-on-demand-capabilities/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10.1016/j.actaastro.2026.01.049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10.1016/j.actaastro.2024.03.057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10.1016/j.actaastro.2018.10.015</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10.1016/j.actaastro.2024.06.013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10.1016/j.actaastro.2023.11.020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10.1016/j.actaastro.2019.07.033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10.1016/j.actaastro.2024.09.024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https://amostech.space/year/2016/optical-techniques-for-space-environment-management/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8.6368</w:t>
            </w:r>
          </w:p>
        </w:tc>
        <w:tc>
          <w:tcPr>
            <w:tcW w:w="0" w:type="auto"/>
          </w:tcPr>
          <w:p>
            <w:pPr>
              <w:spacing w:line="240" w:lineRule="auto" w:before="0" w:after="0"/>
              <w:pStyle w:val="Compact"/>
            </w:pPr>
            <w:r>
              <w:rPr>
                <w:sz w:val="20"/>
                <w:szCs w:val="20"/>
              </w:rPr>
              <w:t xml:space="preserve">1.5844</w:t>
            </w:r>
          </w:p>
        </w:tc>
        <w:tc>
          <w:tcPr>
            <w:tcW w:w="0" w:type="auto"/>
          </w:tcPr>
          <w:p>
            <w:pPr>
              <w:spacing w:line="240" w:lineRule="auto" w:before="0" w:after="0"/>
              <w:pStyle w:val="Compact"/>
            </w:pPr>
            <w:r>
              <w:rPr>
                <w:sz w:val="20"/>
                <w:szCs w:val="20"/>
              </w:rPr>
              <w:t xml:space="preserve">5.4513</w:t>
            </w:r>
          </w:p>
        </w:tc>
        <w:tc>
          <w:tcPr>
            <w:tcW w:w="0" w:type="auto"/>
          </w:tcPr>
          <w:p>
            <w:pPr>
              <w:spacing w:line="240" w:lineRule="auto" w:before="0" w:after="0"/>
              <w:pStyle w:val="Compact"/>
            </w:pPr>
            <w:r>
              <w:rPr>
                <w:sz w:val="20"/>
                <w:szCs w:val="20"/>
              </w:rPr>
              <w:t xml:space="preserve">5e-08</w:t>
            </w:r>
          </w:p>
        </w:tc>
        <w:tc>
          <w:tcPr>
            <w:tcW w:w="0" w:type="auto"/>
          </w:tcPr>
          <w:p>
            <w:pPr>
              <w:spacing w:line="240" w:lineRule="auto" w:before="0" w:after="0"/>
              <w:pStyle w:val="Compact"/>
            </w:pPr>
            <w:r>
              <w:rPr>
                <w:sz w:val="20"/>
                <w:szCs w:val="20"/>
              </w:rPr>
              <w:t xml:space="preserve">[5.5315, 11.7421]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0.0607</w:t>
            </w:r>
          </w:p>
        </w:tc>
        <w:tc>
          <w:tcPr>
            <w:tcW w:w="0" w:type="auto"/>
          </w:tcPr>
          <w:p>
            <w:pPr>
              <w:spacing w:line="240" w:lineRule="auto" w:before="0" w:after="0"/>
              <w:pStyle w:val="Compact"/>
            </w:pPr>
            <w:r>
              <w:rPr>
                <w:sz w:val="20"/>
                <w:szCs w:val="20"/>
              </w:rPr>
              <w:t xml:space="preserve">0.1288</w:t>
            </w:r>
          </w:p>
        </w:tc>
        <w:tc>
          <w:tcPr>
            <w:tcW w:w="0" w:type="auto"/>
          </w:tcPr>
          <w:p>
            <w:pPr>
              <w:spacing w:line="240" w:lineRule="auto" w:before="0" w:after="0"/>
              <w:pStyle w:val="Compact"/>
            </w:pPr>
            <w:r>
              <w:rPr>
                <w:sz w:val="20"/>
                <w:szCs w:val="20"/>
              </w:rPr>
              <w:t xml:space="preserve">0.4714</w:t>
            </w:r>
          </w:p>
        </w:tc>
        <w:tc>
          <w:tcPr>
            <w:tcW w:w="0" w:type="auto"/>
          </w:tcPr>
          <w:p>
            <w:pPr>
              <w:spacing w:line="240" w:lineRule="auto" w:before="0" w:after="0"/>
              <w:pStyle w:val="Compact"/>
            </w:pPr>
            <w:r>
              <w:rPr>
                <w:sz w:val="20"/>
                <w:szCs w:val="20"/>
              </w:rPr>
              <w:t xml:space="preserve">0.6374</w:t>
            </w:r>
          </w:p>
        </w:tc>
        <w:tc>
          <w:tcPr>
            <w:tcW w:w="0" w:type="auto"/>
          </w:tcPr>
          <w:p>
            <w:pPr>
              <w:spacing w:line="240" w:lineRule="auto" w:before="0" w:after="0"/>
              <w:pStyle w:val="Compact"/>
            </w:pPr>
            <w:r>
              <w:rPr>
                <w:sz w:val="20"/>
                <w:szCs w:val="20"/>
              </w:rPr>
              <w:t xml:space="preserve">[-0.1918, 0.3133]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0.1753</w:t>
            </w:r>
          </w:p>
        </w:tc>
        <w:tc>
          <w:tcPr>
            <w:tcW w:w="0" w:type="auto"/>
          </w:tcPr>
          <w:p>
            <w:pPr>
              <w:spacing w:line="240" w:lineRule="auto" w:before="0" w:after="0"/>
              <w:pStyle w:val="Compact"/>
            </w:pPr>
            <w:r>
              <w:rPr>
                <w:sz w:val="20"/>
                <w:szCs w:val="20"/>
              </w:rPr>
              <w:t xml:space="preserve">0.1225</w:t>
            </w:r>
          </w:p>
        </w:tc>
        <w:tc>
          <w:tcPr>
            <w:tcW w:w="0" w:type="auto"/>
          </w:tcPr>
          <w:p>
            <w:pPr>
              <w:spacing w:line="240" w:lineRule="auto" w:before="0" w:after="0"/>
              <w:pStyle w:val="Compact"/>
            </w:pPr>
            <w:r>
              <w:rPr>
                <w:sz w:val="20"/>
                <w:szCs w:val="20"/>
              </w:rPr>
              <w:t xml:space="preserve">1.431</w:t>
            </w:r>
          </w:p>
        </w:tc>
        <w:tc>
          <w:tcPr>
            <w:tcW w:w="0" w:type="auto"/>
          </w:tcPr>
          <w:p>
            <w:pPr>
              <w:spacing w:line="240" w:lineRule="auto" w:before="0" w:after="0"/>
              <w:pStyle w:val="Compact"/>
            </w:pPr>
            <w:r>
              <w:rPr>
                <w:sz w:val="20"/>
                <w:szCs w:val="20"/>
              </w:rPr>
              <w:t xml:space="preserve">0.1524</w:t>
            </w:r>
          </w:p>
        </w:tc>
        <w:tc>
          <w:tcPr>
            <w:tcW w:w="0" w:type="auto"/>
          </w:tcPr>
          <w:p>
            <w:pPr>
              <w:spacing w:line="240" w:lineRule="auto" w:before="0" w:after="0"/>
              <w:pStyle w:val="Compact"/>
            </w:pPr>
            <w:r>
              <w:rPr>
                <w:sz w:val="20"/>
                <w:szCs w:val="20"/>
              </w:rPr>
              <w:t xml:space="preserve">[-0.0648, 0.4153]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-2.0078</w:t>
            </w:r>
          </w:p>
        </w:tc>
        <w:tc>
          <w:tcPr>
            <w:tcW w:w="0" w:type="auto"/>
          </w:tcPr>
          <w:p>
            <w:pPr>
              <w:spacing w:line="240" w:lineRule="auto" w:before="0" w:after="0"/>
              <w:pStyle w:val="Compact"/>
            </w:pPr>
            <w:r>
              <w:rPr>
                <w:sz w:val="20"/>
                <w:szCs w:val="20"/>
              </w:rPr>
              <w:t xml:space="preserve">0.8838</w:t>
            </w:r>
          </w:p>
        </w:tc>
        <w:tc>
          <w:tcPr>
            <w:tcW w:w="0" w:type="auto"/>
          </w:tcPr>
          <w:p>
            <w:pPr>
              <w:spacing w:line="240" w:lineRule="auto" w:before="0" w:after="0"/>
              <w:pStyle w:val="Compact"/>
            </w:pPr>
            <w:r>
              <w:rPr>
                <w:sz w:val="20"/>
                <w:szCs w:val="20"/>
              </w:rPr>
              <w:t xml:space="preserve">-2.2719</w:t>
            </w:r>
          </w:p>
        </w:tc>
        <w:tc>
          <w:tcPr>
            <w:tcW w:w="0" w:type="auto"/>
          </w:tcPr>
          <w:p>
            <w:pPr>
              <w:spacing w:line="240" w:lineRule="auto" w:before="0" w:after="0"/>
              <w:pStyle w:val="Compact"/>
            </w:pPr>
            <w:r>
              <w:rPr>
                <w:sz w:val="20"/>
                <w:szCs w:val="20"/>
              </w:rPr>
              <w:t xml:space="preserve">0.0231</w:t>
            </w:r>
          </w:p>
        </w:tc>
        <w:tc>
          <w:tcPr>
            <w:tcW w:w="0" w:type="auto"/>
          </w:tcPr>
          <w:p>
            <w:pPr>
              <w:spacing w:line="240" w:lineRule="auto" w:before="0" w:after="0"/>
              <w:pStyle w:val="Compact"/>
            </w:pPr>
            <w:r>
              <w:rPr>
                <w:sz w:val="20"/>
                <w:szCs w:val="20"/>
              </w:rPr>
              <w:t xml:space="preserve">[-3.7399, -0.2756]</w:t>
            </w:r>
          </w:p>
        </w:tc>
      </w:tr>
    </w:tbl>
    <w:p>
      <w:pPr>
        <w:pStyle w:val="BodyText"/>
      </w:pPr>
      <w:r>
        <w:t xml:space="preserve">Fit: N = 30 R2 = 0.2324 R2_adj = 0.1438 F = 2.0384 F_p = 0.1331</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7" Target="https://doi.org/10.64861/LCET1122" TargetMode="External" /><Relationship Type="http://schemas.openxmlformats.org/officeDocument/2006/relationships/hyperlink" Id="rId69" Target="https://doi.org/10.64861/QAOZ6812" TargetMode="External" /><Relationship Type="http://schemas.openxmlformats.org/officeDocument/2006/relationships/hyperlink" Id="rId71" Target="https://doi.org/10.64861/VHJU7246"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64861/LCET1122" TargetMode="External" /><Relationship Type="http://schemas.openxmlformats.org/officeDocument/2006/relationships/hyperlink" Id="rId69" Target="https://doi.org/10.64861/QAOZ6812" TargetMode="External" /><Relationship Type="http://schemas.openxmlformats.org/officeDocument/2006/relationships/hyperlink" Id="rId71" Target="https://doi.org/10.64861/VHJU724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2026-06-28T19:50:27Z</dcterms:created>
  <dcterms:modified xsi:type="dcterms:W3CDTF">2026-06-28T19:50:27Z</dcterms:modified>
</cp:coreProperties>
</file>

<file path=docProps/custom.xml><?xml version="1.0" encoding="utf-8"?>
<Properties xmlns="http://schemas.openxmlformats.org/officeDocument/2006/custom-properties" xmlns:vt="http://schemas.openxmlformats.org/officeDocument/2006/docPropsVTypes"/>
</file>