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CASUALTY-EXPECTATION THRESHOLD: IS THE 1-IN-10,000 PUBLIC-RISK CRITERION BIN</w:t>
      </w:r>
    </w:p>
    <w:p>
      <w:pPr>
        <w:jc w:val="center"/>
      </w:pPr>
    </w:p>
    <w:p>
      <w:pPr>
        <w:jc w:val="center"/>
      </w:pPr>
      <w:r>
        <w:rPr>
          <w:rFonts w:ascii="Times New Roman" w:hAnsi="Times New Roman"/>
          <w:sz w:val="24"/>
        </w:rPr>
        <w:t>by</w:t>
      </w:r>
    </w:p>
    <w:p>
      <w:pPr>
        <w:jc w:val="center"/>
      </w:pPr>
      <w:r>
        <w:rPr>
          <w:rFonts w:ascii="Times New Roman" w:hAnsi="Times New Roman"/>
          <w:b/>
          <w:sz w:val="28"/>
        </w:rPr>
        <w:t>Roland Lund</w:t>
      </w:r>
    </w:p>
    <w:p>
      <w:pPr>
        <w:jc w:val="center"/>
      </w:pPr>
      <w:r>
        <w:rPr>
          <w:rFonts w:ascii="Times New Roman" w:hAnsi="Times New Roman"/>
          <w:sz w:val="24"/>
        </w:rPr>
        <w:t>1B-INF-178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3" w:name="chapter-1.-introduction"/>
    <w:p>
      <w:pPr>
        <w:pStyle w:val="Heading1"/>
        <w:spacing w:line="480" w:lineRule="auto"/>
      </w:pPr>
      <w:r>
        <w:t xml:space="preserve">Chapter 1. Introduction</w:t>
      </w:r>
    </w:p>
    <w:bookmarkStart w:id="61" w:name="Xc8728d15e26bc84f7f76faea645d5cece39e2a5"/>
    <w:p>
      <w:pPr>
        <w:pStyle w:val="Heading2"/>
        <w:spacing w:line="480" w:lineRule="auto"/>
      </w:pPr>
      <w:r>
        <w:t xml:space="preserve">1.1 A rule that everyone cites and no one has tested</w:t>
      </w:r>
    </w:p>
    <w:p>
      <w:pPr>
        <w:pStyle w:val="FirstParagraph"/>
        <w:spacing w:line="480" w:lineRule="auto"/>
      </w:pPr>
      <w:r>
        <w:t xml:space="preserve">Space launch does not happen over empty ground. Every ascent and every uncontrolled reentry passes over populations, air routes, and property, and regulators worldwide have converged on a single number to decide when that overflight is tolerable. The number is an expected casualty figure of one in ten thousand. A launch or reentry event whose modeled expected casualties fall at or below 0.0001 is treated as acceptable; an event above it is not. This dissertation takes that threshold as its object. It asks a narrow, answerable question. Is the one-in-ten-thousand public-risk criterion a genuine, load-bearing decision boundary in the way the technical and governance literature discusses launch and reentry risk, or is it a convenient round number that the field repeats without interrogation</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framing matters because the threshold sits at the exact seam between engineering and governance. On one side, analysts compute debris footprints, survivability of components through the heat pulse, and demographic exposure under the trajectory</w:t>
      </w:r>
      <w:r>
        <w:t xml:space="preserve"> </w:t>
      </w:r>
      <w:hyperlink w:anchor="ref-15">
        <w:r>
          <w:rPr>
            <w:rStyle w:val="Hyperlink"/>
          </w:rPr>
          <w:t xml:space="preserve">[15]</w:t>
        </w:r>
      </w:hyperlink>
      <w:r>
        <w:t xml:space="preserve"> </w:t>
      </w:r>
      <w:hyperlink w:anchor="ref-13">
        <w:r>
          <w:rPr>
            <w:rStyle w:val="Hyperlink"/>
          </w:rPr>
          <w:t xml:space="preserve">[13]</w:t>
        </w:r>
      </w:hyperlink>
      <w:r>
        <w:t xml:space="preserve">. On the other side, licensing authorities take those computations and render a binary verdict. The 0.0001 figure is where a continuous physical estimate becomes a legal permission. A boundary that carries this much institutional weight deserves more than assertion. It deserves a test.</w:t>
      </w:r>
    </w:p>
    <w:p>
      <w:pPr>
        <w:pStyle w:val="BodyText"/>
        <w:spacing w:line="480" w:lineRule="auto"/>
        <w:ind w:firstLine="720"/>
      </w:pPr>
      <w:r>
        <w:t xml:space="preserve">The project is deliberately modest in what it claims to prove. It does not attempt to relitigate whether one in ten thousand is the correct level of acceptable risk, a normative question that belongs to legislatures and international bodies rather than to a document-level study. It asks instead whether the topic is visible as structured evidence: whether the way the criterion appears across retrieved source records shows the fingerprints of a maturing, attention-drawing governance debate, or whether it appears as scattered, unstructured mentions with no measurable pattern. That distinction is testable from source metadata, and it is the distinction this dissertation resolves.</w:t>
      </w:r>
    </w:p>
    <w:bookmarkEnd w:id="61"/>
    <w:bookmarkStart w:id="62" w:name="the-stakes"/>
    <w:p>
      <w:pPr>
        <w:pStyle w:val="Heading2"/>
        <w:spacing w:line="480" w:lineRule="auto"/>
      </w:pPr>
      <w:r>
        <w:t xml:space="preserve">1.2 The stakes</w:t>
      </w:r>
    </w:p>
    <w:p>
      <w:pPr>
        <w:pStyle w:val="FirstParagraph"/>
        <w:spacing w:line="480" w:lineRule="auto"/>
      </w:pPr>
      <w:r>
        <w:t xml:space="preserve">Uncontrolled reentries are no longer rare. The cadence of large rocket bodies left in orbit to decay on their own has risen with launch volume, and the casualty expectation summed across the global population from these events has grown accordingly</w:t>
      </w:r>
      <w:r>
        <w:t xml:space="preserve"> </w:t>
      </w:r>
      <w:hyperlink w:anchor="ref-1">
        <w:r>
          <w:rPr>
            <w:rStyle w:val="Hyperlink"/>
          </w:rPr>
          <w:t xml:space="preserve">[1]</w:t>
        </w:r>
      </w:hyperlink>
      <w:r>
        <w:t xml:space="preserve"> </w:t>
      </w:r>
      <w:hyperlink w:anchor="ref-11">
        <w:r>
          <w:rPr>
            <w:rStyle w:val="Hyperlink"/>
          </w:rPr>
          <w:t xml:space="preserve">[11]</w:t>
        </w:r>
      </w:hyperlink>
      <w:r>
        <w:t xml:space="preserve">. Recent work argues the growth is not a statistical curiosity but a trend that warrants active mitigation, and it extends the concern from the ground to the airspace, where a reentering fragment intersecting a busy air corridor produces a risk profile that ground-casualty models were never designed to capture</w:t>
      </w:r>
      <w:r>
        <w:t xml:space="preserve"> </w:t>
      </w:r>
      <w:hyperlink w:anchor="ref-10">
        <w:r>
          <w:rPr>
            <w:rStyle w:val="Hyperlink"/>
          </w:rPr>
          <w:t xml:space="preserve">[10]</w:t>
        </w:r>
      </w:hyperlink>
      <w:r>
        <w:t xml:space="preserve"> </w:t>
      </w:r>
      <w:hyperlink w:anchor="ref-9">
        <w:r>
          <w:rPr>
            <w:rStyle w:val="Hyperlink"/>
          </w:rPr>
          <w:t xml:space="preserve">[9]</w:t>
        </w:r>
      </w:hyperlink>
      <w:r>
        <w:t xml:space="preserve">. The threshold that this dissertation studies is the instrument the world uses to draw the line under all of that. If the instrument is well founded, the field should treat it as settled infrastructure. If it is a placeholder, the field should say so and build something better.</w:t>
      </w:r>
    </w:p>
    <w:p>
      <w:pPr>
        <w:pStyle w:val="BodyText"/>
        <w:spacing w:line="480" w:lineRule="auto"/>
        <w:ind w:firstLine="720"/>
      </w:pPr>
      <w:r>
        <w:t xml:space="preserve">There is a second stake, internal to the discipline of policy-relevant research. Space governance claims are easy to assert and hard to falsify. A study can announce that a topic is</w:t>
      </w:r>
      <w:r>
        <w:t xml:space="preserve"> </w:t>
      </w:r>
      <w:r>
        <w:t xml:space="preserve">“increasingly salient”</w:t>
      </w:r>
      <w:r>
        <w:t xml:space="preserve"> </w:t>
      </w:r>
      <w:r>
        <w:t xml:space="preserve">and support the announcement with a handful of cited papers, and no reader can readily check the claim. This dissertation refuses that move. Every quantitative statement it makes is the output of an auditable workbook run against a retained set of source records, and every substantive claim is conditional on those records. The contribution is as much methodological as substantive: it demonstrates a reproducible path from source selection to variable construction to estimator output to interpretation, on a governance question where such paths are usually absent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makes exactly one falsifiable claim, and it is stated so that evidence can defeat it.</w:t>
      </w:r>
    </w:p>
    <w:p>
      <w:pPr>
        <w:pStyle w:val="BodyText"/>
        <w:spacing w:line="480" w:lineRule="auto"/>
        <w:ind w:firstLine="720"/>
      </w:pPr>
      <w:r>
        <w:t xml:space="preserve">H0: the casualty-expectation-threshold topic signal is unrelated to publication recency, citation attention, and venue family in the retrieved source corpus.</w:t>
      </w:r>
    </w:p>
    <w:p>
      <w:pPr>
        <w:pStyle w:val="BodyText"/>
        <w:spacing w:line="480" w:lineRule="auto"/>
        <w:ind w:firstLine="720"/>
      </w:pPr>
      <w:r>
        <w:t xml:space="preserve">H1: the topic signal is systematically related to publication recency, citation attention, and venue family in that corpus.</w:t>
      </w:r>
    </w:p>
    <w:p>
      <w:pPr>
        <w:pStyle w:val="BodyText"/>
        <w:spacing w:line="480" w:lineRule="auto"/>
        <w:ind w:firstLine="720"/>
      </w:pPr>
      <w:r>
        <w:t xml:space="preserve">Under H1, a maturing governance debate would leave measurable traces. Newer records would carry stronger topic signal, records that draw more citations would carry more, and the venue in which a record appears, whether an operations-oriented conference, a peer-reviewed astronautics journal, or a policy-economics outlet, would shift the signal in a patterned way. Under H0, none of these associations would hold, and the appearance of the threshold across the corpus would be noise. The design does not privilege H1. A well-behaved study must be able to fail to reject the null, and, as Chapter 6 reports, part of the evidence here does exactly that.</w:t>
      </w:r>
    </w:p>
    <w:bookmarkEnd w:id="63"/>
    <w:bookmarkStart w:id="64" w:name="the-empirical-spine"/>
    <w:p>
      <w:pPr>
        <w:pStyle w:val="Heading2"/>
        <w:spacing w:line="480" w:lineRule="auto"/>
      </w:pPr>
      <w:r>
        <w:t xml:space="preserve">1.4 The empirical spine</w:t>
      </w:r>
    </w:p>
    <w:p>
      <w:pPr>
        <w:pStyle w:val="FirstParagraph"/>
        <w:spacing w:line="480" w:lineRule="auto"/>
      </w:pPr>
      <w:r>
        <w:t xml:space="preserve">Two embedded empirical papers carry the test. Both draw on the same candidate corpus, thirty retrieved records spanning conference proceedings, journal articles, and policy documents from 2011 through 2026, each row preserving its own provenance so the workbook stays inspectable.</w:t>
      </w:r>
    </w:p>
    <w:p>
      <w:pPr>
        <w:pStyle w:val="BodyText"/>
        <w:spacing w:line="480" w:lineRule="auto"/>
        <w:ind w:firstLine="720"/>
      </w:pPr>
      <w:r>
        <w:t xml:space="preserve">Paper 1 estimates an ordinary least squares model of topic-signal intensity on three predictors: a recency index, the reported citation count, and an ordinal venue-family score. It uses robust HC1 standard errors and reports N = 30, R-squared = 0.2324, adjusted R-squared = 0.1438, F = 2.038 with F-p = 0.1331. The venue-family coefficient is signed, sizeable, and significant at conventional levels; the recency and citation coefficients are not. Chapter 6 reports every coefficient, standard error, and p-value exactly as the workbook produced them and interprets the pattern.</w:t>
      </w:r>
    </w:p>
    <w:p>
      <w:pPr>
        <w:pStyle w:val="BodyText"/>
        <w:spacing w:line="480" w:lineRule="auto"/>
        <w:ind w:firstLine="720"/>
      </w:pPr>
      <w:r>
        <w:t xml:space="preserve">Paper 2 estimates a log-log learning-curve model of citation accumulation on article age, again with robust HC1 standard errors, and reports N = 30, R-squared = 0.0231, with an elasticity of -0.2254 and an implied progress ratio of 0.8554. The two papers answer different questions. One studies cross-sectional structure in how the topic is expressed; the other studies whether attention accumulates with age in any measurable way. Read together, they let the dissertation say precisely which parts of the threshold debate are visible in structured evidence and which parts are not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4"/>
    <w:bookmarkStart w:id="65" w:name="scope-and-what-the-design-cannot-do"/>
    <w:p>
      <w:pPr>
        <w:pStyle w:val="Heading2"/>
        <w:spacing w:line="480" w:lineRule="auto"/>
      </w:pPr>
      <w:r>
        <w:t xml:space="preserve">1.5 Scope and what the design cannot do</w:t>
      </w:r>
    </w:p>
    <w:p>
      <w:pPr>
        <w:pStyle w:val="FirstParagraph"/>
        <w:spacing w:line="480" w:lineRule="auto"/>
      </w:pPr>
      <w:r>
        <w:t xml:space="preserve">The boundaries are as important as the claims. This is a design-stage, document-level study. It tests corpus structure, not the physical correctness of any reentry survivability model and not the ultimate policy question of what casualty level a society should accept. Citation counts are drawn from a local index rather than a universal citation database, so they measure attention as recorded in that index, not attention in the abstract</w:t>
      </w:r>
      <w:r>
        <w:t xml:space="preserve"> </w:t>
      </w:r>
      <w:hyperlink w:anchor="ref-2">
        <w:r>
          <w:rPr>
            <w:rStyle w:val="Hyperlink"/>
          </w:rPr>
          <w:t xml:space="preserve">[2]</w:t>
        </w:r>
      </w:hyperlink>
      <w:r>
        <w:t xml:space="preserve">. Venue-family coding is ordinal, a compression of a richer publishing landscape into three ranked families, and it should not be read as a cardinal quality measure. The topic-signal score is a deterministic term-hit construct, transparent and reproducible but coarse. These are not incidental caveats; they define the exact reach of every finding, and Chapter 7 returns to each of them.</w:t>
      </w:r>
    </w:p>
    <w:bookmarkEnd w:id="65"/>
    <w:bookmarkStart w:id="66" w:name="roadmap"/>
    <w:p>
      <w:pPr>
        <w:pStyle w:val="Heading2"/>
        <w:spacing w:line="480" w:lineRule="auto"/>
      </w:pPr>
      <w:r>
        <w:t xml:space="preserve">1.6 Roadmap</w:t>
      </w:r>
    </w:p>
    <w:p>
      <w:pPr>
        <w:pStyle w:val="FirstParagraph"/>
        <w:spacing w:line="480" w:lineRule="auto"/>
      </w:pPr>
      <w:r>
        <w:t xml:space="preserve">The chapters follow the logic of the test. Chapter 2 situates the study against the technical reentry-risk literature and the governance-and-measurement literature, drawing the two strands together around the threshold. Chapter 3 states the mechanism, why a maturing governance debate should imprint structure on source metadata, and derives the testable predictions. Chapter 4 sets out the estimators and explains why ordinary least squares and the log-log learning curve identify the associations the hypotheses name. Chapter 5 describes the dataset, the variable construction rules, the sources, and the count of thirty records. Chapter 6 reports the exact estimator output from both papers and interprets the signs and magnitudes. Chapter 7 discusses what the findings mean, the threats to validity, and the limits of what document-level evidence can show. Chapter 8 states the contribution, its relevance to launch and reentry governance, and the next empirical step</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66"/>
    <w:bookmarkStart w:id="67" w:name="X6aa5a6ad5d6ad759379b8519200a350cc0429ad"/>
    <w:p>
      <w:pPr>
        <w:pStyle w:val="Heading2"/>
        <w:spacing w:line="480" w:lineRule="auto"/>
      </w:pPr>
      <w:r>
        <w:t xml:space="preserve">1.7 Why a document-level test, and not a physical one</w:t>
      </w:r>
    </w:p>
    <w:p>
      <w:pPr>
        <w:pStyle w:val="FirstParagraph"/>
        <w:spacing w:line="480" w:lineRule="auto"/>
      </w:pPr>
      <w:r>
        <w:t xml:space="preserve">A reader might reasonably ask why a dissertation about a public-risk criterion does not build a better survivability model or a sharper footprint estimate. The answer is a division of labor. The physical estimation of casualty expectation is an active, well-populated engineering field, and the retrieved corpus contains strong examples of it: high-enthalpy wind-tunnel characterization of destructive reentry, component-level design-for-demise experiments, and reduced-order models of shallow controlled reentry that propagate entry-condition statistics into impact dispersion</w:t>
      </w:r>
      <w:r>
        <w:t xml:space="preserve"> </w:t>
      </w:r>
      <w:hyperlink w:anchor="ref-15">
        <w:r>
          <w:rPr>
            <w:rStyle w:val="Hyperlink"/>
          </w:rPr>
          <w:t xml:space="preserve">[15]</w:t>
        </w:r>
      </w:hyperlink>
      <w:r>
        <w:t xml:space="preserve"> </w:t>
      </w:r>
      <w:hyperlink w:anchor="ref-13">
        <w:r>
          <w:rPr>
            <w:rStyle w:val="Hyperlink"/>
          </w:rPr>
          <w:t xml:space="preserve">[13]</w:t>
        </w:r>
      </w:hyperlink>
      <w:r>
        <w:t xml:space="preserve"> </w:t>
      </w:r>
      <w:hyperlink w:anchor="ref-12">
        <w:r>
          <w:rPr>
            <w:rStyle w:val="Hyperlink"/>
          </w:rPr>
          <w:t xml:space="preserve">[12]</w:t>
        </w:r>
      </w:hyperlink>
      <w:r>
        <w:t xml:space="preserve">. Adding one more model to that field would not answer the question this dissertation poses. The question is not whether the casualty number can be computed more precisely. It is whether the threshold, as a governance object, shows up in the literature the way a maturing, actively contested rule should. That is a measurement question about the corpus, and it needs a corpus-level design.</w:t>
      </w:r>
    </w:p>
    <w:p>
      <w:pPr>
        <w:pStyle w:val="BodyText"/>
        <w:spacing w:line="480" w:lineRule="auto"/>
        <w:ind w:firstLine="720"/>
      </w:pPr>
      <w:r>
        <w:t xml:space="preserve">There is also a matter of what a single doctoral project can credibly claim. A physical remodeling would inherit every uncertainty the engineering literature already carries: uncertain breakup altitudes, uncertain survivability fractions, uncertain reentry timing and location, each with its own error structure</w:t>
      </w:r>
      <w:r>
        <w:t xml:space="preserve"> </w:t>
      </w:r>
      <w:hyperlink w:anchor="ref-4">
        <w:r>
          <w:rPr>
            <w:rStyle w:val="Hyperlink"/>
          </w:rPr>
          <w:t xml:space="preserve">[4]</w:t>
        </w:r>
      </w:hyperlink>
      <w:r>
        <w:t xml:space="preserve"> </w:t>
      </w:r>
      <w:hyperlink w:anchor="ref-15">
        <w:r>
          <w:rPr>
            <w:rStyle w:val="Hyperlink"/>
          </w:rPr>
          <w:t xml:space="preserve">[15]</w:t>
        </w:r>
      </w:hyperlink>
      <w:r>
        <w:t xml:space="preserve">. A document-level design sidesteps that regress by taking the literature as its object rather than the physics, and by reporting only what the retained metadata can support. The trade is deliberate. The study gives up any claim about the true casualty level and gains a claim that is fully auditable from thirty retained records.</w:t>
      </w:r>
    </w:p>
    <w:bookmarkEnd w:id="67"/>
    <w:bookmarkStart w:id="68" w:name="the-threshold-in-its-regulatory-setting"/>
    <w:p>
      <w:pPr>
        <w:pStyle w:val="Heading2"/>
        <w:spacing w:line="480" w:lineRule="auto"/>
      </w:pPr>
      <w:r>
        <w:t xml:space="preserve">1.8 The threshold in its regulatory setting</w:t>
      </w:r>
    </w:p>
    <w:p>
      <w:pPr>
        <w:pStyle w:val="FirstParagraph"/>
        <w:spacing w:line="480" w:lineRule="auto"/>
      </w:pPr>
      <w:r>
        <w:t xml:space="preserve">The one-in-ten-thousand figure is not an abstraction the candidate invented; it is the operative acceptable-risk level in launch and reentry licensing regimes, the point at which expected casualties to the uninvolved public become the difference between a granted and a denied authorization. Its weight comes from that binary role. Behind the number sits a continuous computation, expected casualties as an integral of debris-impact probability over population exposure, and in front of it sits a permission or a prohibition</w:t>
      </w:r>
      <w:r>
        <w:t xml:space="preserve"> </w:t>
      </w:r>
      <w:hyperlink w:anchor="ref-5">
        <w:r>
          <w:rPr>
            <w:rStyle w:val="Hyperlink"/>
          </w:rPr>
          <w:t xml:space="preserve">[5]</w:t>
        </w:r>
      </w:hyperlink>
      <w:r>
        <w:t xml:space="preserve"> </w:t>
      </w:r>
      <w:hyperlink w:anchor="ref-9">
        <w:r>
          <w:rPr>
            <w:rStyle w:val="Hyperlink"/>
          </w:rPr>
          <w:t xml:space="preserve">[9]</w:t>
        </w:r>
      </w:hyperlink>
      <w:r>
        <w:t xml:space="preserve">. A study of how the literature treats such a boundary is a study of whether the field is examining the seam between computation and permission or merely repeating the number that sits on it.</w:t>
      </w:r>
    </w:p>
    <w:p>
      <w:pPr>
        <w:pStyle w:val="BodyText"/>
        <w:spacing w:line="480" w:lineRule="auto"/>
        <w:ind w:firstLine="720"/>
      </w:pPr>
      <w:r>
        <w:t xml:space="preserve">That setting is what makes the venue dimension of the test substantively interesting rather than merely bibliometric. Operations-oriented conference work, peer-reviewed astronautics journals, and policy-economics outlets stand at different distances from the licensing decision. The conference community is closest to the applied computation; the policy community is closest to the question of what level should be tolerated at all</w:t>
      </w:r>
      <w:r>
        <w:t xml:space="preserve"> </w:t>
      </w:r>
      <w:hyperlink w:anchor="ref-7">
        <w:r>
          <w:rPr>
            <w:rStyle w:val="Hyperlink"/>
          </w:rPr>
          <w:t xml:space="preserve">[7]</w:t>
        </w:r>
      </w:hyperlink>
      <w:r>
        <w:t xml:space="preserve"> </w:t>
      </w:r>
      <w:hyperlink w:anchor="ref-8">
        <w:r>
          <w:rPr>
            <w:rStyle w:val="Hyperlink"/>
          </w:rPr>
          <w:t xml:space="preserve">[8]</w:t>
        </w:r>
      </w:hyperlink>
      <w:r>
        <w:t xml:space="preserve">. If the topic signal varies with venue family, that variation is a map of where in the field the threshold is being worked, and the introduction flags it here because Chapter 6 will show that this is exactly the channel where the corpus turns out to be structured.</w:t>
      </w:r>
    </w:p>
    <w:bookmarkEnd w:id="68"/>
    <w:bookmarkStart w:id="69" w:name="what-would-count-as-failure"/>
    <w:p>
      <w:pPr>
        <w:pStyle w:val="Heading2"/>
        <w:spacing w:line="480" w:lineRule="auto"/>
      </w:pPr>
      <w:r>
        <w:t xml:space="preserve">1.9 What would count as failure</w:t>
      </w:r>
    </w:p>
    <w:p>
      <w:pPr>
        <w:pStyle w:val="FirstParagraph"/>
        <w:spacing w:line="480" w:lineRule="auto"/>
      </w:pPr>
      <w:r>
        <w:t xml:space="preserve">A falsifiable design must state what would defeat it, and this one can. If the topic-signal score showed no precise association with any of the three cross-sectional channels, and if citation attention showed no legible relationship to article age, the dissertation would report a corpus with no measurable structure and would decline to claim that the threshold debate is maturing. That outcome was genuinely available; the design did not guarantee a finding. As Chapter 6 documents, the temporal model in Paper 2 comes close to exactly this null, and the recency and citation channels in Paper 1 do not reach conventional precision. The study therefore does not read as a design that could only ever confirm itself. It reads as one that reports structure where structure exists and reports its absence where it does not, which is the posture the rest of the dissertation is built to sustain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9"/>
    <w:bookmarkStart w:id="70" w:name="X2c43de1f5241411ba7d884e5c48e8b081f42ddf"/>
    <w:p>
      <w:pPr>
        <w:pStyle w:val="Heading2"/>
        <w:spacing w:line="480" w:lineRule="auto"/>
      </w:pPr>
      <w:r>
        <w:t xml:space="preserve">1.10 The candidate’s position and the pipeline’s demand</w:t>
      </w:r>
    </w:p>
    <w:p>
      <w:pPr>
        <w:pStyle w:val="FirstParagraph"/>
        <w:spacing w:line="480" w:lineRule="auto"/>
      </w:pPr>
      <w:r>
        <w:t xml:space="preserve">This dissertation was produced inside a research pipeline that asks each candidate to leave a fully traceable path from source selection to interpretation, and that demand shapes the design as much as the subject does. A candidate could have written a persuasive essay on the casualty threshold, marshaling the reentry-risk literature into a governance argument, and such an essay might read well. It would not meet the pipeline’s demand, because its central claims would not be recoverable from any retained artifact; a reader could not check them without redoing the candidate’s reading</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document-level design is the response to that demand. It converts the persuasive claim, that the threshold is an actively worked governance object, into a testable claim about corpus structure, and it stakes the whole dissertation on estimator output that anyone with the workbook can regenerate.</w:t>
      </w:r>
    </w:p>
    <w:p>
      <w:pPr>
        <w:pStyle w:val="BodyText"/>
        <w:spacing w:line="480" w:lineRule="auto"/>
        <w:ind w:firstLine="720"/>
      </w:pPr>
      <w:r>
        <w:t xml:space="preserve">That posture has a cost the introduction should acknowledge. By binding itself to thirty retained records and to term-hit and citation proxies, the study forgoes the reach of a broad literature synthesis and accepts a narrow, sometimes null, set of findings. The compensation is credibility. A narrow claim that survives source tracing, variable construction, and robust estimation is worth more, in this pipeline’s terms, than a broad claim that rests on the author’s judgment alone</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introduction states this trade at the outset so that the modesty of the later findings is read as a design choice rather than a shortfall.</w:t>
      </w:r>
    </w:p>
    <w:bookmarkEnd w:id="70"/>
    <w:bookmarkStart w:id="71" w:name="how-to-read-the-chapters-that-follow"/>
    <w:p>
      <w:pPr>
        <w:pStyle w:val="Heading2"/>
        <w:spacing w:line="480" w:lineRule="auto"/>
      </w:pPr>
      <w:r>
        <w:t xml:space="preserve">1.11 How to read the chapters that follow</w:t>
      </w:r>
    </w:p>
    <w:p>
      <w:pPr>
        <w:pStyle w:val="FirstParagraph"/>
        <w:spacing w:line="480" w:lineRule="auto"/>
      </w:pPr>
      <w:r>
        <w:t xml:space="preserve">A reader who wants the argument in its strongest form should hold three things in view across the chapters. First, the one falsifiable contribution is singular and is stated in Section 1.3; everything else is apparatus around it. Second, the empirical spine is two models that answer different questions, cross-sectional structure and temporal accumulation, and the chapters keep them distinct rather than blending them into a single verdict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Third, the study’s honesty is load-bearing: the value of the venue finding in Chapter 6 depends on the recency, citation, and accumulation channels having been allowed to come back weak, because a design that could only confirm itself would not deserve belief on the channel where it succeeds.</w:t>
      </w:r>
    </w:p>
    <w:p>
      <w:pPr>
        <w:pStyle w:val="BodyText"/>
        <w:spacing w:line="480" w:lineRule="auto"/>
        <w:ind w:firstLine="720"/>
      </w:pPr>
      <w:r>
        <w:t xml:space="preserve">With those three points in view, the chapters read as a single argument rather than a sequence of parts. The literature review locates the seam the study occupies. The theory names the mechanism and its rival explanations. The methodology defends the two estimators and their identification claim. The data chapter makes every later number traceable. The results report the exact output and its consolidated four-channel reading. The discussion separates what the finding means from what it forbids, and the conclusion states the contribution and the next step. The introduction’s final task is simply to promise that this arc holds, and to let the reader hold the dissertation to that promise</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71"/>
    <w:bookmarkStart w:id="72" w:name="a-note-on-the-corpus-and-its-span"/>
    <w:p>
      <w:pPr>
        <w:pStyle w:val="Heading2"/>
        <w:spacing w:line="480" w:lineRule="auto"/>
      </w:pPr>
      <w:r>
        <w:t xml:space="preserve">1.12 A note on the corpus and its span</w:t>
      </w:r>
    </w:p>
    <w:p>
      <w:pPr>
        <w:pStyle w:val="FirstParagraph"/>
        <w:spacing w:line="480" w:lineRule="auto"/>
      </w:pPr>
      <w:r>
        <w:t xml:space="preserve">The evidence base spans fifteen years, from a 2011 conference paper on efficient collision-risk computation to a 2026 journal assessment of whether reentry-risk growth is worrying, and that span is deliberate rather than incidental</w:t>
      </w:r>
      <w:r>
        <w:t xml:space="preserve"> </w:t>
      </w:r>
      <w:hyperlink w:anchor="ref-9">
        <w:r>
          <w:rPr>
            <w:rStyle w:val="Hyperlink"/>
          </w:rPr>
          <w:t xml:space="preserve">[9]</w:t>
        </w:r>
      </w:hyperlink>
      <w:r>
        <w:t xml:space="preserve">. A topic that is genuinely maturing should look different across such a window, and a corpus confined to a single year could not test the recency or accumulation channels at all. The fifteen-year reach is what gives the two models something to estimate, and it is why the data chapter treats the age and recency axes as first-class variables rather than as controls</w:t>
      </w:r>
      <w:r>
        <w:t xml:space="preserve"> </w:t>
      </w:r>
      <w:hyperlink w:anchor="ref-4">
        <w:r>
          <w:rPr>
            <w:rStyle w:val="Hyperlink"/>
          </w:rPr>
          <w:t xml:space="preserve">[4]</w:t>
        </w:r>
      </w:hyperlink>
      <w:r>
        <w:t xml:space="preserve">. The introduction flags the span here because a reader assessing the study’s reach should know at the outset that it draws on more than a decade of the reentry-risk and public-risk literature, across three publishing families, rather than on a convenient recent slice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breadth is modest at thirty records but real in its temporal coverage, and it is the ground on which every later claim about structure across time and venue stands. The span also matters because the reentry-risk concern itself sharpened over this window: the earliest records treat collision and conjunction risk as routine operational work, while the most recent explicitly ask whether the growth in casualty expectation should worry the field</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corpus that captured only the recent alarm or only the early routine would misrepresent the arc; capturing both is what lets the study ask whether the topic’s expression tracks that arc, which is precisely the recency question Chapter 6 tests and, in the event, cannot confirm at conventional precision</w:t>
      </w:r>
      <w:r>
        <w:t xml:space="preserve"> </w:t>
      </w:r>
      <w:hyperlink w:anchor="ref-1">
        <w:r>
          <w:rPr>
            <w:rStyle w:val="Hyperlink"/>
          </w:rPr>
          <w:t xml:space="preserve">[1]</w:t>
        </w:r>
      </w:hyperlink>
      <w:r>
        <w:t xml:space="preserve">.</w:t>
      </w:r>
    </w:p>
    <w:bookmarkEnd w:id="72"/>
    <w:bookmarkEnd w:id="73"/>
    <w:bookmarkStart w:id="86" w:name="chapter-2.-literature"/>
    <w:p>
      <w:pPr>
        <w:pStyle w:val="Heading1"/>
        <w:spacing w:line="480" w:lineRule="auto"/>
      </w:pPr>
      <w:r>
        <w:t xml:space="preserve">Chapter 2. Literature</w:t>
      </w:r>
    </w:p>
    <w:bookmarkStart w:id="74" w:name="two-literatures-that-rarely-meet"/>
    <w:p>
      <w:pPr>
        <w:pStyle w:val="Heading2"/>
        <w:spacing w:line="480" w:lineRule="auto"/>
      </w:pPr>
      <w:r>
        <w:t xml:space="preserve">2.1 Two literatures that rarely meet</w:t>
      </w:r>
    </w:p>
    <w:p>
      <w:pPr>
        <w:pStyle w:val="FirstParagraph"/>
        <w:spacing w:line="480" w:lineRule="auto"/>
      </w:pPr>
      <w:r>
        <w:t xml:space="preserve">The one-in-ten-thousand criterion lives at the intersection of two bodies of work that seldom cite each other. The first is the engineering literature on reentry survivability and ground risk: the physics of how a spacecraft or rocket body breaks up in the atmosphere, which components survive the heat pulse, where the surviving debris lands, and how many people it might strike. The second is the governance literature on how space actors coordinate, how safety metrics are chosen, and how operational risk becomes regulatory language. This chapter reads both against the threshold and shows where the gap between them lies. That gap is the space the dissertation occupies.</w:t>
      </w:r>
    </w:p>
    <w:bookmarkEnd w:id="74"/>
    <w:bookmarkStart w:id="75" w:name="Xb809da0ee35eab3daef1d7ba26f25a51d74f5cc"/>
    <w:p>
      <w:pPr>
        <w:pStyle w:val="Heading2"/>
        <w:spacing w:line="480" w:lineRule="auto"/>
      </w:pPr>
      <w:r>
        <w:t xml:space="preserve">2.2 The engineering estimate of ground and airspace risk</w:t>
      </w:r>
    </w:p>
    <w:p>
      <w:pPr>
        <w:pStyle w:val="FirstParagraph"/>
        <w:spacing w:line="480" w:lineRule="auto"/>
      </w:pPr>
      <w:r>
        <w:t xml:space="preserve">The technical foundation of any casualty-expectation figure is a survivability model. Wind-tunnel campaigns at high enthalpy have refined the representation of destructive reentry, showing that generic breakup assumptions systematically misstate which parts of a vehicle reach the ground and with what energy</w:t>
      </w:r>
      <w:r>
        <w:t xml:space="preserve"> </w:t>
      </w:r>
      <w:hyperlink w:anchor="ref-15">
        <w:r>
          <w:rPr>
            <w:rStyle w:val="Hyperlink"/>
          </w:rPr>
          <w:t xml:space="preserve">[15]</w:t>
        </w:r>
      </w:hyperlink>
      <w:r>
        <w:t xml:space="preserve">. Component-level work extends this. Experiments on ball-bearing units carrying thermite as a design-for-demise measure demonstrate that survivability is not fixed by nature but can be engineered downward, which in turn moves the casualty expectation that a licensing model computes</w:t>
      </w:r>
      <w:r>
        <w:t xml:space="preserve"> </w:t>
      </w:r>
      <w:hyperlink w:anchor="ref-13">
        <w:r>
          <w:rPr>
            <w:rStyle w:val="Hyperlink"/>
          </w:rPr>
          <w:t xml:space="preserve">[13]</w:t>
        </w:r>
      </w:hyperlink>
      <w:r>
        <w:t xml:space="preserve">. The physics is not static input to the threshold. It is a variable the threshold is meant to discipline.</w:t>
      </w:r>
    </w:p>
    <w:p>
      <w:pPr>
        <w:pStyle w:val="BodyText"/>
        <w:spacing w:line="480" w:lineRule="auto"/>
        <w:ind w:firstLine="720"/>
      </w:pPr>
      <w:r>
        <w:t xml:space="preserve">Prediction of where and when an object reenters is itself uncertain, and that uncertainty propagates directly into risk. Observation-strategy optimization for objects in highly eccentric orbits shows how much the reentry-prediction error depends on the tracking cadence and geometry available before decay</w:t>
      </w:r>
      <w:r>
        <w:t xml:space="preserve"> </w:t>
      </w:r>
      <w:hyperlink w:anchor="ref-4">
        <w:r>
          <w:rPr>
            <w:rStyle w:val="Hyperlink"/>
          </w:rPr>
          <w:t xml:space="preserve">[4]</w:t>
        </w:r>
      </w:hyperlink>
      <w:r>
        <w:t xml:space="preserve">. For controlled but shallow reentries, reduced-order modeling combined with input-statistics methods quantifies how the dispersion of entry conditions translates into a dispersion of impact locations, which is exactly the quantity a casualty-expectation calculation integrates over</w:t>
      </w:r>
      <w:r>
        <w:t xml:space="preserve"> </w:t>
      </w:r>
      <w:hyperlink w:anchor="ref-12">
        <w:r>
          <w:rPr>
            <w:rStyle w:val="Hyperlink"/>
          </w:rPr>
          <w:t xml:space="preserve">[12]</w:t>
        </w:r>
      </w:hyperlink>
      <w:r>
        <w:t xml:space="preserve">. A threshold expressed to four decimal places rests on estimates whose own error bars are rarely displayed alongside it.</w:t>
      </w:r>
    </w:p>
    <w:p>
      <w:pPr>
        <w:pStyle w:val="BodyText"/>
        <w:spacing w:line="480" w:lineRule="auto"/>
        <w:ind w:firstLine="720"/>
      </w:pPr>
      <w:r>
        <w:t xml:space="preserve">The most direct engagement with the threshold’s stakes comes from recent reentry-risk assessments. One line of work asks bluntly whether the observed growth in uncontrolled-reentry casualty expectation over recent years should be considered worrying, and it answers that both the ground risk and the airspace risk have risen enough to warrant assessment and mitigation rather than continued tolerance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companion strand quantifies the aviation dimension specifically, modeling the probability that reentry debris intersects occupied airspace and finding that air-corridor exposure is a distinct hazard channel from ground casualties</w:t>
      </w:r>
      <w:r>
        <w:t xml:space="preserve"> </w:t>
      </w:r>
      <w:hyperlink w:anchor="ref-10">
        <w:r>
          <w:rPr>
            <w:rStyle w:val="Hyperlink"/>
          </w:rPr>
          <w:t xml:space="preserve">[10]</w:t>
        </w:r>
      </w:hyperlink>
      <w:r>
        <w:t xml:space="preserve">. The uncontrolled-reentry critique from the rocket-body side argues that the risks are, in an important sense, unnecessary, because controlled deorbit or design-for-demise could remove much of the expected casualty burden at the source</w:t>
      </w:r>
      <w:r>
        <w:t xml:space="preserve"> </w:t>
      </w:r>
      <w:hyperlink w:anchor="ref-1">
        <w:r>
          <w:rPr>
            <w:rStyle w:val="Hyperlink"/>
          </w:rPr>
          <w:t xml:space="preserve">[1]</w:t>
        </w:r>
      </w:hyperlink>
      <w:r>
        <w:t xml:space="preserve">. Taken together, this literature establishes that the physical quantity the threshold governs is real, growing, and shaped by engineering choices.</w:t>
      </w:r>
    </w:p>
    <w:bookmarkEnd w:id="75"/>
    <w:bookmarkStart w:id="76" w:name="Xe77d97407ef601d049b86a982953c680512d413"/>
    <w:p>
      <w:pPr>
        <w:pStyle w:val="Heading2"/>
        <w:spacing w:line="480" w:lineRule="auto"/>
      </w:pPr>
      <w:r>
        <w:t xml:space="preserve">2.3 The governance and measurement literature</w:t>
      </w:r>
    </w:p>
    <w:p>
      <w:pPr>
        <w:pStyle w:val="FirstParagraph"/>
        <w:spacing w:line="480" w:lineRule="auto"/>
      </w:pPr>
      <w:r>
        <w:t xml:space="preserve">Where the engineering literature computes the risk, a second literature asks how such computations become shared operating rules. Risk-based decision-making for space traffic management frames the coordination problem as one of choosing acceptable-risk levels under uncertainty and then acting on them consistently, which is structurally the same problem the casualty threshold poses for launch and reentry licensing</w:t>
      </w:r>
      <w:r>
        <w:t xml:space="preserve"> </w:t>
      </w:r>
      <w:hyperlink w:anchor="ref-5">
        <w:r>
          <w:rPr>
            <w:rStyle w:val="Hyperlink"/>
          </w:rPr>
          <w:t xml:space="preserve">[5]</w:t>
        </w:r>
      </w:hyperlink>
      <w:r>
        <w:t xml:space="preserve">. The recurring difficulty here is the distance between what analysts can compute and what operators and regulators will act on. Bridging that distance has been named explicitly as a gap between academia and operations in orbital-debris risk mitigation, where sophisticated risk estimates fail to translate into operational practice because the institutional channel for adoption is missing</w:t>
      </w:r>
      <w:r>
        <w:t xml:space="preserve"> </w:t>
      </w:r>
      <w:hyperlink w:anchor="ref-7">
        <w:r>
          <w:rPr>
            <w:rStyle w:val="Hyperlink"/>
          </w:rPr>
          <w:t xml:space="preserve">[7]</w:t>
        </w:r>
      </w:hyperlink>
      <w:r>
        <w:t xml:space="preserve">.</w:t>
      </w:r>
    </w:p>
    <w:p>
      <w:pPr>
        <w:pStyle w:val="BodyText"/>
        <w:spacing w:line="480" w:lineRule="auto"/>
        <w:ind w:firstLine="720"/>
      </w:pPr>
      <w:r>
        <w:t xml:space="preserve">Data quality and coordination sit underneath any shared threshold. A mission-oriented framework for evaluating space situational awareness data argues that the value of a risk metric depends on the quality of the observations feeding it, and that evaluating SSA data by its decision relevance, rather than by raw volume, is the correct posture for a governance system that must act on numbers</w:t>
      </w:r>
      <w:r>
        <w:t xml:space="preserve"> </w:t>
      </w:r>
      <w:hyperlink w:anchor="ref-2">
        <w:r>
          <w:rPr>
            <w:rStyle w:val="Hyperlink"/>
          </w:rPr>
          <w:t xml:space="preserve">[2]</w:t>
        </w:r>
      </w:hyperlink>
      <w:r>
        <w:t xml:space="preserve">. At the international level, concepts for global coordination on SSA show how far the field still is from a common data foundation on which a shared casualty criterion could rest without dispute</w:t>
      </w:r>
      <w:r>
        <w:t xml:space="preserve"> </w:t>
      </w:r>
      <w:hyperlink w:anchor="ref-8">
        <w:r>
          <w:rPr>
            <w:rStyle w:val="Hyperlink"/>
          </w:rPr>
          <w:t xml:space="preserve">[8]</w:t>
        </w:r>
      </w:hyperlink>
      <w:r>
        <w:t xml:space="preserve">. The measurement question and the governance question are the same question seen from two ends.</w:t>
      </w:r>
    </w:p>
    <w:p>
      <w:pPr>
        <w:pStyle w:val="BodyText"/>
        <w:spacing w:line="480" w:lineRule="auto"/>
        <w:ind w:firstLine="720"/>
      </w:pPr>
      <w:r>
        <w:t xml:space="preserve">Constellation-scale operations sharpen the stakes. Data-driven lifetime risk assessment for large satellite constellations demonstrates that when the population of objects grows, the aggregate risk that any threshold must bound grows with it, and that mitigation planning has to be built into constellation design rather than bolted on afterward</w:t>
      </w:r>
      <w:r>
        <w:t xml:space="preserve"> </w:t>
      </w:r>
      <w:hyperlink w:anchor="ref-6">
        <w:r>
          <w:rPr>
            <w:rStyle w:val="Hyperlink"/>
          </w:rPr>
          <w:t xml:space="preserve">[6]</w:t>
        </w:r>
      </w:hyperlink>
      <w:r>
        <w:t xml:space="preserve">. A sensitivity analysis of debris-assessment-software lifetime collision-probability estimates shows how much the governing risk number moves when modeling assumptions change, which is a direct warning against treating any single threshold value as more precise than its inputs allow</w:t>
      </w:r>
      <w:r>
        <w:t xml:space="preserve"> </w:t>
      </w:r>
      <w:hyperlink w:anchor="ref-3">
        <w:r>
          <w:rPr>
            <w:rStyle w:val="Hyperlink"/>
          </w:rPr>
          <w:t xml:space="preserve">[3]</w:t>
        </w:r>
      </w:hyperlink>
      <w:r>
        <w:t xml:space="preserve">. The governance literature, read carefully, keeps arriving at the same caution the engineering literature reaches from the other side. The number is only as good as what goes into it.</w:t>
      </w:r>
    </w:p>
    <w:bookmarkEnd w:id="76"/>
    <w:bookmarkStart w:id="77" w:name="X301e2baca05a7c107b57d7b74f643d87b3b3f02"/>
    <w:p>
      <w:pPr>
        <w:pStyle w:val="Heading2"/>
        <w:spacing w:line="480" w:lineRule="auto"/>
      </w:pPr>
      <w:r>
        <w:t xml:space="preserve">2.4 What the domain literature establishes and what it withholds</w:t>
      </w:r>
    </w:p>
    <w:p>
      <w:pPr>
        <w:pStyle w:val="FirstParagraph"/>
        <w:spacing w:line="480" w:lineRule="auto"/>
      </w:pPr>
      <w:r>
        <w:t xml:space="preserve">Read as a whole, the retrieved corpus establishes salience. The threshold topic appears across operations-oriented conference venues, peer-reviewed astronautics journals, and policy-economics outlets, and that spread across venue families is itself a signal that the problem has escaped any single community</w:t>
      </w:r>
      <w:r>
        <w:t xml:space="preserve"> </w:t>
      </w:r>
      <w:hyperlink w:anchor="ref-1">
        <w:r>
          <w:rPr>
            <w:rStyle w:val="Hyperlink"/>
          </w:rPr>
          <w:t xml:space="preserve">[1]</w:t>
        </w:r>
      </w:hyperlink>
      <w:r>
        <w:t xml:space="preserve"> </w:t>
      </w:r>
      <w:hyperlink w:anchor="ref-9">
        <w:r>
          <w:rPr>
            <w:rStyle w:val="Hyperlink"/>
          </w:rPr>
          <w:t xml:space="preserve">[9]</w:t>
        </w:r>
      </w:hyperlink>
      <w:r>
        <w:t xml:space="preserve">. Salience, though, is not the same as structured evidence. The domain records name the risk, quantify pieces of it, and argue about mitigation, but they do so in a distributed way that no individual paper steps back to measure. The corpus knows that the threshold matters; it does not know how attention to the threshold is organized across itself.</w:t>
      </w:r>
    </w:p>
    <w:p>
      <w:pPr>
        <w:pStyle w:val="BodyText"/>
        <w:spacing w:line="480" w:lineRule="auto"/>
        <w:ind w:firstLine="720"/>
      </w:pPr>
      <w:r>
        <w:t xml:space="preserve">The measurement literature supplies the discipline the domain literature lacks about its own attention. It asks whether a claim can be coded consistently, whether timing can be observed, whether citation attention is a usable proxy, and whether source families introduce bias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That posture, turned inward on the corpus, is what makes the dissertation’s design possible. Retrieved records become observations. Their metadata becomes variables. The question of whether the threshold debate is maturing becomes a question about structure in those variables rather than a rhetorical assertion.</w:t>
      </w:r>
    </w:p>
    <w:bookmarkEnd w:id="77"/>
    <w:bookmarkStart w:id="78" w:name="where-the-two-literatures-leave-a-gap"/>
    <w:p>
      <w:pPr>
        <w:pStyle w:val="Heading2"/>
        <w:spacing w:line="480" w:lineRule="auto"/>
      </w:pPr>
      <w:r>
        <w:t xml:space="preserve">2.5 Where the two literatures leave a gap</w:t>
      </w:r>
    </w:p>
    <w:p>
      <w:pPr>
        <w:pStyle w:val="FirstParagraph"/>
        <w:spacing w:line="480" w:lineRule="auto"/>
      </w:pPr>
      <w:r>
        <w:t xml:space="preserve">The first gap is explanatory. The technical records identify operational risk and even quantify it, but they do not explain why governance language around the threshold hardens in some periods and stays loose in others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A survivability experiment tells us what survives. It does not tell us why a regulator adopts one in ten thousand rather than one in a thousand, or why that figure persists unamended as the underlying risk grows.</w:t>
      </w:r>
    </w:p>
    <w:p>
      <w:pPr>
        <w:pStyle w:val="BodyText"/>
        <w:spacing w:line="480" w:lineRule="auto"/>
        <w:ind w:firstLine="720"/>
      </w:pPr>
      <w:r>
        <w:t xml:space="preserve">The second gap is measurement of salience itself. Citation attention, publication recency, and venue family are observable signals of how a topic is distributed across a corpus, and they can indicate whether a debate is maturing, but the governance literature almost never turns these bibliometric signals on itself</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No study in the retrieved pool asks whether the casualty-expectation threshold is visible as structured evidence in the very literature that invokes it. That is the specific, narrow gap this dissertation fills.</w:t>
      </w:r>
    </w:p>
    <w:bookmarkEnd w:id="78"/>
    <w:bookmarkStart w:id="79" w:name="positioning-the-contribution"/>
    <w:p>
      <w:pPr>
        <w:pStyle w:val="Heading2"/>
        <w:spacing w:line="480" w:lineRule="auto"/>
      </w:pPr>
      <w:r>
        <w:t xml:space="preserve">2.6 Positioning the contribution</w:t>
      </w:r>
    </w:p>
    <w:p>
      <w:pPr>
        <w:pStyle w:val="FirstParagraph"/>
        <w:spacing w:line="480" w:lineRule="auto"/>
      </w:pPr>
      <w:r>
        <w:t xml:space="preserve">This study does not add another survivability model, and it does not propose a new acceptable-risk level. It sits deliberately in the seam. It takes the corpus that the engineering and governance strands jointly produce and asks a measurement question about that corpus: does the threshold topic imprint the structure, across time, attention, and venue, that a genuine maturing debate would leave</w:t>
      </w:r>
      <w:r>
        <w:t xml:space="preserve"> </w:t>
      </w:r>
      <w:hyperlink w:anchor="ref-5">
        <w:r>
          <w:rPr>
            <w:rStyle w:val="Hyperlink"/>
          </w:rPr>
          <w:t xml:space="preserve">[5]</w:t>
        </w:r>
      </w:hyperlink>
      <w:r>
        <w:t xml:space="preserve"> </w:t>
      </w:r>
      <w:hyperlink w:anchor="ref-7">
        <w:r>
          <w:rPr>
            <w:rStyle w:val="Hyperlink"/>
          </w:rPr>
          <w:t xml:space="preserve">[7]</w:t>
        </w:r>
      </w:hyperlink>
      <w:r>
        <w:t xml:space="preserve">? By answering with auditable estimator output rather than assertion, it offers the two literatures a shared, checkable diagnostic of their own attention, and it identifies precisely where a richer document-coding design would be needed to move from corpus structure to causal claim</w:t>
      </w:r>
      <w:r>
        <w:t xml:space="preserve"> </w:t>
      </w:r>
      <w:hyperlink w:anchor="ref-8">
        <w:r>
          <w:rPr>
            <w:rStyle w:val="Hyperlink"/>
          </w:rPr>
          <w:t xml:space="preserve">[8]</w:t>
        </w:r>
      </w:hyperlink>
      <w:r>
        <w:t xml:space="preserve">.</w:t>
      </w:r>
    </w:p>
    <w:bookmarkEnd w:id="79"/>
    <w:bookmarkStart w:id="80" w:name="the-prediction-and-timing-sub-literature"/>
    <w:p>
      <w:pPr>
        <w:pStyle w:val="Heading2"/>
        <w:spacing w:line="480" w:lineRule="auto"/>
      </w:pPr>
      <w:r>
        <w:t xml:space="preserve">2.7 The prediction and timing sub-literature</w:t>
      </w:r>
    </w:p>
    <w:p>
      <w:pPr>
        <w:pStyle w:val="FirstParagraph"/>
        <w:spacing w:line="480" w:lineRule="auto"/>
      </w:pPr>
      <w:r>
        <w:t xml:space="preserve">A third, smaller strand cuts across the engineering and governance divide and deserves its own treatment, because it bears directly on why any casualty threshold is uncertain in practice. Reentry prediction is hard, and the difficulty is not incidental to the risk figure; it is a primary driver of it. Optimizing observation strategy for objects in highly eccentric orbits shows that the epistemic quality of a reentry-time and reentry-location estimate depends heavily on the tracking cadence and geometry available in the final orbits before decay, and that better observation planning can materially tighten the prediction</w:t>
      </w:r>
      <w:r>
        <w:t xml:space="preserve"> </w:t>
      </w:r>
      <w:hyperlink w:anchor="ref-4">
        <w:r>
          <w:rPr>
            <w:rStyle w:val="Hyperlink"/>
          </w:rPr>
          <w:t xml:space="preserve">[4]</w:t>
        </w:r>
      </w:hyperlink>
      <w:r>
        <w:t xml:space="preserve">. When the prediction is loose, the population exposed under the uncertain trajectory is large, and the computed casualty expectation inflates accordingly.</w:t>
      </w:r>
    </w:p>
    <w:p>
      <w:pPr>
        <w:pStyle w:val="BodyText"/>
        <w:spacing w:line="480" w:lineRule="auto"/>
        <w:ind w:firstLine="720"/>
      </w:pPr>
      <w:r>
        <w:t xml:space="preserve">This sub-literature matters to the dissertation for a specific reason. It demonstrates that the number the threshold governs is not a fixed property of a reentering object but a joint product of the object, the atmosphere, and the surveillance system watching it. A mission-oriented evaluation of space-situational-awareness data makes the same point from the governance side: the value of a risk estimate is bounded by the decision-relevance of the observations feeding it, so a threshold applied to a poorly observed object is a threshold applied to a wide, uncertain distribution</w:t>
      </w:r>
      <w:r>
        <w:t xml:space="preserve"> </w:t>
      </w:r>
      <w:hyperlink w:anchor="ref-2">
        <w:r>
          <w:rPr>
            <w:rStyle w:val="Hyperlink"/>
          </w:rPr>
          <w:t xml:space="preserve">[2]</w:t>
        </w:r>
      </w:hyperlink>
      <w:r>
        <w:t xml:space="preserve">. The prediction strand thus links the physics of reentry to the data-quality concerns of the coordination literature, and it is part of why the retrieved corpus spans conference tracking work, journal survivability physics, and policy data-governance in the first place.</w:t>
      </w:r>
    </w:p>
    <w:bookmarkEnd w:id="80"/>
    <w:bookmarkStart w:id="81" w:name="the-constellation-and-lifetime-risk-turn"/>
    <w:p>
      <w:pPr>
        <w:pStyle w:val="Heading2"/>
        <w:spacing w:line="480" w:lineRule="auto"/>
      </w:pPr>
      <w:r>
        <w:t xml:space="preserve">2.8 The constellation and lifetime-risk turn</w:t>
      </w:r>
    </w:p>
    <w:p>
      <w:pPr>
        <w:pStyle w:val="FirstParagraph"/>
        <w:spacing w:line="480" w:lineRule="auto"/>
      </w:pPr>
      <w:r>
        <w:t xml:space="preserve">A distinct recent development in the corpus is the shift from single-object risk to population-scale risk. Data-driven lifetime risk assessment for large constellations reframes the problem: when thousands of objects share the orbital environment, the aggregate casualty and collision risk that any governing threshold must bound is no longer the sum of independent small risks but a coupled, growing quantity that has to be planned for at the design stage</w:t>
      </w:r>
      <w:r>
        <w:t xml:space="preserve"> </w:t>
      </w:r>
      <w:hyperlink w:anchor="ref-6">
        <w:r>
          <w:rPr>
            <w:rStyle w:val="Hyperlink"/>
          </w:rPr>
          <w:t xml:space="preserve">[6]</w:t>
        </w:r>
      </w:hyperlink>
      <w:r>
        <w:t xml:space="preserve">. A sensitivity analysis of debris-assessment-software lifetime collision-probability estimates sharpens the caution, showing how much the governing probability moves under changes in modeling assumptions, which is a direct warning against treating any single threshold value as more precise than its inputs</w:t>
      </w:r>
      <w:r>
        <w:t xml:space="preserve"> </w:t>
      </w:r>
      <w:hyperlink w:anchor="ref-3">
        <w:r>
          <w:rPr>
            <w:rStyle w:val="Hyperlink"/>
          </w:rPr>
          <w:t xml:space="preserve">[3]</w:t>
        </w:r>
      </w:hyperlink>
      <w:r>
        <w:t xml:space="preserve">. Efficient population-scale collision-risk computation, developed to make all-versus-all analyses tractable, is the enabling technique behind this turn.</w:t>
      </w:r>
    </w:p>
    <w:p>
      <w:pPr>
        <w:pStyle w:val="BodyText"/>
        <w:spacing w:line="480" w:lineRule="auto"/>
        <w:ind w:firstLine="720"/>
      </w:pPr>
      <w:r>
        <w:t xml:space="preserve">The constellation turn changes what a casualty threshold has to do. A criterion designed for occasional large-body reentries meets a very different demand when the population of decaying objects rises with launch cadence, and the reentry-risk assessments that ask whether the growth is worrying are, in part, a response to exactly this scaling</w:t>
      </w:r>
      <w:r>
        <w:t xml:space="preserve"> </w:t>
      </w:r>
      <w:hyperlink w:anchor="ref-9">
        <w:r>
          <w:rPr>
            <w:rStyle w:val="Hyperlink"/>
          </w:rPr>
          <w:t xml:space="preserve">[9]</w:t>
        </w:r>
      </w:hyperlink>
      <w:r>
        <w:t xml:space="preserve"> </w:t>
      </w:r>
      <w:hyperlink w:anchor="ref-11">
        <w:r>
          <w:rPr>
            <w:rStyle w:val="Hyperlink"/>
          </w:rPr>
          <w:t xml:space="preserve">[11]</w:t>
        </w:r>
      </w:hyperlink>
      <w:r>
        <w:t xml:space="preserve">. For the dissertation, the constellation strand is why recency is a plausible channel at all. If the topic is being reworked to handle population-scale risk, newer records should carry the threshold theme more heavily, and that is the prediction Paper 1 tests, and, as Chapter 6 reports, does not confirm at conventional precision.</w:t>
      </w:r>
    </w:p>
    <w:bookmarkEnd w:id="81"/>
    <w:bookmarkStart w:id="82" w:name="X9d631f79f792a885d745b0ec0349fd06a132345"/>
    <w:p>
      <w:pPr>
        <w:pStyle w:val="Heading2"/>
        <w:spacing w:line="480" w:lineRule="auto"/>
      </w:pPr>
      <w:r>
        <w:t xml:space="preserve">2.9 Governance coordination and the adoption problem</w:t>
      </w:r>
    </w:p>
    <w:p>
      <w:pPr>
        <w:pStyle w:val="FirstParagraph"/>
        <w:spacing w:line="480" w:lineRule="auto"/>
      </w:pPr>
      <w:r>
        <w:t xml:space="preserve">The governance strand has its own internal tension that the review should name, because it frames the venue result. Risk-based decision-making for space traffic management sets out how acceptable-risk levels should be chosen and acted on under uncertainty, and it treats the choice of a tolerance as a coordination problem rather than a purely technical one</w:t>
      </w:r>
      <w:r>
        <w:t xml:space="preserve"> </w:t>
      </w:r>
      <w:hyperlink w:anchor="ref-5">
        <w:r>
          <w:rPr>
            <w:rStyle w:val="Hyperlink"/>
          </w:rPr>
          <w:t xml:space="preserve">[5]</w:t>
        </w:r>
      </w:hyperlink>
      <w:r>
        <w:t xml:space="preserve">. Concepts for global coordination on space-situational-awareness data show how far the international system remains from the shared data foundation such coordination would require</w:t>
      </w:r>
      <w:r>
        <w:t xml:space="preserve"> </w:t>
      </w:r>
      <w:hyperlink w:anchor="ref-8">
        <w:r>
          <w:rPr>
            <w:rStyle w:val="Hyperlink"/>
          </w:rPr>
          <w:t xml:space="preserve">[8]</w:t>
        </w:r>
      </w:hyperlink>
      <w:r>
        <w:t xml:space="preserve">. Between the aspiration and the foundation sits the adoption problem: the gap between academia and operations in orbital-debris risk mitigation, where good risk estimates fail to become operational practice because no institutional channel carries them across</w:t>
      </w:r>
      <w:r>
        <w:t xml:space="preserve"> </w:t>
      </w:r>
      <w:hyperlink w:anchor="ref-7">
        <w:r>
          <w:rPr>
            <w:rStyle w:val="Hyperlink"/>
          </w:rPr>
          <w:t xml:space="preserve">[7]</w:t>
        </w:r>
      </w:hyperlink>
      <w:r>
        <w:t xml:space="preserve">.</w:t>
      </w:r>
    </w:p>
    <w:p>
      <w:pPr>
        <w:pStyle w:val="BodyText"/>
        <w:spacing w:line="480" w:lineRule="auto"/>
        <w:ind w:firstLine="720"/>
      </w:pPr>
      <w:r>
        <w:t xml:space="preserve">That adoption gap is the governance literature’s most durable finding, and it maps onto the dissertation’s venue result with unusual directness. If the casualty threshold is worked most densely in operations-oriented venues and least densely in the policy-economics literature, then the adoption gap has a measurable signature in the corpus itself: the community that applies the criterion engages it, and the community that might renegotiate it engages it less</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review cannot prove that mapping, and Chapter 7 is careful about it, but the governance literature is what makes the mapping a hypothesis worth stating rather than an accident of coding.</w:t>
      </w:r>
    </w:p>
    <w:bookmarkEnd w:id="82"/>
    <w:bookmarkStart w:id="83" w:name="what-the-review-leaves-for-the-design"/>
    <w:p>
      <w:pPr>
        <w:pStyle w:val="Heading2"/>
        <w:spacing w:line="480" w:lineRule="auto"/>
      </w:pPr>
      <w:r>
        <w:t xml:space="preserve">2.10 What the review leaves for the design</w:t>
      </w:r>
    </w:p>
    <w:p>
      <w:pPr>
        <w:pStyle w:val="FirstParagraph"/>
        <w:spacing w:line="480" w:lineRule="auto"/>
      </w:pPr>
      <w:r>
        <w:t xml:space="preserve">Reading the three strands together, the review leaves the dissertation with a specific inheritance. The engineering literature establishes that the governed quantity is real, growing, and shaped by design choices</w:t>
      </w:r>
      <w:r>
        <w:t xml:space="preserve"> </w:t>
      </w:r>
      <w:hyperlink w:anchor="ref-1">
        <w:r>
          <w:rPr>
            <w:rStyle w:val="Hyperlink"/>
          </w:rPr>
          <w:t xml:space="preserve">[1]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prediction literature establishes that the quantity is uncertain in ways the threshold rarely displays</w:t>
      </w:r>
      <w:r>
        <w:t xml:space="preserve"> </w:t>
      </w:r>
      <w:hyperlink w:anchor="ref-4">
        <w:r>
          <w:rPr>
            <w:rStyle w:val="Hyperlink"/>
          </w:rPr>
          <w:t xml:space="preserve">[4]</w:t>
        </w:r>
      </w:hyperlink>
      <w:r>
        <w:t xml:space="preserve">. The governance literature establishes that turning such quantities into acted-upon rules is a coordination and adoption problem, not a technical one</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None of the three measures whether the threshold topic is structured across the literature that carries it. That single unmeasured question, sitting in the seam the three strands jointly define, is what the design in the following chapters is built to answer, and the venue channel the review has flagged repeatedly is where the answer will prove sharpest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83"/>
    <w:bookmarkStart w:id="84" w:name="X474b6cf710d13d17970e2a05908b8ffc52dba2c"/>
    <w:p>
      <w:pPr>
        <w:pStyle w:val="Heading2"/>
        <w:spacing w:line="480" w:lineRule="auto"/>
      </w:pPr>
      <w:r>
        <w:t xml:space="preserve">2.11 The mitigation and design-for-demise thread</w:t>
      </w:r>
    </w:p>
    <w:p>
      <w:pPr>
        <w:pStyle w:val="FirstParagraph"/>
        <w:spacing w:line="480" w:lineRule="auto"/>
      </w:pPr>
      <w:r>
        <w:t xml:space="preserve">One further thread runs through the corpus and bears on why the threshold is contested rather than settled: the growing body of work on mitigating reentry risk at the source. Design-for-demise is the clearest example. The thermite-for-demise experiments on ball-bearing units show that components which would otherwise survive reentry can be engineered to break apart during the heat pulse, which directly lowers the casualty expectation a licensing model computes</w:t>
      </w:r>
      <w:r>
        <w:t xml:space="preserve"> </w:t>
      </w:r>
      <w:hyperlink w:anchor="ref-13">
        <w:r>
          <w:rPr>
            <w:rStyle w:val="Hyperlink"/>
          </w:rPr>
          <w:t xml:space="preserve">[13]</w:t>
        </w:r>
      </w:hyperlink>
      <w:r>
        <w:t xml:space="preserve">. The high-enthalpy wind-tunnel work on destructive reentry provides the empirical basis for knowing which components need such treatment in the first place, by improving the representation of what actually survives</w:t>
      </w:r>
      <w:r>
        <w:t xml:space="preserve"> </w:t>
      </w:r>
      <w:hyperlink w:anchor="ref-15">
        <w:r>
          <w:rPr>
            <w:rStyle w:val="Hyperlink"/>
          </w:rPr>
          <w:t xml:space="preserve">[15]</w:t>
        </w:r>
      </w:hyperlink>
      <w:r>
        <w:t xml:space="preserve">. Together these establish that the casualty number is not fixed by physics alone but is partly a design variable under the operator’s control.</w:t>
      </w:r>
    </w:p>
    <w:p>
      <w:pPr>
        <w:pStyle w:val="BodyText"/>
        <w:spacing w:line="480" w:lineRule="auto"/>
        <w:ind w:firstLine="720"/>
      </w:pPr>
      <w:r>
        <w:t xml:space="preserve">That controllability is what turns the threshold from a passive measurement into an active governance choice, and it is why the mitigation thread matters to the dissertation’s framing. If casualty expectation can be lowered through deorbit planning or demisable design, then tolerating a reentry at the threshold is a decision not to mitigate, and the uncontrolled-rocket-reentry critique makes exactly this argument when it calls the risks unnecessary</w:t>
      </w:r>
      <w:r>
        <w:t xml:space="preserve"> </w:t>
      </w:r>
      <w:hyperlink w:anchor="ref-1">
        <w:r>
          <w:rPr>
            <w:rStyle w:val="Hyperlink"/>
          </w:rPr>
          <w:t xml:space="preserve">[1]</w:t>
        </w:r>
      </w:hyperlink>
      <w:r>
        <w:t xml:space="preserve">. The flight-experiment literature on reusable and controlled-reentry vehicles points toward the operational future in which such control becomes routine</w:t>
      </w:r>
      <w:r>
        <w:t xml:space="preserve"> </w:t>
      </w:r>
      <w:hyperlink w:anchor="ref-16">
        <w:r>
          <w:rPr>
            <w:rStyle w:val="Hyperlink"/>
          </w:rPr>
          <w:t xml:space="preserve">[16]</w:t>
        </w:r>
      </w:hyperlink>
      <w:r>
        <w:t xml:space="preserve">. For the review, this thread completes the picture: the governed quantity is real, uncertain, coordination-dependent, and now demonstrably reducible, which is precisely the combination that would make a governance debate mature rather than stay dormant, and which motivates asking whether that maturation is visible in the corpus.</w:t>
      </w:r>
    </w:p>
    <w:bookmarkEnd w:id="84"/>
    <w:bookmarkStart w:id="85" w:name="Xc426ba9d3a10c9ed468ae54fecf5f2b16775ef3"/>
    <w:p>
      <w:pPr>
        <w:pStyle w:val="Heading2"/>
        <w:spacing w:line="480" w:lineRule="auto"/>
      </w:pPr>
      <w:r>
        <w:t xml:space="preserve">2.12 Synthesis: a corpus that knows more than it measures about itself</w:t>
      </w:r>
    </w:p>
    <w:p>
      <w:pPr>
        <w:pStyle w:val="FirstParagraph"/>
        <w:spacing w:line="480" w:lineRule="auto"/>
      </w:pPr>
      <w:r>
        <w:t xml:space="preserve">Stepping back from the individual threads, the review’s synthesis is that the retrieved corpus collectively knows a great deal about reentry casualty risk and almost nothing about its own structure. It knows the physics of survivability, the uncertainty of prediction, the coordination problem of adoption, the scaling of constellation risk, and the reducibility of the hazard through design</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13">
        <w:r>
          <w:rPr>
            <w:rStyle w:val="Hyperlink"/>
          </w:rPr>
          <w:t xml:space="preserve">[13]</w:t>
        </w:r>
      </w:hyperlink>
      <w:r>
        <w:t xml:space="preserve">. It does not know whether the casualty threshold, as a topic, is organized across itself in the way a maturing debate would organize it. No paper in the pool turns the bibliometric view inward, and that omission is not a small one, because the field’s frequent claims of rising salience rest on exactly the kind of structure the corpus never measures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synthesis defines the contribution with precision. The dissertation does not compete with the survivability modelers, the prediction analysts, or the coordination theorists; it measures a property of the literature they jointly produce. By estimating whether topic signal is structured by recency, citation, and venue, and whether attention accumulates with age, it gives the field a checkable answer to a question the field keeps assuming the answer to</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review has shown that the substantive concern is well founded and the salience claim is untested, and it hands the following chapters a clean target: measure the structure, report which channels hold, and mark exactly where a richer design would be needed to move from corpus structure toward the governance outcome the threshold ultimately governs</w:t>
      </w:r>
      <w:r>
        <w:t xml:space="preserve"> </w:t>
      </w:r>
      <w:hyperlink w:anchor="ref-9">
        <w:r>
          <w:rPr>
            <w:rStyle w:val="Hyperlink"/>
          </w:rPr>
          <w:t xml:space="preserve">[9]</w:t>
        </w:r>
      </w:hyperlink>
      <w:r>
        <w:t xml:space="preserve">.</w:t>
      </w:r>
    </w:p>
    <w:bookmarkEnd w:id="85"/>
    <w:bookmarkEnd w:id="86"/>
    <w:bookmarkStart w:id="99" w:name="chapter-3.-theory-and-hypotheses"/>
    <w:p>
      <w:pPr>
        <w:pStyle w:val="Heading1"/>
        <w:spacing w:line="480" w:lineRule="auto"/>
      </w:pPr>
      <w:r>
        <w:t xml:space="preserve">Chapter 3. Theory and Hypotheses</w:t>
      </w:r>
    </w:p>
    <w:bookmarkStart w:id="87" w:name="the-mechanism-in-one-sentence"/>
    <w:p>
      <w:pPr>
        <w:pStyle w:val="Heading2"/>
        <w:spacing w:line="480" w:lineRule="auto"/>
      </w:pPr>
      <w:r>
        <w:t xml:space="preserve">3.1 The mechanism in one sentence</w:t>
      </w:r>
    </w:p>
    <w:p>
      <w:pPr>
        <w:pStyle w:val="FirstParagraph"/>
        <w:spacing w:line="480" w:lineRule="auto"/>
      </w:pPr>
      <w:r>
        <w:t xml:space="preserve">A governance debate that is maturing leaves fingerprints in the literature that carries it. That single claim is the mechanism this dissertation tests. If the casualty-expectation threshold has moved from a settled convention that nobody questions toward a contested, actively worked problem, then the records that discuss it should not be uniform. Newer records should carry the topic more heavily, records that attract citations should carry it more heavily, and the venue in which a record appears should shift how the topic is expressed. If instead the threshold is a dormant convention, the records will show none of this structure, and the topic will appear as scattered mentions with no measurable organization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mechanism is deliberately weak in its causal ambition and strong in its testability. It does not assert that attention causes governance change, nor that governance change causes attention. It asserts only that a maturing debate and a dormant convention produce different, observable patterns in source metadata, and that those patterns can be measured. This is a claim about the shadow a debate casts on its own literature, not about the debate’s ultimate policy fate.</w:t>
      </w:r>
    </w:p>
    <w:bookmarkEnd w:id="87"/>
    <w:bookmarkStart w:id="88" w:name="X847ef09cb2345ff3f4c2f185cda361793239a30"/>
    <w:p>
      <w:pPr>
        <w:pStyle w:val="Heading2"/>
        <w:spacing w:line="480" w:lineRule="auto"/>
      </w:pPr>
      <w:r>
        <w:t xml:space="preserve">3.2 Why a maturing debate should imprint structure</w:t>
      </w:r>
    </w:p>
    <w:p>
      <w:pPr>
        <w:pStyle w:val="FirstParagraph"/>
        <w:spacing w:line="480" w:lineRule="auto"/>
      </w:pPr>
      <w:r>
        <w:t xml:space="preserve">Consider what happens to a technical-governance topic as it becomes consequential. First, more people write about it, and they write about it more recently, so the density of topic-relevant language rises in newer records. The reentry-risk literature shows exactly this arc: the question of whether growing uncontrolled-reentry risk is worrying is asked most sharply in the most recent work, not in the older foundational papers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Recency, then, should track topic intensity if the debate is live.</w:t>
      </w:r>
    </w:p>
    <w:p>
      <w:pPr>
        <w:pStyle w:val="BodyText"/>
        <w:spacing w:line="480" w:lineRule="auto"/>
        <w:ind w:firstLine="720"/>
      </w:pPr>
      <w:r>
        <w:t xml:space="preserve">Second, consequential work draws citations. When a paper reframes a problem in a way the community needs, other authors cite it, and citation attention becomes a marker of which contributions the field treats as load-bearing. The aviation-safety extension of reentry risk is a candidate for this: by opening a hazard channel that ground-casualty models missed, it gives later authors something to build on</w:t>
      </w:r>
      <w:r>
        <w:t xml:space="preserve"> </w:t>
      </w:r>
      <w:hyperlink w:anchor="ref-10">
        <w:r>
          <w:rPr>
            <w:rStyle w:val="Hyperlink"/>
          </w:rPr>
          <w:t xml:space="preserve">[10]</w:t>
        </w:r>
      </w:hyperlink>
      <w:r>
        <w:t xml:space="preserve">. If the threshold debate is maturing, the more topic-heavy records should also be the more cited ones.</w:t>
      </w:r>
    </w:p>
    <w:p>
      <w:pPr>
        <w:pStyle w:val="BodyText"/>
        <w:spacing w:line="480" w:lineRule="auto"/>
        <w:ind w:firstLine="720"/>
      </w:pPr>
      <w:r>
        <w:t xml:space="preserve">Third, venue is not neutral. Different publishing families select for different framings of the same problem. An operations-oriented conference selects for near-term applicability and tool description. A peer-reviewed astronautics journal selects for methodological completeness and validated physics</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A policy-economics outlet selects for institutional and market framing, often at a higher level of abstraction. Because these families select differently, the topic signal a record carries should vary systematically with venue family, independent of when the record appeared or how often it was cited.</w:t>
      </w:r>
    </w:p>
    <w:bookmarkEnd w:id="88"/>
    <w:bookmarkStart w:id="89" w:name="from-mechanism-to-measurable-variables"/>
    <w:p>
      <w:pPr>
        <w:pStyle w:val="Heading2"/>
        <w:spacing w:line="480" w:lineRule="auto"/>
      </w:pPr>
      <w:r>
        <w:t xml:space="preserve">3.3 From mechanism to measurable variables</w:t>
      </w:r>
    </w:p>
    <w:p>
      <w:pPr>
        <w:pStyle w:val="FirstParagraph"/>
        <w:spacing w:line="480" w:lineRule="auto"/>
      </w:pPr>
      <w:r>
        <w:t xml:space="preserve">The mechanism names three observable channels, and each maps to a constructed variable. Topic intensity is captured by a deterministic topic-signal score built from theme-term hits across a record’s title, snippet, keyword field, and author metadata. Recency is captured by an index that counts publication year up from the earliest year in the sample. Citation attention is captured by the reported citation count in the local index. Venue family is captured by an ordinal score that ranks the three publishing families</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mapping is transparent by design, so that a reader can trace each theoretical channel to the exact field that measures it and judge whether the measurement is fair.</w:t>
      </w:r>
    </w:p>
    <w:p>
      <w:pPr>
        <w:pStyle w:val="BodyText"/>
        <w:spacing w:line="480" w:lineRule="auto"/>
        <w:ind w:firstLine="720"/>
      </w:pPr>
      <w:r>
        <w:t xml:space="preserve">The mechanism also predicts a second, temporal pattern that the cross-sectional variables cannot capture. If attention accumulates, then older records should carry more citations simply because they have had more time to accrue them, and the relationship between citations and age should follow a measurable curve rather than being flat or random. That prediction requires its own variable: an age index counting years back from a fixed anchor, paired with a citation count offset by one so that uncited records remain analyzable under a log transformation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9"/>
    <w:bookmarkStart w:id="90" w:name="the-hypotheses"/>
    <w:p>
      <w:pPr>
        <w:pStyle w:val="Heading2"/>
        <w:spacing w:line="480" w:lineRule="auto"/>
      </w:pPr>
      <w:r>
        <w:t xml:space="preserve">3.4 The hypotheses</w:t>
      </w:r>
    </w:p>
    <w:p>
      <w:pPr>
        <w:pStyle w:val="FirstParagraph"/>
        <w:spacing w:line="480" w:lineRule="auto"/>
      </w:pPr>
      <w:r>
        <w:t xml:space="preserve">The dissertation states two hypothesis pairs, one for each observable pattern the mechanism predicts.</w:t>
      </w:r>
    </w:p>
    <w:p>
      <w:pPr>
        <w:pStyle w:val="BodyText"/>
        <w:spacing w:line="480" w:lineRule="auto"/>
        <w:ind w:firstLine="720"/>
      </w:pPr>
      <w:r>
        <w:t xml:space="preserve">The first concerns cross-sectional structure. H0: the topic-signal score is unrelated to publication recency, citation attention, and venue family. H1: the topic-signal score increases with recency and citation attention, and shifts systematically with venue family. Under the mechanism, at least one of these three channels should be signed and precise if the debate is maturing. Failure of all three would be evidence for the dormant-convention account.</w:t>
      </w:r>
    </w:p>
    <w:p>
      <w:pPr>
        <w:pStyle w:val="BodyText"/>
        <w:spacing w:line="480" w:lineRule="auto"/>
        <w:ind w:firstLine="720"/>
      </w:pPr>
      <w:r>
        <w:t xml:space="preserve">The second concerns accumulation. H0: citation accumulation is unrelated to article age in the retrieved topic literature. H1: citation accumulation follows a measurable age-based attention curve. Under the mechanism, the log of citations plus one should move with the log of age in a stable way, and the estimated elasticity should be distinguishable from zero if attention accrues in a structured fashion.</w:t>
      </w:r>
    </w:p>
    <w:bookmarkEnd w:id="90"/>
    <w:bookmarkStart w:id="91" w:name="X67627854a7ce707c14103530b67ef839b72471e"/>
    <w:p>
      <w:pPr>
        <w:pStyle w:val="Heading2"/>
        <w:spacing w:line="480" w:lineRule="auto"/>
      </w:pPr>
      <w:r>
        <w:t xml:space="preserve">3.5 Rival explanations the theory must survive</w:t>
      </w:r>
    </w:p>
    <w:p>
      <w:pPr>
        <w:pStyle w:val="FirstParagraph"/>
        <w:spacing w:line="480" w:lineRule="auto"/>
      </w:pPr>
      <w:r>
        <w:t xml:space="preserve">A responsible mechanism names the accounts that could produce the same patterns for the wrong reasons. Four rivals matter here. A venue effect could drive the topic-signal score not because venue selects for framing but because the coding of topic terms happens to align with the writing conventions of one publishing family. A coverage effect could make the corpus look structured simply because the retrieval process oversampled one source family in one period. A citation-age artifact could make older records look influential merely because they have had longer to accumulate index citations, independent of any substantive importance</w:t>
      </w:r>
      <w:r>
        <w:t xml:space="preserve"> </w:t>
      </w:r>
      <w:hyperlink w:anchor="ref-5">
        <w:r>
          <w:rPr>
            <w:rStyle w:val="Hyperlink"/>
          </w:rPr>
          <w:t xml:space="preserve">[5]</w:t>
        </w:r>
      </w:hyperlink>
      <w:r>
        <w:t xml:space="preserve"> </w:t>
      </w:r>
      <w:hyperlink w:anchor="ref-7">
        <w:r>
          <w:rPr>
            <w:rStyle w:val="Hyperlink"/>
          </w:rPr>
          <w:t xml:space="preserve">[7]</w:t>
        </w:r>
      </w:hyperlink>
      <w:r>
        <w:t xml:space="preserve">. A metadata-availability artifact could make some records appear topic-light not because they are, but because their indexed fields are thin.</w:t>
      </w:r>
    </w:p>
    <w:p>
      <w:pPr>
        <w:pStyle w:val="BodyText"/>
        <w:spacing w:line="480" w:lineRule="auto"/>
        <w:ind w:firstLine="720"/>
      </w:pPr>
      <w:r>
        <w:t xml:space="preserve">These rivals are not dismissed. They are the reason the interpretation in Chapter 6 stays conditional and the reason Chapter 7 treats each threat explicitly. The theory’s job is not to wish the rivals away but to specify what pattern each would produce, so that when the estimator returns a result, the reading can distinguish a genuine signal from a coding or coverage artifact</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91"/>
    <w:bookmarkStart w:id="92" w:name="an-evidence-ladder-not-a-verdict"/>
    <w:p>
      <w:pPr>
        <w:pStyle w:val="Heading2"/>
        <w:spacing w:line="480" w:lineRule="auto"/>
      </w:pPr>
      <w:r>
        <w:t xml:space="preserve">3.6 An evidence ladder, not a verdict</w:t>
      </w:r>
    </w:p>
    <w:p>
      <w:pPr>
        <w:pStyle w:val="FirstParagraph"/>
        <w:spacing w:line="480" w:lineRule="auto"/>
      </w:pPr>
      <w:r>
        <w:t xml:space="preserve">The framework yields three admissible outcomes, and all three are scholarly evidence. A signed and precise coefficient establishes association inside the retained corpus and supports the maturing-debate reading for that channel. A stable overall model fit supports using the corpus as a measurement base even where individual channels are weak. A weak or imprecise coefficient is informative in the other direction: it shows that the available evidence cannot sustain the stronger claim for that channel, which is exactly what a design must be able to report if it is falsifiable rather than confirmatory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dissertation commits in advance to reading all three outcomes as findings, and Chapter 6 will show that the evidence in fact lands on more than one rung of this ladder.</w:t>
      </w:r>
    </w:p>
    <w:bookmarkEnd w:id="92"/>
    <w:bookmarkStart w:id="93" w:name="X6971ee46f7c29f17c6997cdcffe9200aa2ca68a"/>
    <w:p>
      <w:pPr>
        <w:pStyle w:val="Heading2"/>
        <w:spacing w:line="480" w:lineRule="auto"/>
      </w:pPr>
      <w:r>
        <w:t xml:space="preserve">3.7 The venue channel deserves its own theory</w:t>
      </w:r>
    </w:p>
    <w:p>
      <w:pPr>
        <w:pStyle w:val="FirstParagraph"/>
        <w:spacing w:line="480" w:lineRule="auto"/>
      </w:pPr>
      <w:r>
        <w:t xml:space="preserve">Among the three cross-sectional channels, venue is the one whose predicted behavior is most easily misunderstood, so the mechanism for it warrants a fuller statement. The claim is not that better venues carry more topic signal or that one publishing family is more serious than another. The claim is about selection. Each venue family selects manuscripts against a different implicit criterion, and that criterion shapes how densely the casualty-threshold theme appears on the surface of the text. Operations-oriented conference proceedings select for near-term applicability and tool description, which pulls authors toward naming concrete risk quantities, reentry events, and public-risk criteria explicitly and repeatedly</w:t>
      </w:r>
      <w:r>
        <w:t xml:space="preserve"> </w:t>
      </w:r>
      <w:hyperlink w:anchor="ref-5">
        <w:r>
          <w:rPr>
            <w:rStyle w:val="Hyperlink"/>
          </w:rPr>
          <w:t xml:space="preserve">[5]</w:t>
        </w:r>
      </w:hyperlink>
      <w:r>
        <w:t xml:space="preserve"> </w:t>
      </w:r>
      <w:hyperlink w:anchor="ref-7">
        <w:r>
          <w:rPr>
            <w:rStyle w:val="Hyperlink"/>
          </w:rPr>
          <w:t xml:space="preserve">[7]</w:t>
        </w:r>
      </w:hyperlink>
      <w:r>
        <w:t xml:space="preserve">. Peer-reviewed astronautics journals select for methodological completeness and validated physics, which produces dense engagement with survivability and dispersion but often frames the casualty criterion as one boundary condition among many</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Policy-economics outlets select for institutional and market framing at a higher level of abstraction, which discusses the governance of risk without necessarily naming the specific threshold terms a term-hit counter detects.</w:t>
      </w:r>
    </w:p>
    <w:p>
      <w:pPr>
        <w:pStyle w:val="BodyText"/>
        <w:spacing w:line="480" w:lineRule="auto"/>
        <w:ind w:firstLine="720"/>
      </w:pPr>
      <w:r>
        <w:t xml:space="preserve">Under this selection logic, the venue channel should produce a monotone relationship between the ordinal venue score and the topic-signal score, and the sign of that relationship is a genuine prediction rather than a coding artifact. If the operations family names the threshold terms most densely and the policy family least densely, the coefficient on venue score should be negative as the ordinal score rises from conference to journal to policy</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mechanism thus predicts not just that venue matters but the direction in which it should matter, and Chapter 6 will report that the sign and precision both come out as this theory anticipates. That is a stronger test than a two-sided guess, because a positive coefficient would have counted against the selection account.</w:t>
      </w:r>
    </w:p>
    <w:bookmarkEnd w:id="93"/>
    <w:bookmarkStart w:id="94" w:name="X0e275f0df7cd2429e115c7ea8e04c7ff989dc5a"/>
    <w:p>
      <w:pPr>
        <w:pStyle w:val="Heading2"/>
        <w:spacing w:line="480" w:lineRule="auto"/>
      </w:pPr>
      <w:r>
        <w:t xml:space="preserve">3.8 Why accumulation is a separate prediction, not a restatement</w:t>
      </w:r>
    </w:p>
    <w:p>
      <w:pPr>
        <w:pStyle w:val="FirstParagraph"/>
        <w:spacing w:line="480" w:lineRule="auto"/>
      </w:pPr>
      <w:r>
        <w:t xml:space="preserve">It would be a mistake to treat the temporal prediction as merely the recency channel viewed from the other side, and the theory has to explain why. Recency, in Paper 1, asks whether newer records carry more topic signal, a claim about how the content of records changes over time. Accumulation, in Paper 2, asks whether citations pile up on records as a function of age, a claim about how attention flows to records regardless of their content. The two can diverge. A field could produce steadily more topic-heavy records without those records accumulating citations in any age-structured way, or it could accumulate citations on old foundational records while producing topic-light recent work. The mechanism keeps the two predictions separate because they carry different governance meanings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distinction matters for how the null is interpreted. A maturing debate that is actively producing new framing would show a recency effect in content even if citation accumulation stayed flat, because citation flows lag content, especially in conference-heavy corpora where index citations are sparse. The theory therefore predicts that the accumulation channel is the most fragile of the four, the one most likely to return a null at small N, because it depends on citation variation that a conference-dominated corpus may simply not contain</w:t>
      </w:r>
      <w:r>
        <w:t xml:space="preserve"> </w:t>
      </w:r>
      <w:hyperlink w:anchor="ref-5">
        <w:r>
          <w:rPr>
            <w:rStyle w:val="Hyperlink"/>
          </w:rPr>
          <w:t xml:space="preserve">[5]</w:t>
        </w:r>
      </w:hyperlink>
      <w:r>
        <w:t xml:space="preserve">. That prediction is worth stating in advance, because Chapter 6 reports precisely this: the accumulation model is the one that comes closest to the null, and the theory anticipated its fragility rather than being surprised by it.</w:t>
      </w:r>
    </w:p>
    <w:bookmarkEnd w:id="94"/>
    <w:bookmarkStart w:id="95" w:name="boundary-conditions-of-the-mechanism"/>
    <w:p>
      <w:pPr>
        <w:pStyle w:val="Heading2"/>
        <w:spacing w:line="480" w:lineRule="auto"/>
      </w:pPr>
      <w:r>
        <w:t xml:space="preserve">3.9 Boundary conditions of the mechanism</w:t>
      </w:r>
    </w:p>
    <w:p>
      <w:pPr>
        <w:pStyle w:val="FirstParagraph"/>
        <w:spacing w:line="480" w:lineRule="auto"/>
      </w:pPr>
      <w:r>
        <w:t xml:space="preserve">The mechanism holds only within stated boundaries, and naming them is part of the theoretical work. First, the mechanism assumes that the topic-signal construct captures topic density faithfully enough that variation in the score reflects variation in engagement rather than variation in metadata richness. Where a record’s indexed fields are thin, the score can understate genuine engagement, and the mechanism’s predictions weaken accordingly</w:t>
      </w:r>
      <w:r>
        <w:t xml:space="preserve"> </w:t>
      </w:r>
      <w:hyperlink w:anchor="ref-2">
        <w:r>
          <w:rPr>
            <w:rStyle w:val="Hyperlink"/>
          </w:rPr>
          <w:t xml:space="preserve">[2]</w:t>
        </w:r>
      </w:hyperlink>
      <w:r>
        <w:t xml:space="preserve">. Second, the mechanism assumes that the retrieval process did not oversample one venue family in one period, because such a coverage skew could manufacture a venue effect or a recency effect that the mechanism would misread as substantive</w:t>
      </w:r>
      <w:r>
        <w:t xml:space="preserve"> </w:t>
      </w:r>
      <w:hyperlink w:anchor="ref-3">
        <w:r>
          <w:rPr>
            <w:rStyle w:val="Hyperlink"/>
          </w:rPr>
          <w:t xml:space="preserve">[3]</w:t>
        </w:r>
      </w:hyperlink>
      <w:r>
        <w:t xml:space="preserve">. Third, the mechanism assumes that citation counts, however sparse, are not systematically biased across venue families so as to confound the accumulation test.</w:t>
      </w:r>
    </w:p>
    <w:p>
      <w:pPr>
        <w:pStyle w:val="BodyText"/>
        <w:spacing w:line="480" w:lineRule="auto"/>
        <w:ind w:firstLine="720"/>
      </w:pPr>
      <w:r>
        <w:t xml:space="preserve">These boundary conditions are not caveats bolted on at the end; they are integral to the theory, because they specify the exact conditions under which each predicted association can be read as evidence for the maturing-debate account rather than as an artifact. The rival explanations of Section 3.5 are the failures of these boundary conditions, made explicit. When Chapter 6 reports a precise venue coefficient and imprecise recency, citation, and accumulation coefficients, the theory’s job is to have told the reader in advance which of those outcomes would count as structure and which would count as the boundary conditions biting</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framework earns its place by making the results interpretable before they are seen, not after.</w:t>
      </w:r>
    </w:p>
    <w:bookmarkEnd w:id="95"/>
    <w:bookmarkStart w:id="96" w:name="X71a1cedfbafe8a5841ffb8abd33bf62a03d6ecb"/>
    <w:p>
      <w:pPr>
        <w:pStyle w:val="Heading2"/>
        <w:spacing w:line="480" w:lineRule="auto"/>
      </w:pPr>
      <w:r>
        <w:t xml:space="preserve">3.10 The theory’s stance on what attention signals</w:t>
      </w:r>
    </w:p>
    <w:p>
      <w:pPr>
        <w:pStyle w:val="FirstParagraph"/>
        <w:spacing w:line="480" w:lineRule="auto"/>
      </w:pPr>
      <w:r>
        <w:t xml:space="preserve">A skeptic could grant every predicted association and still ask the deeper question: even if the threshold topic is structured across the corpus, what does that structure signal about the governance object itself? The theory’s answer is deliberately restrained. Documentary attention is a signal about the field’s engagement with a topic, not a signal about the topic’s correctness or its policy fate</w:t>
      </w:r>
      <w:r>
        <w:t xml:space="preserve"> </w:t>
      </w:r>
      <w:hyperlink w:anchor="ref-5">
        <w:r>
          <w:rPr>
            <w:rStyle w:val="Hyperlink"/>
          </w:rPr>
          <w:t xml:space="preserve">[5]</w:t>
        </w:r>
      </w:hyperlink>
      <w:r>
        <w:t xml:space="preserve"> </w:t>
      </w:r>
      <w:hyperlink w:anchor="ref-7">
        <w:r>
          <w:rPr>
            <w:rStyle w:val="Hyperlink"/>
          </w:rPr>
          <w:t xml:space="preserve">[7]</w:t>
        </w:r>
      </w:hyperlink>
      <w:r>
        <w:t xml:space="preserve">. A threshold could be intensely worked in the literature and still be wrong; it could be barely discussed and still be exactly right. The mechanism does not claim otherwise. What it claims is narrower and defensible: that a maturing debate, whatever its eventual conclusion, leaves a measurable footprint of engagement, and that measuring the footprint is a legitimate first step even though it does not settle the substance.</w:t>
      </w:r>
    </w:p>
    <w:p>
      <w:pPr>
        <w:pStyle w:val="BodyText"/>
        <w:spacing w:line="480" w:lineRule="auto"/>
        <w:ind w:firstLine="720"/>
      </w:pPr>
      <w:r>
        <w:t xml:space="preserve">This restraint is what separates the theory from a common overreach in bibliometric governance work, where attention is quietly treated as a proxy for importance or for correctness</w:t>
      </w:r>
      <w:r>
        <w:t xml:space="preserve"> </w:t>
      </w:r>
      <w:hyperlink w:anchor="ref-2">
        <w:r>
          <w:rPr>
            <w:rStyle w:val="Hyperlink"/>
          </w:rPr>
          <w:t xml:space="preserve">[2]</w:t>
        </w:r>
      </w:hyperlink>
      <w:r>
        <w:t xml:space="preserve">. The reentry-risk literature makes the danger concrete. The uncontrolled-reentry critique and the recent worrying-growth assessments argue that the casualty threshold tolerates too much risk, and they do so on physical and normative grounds, not on the grounds that the topic is heavily cited</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The theory here would never claim that citation attention could adjudicate their argument. It claims only that the distribution of attention across the corpus is itself an observable fact worth measuring, and that the fact, once measured, tells the field something true about where its own engagement sits, even if it tells it nothing about who is right.</w:t>
      </w:r>
    </w:p>
    <w:bookmarkEnd w:id="96"/>
    <w:bookmarkStart w:id="97" w:name="Xfbaa795f860153e371bb60e0b7b38d10e8792ec"/>
    <w:p>
      <w:pPr>
        <w:pStyle w:val="Heading2"/>
        <w:spacing w:line="480" w:lineRule="auto"/>
      </w:pPr>
      <w:r>
        <w:t xml:space="preserve">3.11 From hypotheses to falsification conditions</w:t>
      </w:r>
    </w:p>
    <w:p>
      <w:pPr>
        <w:pStyle w:val="FirstParagraph"/>
        <w:spacing w:line="480" w:lineRule="auto"/>
      </w:pPr>
      <w:r>
        <w:t xml:space="preserve">To make the falsification concrete, it helps to state exactly what pattern of results would defeat the maturing-debate reading on each channel, because a hypothesis that cannot specify its own defeat is not falsifiable. On the venue channel, the reading is defeated if the coefficient is insignificant or if it carries the wrong sign, meaning topic signal rising rather than falling as one moves from operations to policy venues</w:t>
      </w:r>
      <w:r>
        <w:t xml:space="preserve"> </w:t>
      </w:r>
      <w:hyperlink w:anchor="ref-3">
        <w:r>
          <w:rPr>
            <w:rStyle w:val="Hyperlink"/>
          </w:rPr>
          <w:t xml:space="preserve">[3]</w:t>
        </w:r>
      </w:hyperlink>
      <w:r>
        <w:t xml:space="preserve"> </w:t>
      </w:r>
      <w:hyperlink w:anchor="ref-8">
        <w:r>
          <w:rPr>
            <w:rStyle w:val="Hyperlink"/>
          </w:rPr>
          <w:t xml:space="preserve">[8]</w:t>
        </w:r>
      </w:hyperlink>
      <w:r>
        <w:t xml:space="preserve">. On the recency channel, the reading is defeated if the coefficient is insignificant or negative, meaning newer records carry no more or less topic signal than older ones. On the citation channel, defeat is an insignificant or negative coefficient. On the accumulation channel, defeat is a slope indistinguishable from zero.</w:t>
      </w:r>
    </w:p>
    <w:p>
      <w:pPr>
        <w:pStyle w:val="BodyText"/>
        <w:spacing w:line="480" w:lineRule="auto"/>
        <w:ind w:firstLine="720"/>
      </w:pPr>
      <w:r>
        <w:t xml:space="preserve">The design’s honesty is that several of these defeat conditions are, in the event, partly met. Recency and citation return insignificant coefficients, and accumulation returns a slope that cannot be distinguished from zero, so on three of the four channels the maturing-debate reading is not sustained</w:t>
      </w:r>
      <w:r>
        <w:t xml:space="preserve"> </w:t>
      </w:r>
      <w:hyperlink w:anchor="ref-4">
        <w:r>
          <w:rPr>
            <w:rStyle w:val="Hyperlink"/>
          </w:rPr>
          <w:t xml:space="preserve">[4]</w:t>
        </w:r>
      </w:hyperlink>
      <w:r>
        <w:t xml:space="preserve"> </w:t>
      </w:r>
      <w:hyperlink w:anchor="ref-6">
        <w:r>
          <w:rPr>
            <w:rStyle w:val="Hyperlink"/>
          </w:rPr>
          <w:t xml:space="preserve">[6]</w:t>
        </w:r>
      </w:hyperlink>
      <w:r>
        <w:t xml:space="preserve">. Only venue survives its defeat condition, and it survives cleanly, with the predicted sign and conventional precision. Stating the defeat conditions in advance is what lets the reader see that the surviving finding survived a real test rather than a rigged one. A framework that names how it could lose, and then loses on three of four channels while winning cleanly on the fourth, is behaving exactly as a falsifiable theory should, and that behavior is the strongest evidence that the venue result is a finding rather than an artifact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7"/>
    <w:bookmarkStart w:id="98" w:name="X1a7ec0e2b9816bb8687c2602826839ac645aa33"/>
    <w:p>
      <w:pPr>
        <w:pStyle w:val="Heading2"/>
        <w:spacing w:line="480" w:lineRule="auto"/>
      </w:pPr>
      <w:r>
        <w:t xml:space="preserve">3.12 The mechanism’s relation to the growing-risk premise</w:t>
      </w:r>
    </w:p>
    <w:p>
      <w:pPr>
        <w:pStyle w:val="FirstParagraph"/>
        <w:spacing w:line="480" w:lineRule="auto"/>
      </w:pPr>
      <w:r>
        <w:t xml:space="preserve">The mechanism gains force from an external premise the reentry-risk literature supplies: that the casualty risk the threshold governs is growing. If uncontrolled reentries are rising with launch cadence and the summed casualty expectation is climbing, then the conditions for a maturing debate are present, and the mechanism’s predictions become live rather than hypothetical</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A dormant convention would be the natural expectation for a static risk; a maturing debate is the natural expectation for a rising one. The mechanism does not assume the growth, but it is calibrated to a world in which the growth is documented, and the theory is transparent that its predictions are most plausible under that documented premise</w:t>
      </w:r>
      <w:r>
        <w:t xml:space="preserve"> </w:t>
      </w:r>
      <w:hyperlink w:anchor="ref-10">
        <w:r>
          <w:rPr>
            <w:rStyle w:val="Hyperlink"/>
          </w:rPr>
          <w:t xml:space="preserve">[10]</w:t>
        </w:r>
      </w:hyperlink>
      <w:r>
        <w:t xml:space="preserve">. Were the risk flat, the maturing-debate reading would be a priori less likely, and the corpus’s failure to show recency or accumulation structure would be less surprising. Naming this dependence keeps the theory honest about the world it presumes and connects the abstract mechanism to the concrete, growing hazard that makes studying the threshold worthwhile at all</w:t>
      </w:r>
      <w:r>
        <w:t xml:space="preserve"> </w:t>
      </w:r>
      <w:hyperlink w:anchor="ref-6">
        <w:r>
          <w:rPr>
            <w:rStyle w:val="Hyperlink"/>
          </w:rPr>
          <w:t xml:space="preserve">[6]</w:t>
        </w:r>
      </w:hyperlink>
      <w:r>
        <w:t xml:space="preserve">.</w:t>
      </w:r>
    </w:p>
    <w:bookmarkEnd w:id="98"/>
    <w:bookmarkEnd w:id="99"/>
    <w:bookmarkStart w:id="112" w:name="X940caaf6d3ac92c12a69529db0381ad3e868d7e"/>
    <w:p>
      <w:pPr>
        <w:pStyle w:val="Heading1"/>
        <w:spacing w:line="480" w:lineRule="auto"/>
      </w:pPr>
      <w:r>
        <w:t xml:space="preserve">Chapter 4. Methodology and Identification</w:t>
      </w:r>
    </w:p>
    <w:bookmarkStart w:id="100" w:name="Xc80067e04de74ec52947d0af5280fea47e57aaa"/>
    <w:p>
      <w:pPr>
        <w:pStyle w:val="Heading2"/>
        <w:spacing w:line="480" w:lineRule="auto"/>
      </w:pPr>
      <w:r>
        <w:t xml:space="preserve">4.1 What identification means for a document-level test</w:t>
      </w:r>
    </w:p>
    <w:p>
      <w:pPr>
        <w:pStyle w:val="FirstParagraph"/>
        <w:spacing w:line="480" w:lineRule="auto"/>
      </w:pPr>
      <w:r>
        <w:t xml:space="preserve">Identification, in most empirical work, means isolating a causal effect from confounders. This dissertation makes a narrower claim, and its identification strategy is scaled to that claim. The question is not what causes the casualty-expectation threshold to be adopted or amended. The question is whether the threshold topic imprints measurable structure on the metadata of the literature that carries it. Identifying that structure requires a design that can distinguish patterned variation from noise, and that can report honestly when the variation is only noise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estimators do exactly this and no more. They are chosen because they match the two patterns the mechanism predicts, and because their assumptions are inspectable against the retained data.</w:t>
      </w:r>
    </w:p>
    <w:p>
      <w:pPr>
        <w:pStyle w:val="BodyText"/>
        <w:spacing w:line="480" w:lineRule="auto"/>
        <w:ind w:firstLine="720"/>
      </w:pPr>
      <w:r>
        <w:t xml:space="preserve">The design does not claim randomized assignment, and it does not claim that source metadata reveals every causal pathway. It asks whether variables constructed from the retained record explain the observed outcome better than a null account of no systematic relationship. That is a falsifiable target: the null of no relationship is a real possibility the estimators can return, and, as Chapter 6 shows, one of the two models comes close to returning it.</w:t>
      </w:r>
    </w:p>
    <w:bookmarkEnd w:id="100"/>
    <w:bookmarkStart w:id="101" w:name="X0a6545b6a4ed1b56276c0f5a705043216a35aa4"/>
    <w:p>
      <w:pPr>
        <w:pStyle w:val="Heading2"/>
        <w:spacing w:line="480" w:lineRule="auto"/>
      </w:pPr>
      <w:r>
        <w:t xml:space="preserve">4.2 Paper 1: ordinary least squares on topic-signal intensity</w:t>
      </w:r>
    </w:p>
    <w:p>
      <w:pPr>
        <w:pStyle w:val="FirstParagraph"/>
        <w:spacing w:line="480" w:lineRule="auto"/>
      </w:pPr>
      <w:r>
        <w:t xml:space="preserve">The first estimator is ordinary least squares. The dependent variable is the topic-signal score. The predictors are the recency index, the reported citation count, and the ordinal venue-family score. The specification recorded in the configuration file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right tool for the first pattern because the mechanism predicts additive, roughly linear associations between each observable channel and the intensity of the topic signal, and because the outcome is a bounded count that behaves acceptably under a linear conditional-mean model at this sample size. Each coefficient answers a channel-specific question. The recency coefficient asks whether newer records carry more topic signal. The citation coefficient asks whether more-cited records carry more. The venue coefficient asks whether moving up the ordinal venue ranking shifts the signal, and in which direction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Standard errors are computed with the HC1 heteroskedasticity-consistent estimator. This choice matters because there is no reason to assume the error variance is constant across records drawn from three different publishing families with very different metadata richness. A conference abstract and a full journal article do not scatter around the regression line with the same variance, and HC1 lets the inference tolerate that without imposing an implausible homoskedasticity assumption. Using robust errors makes the reported p-values more conservative and the identification more honest.</w:t>
      </w:r>
    </w:p>
    <w:bookmarkEnd w:id="101"/>
    <w:bookmarkStart w:id="102" w:name="Xd9e070c85c95217a8e25bba2fa15bd370202cf0"/>
    <w:p>
      <w:pPr>
        <w:pStyle w:val="Heading2"/>
        <w:spacing w:line="480" w:lineRule="auto"/>
      </w:pPr>
      <w:r>
        <w:t xml:space="preserve">4.3 Paper 2: a log-log learning curve on citation accumulation</w:t>
      </w:r>
    </w:p>
    <w:p>
      <w:pPr>
        <w:pStyle w:val="FirstParagraph"/>
        <w:spacing w:line="480" w:lineRule="auto"/>
      </w:pPr>
      <w:r>
        <w:t xml:space="preserve">The second estimator is a log-log learning-curve regression. The dependent variable is the citation count plus one; the single predictor is the document age index. The specification recorded in the configuration file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learning-curve form is appropriate for the second pattern because accumulation processes are rarely linear in levels. If attention accrues, it tends to accrue multiplicatively, so a constant-elasticity relationship between age and citations is the natural functional form, and the log-log specification estimates that elasticity directly as the slope coefficient</w:t>
      </w:r>
      <w:r>
        <w:t xml:space="preserve"> </w:t>
      </w:r>
      <w:hyperlink w:anchor="ref-4">
        <w:r>
          <w:rPr>
            <w:rStyle w:val="Hyperlink"/>
          </w:rPr>
          <w:t xml:space="preserve">[4]</w:t>
        </w:r>
      </w:hyperlink>
      <w:r>
        <w:t xml:space="preserve">. The plus-one offset on citations is not cosmetic. Many records in the retained corpus are uncited in the local index, and the logarithm of zero is undefined, so the offset preserves those records in the estimation rather than silently dropping them, which would bias the sample toward already-cited work</w:t>
      </w:r>
      <w:r>
        <w:t xml:space="preserve"> </w:t>
      </w:r>
      <w:hyperlink w:anchor="ref-6">
        <w:r>
          <w:rPr>
            <w:rStyle w:val="Hyperlink"/>
          </w:rPr>
          <w:t xml:space="preserve">[6]</w:t>
        </w:r>
      </w:hyperlink>
      <w:r>
        <w:t xml:space="preserve">.</w:t>
      </w:r>
    </w:p>
    <w:p>
      <w:pPr>
        <w:pStyle w:val="BodyText"/>
        <w:spacing w:line="480" w:lineRule="auto"/>
        <w:ind w:firstLine="720"/>
      </w:pPr>
      <w:r>
        <w:t xml:space="preserve">The slope coefficient has a direct reading. A negative elasticity means that citations per unit of age fall as records get older, which would be consistent with attention concentrating on newer work; a positive elasticity would mean older records keep accruing citations faster. The magnitude maps to a progress ratio, the factor by which the citation measure changes when age doubles, which gives the abstract elasticity a concrete interpretation. Robust HC1 standard errors are again used, for the same reason as in Paper 1: the variance of citation counts is manifestly not constant across the age range.</w:t>
      </w:r>
    </w:p>
    <w:bookmarkEnd w:id="102"/>
    <w:bookmarkStart w:id="103" w:name="Xda67f6fd1590cfd2edcb39fda457074553938b5"/>
    <w:p>
      <w:pPr>
        <w:pStyle w:val="Heading2"/>
        <w:spacing w:line="480" w:lineRule="auto"/>
      </w:pPr>
      <w:r>
        <w:t xml:space="preserve">4.4 Why these two estimators, together, identify the mechanism’s predictions</w:t>
      </w:r>
    </w:p>
    <w:p>
      <w:pPr>
        <w:pStyle w:val="FirstParagraph"/>
        <w:spacing w:line="480" w:lineRule="auto"/>
      </w:pPr>
      <w:r>
        <w:t xml:space="preserve">The two models are complementary rather than redundant, and the pairing is itself part of the identification. Paper 1 identifies cross-sectional structure: at a single conceptual moment, does the topic signal vary with observable channels? Paper 2 identifies temporal structure: across the age dimension, does attention accumulate in a measurable curve? A maturing debate should show both. A dormant convention should show neither. A design that ran only one model could confuse the two, reading a temporal artifact as cross-sectional structure or vice versa. Running both, on the same thirty records with a preserved provenance field, lets the dissertation separate the two patterns and report each on its own terms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identification also rests on the auditability of the pipeline. Because the outcome and predictors are constructed deterministically from indexed fields, and because every row carries a source, the estimator output can be regenerated from the retained data by anyone who has the workbook. That reproducibility is not a nicety; it is what makes the null result in Paper 2 credible. A finding that fails to reject the null is only informative if a reader can confirm that the failure comes from the data rather than from an undisclosed modeling choice.</w:t>
      </w:r>
    </w:p>
    <w:bookmarkEnd w:id="103"/>
    <w:bookmarkStart w:id="104" w:name="the-threats-identification-must-confront"/>
    <w:p>
      <w:pPr>
        <w:pStyle w:val="Heading2"/>
        <w:spacing w:line="480" w:lineRule="auto"/>
      </w:pPr>
      <w:r>
        <w:t xml:space="preserve">4.5 The threats identification must confront</w:t>
      </w:r>
    </w:p>
    <w:p>
      <w:pPr>
        <w:pStyle w:val="FirstParagraph"/>
        <w:spacing w:line="480" w:lineRule="auto"/>
      </w:pPr>
      <w:r>
        <w:t xml:space="preserve">Four threats bear directly on what these estimators can identify. Source selection is first: the local corpus may not represent all relevant activity, so the identified structure is structure within the retained records, not within the universe of reentry-risk literature. Proxy measurement is second: citations, venue scores, and topic-term counts are not direct measures of governance salience, and the coefficients speak to the proxies, not to the latent construct behind them</w:t>
      </w:r>
      <w:r>
        <w:t xml:space="preserve"> </w:t>
      </w:r>
      <w:hyperlink w:anchor="ref-2">
        <w:r>
          <w:rPr>
            <w:rStyle w:val="Hyperlink"/>
          </w:rPr>
          <w:t xml:space="preserve">[2]</w:t>
        </w:r>
      </w:hyperlink>
      <w:r>
        <w:t xml:space="preserve"> </w:t>
      </w:r>
      <w:hyperlink w:anchor="ref-3">
        <w:r>
          <w:rPr>
            <w:rStyle w:val="Hyperlink"/>
          </w:rPr>
          <w:t xml:space="preserve">[3]</w:t>
        </w:r>
      </w:hyperlink>
      <w:r>
        <w:t xml:space="preserve">. Omitted variables are third: a metadata model cannot include every technical, institutional, or market driver, so an estimated association may stand in for an unmeasured one. Overinterpretation is fourth and most insidious: the prose can outrun the evidence if a signed coefficient is read as a settled fact rather than as a corpus-conditional association.</w:t>
      </w:r>
    </w:p>
    <w:bookmarkEnd w:id="104"/>
    <w:bookmarkStart w:id="105" w:name="how-the-design-handles-the-threats"/>
    <w:p>
      <w:pPr>
        <w:pStyle w:val="Heading2"/>
        <w:spacing w:line="480" w:lineRule="auto"/>
      </w:pPr>
      <w:r>
        <w:t xml:space="preserve">4.6 How the design handles the threats</w:t>
      </w:r>
    </w:p>
    <w:p>
      <w:pPr>
        <w:pStyle w:val="FirstParagraph"/>
        <w:spacing w:line="480" w:lineRule="auto"/>
      </w:pPr>
      <w:r>
        <w:t xml:space="preserve">The estimators handle these threats not by eliminating them, which is impossible at this design stage, but by keeping every claim conditional and every number inspectable. The models report what they estimate, name the variables used, and preserve the distinction between association, evidence-base maturity, and causal policy effect. Robust standard errors guard against the most common inferential over-reach. The plus-one offset guards against silent sample truncation. The paired-estimator design guards against confusing cross-sectional and temporal structure. The identification contribution is therefore not an inflated finding but a reproducible way to test a claim that would otherwise remain rhetorical, and a clear statement of the exact reach of whatever the estimators return</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5"/>
    <w:bookmarkStart w:id="106" w:name="the-functional-form-choices-defended"/>
    <w:p>
      <w:pPr>
        <w:pStyle w:val="Heading2"/>
        <w:spacing w:line="480" w:lineRule="auto"/>
      </w:pPr>
      <w:r>
        <w:t xml:space="preserve">4.7 The functional-form choices, defended</w:t>
      </w:r>
    </w:p>
    <w:p>
      <w:pPr>
        <w:pStyle w:val="FirstParagraph"/>
        <w:spacing w:line="480" w:lineRule="auto"/>
      </w:pPr>
      <w:r>
        <w:t xml:space="preserve">Two functional-form decisions carry more weight than they might appear to, and each deserves an explicit defense. The first is the choice of a linear conditional mean for the topic-signal score in Paper 1. The outcome is a bounded count, and a purist might argue for a count model such as Poisson or negative binomial. The linear specification is defensible here for two reasons. At this sample size, a count model’s asymptotic guarantees are not available, and its coefficients would be harder to interpret against the mechanism’s additive channel logic; ordinary least squares gives directly readable marginal effects that map one-to-one onto the recency, citation, and venue predictions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topic-signal score also ranges across enough integer values, from 1 to 14, that its conditional distribution is not dominated by a floor of zeros, which is the condition under which a linear model on a count becomes seriously misleading. The linear form is a reasonable approximation, and its transparency is worth the modest cost in distributional fidelity.</w:t>
      </w:r>
    </w:p>
    <w:p>
      <w:pPr>
        <w:pStyle w:val="BodyText"/>
        <w:spacing w:line="480" w:lineRule="auto"/>
        <w:ind w:firstLine="720"/>
      </w:pPr>
      <w:r>
        <w:t xml:space="preserve">The second decision is the log-log form in Paper 2. A learning-curve model presumes that the process it describes is multiplicative, and the defense is that citation accumulation is exactly such a process: papers accrue citations roughly in proportion to the citations they already have and the time they have been available, which is a constant-elasticity relationship in age</w:t>
      </w:r>
      <w:r>
        <w:t xml:space="preserve"> </w:t>
      </w:r>
      <w:hyperlink w:anchor="ref-4">
        <w:r>
          <w:rPr>
            <w:rStyle w:val="Hyperlink"/>
          </w:rPr>
          <w:t xml:space="preserve">[4]</w:t>
        </w:r>
      </w:hyperlink>
      <w:r>
        <w:t xml:space="preserve">. Estimating that relationship in logs turns a curved level relationship into a line whose slope is the elasticity, which is both the natural functional form and the directly interpretable one. The plus-one offset is the price of admission to the log scale, and Section 4.3 defended it; without a functional form that can represent multiplicative accumulation, a flat or negative result could not be distinguished from a misspecified linear fit</w:t>
      </w:r>
      <w:r>
        <w:t xml:space="preserve"> </w:t>
      </w:r>
      <w:hyperlink w:anchor="ref-6">
        <w:r>
          <w:rPr>
            <w:rStyle w:val="Hyperlink"/>
          </w:rPr>
          <w:t xml:space="preserve">[6]</w:t>
        </w:r>
      </w:hyperlink>
      <w:r>
        <w:t xml:space="preserve">.</w:t>
      </w:r>
    </w:p>
    <w:bookmarkEnd w:id="106"/>
    <w:bookmarkStart w:id="107" w:name="robust-standard-errors-and-what-they-buy"/>
    <w:p>
      <w:pPr>
        <w:pStyle w:val="Heading2"/>
        <w:spacing w:line="480" w:lineRule="auto"/>
      </w:pPr>
      <w:r>
        <w:t xml:space="preserve">4.8 Robust standard errors and what they buy</w:t>
      </w:r>
    </w:p>
    <w:p>
      <w:pPr>
        <w:pStyle w:val="FirstParagraph"/>
        <w:spacing w:line="480" w:lineRule="auto"/>
      </w:pPr>
      <w:r>
        <w:t xml:space="preserve">The choice of HC1 heteroskedasticity-consistent standard errors in both models is not a default reflex; it responds to a specific feature of the data. The retained records come from three venue families with markedly different metadata richness, and there is no reason to expect the regression error variance to be constant across them. A conference abstract and a full journal article scatter around the fitted line with different variances, and imposing homoskedasticity would understate the uncertainty on some coefficients and overstate it on others</w:t>
      </w:r>
      <w:r>
        <w:t xml:space="preserve"> </w:t>
      </w:r>
      <w:hyperlink w:anchor="ref-2">
        <w:r>
          <w:rPr>
            <w:rStyle w:val="Hyperlink"/>
          </w:rPr>
          <w:t xml:space="preserve">[2]</w:t>
        </w:r>
      </w:hyperlink>
      <w:r>
        <w:t xml:space="preserve"> </w:t>
      </w:r>
      <w:hyperlink w:anchor="ref-5">
        <w:r>
          <w:rPr>
            <w:rStyle w:val="Hyperlink"/>
          </w:rPr>
          <w:t xml:space="preserve">[5]</w:t>
        </w:r>
      </w:hyperlink>
      <w:r>
        <w:t xml:space="preserve">. HC1 lets the inference tolerate that heterogeneity, and its practical effect is to make the reported p-values more conservative than classical standard errors would produce.</w:t>
      </w:r>
    </w:p>
    <w:p>
      <w:pPr>
        <w:pStyle w:val="BodyText"/>
        <w:spacing w:line="480" w:lineRule="auto"/>
        <w:ind w:firstLine="720"/>
      </w:pPr>
      <w:r>
        <w:t xml:space="preserve">That conservatism matters for how the results should be read. When the venue coefficient in Paper 1 clears conventional precision under robust errors, it clears a stricter bar than it would under classical errors, which strengthens the one positive finding. When the recency, citation, and accumulation coefficients fail to clear that bar, the failure is not an artifact of overly permissive inference; robust errors, if anything, make significance harder to achieve, so the imprecise channels are genuinely imprecise rather than merely penalized by a strict variance assumption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estimator choice thus does double duty: it makes the positive finding more credible and the null findings more honest.</w:t>
      </w:r>
    </w:p>
    <w:bookmarkEnd w:id="107"/>
    <w:bookmarkStart w:id="108" w:name="Xffd66a53514031c837984bd45f7f7af953148bf"/>
    <w:p>
      <w:pPr>
        <w:pStyle w:val="Heading2"/>
        <w:spacing w:line="480" w:lineRule="auto"/>
      </w:pPr>
      <w:r>
        <w:t xml:space="preserve">4.9 What a stronger identification would require</w:t>
      </w:r>
    </w:p>
    <w:p>
      <w:pPr>
        <w:pStyle w:val="FirstParagraph"/>
        <w:spacing w:line="480" w:lineRule="auto"/>
      </w:pPr>
      <w:r>
        <w:t xml:space="preserve">It is worth stating what this design deliberately does not attempt, so that its identification claim is not mistaken for more than it is. A causal identification of how attention affects governance, or how governance affects attention, would require variation in one that is plausibly exogenous to the other, and no such variation exists in a corpus of retrieved records</w:t>
      </w:r>
      <w:r>
        <w:t xml:space="preserve"> </w:t>
      </w:r>
      <w:hyperlink w:anchor="ref-5">
        <w:r>
          <w:rPr>
            <w:rStyle w:val="Hyperlink"/>
          </w:rPr>
          <w:t xml:space="preserve">[5]</w:t>
        </w:r>
      </w:hyperlink>
      <w:r>
        <w:t xml:space="preserve"> </w:t>
      </w:r>
      <w:hyperlink w:anchor="ref-7">
        <w:r>
          <w:rPr>
            <w:rStyle w:val="Hyperlink"/>
          </w:rPr>
          <w:t xml:space="preserve">[7]</w:t>
        </w:r>
      </w:hyperlink>
      <w:r>
        <w:t xml:space="preserve">. A stronger design would need a panel of documents with time-stamped regulatory events, so that changes in documentary attention could be related to changes in the governing rule; it would need a document-coded topic measure that captures conceptual engagement rather than term presence; and it would need a citation source broad enough that the accumulation channel is not starved of variation. The present design identifies none of that. It identifies structure in the retained corpus, precisely and reproducibly, and it names the panel-and-coding design that would be required to move from structure to cause. That honest boundary is the identification contribution, and Chapters 6 and 7 hold to it without exception</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08"/>
    <w:bookmarkStart w:id="109" w:name="Xc982938073bb541ac9b6e09d4ba7b276e0deba4"/>
    <w:p>
      <w:pPr>
        <w:pStyle w:val="Heading2"/>
        <w:spacing w:line="480" w:lineRule="auto"/>
      </w:pPr>
      <w:r>
        <w:t xml:space="preserve">4.10 Diagnostic checks the design admits and the ones it cannot run</w:t>
      </w:r>
    </w:p>
    <w:p>
      <w:pPr>
        <w:pStyle w:val="FirstParagraph"/>
        <w:spacing w:line="480" w:lineRule="auto"/>
      </w:pPr>
      <w:r>
        <w:t xml:space="preserve">An estimator is only as trustworthy as the diagnostics that surround it, and this design admits some checks while its sample size forecloses others. The checks it admits are the ones that matter most for the claims it makes. Sign and precision of each coefficient are read directly from the robust output, and the pairing of a signed point estimate with its p-value is the primary diagnostic the results chapter uses</w:t>
      </w:r>
      <w:r>
        <w:t xml:space="preserve"> </w:t>
      </w:r>
      <w:hyperlink w:anchor="ref-3">
        <w:r>
          <w:rPr>
            <w:rStyle w:val="Hyperlink"/>
          </w:rPr>
          <w:t xml:space="preserve">[3]</w:t>
        </w:r>
      </w:hyperlink>
      <w:r>
        <w:t xml:space="preserve">. The overall fit statistics, R-squared, adjusted R-squared, and the joint F-test, are reported alongside the terms so that a reader can see how much of the outcome the model captures and whether the predictors are collectively compelling. The plus-one offset in Paper 2 is itself a diagnostic decision made visible: by keeping uncited records in the sample, it lets the reader see that the near-null in the accumulation model comes from a genuine lack of citation variation rather than from a truncated sample</w:t>
      </w:r>
      <w:r>
        <w:t xml:space="preserve"> </w:t>
      </w:r>
      <w:hyperlink w:anchor="ref-6">
        <w:r>
          <w:rPr>
            <w:rStyle w:val="Hyperlink"/>
          </w:rPr>
          <w:t xml:space="preserve">[6]</w:t>
        </w:r>
      </w:hyperlink>
      <w:r>
        <w:t xml:space="preserve">.</w:t>
      </w:r>
    </w:p>
    <w:p>
      <w:pPr>
        <w:pStyle w:val="BodyText"/>
        <w:spacing w:line="480" w:lineRule="auto"/>
        <w:ind w:firstLine="720"/>
      </w:pPr>
      <w:r>
        <w:t xml:space="preserve">The checks the design cannot credibly run are equally worth naming. Formal tests of functional form, influence diagnostics that would flag individual leverage points, and out-of-sample validation all require more observations than thirty records provide, and running them at this N would produce statistics too unstable to interpret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design does not pretend to have run them. This is a limitation, and Chapter 7 treats it as one, but it is also a reason the interpretive posture stays conditional throughout: a model that cannot be stress-tested with the usual diagnostic battery must not be read as though it had passed that battery. The identification claim is scaled to what the diagnostics can actually support, which is structure in the retained corpus, reported with its uncertainty intact.</w:t>
      </w:r>
    </w:p>
    <w:bookmarkEnd w:id="109"/>
    <w:bookmarkStart w:id="110" w:name="X6df9708609aabab8b4e5892f0cbb8f300d109f2"/>
    <w:p>
      <w:pPr>
        <w:pStyle w:val="Heading2"/>
        <w:spacing w:line="480" w:lineRule="auto"/>
      </w:pPr>
      <w:r>
        <w:t xml:space="preserve">4.11 How the two estimators guard against each other’s blind spots</w:t>
      </w:r>
    </w:p>
    <w:p>
      <w:pPr>
        <w:pStyle w:val="FirstParagraph"/>
        <w:spacing w:line="480" w:lineRule="auto"/>
      </w:pPr>
      <w:r>
        <w:t xml:space="preserve">The paired-estimator design is not just two analyses run side by side; each model partially guards against the other’s characteristic failure mode, and that mutual check is part of why the pairing identifies the mechanism better than either model alone. Paper 1’s blind spot is time: as a cross-sectional model it treats all records as contemporaneous, so a purely temporal pattern in the data would be invisible to it or, worse, would leak into the recency coefficient and be misread as content structure</w:t>
      </w:r>
      <w:r>
        <w:t xml:space="preserve"> </w:t>
      </w:r>
      <w:hyperlink w:anchor="ref-4">
        <w:r>
          <w:rPr>
            <w:rStyle w:val="Hyperlink"/>
          </w:rPr>
          <w:t xml:space="preserve">[4]</w:t>
        </w:r>
      </w:hyperlink>
      <w:r>
        <w:t xml:space="preserve">. Paper 2’s blind spot is content: as an accumulation model on age alone, it says nothing about how the topic signal is distributed across venues or attention, so a strong cross-sectional pattern would be invisible to it.</w:t>
      </w:r>
    </w:p>
    <w:p>
      <w:pPr>
        <w:pStyle w:val="BodyText"/>
        <w:spacing w:line="480" w:lineRule="auto"/>
        <w:ind w:firstLine="720"/>
      </w:pPr>
      <w:r>
        <w:t xml:space="preserve">Running both closes each gap with the other. If Paper 1 reported a strong recency effect, Paper 2 would be the place to check whether that effect was really an artifact of citation accumulation over age; the fact that Paper 2 finds no age structure makes it less likely that Paper 1’s channels are secretly temporal</w:t>
      </w:r>
      <w:r>
        <w:t xml:space="preserve"> </w:t>
      </w:r>
      <w:hyperlink w:anchor="ref-5">
        <w:r>
          <w:rPr>
            <w:rStyle w:val="Hyperlink"/>
          </w:rPr>
          <w:t xml:space="preserve">[5]</w:t>
        </w:r>
      </w:hyperlink>
      <w:r>
        <w:t xml:space="preserve"> </w:t>
      </w:r>
      <w:hyperlink w:anchor="ref-6">
        <w:r>
          <w:rPr>
            <w:rStyle w:val="Hyperlink"/>
          </w:rPr>
          <w:t xml:space="preserve">[6]</w:t>
        </w:r>
      </w:hyperlink>
      <w:r>
        <w:t xml:space="preserve">. Conversely, the venue structure Paper 1 finds is precisely the kind of cross-sectional pattern Paper 2 is designed to be silent about, so the two results do not contaminate each other. The mutual guarding is why the consolidated four-channel reading in Chapter 6 can be trusted: each channel is estimated in the model built to see it, and cross-checked against the model built to see the other dimension. That is a modest form of triangulation, appropriate to the design stage, and it is the last piece of the identification argument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10"/>
    <w:bookmarkStart w:id="111" w:name="X32da559e23ab02c1bdeca39c27e34c0a430af2f"/>
    <w:p>
      <w:pPr>
        <w:pStyle w:val="Heading2"/>
        <w:spacing w:line="480" w:lineRule="auto"/>
      </w:pPr>
      <w:r>
        <w:t xml:space="preserve">4.12 The estimators in relation to the source literature’s methods</w:t>
      </w:r>
    </w:p>
    <w:p>
      <w:pPr>
        <w:pStyle w:val="FirstParagraph"/>
        <w:spacing w:line="480" w:lineRule="auto"/>
      </w:pPr>
      <w:r>
        <w:t xml:space="preserve">The two estimators sit within a methodological tradition the source literature itself uses, and locating them there clarifies why they are appropriate. Risk-based decision-making for space traffic management builds its argument on the systematic estimation of risk under uncertainty and the disciplined interpretation of that estimate, which is the same posture ordinary least squares with robust errors takes toward the topic-signal outcome</w:t>
      </w:r>
      <w:r>
        <w:t xml:space="preserve"> </w:t>
      </w:r>
      <w:hyperlink w:anchor="ref-5">
        <w:r>
          <w:rPr>
            <w:rStyle w:val="Hyperlink"/>
          </w:rPr>
          <w:t xml:space="preserve">[5]</w:t>
        </w:r>
      </w:hyperlink>
      <w:r>
        <w:t xml:space="preserve">. The sensitivity-analysis literature on collision-probability estimates demonstrates the value of showing how a governing quantity responds to its inputs, and the paired-model design here serves an analogous function by showing how the topic responds to the cross-sectional and temporal channels separately</w:t>
      </w:r>
      <w:r>
        <w:t xml:space="preserve"> </w:t>
      </w:r>
      <w:hyperlink w:anchor="ref-3">
        <w:r>
          <w:rPr>
            <w:rStyle w:val="Hyperlink"/>
          </w:rPr>
          <w:t xml:space="preserve">[3]</w:t>
        </w:r>
      </w:hyperlink>
      <w:r>
        <w:t xml:space="preserve">. The estimators are not exotic; they are the plain, inspectable tools the surrounding literature already trusts, applied to a document-level outcome rather than a physical one</w:t>
      </w:r>
      <w:r>
        <w:t xml:space="preserve"> </w:t>
      </w:r>
      <w:hyperlink w:anchor="ref-2">
        <w:r>
          <w:rPr>
            <w:rStyle w:val="Hyperlink"/>
          </w:rPr>
          <w:t xml:space="preserve">[2]</w:t>
        </w:r>
      </w:hyperlink>
      <w:r>
        <w:t xml:space="preserve">. That continuity is intentional: a corpus screen earns credibility partly by using methods whose behavior the field already understands, so that the novelty lives in the question rather than in an unfamiliar estimator whose properties would themselves need defending</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11"/>
    <w:bookmarkEnd w:id="112"/>
    <w:bookmarkStart w:id="125" w:name="chapter-5.-data-and-measurement"/>
    <w:p>
      <w:pPr>
        <w:pStyle w:val="Heading1"/>
        <w:spacing w:line="480" w:lineRule="auto"/>
      </w:pPr>
      <w:r>
        <w:t xml:space="preserve">Chapter 5. Data and Measurement</w:t>
      </w:r>
    </w:p>
    <w:bookmarkStart w:id="113" w:name="the-dataset-in-brief"/>
    <w:p>
      <w:pPr>
        <w:pStyle w:val="Heading2"/>
        <w:spacing w:line="480" w:lineRule="auto"/>
      </w:pPr>
      <w:r>
        <w:t xml:space="preserve">5.1 The dataset in brief</w:t>
      </w:r>
    </w:p>
    <w:p>
      <w:pPr>
        <w:pStyle w:val="FirstParagraph"/>
        <w:spacing w:line="480" w:lineRule="auto"/>
      </w:pPr>
      <w:r>
        <w:t xml:space="preserve">The empirical spine is a single candidate corpus of thirty retrieved records, and both embedded papers draw their rows from it. The records span 2011 through 2026 and cross three publishing families: operations-oriented conference proceedings, peer-reviewed astronautics journal articles, and policy-economics documents. Each row preserves a source field, a digital object identifier, a stable conference URL, or a document title, so that any constructed variable can be traced back to the record it came from. Thirty is a small N, and the dissertation does not hide that. It is a design-stage corpus screen, and the count is stated plainly in every model summary so no reader mistakes the reach of the estimates</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provenance discipline is the point of the chapter. A reader can move from a dissertation claim to a paper specification, to a data row, to the retrieved source, and back. That chain is what separates an auditable measurement step from an impressionistic literature summary, and it is the reason the data description is given this much space.</w:t>
      </w:r>
    </w:p>
    <w:bookmarkEnd w:id="113"/>
    <w:bookmarkStart w:id="114" w:name="the-outcome-variables"/>
    <w:p>
      <w:pPr>
        <w:pStyle w:val="Heading2"/>
        <w:spacing w:line="480" w:lineRule="auto"/>
      </w:pPr>
      <w:r>
        <w:t xml:space="preserve">5.2 The outcome variables</w:t>
      </w:r>
    </w:p>
    <w:p>
      <w:pPr>
        <w:pStyle w:val="FirstParagraph"/>
        <w:spacing w:line="480" w:lineRule="auto"/>
      </w:pPr>
      <w:r>
        <w:t xml:space="preserve">Paper 1 uses the topic-signal score as its outcome. The score is a composite, deterministic count built from candidate-theme term hits across four fields of each record: the source title, the retrieved snippet, the keyword field, and the author metadata. A record that names casualty risk, reentry, public-risk criteria, or the threshold itself across several of these fields scores high; a record that touches the theme only glancingly scores low. The construction is transparent and reproducible: given the same record and the same theme-term list, the score is fixed. In the retained data the score ranges from 1 to 14, with the highest values attaching to records that engage the uncontrolled-reentry and public-risk theme directly</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Paper 2 uses a transformed citation measure as its outcome: the reported citation count plus one. The offset is a measurement decision, not a cosmetic one. In the local index most records report zero citations, and the logarithm the learning-curve model requires is undefined at zero, so the plus-one offset keeps every uncited record in the estimation. Without it, the sample would collapse to the handful of journal articles that carry index citations, and the age relationship would be estimated on a biased subset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4"/>
    <w:bookmarkStart w:id="115" w:name="the-predictors"/>
    <w:p>
      <w:pPr>
        <w:pStyle w:val="Heading2"/>
        <w:spacing w:line="480" w:lineRule="auto"/>
      </w:pPr>
      <w:r>
        <w:t xml:space="preserve">5.3 The predictors</w:t>
      </w:r>
    </w:p>
    <w:p>
      <w:pPr>
        <w:pStyle w:val="FirstParagraph"/>
        <w:spacing w:line="480" w:lineRule="auto"/>
      </w:pPr>
      <w:r>
        <w:t xml:space="preserve">Three predictors carry Paper 1. The recency index is computed as the publication year minus the minimum publication year in the sample plus one, so the earliest record scores 1 and the most recent scores 16. This anchors recency inside the sample rather than against an external calendar, which keeps the variable interpretable at this N. The citation count is parsed directly from the local brain index and set to zero when the index reports none; it is an index measure of attention, not a universal citation count, and the chapter is explicit about that limit</w:t>
      </w:r>
      <w:r>
        <w:t xml:space="preserve"> </w:t>
      </w:r>
      <w:hyperlink w:anchor="ref-2">
        <w:r>
          <w:rPr>
            <w:rStyle w:val="Hyperlink"/>
          </w:rPr>
          <w:t xml:space="preserve">[2]</w:t>
        </w:r>
      </w:hyperlink>
      <w:r>
        <w:t xml:space="preserve">. The venue-family score is ordinal: operations-oriented conference records score 1, peer-reviewed astronautics journal articles score 2, and policy-economics documents score 3. The ordinal coding compresses a rich publishing landscape into three ranked families, and it is meant to capture the framing differences the mechanism predicts, not a cardinal quality ranking</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Paper 2 carries a single predictor: the document age index, computed as 2026 minus the publication year plus one. A record from 2026 scores 1, and the oldest record, from 2011, scores 16. Age and recency are two views of the same time dimension, inverted, and the two papers use them for different questions: recency enters Paper 1 as a cross-sectional channel, age enters Paper 2 as the axis of accumulation.</w:t>
      </w:r>
    </w:p>
    <w:bookmarkEnd w:id="115"/>
    <w:bookmarkStart w:id="116" w:name="what-the-records-actually-contain"/>
    <w:p>
      <w:pPr>
        <w:pStyle w:val="Heading2"/>
        <w:spacing w:line="480" w:lineRule="auto"/>
      </w:pPr>
      <w:r>
        <w:t xml:space="preserve">5.4 What the records actually contain</w:t>
      </w:r>
    </w:p>
    <w:p>
      <w:pPr>
        <w:pStyle w:val="FirstParagraph"/>
        <w:spacing w:line="480" w:lineRule="auto"/>
      </w:pPr>
      <w:r>
        <w:t xml:space="preserve">The corpus is not homogeneous, and the heterogeneity is informative. The most topic-heavy records are the direct reentry-risk contributions: the uncontrolled-rocket-reentry critique, the recent assessment of whether growing reentry risk is worrying, and the aviation-safety extension all score high on the topic signal</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The journal-family records carry the only nonzero index citations in the corpus, with counts ranging into the high teens for the most-cited destructive-reentry and flight-experiment papers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conference-family records are numerous and topic-relevant but uncited in the local index, which is a coverage feature of conference indexing rather than a statement about their influence</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policy-economics records are the most abstract and the least uniform in topic signal, ranging from a detailed airspace-class proposal to short titles that touch the theme only in passing.</w:t>
      </w:r>
    </w:p>
    <w:p>
      <w:pPr>
        <w:pStyle w:val="BodyText"/>
        <w:spacing w:line="480" w:lineRule="auto"/>
        <w:ind w:firstLine="720"/>
      </w:pPr>
      <w:r>
        <w:t xml:space="preserve">This composition shapes what the estimators can see. Because index citations concentrate in one venue family, any relationship between citations and other variables is partly a relationship with venue, and the paired-model design is what lets the dissertation keep those channels distinguishable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6"/>
    <w:bookmarkStart w:id="117" w:name="measurement-validity-and-its-limits"/>
    <w:p>
      <w:pPr>
        <w:pStyle w:val="Heading2"/>
        <w:spacing w:line="480" w:lineRule="auto"/>
      </w:pPr>
      <w:r>
        <w:t xml:space="preserve">5.5 Measurement validity and its limits</w:t>
      </w:r>
    </w:p>
    <w:p>
      <w:pPr>
        <w:pStyle w:val="FirstParagraph"/>
        <w:spacing w:line="480" w:lineRule="auto"/>
      </w:pPr>
      <w:r>
        <w:t xml:space="preserve">Measurement validity turns on the fit between question and data, and this design is strongest when it asks whether observable records contain structure. It is weaker if read as proof of a causal effect outside the retained corpus. Three specific validity concerns follow from the construction. The topic-signal score measures term presence, not conceptual depth, so a record could discuss the threshold profoundly in prose the term-hit counter does not capture, or could name the terms without engaging them. The citation measure reflects local index coverage, which is thin for conference work and richer for journals, so citation comparisons across venue families are not clean</w:t>
      </w:r>
      <w:r>
        <w:t xml:space="preserve"> </w:t>
      </w:r>
      <w:hyperlink w:anchor="ref-2">
        <w:r>
          <w:rPr>
            <w:rStyle w:val="Hyperlink"/>
          </w:rPr>
          <w:t xml:space="preserve">[2]</w:t>
        </w:r>
      </w:hyperlink>
      <w:r>
        <w:t xml:space="preserve">. The venue score is ordinal and should not be read as a distance metric; the gap between families is a ranking, not a measured quantity</w:t>
      </w:r>
      <w:r>
        <w:t xml:space="preserve"> </w:t>
      </w:r>
      <w:hyperlink w:anchor="ref-3">
        <w:r>
          <w:rPr>
            <w:rStyle w:val="Hyperlink"/>
          </w:rPr>
          <w:t xml:space="preserve">[3]</w:t>
        </w:r>
      </w:hyperlink>
      <w:r>
        <w:t xml:space="preserve">.</w:t>
      </w:r>
    </w:p>
    <w:p>
      <w:pPr>
        <w:pStyle w:val="BodyText"/>
        <w:spacing w:line="480" w:lineRule="auto"/>
        <w:ind w:firstLine="720"/>
      </w:pPr>
      <w:r>
        <w:t xml:space="preserve">None of these limits is fatal to the design, because the dissertation does not claim more than a corpus screen. They are stated here so that Chapter 6 can report exact statistics and interpret them as evidence about the measured record, and so that Chapter 7 can specify exactly where a richer document-coding effort would be needed to move beyond the screen. The data chapter’s contribution is to make the boundaries of every later claim visible in advance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7"/>
    <w:bookmarkStart w:id="118" w:name="the-reproducible-hierarchy"/>
    <w:p>
      <w:pPr>
        <w:pStyle w:val="Heading2"/>
        <w:spacing w:line="480" w:lineRule="auto"/>
      </w:pPr>
      <w:r>
        <w:t xml:space="preserve">5.6 The reproducible hierarchy</w:t>
      </w:r>
    </w:p>
    <w:p>
      <w:pPr>
        <w:pStyle w:val="FirstParagraph"/>
        <w:spacing w:line="480" w:lineRule="auto"/>
      </w:pPr>
      <w:r>
        <w:t xml:space="preserve">The project uses a reproducible hierarchy that the reader can walk end to end. The reference pool and source metadata establish the universe of records. The two paper CSV files define the exact rows that enter each estimator. The configuration files define the variables, the formulas, and the figure captions. The workbooks regenerate the estimator output from those rows. The dissertation narrative sits downstream of all of this, not upstream: no number in the results chapter originates in the prose, and every number can be recovered from the retained artifacts. That ordering, data first and narrative second, is the discipline the whole design is built to enforce</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18"/>
    <w:bookmarkStart w:id="119" w:name="the-venue-family-distribution-in-detail"/>
    <w:p>
      <w:pPr>
        <w:pStyle w:val="Heading2"/>
        <w:spacing w:line="480" w:lineRule="auto"/>
      </w:pPr>
      <w:r>
        <w:t xml:space="preserve">5.7 The venue-family distribution in detail</w:t>
      </w:r>
    </w:p>
    <w:p>
      <w:pPr>
        <w:pStyle w:val="FirstParagraph"/>
        <w:spacing w:line="480" w:lineRule="auto"/>
      </w:pPr>
      <w:r>
        <w:t xml:space="preserve">Because the venue channel turns out to carry the study’s one precise finding, the distribution of records across venue families deserves a closer description than a summary count. The operations-oriented conference family is the largest in the corpus, spanning records from 2011 through 2022 on collision-risk computation, conjunction assessment, cislunar conjunction mapping, and the direct uncontrolled-rocket-reentry critique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These records are topic-relevant and, in several cases, topic-dense, but they are almost uniformly uncited in the local index, which reflects how conference proceedings are indexed rather than how influential the work is. The astronautics-journal family is smaller but carries every nonzero index citation in the corpus, with the destructive-reentry and flight-experiment papers reaching into the high teens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it clusters in the 2018 through 2026 window. The policy-economics family is the most heterogeneous, ranging from a detailed airspace-class proposal modeled on aviation classification to short document titles that touch the theme only in passing.</w:t>
      </w:r>
    </w:p>
    <w:p>
      <w:pPr>
        <w:pStyle w:val="BodyText"/>
        <w:spacing w:line="480" w:lineRule="auto"/>
        <w:ind w:firstLine="720"/>
      </w:pPr>
      <w:r>
        <w:t xml:space="preserve">This distribution is not neutral for the estimators, and the data chapter states the entanglement plainly. Venue family and both time and citation are correlated in the corpus: the journal family is recent and cited, the conference family is spread across the full span and uncited, and the policy family clusters in a single year band. That entanglement is exactly why the paired-model design and the robust standard errors of Chapter 4 are necessary, and it is why Chapter 7 flags period effects as a live threat to the venue coefficient</w:t>
      </w:r>
      <w:r>
        <w:t xml:space="preserve"> </w:t>
      </w:r>
      <w:hyperlink w:anchor="ref-3">
        <w:r>
          <w:rPr>
            <w:rStyle w:val="Hyperlink"/>
          </w:rPr>
          <w:t xml:space="preserve">[3]</w:t>
        </w:r>
      </w:hyperlink>
      <w:r>
        <w:t xml:space="preserve"> </w:t>
      </w:r>
      <w:hyperlink w:anchor="ref-6">
        <w:r>
          <w:rPr>
            <w:rStyle w:val="Hyperlink"/>
          </w:rPr>
          <w:t xml:space="preserve">[6]</w:t>
        </w:r>
      </w:hyperlink>
      <w:r>
        <w:t xml:space="preserve">. A reader who wants to understand the one precise finding has to understand this distribution first, which is why it is given here rather than buried in an appendix.</w:t>
      </w:r>
    </w:p>
    <w:bookmarkEnd w:id="119"/>
    <w:bookmarkStart w:id="120" w:name="the-topic-signal-score-across-the-corpus"/>
    <w:p>
      <w:pPr>
        <w:pStyle w:val="Heading2"/>
        <w:spacing w:line="480" w:lineRule="auto"/>
      </w:pPr>
      <w:r>
        <w:t xml:space="preserve">5.8 The topic-signal score across the corpus</w:t>
      </w:r>
    </w:p>
    <w:p>
      <w:pPr>
        <w:pStyle w:val="FirstParagraph"/>
        <w:spacing w:line="480" w:lineRule="auto"/>
      </w:pPr>
      <w:r>
        <w:t xml:space="preserve">The topic-signal score is the outcome of Paper 1, and its spread across the retained records is informative in its own right. The highest scores attach to the records that engage the uncontrolled-reentry and public-risk theme most directly: the rocket-body critique and the aviation-safety extension sit at the top of the distribution, and the recent assessment of whether reentry risk is worrying scores highly as well</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9">
        <w:r>
          <w:rPr>
            <w:rStyle w:val="Hyperlink"/>
          </w:rPr>
          <w:t xml:space="preserve">[9]</w:t>
        </w:r>
      </w:hyperlink>
      <w:r>
        <w:t xml:space="preserve">. Mid-range scores attach to the survivability and dispersion physics papers, which name the theme substantively but frame it within a broader technical apparatus</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The lowest scores attach to policy-economics records whose engagement with the specific threshold terms is glancing, and to a handful of conference records on adjacent topics such as broadband competition that touch the reentry-risk theme barely or not at all.</w:t>
      </w:r>
    </w:p>
    <w:p>
      <w:pPr>
        <w:pStyle w:val="BodyText"/>
        <w:spacing w:line="480" w:lineRule="auto"/>
        <w:ind w:firstLine="720"/>
      </w:pPr>
      <w:r>
        <w:t xml:space="preserve">The construct’s behavior at the extremes is a useful check on its validity. A record that scores 14 is one a human reader would also judge to be squarely about reentry casualty risk, and a record that scores 1 is one a human reader would judge to be about something else that merely shares vocabulary</w:t>
      </w:r>
      <w:r>
        <w:t xml:space="preserve"> </w:t>
      </w:r>
      <w:hyperlink w:anchor="ref-2">
        <w:r>
          <w:rPr>
            <w:rStyle w:val="Hyperlink"/>
          </w:rPr>
          <w:t xml:space="preserve">[2]</w:t>
        </w:r>
      </w:hyperlink>
      <w:r>
        <w:t xml:space="preserve">. The construct is coarse, and Section 5.5 was explicit that it measures term presence rather than conceptual depth, but its ordering is broadly faithful, which is what a proxy needs to be to carry a regression. The data chapter offers this face-validity check so that the venue coefficient in Chapter 6 can be read as a relationship between a meaningful outcome and a meaningful predictor, not as a relationship between two arbitrary codings.</w:t>
      </w:r>
    </w:p>
    <w:bookmarkEnd w:id="120"/>
    <w:bookmarkStart w:id="121" w:name="citations-age-and-the-offset-floor"/>
    <w:p>
      <w:pPr>
        <w:pStyle w:val="Heading2"/>
        <w:spacing w:line="480" w:lineRule="auto"/>
      </w:pPr>
      <w:r>
        <w:t xml:space="preserve">5.9 Citations, age, and the offset floor</w:t>
      </w:r>
    </w:p>
    <w:p>
      <w:pPr>
        <w:pStyle w:val="FirstParagraph"/>
        <w:spacing w:line="480" w:lineRule="auto"/>
      </w:pPr>
      <w:r>
        <w:t xml:space="preserve">The citation and age variables that drive Paper 2 have a distribution worth making explicit, because it explains the model’s near-null result before that result is reported. Of the thirty records, only the eight astronautics-journal entries carry nonzero index citations; the remaining twenty-two, spanning the conference and policy families, report zero and therefore sit at the plus-one offset floor of one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age index ranges from 1, for the 2026 record, to 16, for the 2011 record, so the corpus has reasonable spread on the age axis. The difficulty is that almost all of the age spread is populated by records at the citation floor, so the covariation between age and citations that the learning curve needs is carried by only a handful of points.</w:t>
      </w:r>
    </w:p>
    <w:p>
      <w:pPr>
        <w:pStyle w:val="BodyText"/>
        <w:spacing w:line="480" w:lineRule="auto"/>
        <w:ind w:firstLine="720"/>
      </w:pPr>
      <w:r>
        <w:t xml:space="preserve">This is the structural reason the accumulation model cannot resolve a curve, and stating it in the data chapter keeps Chapter 6 from having to explain a null as if it were a surprise. The offset was the right measurement choice, because dropping the uncited records would have biased the sample toward already-cited journal work and would have destroyed the age spread entirely</w:t>
      </w:r>
      <w:r>
        <w:t xml:space="preserve"> </w:t>
      </w:r>
      <w:hyperlink w:anchor="ref-5">
        <w:r>
          <w:rPr>
            <w:rStyle w:val="Hyperlink"/>
          </w:rPr>
          <w:t xml:space="preserve">[5]</w:t>
        </w:r>
      </w:hyperlink>
      <w:r>
        <w:t xml:space="preserve">. Keeping them preserves the age axis at the cost of concentrating the citation variation, and that trade is the honest one for a corpus this size. The data chapter’s final duty is to make that trade visible, so that the temporal result is read as a property of the retained data rather than as a failure of the estimator</w:t>
      </w:r>
      <w:r>
        <w:t xml:space="preserve"> </w:t>
      </w:r>
      <w:hyperlink w:anchor="ref-6">
        <w:r>
          <w:rPr>
            <w:rStyle w:val="Hyperlink"/>
          </w:rPr>
          <w:t xml:space="preserve">[6]</w:t>
        </w:r>
      </w:hyperlink>
      <w:r>
        <w:t xml:space="preserve">.</w:t>
      </w:r>
    </w:p>
    <w:bookmarkEnd w:id="121"/>
    <w:bookmarkStart w:id="122" w:name="X5a24bb232ea12ff619de83a82ab3399cc218b9e"/>
    <w:p>
      <w:pPr>
        <w:pStyle w:val="Heading2"/>
        <w:spacing w:line="480" w:lineRule="auto"/>
      </w:pPr>
      <w:r>
        <w:t xml:space="preserve">5.10 Provenance as a first-class data property</w:t>
      </w:r>
    </w:p>
    <w:p>
      <w:pPr>
        <w:pStyle w:val="FirstParagraph"/>
        <w:spacing w:line="480" w:lineRule="auto"/>
      </w:pPr>
      <w:r>
        <w:t xml:space="preserve">Most data descriptions treat provenance as bookkeeping. Here it is a first-class property of the dataset, because the entire evidentiary claim of the dissertation rests on it. Every row in both paper files carries a source field: a digital object identifier for the journal and policy records, a stable conference URL for the operations-family records, and a document title for the internal policy documents</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field is what lets a skeptical reader reverse the analysis, moving from a coefficient in Chapter 6 back to the specific records that produced it, and judge for themselves whether the topic-signal score and venue coding were assigned fairly. A dataset that lacked this field could still produce the same estimates, but those estimates would not be checkable, and uncheckable estimates are exactly what the design exists to avoid.</w:t>
      </w:r>
    </w:p>
    <w:p>
      <w:pPr>
        <w:pStyle w:val="BodyText"/>
        <w:spacing w:line="480" w:lineRule="auto"/>
        <w:ind w:firstLine="720"/>
      </w:pPr>
      <w:r>
        <w:t xml:space="preserve">Provenance also disciplines the coding process itself. Because each record is tied to a retrievable source, the venue-family assignment is not a matter of the analyst’s memory but of the record’s actual publication venue, and the topic-signal score is computed against the record’s actual indexed fields rather than against a recollection of what the record said</w:t>
      </w:r>
      <w:r>
        <w:t xml:space="preserve"> </w:t>
      </w:r>
      <w:hyperlink w:anchor="ref-7">
        <w:r>
          <w:rPr>
            <w:rStyle w:val="Hyperlink"/>
          </w:rPr>
          <w:t xml:space="preserve">[7]</w:t>
        </w:r>
      </w:hyperlink>
      <w:r>
        <w:t xml:space="preserve">. This closes off a common failure mode in document-level work, where coding drifts toward the analyst’s expectations because the underlying records are not held fixed. Holding them fixed, and making the fixing visible through the source field, is the data chapter’s core methodological commitment, and it is why the chapter spends its length on distribution and construction rather than on summary statistics alone.</w:t>
      </w:r>
    </w:p>
    <w:bookmarkEnd w:id="122"/>
    <w:bookmarkStart w:id="123" w:name="reconciling-the-two-paper-files"/>
    <w:p>
      <w:pPr>
        <w:pStyle w:val="Heading2"/>
        <w:spacing w:line="480" w:lineRule="auto"/>
      </w:pPr>
      <w:r>
        <w:t xml:space="preserve">5.11 Reconciling the two paper files</w:t>
      </w:r>
    </w:p>
    <w:p>
      <w:pPr>
        <w:pStyle w:val="FirstParagraph"/>
        <w:spacing w:line="480" w:lineRule="auto"/>
      </w:pPr>
      <w:r>
        <w:t xml:space="preserve">A reader comparing the two paper datasets will notice that they share records but differ in their constructed columns, and the data chapter should reconcile them explicitly. Both files contain the same thirty source records with the same provenance, the same publication years, the same signal scores, and the same citation counts. Paper 1’s file adds the recency index and the ordinal venue score, the predictors its cross-sectional model needs. Paper 2’s file adds the age index and the citation-plus-one transform, the variables its accumulation model needs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shared spine guarantees that the two models are estimated on the same underlying evidence rather than on two differently assembled corpora, which is what makes the paired reading in Chapter 6 legitimate.</w:t>
      </w:r>
    </w:p>
    <w:p>
      <w:pPr>
        <w:pStyle w:val="BodyText"/>
        <w:spacing w:line="480" w:lineRule="auto"/>
        <w:ind w:firstLine="720"/>
      </w:pPr>
      <w:r>
        <w:t xml:space="preserve">The reconciliation matters because it forecloses a subtle inconsistency. If the two papers had been built on separately retrieved record sets, any divergence in their results could be an artifact of different sampling rather than a real difference between cross-sectional and temporal structure</w:t>
      </w:r>
      <w:r>
        <w:t xml:space="preserve"> </w:t>
      </w:r>
      <w:hyperlink w:anchor="ref-5">
        <w:r>
          <w:rPr>
            <w:rStyle w:val="Hyperlink"/>
          </w:rPr>
          <w:t xml:space="preserve">[5]</w:t>
        </w:r>
      </w:hyperlink>
      <w:r>
        <w:t xml:space="preserve">. By deriving both files from one thirty-record pack and preserving the shared columns exactly, the design ensures that when Paper 1 finds venue structure and Paper 2 finds no age structure, the contrast reflects the two questions being asked, not two different bodies of evidence. The data chapter’s last contribution is this guarantee of a common spine, which is the quiet precondition for everything the results and discussion chapters go on to claim</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23"/>
    <w:bookmarkStart w:id="124" w:name="X37ab20bfdacb03416d9bf92718675ab0dee55b9"/>
    <w:p>
      <w:pPr>
        <w:pStyle w:val="Heading2"/>
        <w:spacing w:line="480" w:lineRule="auto"/>
      </w:pPr>
      <w:r>
        <w:t xml:space="preserve">5.12 What a larger dataset would add and what it would not</w:t>
      </w:r>
    </w:p>
    <w:p>
      <w:pPr>
        <w:pStyle w:val="FirstParagraph"/>
        <w:spacing w:line="480" w:lineRule="auto"/>
      </w:pPr>
      <w:r>
        <w:t xml:space="preserve">Because the small N is the study’s most visible limit, the data chapter should be clear about what enlarging the corpus would and would not fix. A larger dataset would add statistical power, which is the direct remedy for the imprecise recency and citation channels; a corpus several times the size, drawn from the same three venue families, could plausibly resolve whether the suggestive citation relationship is real</w:t>
      </w:r>
      <w:r>
        <w:t xml:space="preserve"> </w:t>
      </w:r>
      <w:hyperlink w:anchor="ref-2">
        <w:r>
          <w:rPr>
            <w:rStyle w:val="Hyperlink"/>
          </w:rPr>
          <w:t xml:space="preserve">[2]</w:t>
        </w:r>
      </w:hyperlink>
      <w:r>
        <w:t xml:space="preserve"> </w:t>
      </w:r>
      <w:hyperlink w:anchor="ref-6">
        <w:r>
          <w:rPr>
            <w:rStyle w:val="Hyperlink"/>
          </w:rPr>
          <w:t xml:space="preserve">[6]</w:t>
        </w:r>
      </w:hyperlink>
      <w:r>
        <w:t xml:space="preserve">. It would also let the diagnostic checks foreclosed at thirty records become feasible, giving the venue finding a firmer footing against leverage and functional-form concerns. These are real gains, and Chapter 8 names corpus enlargement as a required next step.</w:t>
      </w:r>
    </w:p>
    <w:p>
      <w:pPr>
        <w:pStyle w:val="BodyText"/>
        <w:spacing w:line="480" w:lineRule="auto"/>
        <w:ind w:firstLine="720"/>
      </w:pPr>
      <w:r>
        <w:t xml:space="preserve">A larger dataset drawn from the same sources would not, however, fix the accumulation channel, and it is important not to promise that it would. The near-null in Paper 2 is structural: it comes from index citations concentrating in one venue family, leaving most records at the offset floor, and adding more conference and policy records from the same thin citation source would only add more floor observations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remedy there is a wider citation source, not a larger sample of the same kind. Distinguishing the two remedies, more records for the cross-sectional channels and a broader citation source for the temporal one, is the data chapter’s parting guidance, and it keeps the study’s self-critique precise rather than generic</w:t>
      </w:r>
      <w:r>
        <w:t xml:space="preserve"> </w:t>
      </w:r>
      <w:hyperlink w:anchor="ref-7">
        <w:r>
          <w:rPr>
            <w:rStyle w:val="Hyperlink"/>
          </w:rPr>
          <w:t xml:space="preserve">[7]</w:t>
        </w:r>
      </w:hyperlink>
      <w:r>
        <w:t xml:space="preserve">.</w:t>
      </w:r>
    </w:p>
    <w:bookmarkEnd w:id="124"/>
    <w:bookmarkEnd w:id="125"/>
    <w:bookmarkStart w:id="136" w:name="chapter-6.-results"/>
    <w:p>
      <w:pPr>
        <w:pStyle w:val="Heading1"/>
        <w:spacing w:line="480" w:lineRule="auto"/>
      </w:pPr>
      <w:r>
        <w:t xml:space="preserve">Chapter 6. Results</w:t>
      </w:r>
    </w:p>
    <w:bookmarkStart w:id="126" w:name="Xf8caaf7c0dd79124f92cc13320d842fcd63f9d8"/>
    <w:p>
      <w:pPr>
        <w:pStyle w:val="Heading2"/>
        <w:spacing w:line="480" w:lineRule="auto"/>
      </w:pPr>
      <w:r>
        <w:t xml:space="preserve">6.1 What the results chapter does and does not do</w:t>
      </w:r>
    </w:p>
    <w:p>
      <w:pPr>
        <w:pStyle w:val="FirstParagraph"/>
        <w:spacing w:line="480" w:lineRule="auto"/>
      </w:pPr>
      <w:r>
        <w:t xml:space="preserve">This chapter reports the exact output of the two embedded workbooks and interprets the signs and magnitudes. Every coefficient, standard error, p-value, and fit statistic below is reproduced as the workbook generated it. Nothing is rounded into a stronger claim, and nothing is invented. The interpretation stays inside the estimator output: where a coefficient is signed and precise, the chapter reads it as structure in the retained corpus; where a coefficient is imprecise, the chapter reads that imprecision as evidence against a strong claim for that channel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two models answer different questions, so they are reported in turn and then read together.</w:t>
      </w:r>
    </w:p>
    <w:bookmarkEnd w:id="126"/>
    <w:bookmarkStart w:id="127" w:name="X3abe7df64a20f94f4dbd0cd3d53d14e0e39251c"/>
    <w:p>
      <w:pPr>
        <w:pStyle w:val="Heading2"/>
        <w:spacing w:line="480" w:lineRule="auto"/>
      </w:pPr>
      <w:r>
        <w:t xml:space="preserve">6.2 Paper 1: cross-sectional structure in the topic signal</w:t>
      </w:r>
    </w:p>
    <w:p>
      <w:pPr>
        <w:pStyle w:val="FirstParagraph"/>
        <w:spacing w:line="480" w:lineRule="auto"/>
      </w:pPr>
      <w:r>
        <w:t xml:space="preserve">Paper 1 estimates an ordinary least squares model of the topic-signal score on recency, citation count, and venue family, with robust HC1 standard errors, over the thirty retained records. The fit summary is exact:</w:t>
      </w:r>
    </w:p>
    <w:p>
      <w:pPr>
        <w:pStyle w:val="Compact"/>
        <w:spacing w:line="480" w:lineRule="auto"/>
        <w:numPr>
          <w:ilvl w:val="0"/>
          <w:numId w:val="1001"/>
        </w:numPr>
      </w:pPr>
      <w:r>
        <w:t xml:space="preserve">N = 30</w:t>
      </w:r>
    </w:p>
    <w:p>
      <w:pPr>
        <w:pStyle w:val="Compact"/>
        <w:spacing w:line="480" w:lineRule="auto"/>
        <w:numPr>
          <w:ilvl w:val="0"/>
          <w:numId w:val="1001"/>
        </w:numPr>
      </w:pPr>
      <w:r>
        <w:t xml:space="preserve">R-squared = 0.2324</w:t>
      </w:r>
    </w:p>
    <w:p>
      <w:pPr>
        <w:pStyle w:val="Compact"/>
        <w:spacing w:line="480" w:lineRule="auto"/>
        <w:numPr>
          <w:ilvl w:val="0"/>
          <w:numId w:val="1001"/>
        </w:numPr>
      </w:pPr>
      <w:r>
        <w:t xml:space="preserve">adjusted R-squared = 0.1438</w:t>
      </w:r>
    </w:p>
    <w:p>
      <w:pPr>
        <w:pStyle w:val="Compact"/>
        <w:spacing w:line="480" w:lineRule="auto"/>
        <w:numPr>
          <w:ilvl w:val="0"/>
          <w:numId w:val="1001"/>
        </w:numPr>
      </w:pPr>
      <w:r>
        <w:t xml:space="preserve">F = 2.038</w:t>
      </w:r>
    </w:p>
    <w:p>
      <w:pPr>
        <w:pStyle w:val="Compact"/>
        <w:spacing w:line="480" w:lineRule="auto"/>
        <w:numPr>
          <w:ilvl w:val="0"/>
          <w:numId w:val="1001"/>
        </w:numPr>
      </w:pPr>
      <w:r>
        <w:t xml:space="preserve">F p-value = 0.1331</w:t>
      </w:r>
    </w:p>
    <w:p>
      <w:pPr>
        <w:pStyle w:val="FirstParagraph"/>
        <w:spacing w:line="480" w:lineRule="auto"/>
      </w:pPr>
      <w:r>
        <w:t xml:space="preserve">The term-level estimates are:</w:t>
      </w:r>
    </w:p>
    <w:p>
      <w:pPr>
        <w:pStyle w:val="Compact"/>
        <w:spacing w:line="480" w:lineRule="auto"/>
        <w:numPr>
          <w:ilvl w:val="0"/>
          <w:numId w:val="1002"/>
        </w:numPr>
      </w:pPr>
      <w:r>
        <w:t xml:space="preserve">const: coefficient 8.6368, standard error 1.5844, p = 5.0e-08</w:t>
      </w:r>
    </w:p>
    <w:p>
      <w:pPr>
        <w:pStyle w:val="Compact"/>
        <w:spacing w:line="480" w:lineRule="auto"/>
        <w:numPr>
          <w:ilvl w:val="0"/>
          <w:numId w:val="1002"/>
        </w:numPr>
      </w:pPr>
      <w:r>
        <w:t xml:space="preserve">recency_index: coefficient 0.0607, standard error 0.1288, p = 0.6374</w:t>
      </w:r>
    </w:p>
    <w:p>
      <w:pPr>
        <w:pStyle w:val="Compact"/>
        <w:spacing w:line="480" w:lineRule="auto"/>
        <w:numPr>
          <w:ilvl w:val="0"/>
          <w:numId w:val="1002"/>
        </w:numPr>
      </w:pPr>
      <w:r>
        <w:t xml:space="preserve">cites_num: coefficient 0.1753, standard error 0.1225, p = 0.1524</w:t>
      </w:r>
    </w:p>
    <w:p>
      <w:pPr>
        <w:pStyle w:val="Compact"/>
        <w:spacing w:line="480" w:lineRule="auto"/>
        <w:numPr>
          <w:ilvl w:val="0"/>
          <w:numId w:val="1002"/>
        </w:numPr>
      </w:pPr>
      <w:r>
        <w:t xml:space="preserve">venue_score: coefficient -2.0078, standard error 0.8838, p = 0.0231</w:t>
      </w:r>
    </w:p>
    <w:p>
      <w:pPr>
        <w:pStyle w:val="FirstParagraph"/>
        <w:spacing w:line="480" w:lineRule="auto"/>
      </w:pPr>
      <w:r>
        <w:t xml:space="preserve">The model accounts for roughly twenty-three percent of the variation in the topic-signal score, and the adjusted figure of about fourteen percent shows how much of that fit is discounted once the three predictors and the sample size are taken into account. The overall F statistic of 2.038 carries a p-value of 0.1331, so the model as a whole does not clear a conventional joint-significance bar. That is a finding, not a failure: it says the three channels together do not explain the topic signal at a level that would let one reject a null of no joint relationship, and the chapter reads the individual terms against that backdrop</w:t>
      </w:r>
      <w:r>
        <w:t xml:space="preserve"> </w:t>
      </w:r>
      <w:hyperlink w:anchor="ref-3">
        <w:r>
          <w:rPr>
            <w:rStyle w:val="Hyperlink"/>
          </w:rPr>
          <w:t xml:space="preserve">[3]</w:t>
        </w:r>
      </w:hyperlink>
      <w:r>
        <w:t xml:space="preserve">.</w:t>
      </w:r>
    </w:p>
    <w:p>
      <w:pPr>
        <w:pStyle w:val="BodyText"/>
        <w:spacing w:line="480" w:lineRule="auto"/>
        <w:ind w:firstLine="720"/>
      </w:pPr>
      <w:r>
        <w:t xml:space="preserve">The individual terms tell a sharper story than the joint test. The intercept of 8.6368 is precisely estimated, with a p-value near five times ten to the minus eight, which simply locates the baseline topic-signal level and carries no substantive claim about the channels. Recency enters with a coefficient of 0.0607 and a p-value of 0.6374. The sign is positive, consistent with the mechanism’s prediction that newer records carry more topic signal, but the estimate is indistinguishable from zero. On this evidence, the maturing-debate account cannot claim a recency effect. Citation attention enters at 0.1753 with a p-value of 0.1524. Again the sign points the way the mechanism predicts, more-cited records carrying more topic signal, and again the estimate falls short of conventional precision, though it is closer than recency. The citation channel is suggestive, not established</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venue-family coefficient is the one term that clears the bar. It is -2.0078 with a standard error of 0.8838 and a p-value of 0.0231. The negative sign is the substantive result of Paper 1. Moving up the ordinal venue ranking, from operations-oriented conference records at 1, to peer-reviewed astronautics journals at 2, to policy-economics documents at 3, is associated with a drop of about two points in the topic-signal score at each step. The topic signal, as the term-hit construct measures it, is strongest in the operations-oriented conference records and weakest in the policy-economics records. That is a coherent and interpretable pattern: the conference literature names the reentry-risk and public-risk terms densely and operationally, while the policy-economics records treat the theme more abstractly and trip the term counter less often</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venue channel, not recency or citation, is where the corpus shows real cross-sectional structure.</w:t>
      </w:r>
    </w:p>
    <w:bookmarkEnd w:id="127"/>
    <w:bookmarkStart w:id="128" w:name="X5505b98f0d4c7b4438d551f44a218baff1c887d"/>
    <w:p>
      <w:pPr>
        <w:pStyle w:val="Heading2"/>
        <w:spacing w:line="480" w:lineRule="auto"/>
      </w:pPr>
      <w:r>
        <w:t xml:space="preserve">6.3 Paper 2: accumulation of attention with age</w:t>
      </w:r>
    </w:p>
    <w:p>
      <w:pPr>
        <w:pStyle w:val="FirstParagraph"/>
        <w:spacing w:line="480" w:lineRule="auto"/>
      </w:pPr>
      <w:r>
        <w:t xml:space="preserve">Paper 2 estimates a log-log learning-curve model of the citation count plus one on the document age index, with robust HC1 standard errors, over the same thirty records. The output is exact:</w:t>
      </w:r>
    </w:p>
    <w:p>
      <w:pPr>
        <w:pStyle w:val="Compact"/>
        <w:spacing w:line="480" w:lineRule="auto"/>
        <w:numPr>
          <w:ilvl w:val="0"/>
          <w:numId w:val="1003"/>
        </w:numPr>
      </w:pPr>
      <w:r>
        <w:t xml:space="preserve">N = 30</w:t>
      </w:r>
    </w:p>
    <w:p>
      <w:pPr>
        <w:pStyle w:val="Compact"/>
        <w:spacing w:line="480" w:lineRule="auto"/>
        <w:numPr>
          <w:ilvl w:val="0"/>
          <w:numId w:val="1003"/>
        </w:numPr>
      </w:pPr>
      <w:r>
        <w:t xml:space="preserve">R-squared = 0.0231</w:t>
      </w:r>
    </w:p>
    <w:p>
      <w:pPr>
        <w:pStyle w:val="Compact"/>
        <w:spacing w:line="480" w:lineRule="auto"/>
        <w:numPr>
          <w:ilvl w:val="0"/>
          <w:numId w:val="1003"/>
        </w:numPr>
      </w:pPr>
      <w:r>
        <w:t xml:space="preserve">elasticity (slope) = -0.2254</w:t>
      </w:r>
    </w:p>
    <w:p>
      <w:pPr>
        <w:pStyle w:val="Compact"/>
        <w:spacing w:line="480" w:lineRule="auto"/>
        <w:numPr>
          <w:ilvl w:val="0"/>
          <w:numId w:val="1003"/>
        </w:numPr>
      </w:pPr>
      <w:r>
        <w:t xml:space="preserve">progress ratio (2 to the power of the slope) = 0.8554</w:t>
      </w:r>
    </w:p>
    <w:p>
      <w:pPr>
        <w:pStyle w:val="Compact"/>
        <w:spacing w:line="480" w:lineRule="auto"/>
        <w:numPr>
          <w:ilvl w:val="0"/>
          <w:numId w:val="1003"/>
        </w:numPr>
      </w:pPr>
      <w:r>
        <w:t xml:space="preserve">const: coefficient 0.8853, standard error 0.4996, p = 0.0764</w:t>
      </w:r>
    </w:p>
    <w:p>
      <w:pPr>
        <w:pStyle w:val="Compact"/>
        <w:spacing w:line="480" w:lineRule="auto"/>
        <w:numPr>
          <w:ilvl w:val="0"/>
          <w:numId w:val="1003"/>
        </w:numPr>
      </w:pPr>
      <w:r>
        <w:t xml:space="preserve">ln(age) slope: coefficient -0.2254, standard error 0.254, p = 0.3749</w:t>
      </w:r>
    </w:p>
    <w:p>
      <w:pPr>
        <w:pStyle w:val="FirstParagraph"/>
        <w:spacing w:line="480" w:lineRule="auto"/>
      </w:pPr>
      <w:r>
        <w:t xml:space="preserve">The model explains about two percent of the variation in the transformed citation measure. That is very close to nothing. The slope elasticity is -0.2254, and its p-value of 0.3749 leaves it firmly indistinguishable from zero. The implied progress ratio of 0.8554 says that, taken at face value, a doubling of article age is associated with the citation measure falling to about eighty-six percent of its prior value, a mild negative accumulation. The point estimate is negative, which would be consistent with attention concentrating on newer work rather than accruing to older work, but the imprecision is decisive: on this evidence the relationship between age and citation attention cannot be distinguished from no relationship at all</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Paper 2, then, comes close to returning the null the design was built to be able to return. The intercept of 0.8853 carries a p-value of 0.0764, marginal at best, and the slope carries no meaningful precision. The honest reading is that citation accumulation in this corpus does not follow a measurable age-based curve, or at least that the thirty retained records cannot reveal one. The reason is legible in the data. Index citations concentrate almost entirely in the journal family, and most conference and policy records report zero, so the age axis is populated mostly by records at the offset floor, leaving too little citation variation for the curve to bite</w:t>
      </w:r>
      <w:r>
        <w:t xml:space="preserve"> </w:t>
      </w:r>
      <w:hyperlink w:anchor="ref-5">
        <w:r>
          <w:rPr>
            <w:rStyle w:val="Hyperlink"/>
          </w:rPr>
          <w:t xml:space="preserve">[5]</w:t>
        </w:r>
      </w:hyperlink>
      <w:r>
        <w:t xml:space="preserve">.</w:t>
      </w:r>
    </w:p>
    <w:bookmarkEnd w:id="128"/>
    <w:bookmarkStart w:id="129" w:name="reading-the-two-papers-together"/>
    <w:p>
      <w:pPr>
        <w:pStyle w:val="Heading2"/>
        <w:spacing w:line="480" w:lineRule="auto"/>
      </w:pPr>
      <w:r>
        <w:t xml:space="preserve">6.4 Reading the two papers together</w:t>
      </w:r>
    </w:p>
    <w:p>
      <w:pPr>
        <w:pStyle w:val="FirstParagraph"/>
        <w:spacing w:line="480" w:lineRule="auto"/>
      </w:pPr>
      <w:r>
        <w:t xml:space="preserve">The two results do not point the same way, and that divergence is the substantive outcome of the chapter. Paper 1 finds one clear channel of cross-sectional structure, venue family, and two channels, recency and citation, that are correctly signed but imprecise. Paper 2 finds essentially no temporal structure in citation accumulation. Placed on the evidence ladder set out in Chapter 3, the venue result sits on the top rung, an association inside the retained corpus that clears conventional precision; the recency and citation results sit on the middle rung, suggestive but unestablished; and the age-accumulation result sits on the bottom rung, a channel the present data cannot sustain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mixed pattern is the correct answer for a falsifiable design to be able to produce. The dissertation set out to test whether the casualty-expectation threshold imprints the structure of a maturing debate on its literature. The answer the workbooks return is partial and specific: the topic’s expression is organized by venue family, which is real structure, but the corpus does not show the recency gradient or the accumulation curve that a fully maturing debate would leave, and it cannot on thirty records with citations concentrated in a single venue family. H0 for the venue channel is rejected; H0 for recency, citation, and age accumulation is not</w:t>
      </w:r>
      <w:r>
        <w:t xml:space="preserve"> </w:t>
      </w:r>
      <w:hyperlink w:anchor="ref-6">
        <w:r>
          <w:rPr>
            <w:rStyle w:val="Hyperlink"/>
          </w:rPr>
          <w:t xml:space="preserve">[6]</w:t>
        </w:r>
      </w:hyperlink>
      <w:r>
        <w:t xml:space="preserve">.</w:t>
      </w:r>
    </w:p>
    <w:bookmarkEnd w:id="129"/>
    <w:bookmarkStart w:id="130" w:name="Xd379a0fb9c41f92d89cdd8769c7836d236092b3"/>
    <w:p>
      <w:pPr>
        <w:pStyle w:val="Heading2"/>
        <w:spacing w:line="480" w:lineRule="auto"/>
      </w:pPr>
      <w:r>
        <w:t xml:space="preserve">6.5 What the results license and what they forbid</w:t>
      </w:r>
    </w:p>
    <w:p>
      <w:pPr>
        <w:pStyle w:val="FirstParagraph"/>
        <w:spacing w:line="480" w:lineRule="auto"/>
      </w:pPr>
      <w:r>
        <w:t xml:space="preserve">The results license a narrow set of statements. It is defensible to say that the threshold topic is expressed most densely in operations-oriented conference work and least densely in policy-economics writing, and that this venue pattern is precise enough to treat as corpus structure rather than noise</w:t>
      </w:r>
      <w:r>
        <w:t xml:space="preserve"> </w:t>
      </w:r>
      <w:hyperlink w:anchor="ref-7">
        <w:r>
          <w:rPr>
            <w:rStyle w:val="Hyperlink"/>
          </w:rPr>
          <w:t xml:space="preserve">[7]</w:t>
        </w:r>
      </w:hyperlink>
      <w:r>
        <w:t xml:space="preserve">. It is defensible to say that recency and citation attention point in the direction the mechanism predicts without reaching the precision to be claimed. It is defensible to say that citation accumulation shows no measurable age curve in this corpus.</w:t>
      </w:r>
    </w:p>
    <w:p>
      <w:pPr>
        <w:pStyle w:val="BodyText"/>
        <w:spacing w:line="480" w:lineRule="auto"/>
        <w:ind w:firstLine="720"/>
      </w:pPr>
      <w:r>
        <w:t xml:space="preserve">The results forbid a larger set of statements. They do not license any claim about whether one in ten thousand is the correct acceptable-risk level, which no document-level screen can settle. They do not license reading the venue coefficient as a quality ranking; it is a topic-density pattern shaped partly by how different families write. They do not license treating the imprecise recency and citation coefficients as null effects in the world, only as effects the retained corpus cannot resolve</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chapter’s principal safeguard is this boundary. The analysis is useful precisely because it is modest: it tells the next design which channel already shows structure, which proxies are too weak at this N, which venue family dominates the topic signal, and where a larger, document-coded corpus would be needed before any of the imprecise channels could be revisited</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30"/>
    <w:bookmarkStart w:id="131" w:name="Xe13b928c3a3aa98dd34f842266c63e1702dd7af"/>
    <w:p>
      <w:pPr>
        <w:pStyle w:val="Heading2"/>
        <w:spacing w:line="480" w:lineRule="auto"/>
      </w:pPr>
      <w:r>
        <w:t xml:space="preserve">6.6 The magnitude of the venue effect in context</w:t>
      </w:r>
    </w:p>
    <w:p>
      <w:pPr>
        <w:pStyle w:val="FirstParagraph"/>
        <w:spacing w:line="480" w:lineRule="auto"/>
      </w:pPr>
      <w:r>
        <w:t xml:space="preserve">The venue coefficient of -2.0078 is worth translating out of the estimator’s units, because its magnitude is substantively large relative to the outcome it moves. The topic-signal score ranges from 1 to 14 across the corpus, and the venue coefficient says that each step up the ordinal venue ranking is associated with a drop of about two points in that score, holding recency and citation fixed. Moving the full distance, from the operations-conference family at 1 to the policy-economics family at 3, implies a predicted drop of roughly four points, which is a substantial fraction of the outcome’s observed range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This is not a marginal association buried near zero. It is a large, precisely estimated gradient, and its size is part of why the finding can bear the interpretive weight Chapters 7 and 8 place on it.</w:t>
      </w:r>
    </w:p>
    <w:p>
      <w:pPr>
        <w:pStyle w:val="BodyText"/>
        <w:spacing w:line="480" w:lineRule="auto"/>
        <w:ind w:firstLine="720"/>
      </w:pPr>
      <w:r>
        <w:t xml:space="preserve">The magnitude also disciplines how the result should be described. A four-point predicted drop across the venue range is large, but it is a drop in a term-hit density measure, not in substantive engagement, and the two must not be conflated</w:t>
      </w:r>
      <w:r>
        <w:t xml:space="preserve"> </w:t>
      </w:r>
      <w:hyperlink w:anchor="ref-3">
        <w:r>
          <w:rPr>
            <w:rStyle w:val="Hyperlink"/>
          </w:rPr>
          <w:t xml:space="preserve">[3]</w:t>
        </w:r>
      </w:hyperlink>
      <w:r>
        <w:t xml:space="preserve">. The honest translation is that the operations-conference literature names the reentry-risk and public-risk terms roughly four points more densely than the policy-economics literature does, on this construct, at fixed recency and citation. That is a strong statement about surface topic density and a deliberately silent one about depth of engagement, and the results chapter holds that line precisely because the coefficient is large enough to tempt an overreading</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31"/>
    <w:bookmarkStart w:id="132" w:name="X20c21ad92cd37ec0fc7e1f0744bd0c092c9739d"/>
    <w:p>
      <w:pPr>
        <w:pStyle w:val="Heading2"/>
        <w:spacing w:line="480" w:lineRule="auto"/>
      </w:pPr>
      <w:r>
        <w:t xml:space="preserve">6.7 Why the joint F-test and the venue term disagree</w:t>
      </w:r>
    </w:p>
    <w:p>
      <w:pPr>
        <w:pStyle w:val="FirstParagraph"/>
        <w:spacing w:line="480" w:lineRule="auto"/>
      </w:pPr>
      <w:r>
        <w:t xml:space="preserve">A careful reader will notice a tension in Paper 1: the model as a whole fails its joint-significance test at F = 2.038 with F p-value = 0.1331, yet one of its terms, venue, is individually significant at p = 0.0231. This is not a contradiction, and explaining it is part of an honest reading. The joint F-test asks whether all three predictors together explain the outcome better than an intercept-only model, and it is diluted by the two channels, recency and citation, that contribute little. A single strong predictor sharing the specification with two weak ones can leave the joint test short of significance while remaining individually precise itself</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joint result says the three-channel model is not collectively compelling; the term result says one specific channel within it is.</w:t>
      </w:r>
    </w:p>
    <w:p>
      <w:pPr>
        <w:pStyle w:val="BodyText"/>
        <w:spacing w:line="480" w:lineRule="auto"/>
        <w:ind w:firstLine="720"/>
      </w:pPr>
      <w:r>
        <w:t xml:space="preserve">The correct reading takes both at face value. The dissertation does not claim a strong three-channel model; the adjusted R-squared of 0.1438 and the insignificant F-test forbid that</w:t>
      </w:r>
      <w:r>
        <w:t xml:space="preserve"> </w:t>
      </w:r>
      <w:hyperlink w:anchor="ref-2">
        <w:r>
          <w:rPr>
            <w:rStyle w:val="Hyperlink"/>
          </w:rPr>
          <w:t xml:space="preserve">[2]</w:t>
        </w:r>
      </w:hyperlink>
      <w:r>
        <w:t xml:space="preserve">. It claims a single structured channel inside an otherwise weak model, and it reports the joint test’s failure openly rather than hiding it behind the one significant term. That combination, a weak overall fit with one precise, large, correctly signed coefficient, is a common and interpretable pattern, and reporting it faithfully is what separates a corpus screen from a fishing expedition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2"/>
    <w:bookmarkStart w:id="133" w:name="X2e8726d1b5cc1c4610273e6cd10b89c5941318e"/>
    <w:p>
      <w:pPr>
        <w:pStyle w:val="Heading2"/>
        <w:spacing w:line="480" w:lineRule="auto"/>
      </w:pPr>
      <w:r>
        <w:t xml:space="preserve">6.8 The progress ratio and what a doubling of age implies</w:t>
      </w:r>
    </w:p>
    <w:p>
      <w:pPr>
        <w:pStyle w:val="FirstParagraph"/>
        <w:spacing w:line="480" w:lineRule="auto"/>
      </w:pPr>
      <w:r>
        <w:t xml:space="preserve">Paper 2’s progress ratio of 0.8554 deserves an explicit unpacking, because it is the most concrete way to read the learning-curve slope even though the slope is imprecise. The ratio is two raised to the power of the elasticity, and it says that a doubling of article age is associated, at the point estimate, with the citation-plus-one measure falling to about 85.5 percent of its prior value</w:t>
      </w:r>
      <w:r>
        <w:t xml:space="preserve"> </w:t>
      </w:r>
      <w:hyperlink w:anchor="ref-4">
        <w:r>
          <w:rPr>
            <w:rStyle w:val="Hyperlink"/>
          </w:rPr>
          <w:t xml:space="preserve">[4]</w:t>
        </w:r>
      </w:hyperlink>
      <w:r>
        <w:t xml:space="preserve">. Read literally, older records carry slightly fewer citations per unit of the measure than younger ones, which would be consistent with attention concentrating on newer work. That is the direction one might expect in a live, recency-weighted field.</w:t>
      </w:r>
    </w:p>
    <w:p>
      <w:pPr>
        <w:pStyle w:val="BodyText"/>
        <w:spacing w:line="480" w:lineRule="auto"/>
        <w:ind w:firstLine="720"/>
      </w:pPr>
      <w:r>
        <w:t xml:space="preserve">The imprecision forbids leaning on this reading, and the chapter says so plainly. With a slope p-value of 0.3749 and an R-squared of 0.0231, the progress ratio is a point estimate around which the uncertainty is wide enough to include no relationship at all and even a mild positive one</w:t>
      </w:r>
      <w:r>
        <w:t xml:space="preserve"> </w:t>
      </w:r>
      <w:hyperlink w:anchor="ref-6">
        <w:r>
          <w:rPr>
            <w:rStyle w:val="Hyperlink"/>
          </w:rPr>
          <w:t xml:space="preserve">[6]</w:t>
        </w:r>
      </w:hyperlink>
      <w:r>
        <w:t xml:space="preserve">. The value of computing the ratio is not that it establishes a result; it is that it makes the near-null concrete. A doubling of age moving the citation measure by only about fifteen percent, and doing so without statistical precision, is a compact way of saying that age carries almost no information about citation attention in this corpus, which is exactly the honest conclusion the offset-floor distribution of Chapter 5 predicted</w:t>
      </w:r>
      <w:r>
        <w:t xml:space="preserve"> </w:t>
      </w:r>
      <w:hyperlink w:anchor="ref-5">
        <w:r>
          <w:rPr>
            <w:rStyle w:val="Hyperlink"/>
          </w:rPr>
          <w:t xml:space="preserve">[5]</w:t>
        </w:r>
      </w:hyperlink>
      <w:r>
        <w:t xml:space="preserve">.</w:t>
      </w:r>
    </w:p>
    <w:bookmarkEnd w:id="133"/>
    <w:bookmarkStart w:id="134" w:name="Xedd29e3ccfd94021811c623d1e309c873ac915a"/>
    <w:p>
      <w:pPr>
        <w:pStyle w:val="Heading2"/>
        <w:spacing w:line="480" w:lineRule="auto"/>
      </w:pPr>
      <w:r>
        <w:t xml:space="preserve">6.9 A consolidated reading of the four channels</w:t>
      </w:r>
    </w:p>
    <w:p>
      <w:pPr>
        <w:pStyle w:val="FirstParagraph"/>
        <w:spacing w:line="480" w:lineRule="auto"/>
      </w:pPr>
      <w:r>
        <w:t xml:space="preserve">Bringing the four channels together in one place clarifies what the corpus screen actually returned. Recency: positive sign, coefficient 0.0607, p = 0.6374, unresolved. Citation attention: positive sign, coefficient 0.1753, p = 0.1524, suggestive but unestablished. Venue family: negative sign, coefficient -2.0078, p = 0.0231, precise and large, the one confirmed channel. Age accumulation: negative sign, elasticity -0.2254, p = 0.3749, near-null</w:t>
      </w:r>
      <w:r>
        <w:t xml:space="preserve"> </w:t>
      </w:r>
      <w:hyperlink w:anchor="ref-1">
        <w:r>
          <w:rPr>
            <w:rStyle w:val="Hyperlink"/>
          </w:rPr>
          <w:t xml:space="preserve">[1]</w:t>
        </w:r>
      </w:hyperlink>
      <w:r>
        <w:t xml:space="preserve"> </w:t>
      </w:r>
      <w:hyperlink w:anchor="ref-4">
        <w:r>
          <w:rPr>
            <w:rStyle w:val="Hyperlink"/>
          </w:rPr>
          <w:t xml:space="preserve">[4]</w:t>
        </w:r>
      </w:hyperlink>
      <w:r>
        <w:t xml:space="preserve">. Three of the four channels are signed the way the mechanism predicts, which is a mild point in the mechanism’s favor even where precision is absent, and the one channel that reaches precision is the one the theory in Chapter 3 argued would be sharpest.</w:t>
      </w:r>
    </w:p>
    <w:p>
      <w:pPr>
        <w:pStyle w:val="BodyText"/>
        <w:spacing w:line="480" w:lineRule="auto"/>
        <w:ind w:firstLine="720"/>
      </w:pPr>
      <w:r>
        <w:t xml:space="preserve">That consolidated pattern is the empirical heart of the dissertation, and it is deliberately unspectacular. It does not announce that the casualty-threshold debate is decisively maturing across every observable channel, because the data do not support that announcement</w:t>
      </w:r>
      <w:r>
        <w:t xml:space="preserve"> </w:t>
      </w:r>
      <w:hyperlink w:anchor="ref-6">
        <w:r>
          <w:rPr>
            <w:rStyle w:val="Hyperlink"/>
          </w:rPr>
          <w:t xml:space="preserve">[6]</w:t>
        </w:r>
      </w:hyperlink>
      <w:r>
        <w:t xml:space="preserve">. It reports one solid structural fact, two honest maybes, and one honest no, and it ties each to the feature of the corpus that produced it. A design built to be falsifiable should be able to produce exactly this kind of mixed, channel-specific ledger, and Chapters 7 and 8 read that ledger for what it means and what it forbids</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34"/>
    <w:bookmarkStart w:id="135" w:name="X6238736cd7dd2fca46a25b1fef8f63ac1edc8a7"/>
    <w:p>
      <w:pPr>
        <w:pStyle w:val="Heading2"/>
        <w:spacing w:line="480" w:lineRule="auto"/>
      </w:pPr>
      <w:r>
        <w:t xml:space="preserve">6.10 The fit statistics as evidence, not decoration</w:t>
      </w:r>
    </w:p>
    <w:p>
      <w:pPr>
        <w:pStyle w:val="FirstParagraph"/>
        <w:spacing w:line="480" w:lineRule="auto"/>
      </w:pPr>
      <w:r>
        <w:t xml:space="preserve">The two R-squared values deserve to be read as substantive evidence rather than as summary decoration. Paper 1’s R-squared of 0.2324, with an adjusted value of 0.1438, says the three cross-sectional channels together account for a modest but nontrivial share of the variation in topic signal, and that most of that share is carried by the single venue channel</w:t>
      </w:r>
      <w:r>
        <w:t xml:space="preserve"> </w:t>
      </w:r>
      <w:hyperlink w:anchor="ref-1">
        <w:r>
          <w:rPr>
            <w:rStyle w:val="Hyperlink"/>
          </w:rPr>
          <w:t xml:space="preserve">[1]</w:t>
        </w:r>
      </w:hyperlink>
      <w:r>
        <w:t xml:space="preserve"> </w:t>
      </w:r>
      <w:hyperlink w:anchor="ref-3">
        <w:r>
          <w:rPr>
            <w:rStyle w:val="Hyperlink"/>
          </w:rPr>
          <w:t xml:space="preserve">[3]</w:t>
        </w:r>
      </w:hyperlink>
      <w:r>
        <w:t xml:space="preserve">. Paper 2’s R-squared of 0.0231 says the age channel accounts for essentially none of the variation in the transformed citation measure. The contrast between the two fit values is itself a finding: cross-sectional structure exists and is concentrated, while temporal structure is absent. A reader who looked only at the coefficients and ignored the fit would miss that the two models differ not just in which term is significant but in how much of their outcome they explain at all</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Reporting both fit values without dressing them up is part of the chapter’s discipline. A weak R-squared is not a defect to be apologized for in a corpus screen; it is information about how much of the outcome the available predictors can reach</w:t>
      </w:r>
      <w:r>
        <w:t xml:space="preserve"> </w:t>
      </w:r>
      <w:hyperlink w:anchor="ref-2">
        <w:r>
          <w:rPr>
            <w:rStyle w:val="Hyperlink"/>
          </w:rPr>
          <w:t xml:space="preserve">[2]</w:t>
        </w:r>
      </w:hyperlink>
      <w:r>
        <w:t xml:space="preserve">. The honest reading is that the venue channel explains a meaningful slice of topic-signal variation and the age channel explains almost none, and both facts are evidence about the retained corpus rather than embarrassments to be minimized. The results chapter’s final safeguard is to let the fit statistics speak at the same volume as the coefficients, so that the mixed verdict rests on the whole output and not on a selectively quoted term</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5"/>
    <w:bookmarkEnd w:id="136"/>
    <w:bookmarkStart w:id="149" w:name="chapter-7.-discussion-and-limitations"/>
    <w:p>
      <w:pPr>
        <w:pStyle w:val="Heading1"/>
        <w:spacing w:line="480" w:lineRule="auto"/>
      </w:pPr>
      <w:r>
        <w:t xml:space="preserve">Chapter 7. Discussion and Limitations</w:t>
      </w:r>
    </w:p>
    <w:bookmarkStart w:id="137" w:name="what-the-findings-mean"/>
    <w:p>
      <w:pPr>
        <w:pStyle w:val="Heading2"/>
        <w:spacing w:line="480" w:lineRule="auto"/>
      </w:pPr>
      <w:r>
        <w:t xml:space="preserve">7.1 What the findings mean</w:t>
      </w:r>
    </w:p>
    <w:p>
      <w:pPr>
        <w:pStyle w:val="FirstParagraph"/>
        <w:spacing w:line="480" w:lineRule="auto"/>
      </w:pPr>
      <w:r>
        <w:t xml:space="preserve">The dissertation asked whether the casualty-expectation threshold imprints the structure of a maturing debate on the literature that carries it, and the answer is qualified in a way worth taking seriously. One channel showed real structure. The venue-family coefficient in Paper 1, at -2.0078 with a p-value of 0.0231, established that the threshold topic is expressed most densely in operations-oriented conference work and least densely in policy-economics writing</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other channels did not. Recency and citation attention pointed the predicted way without reaching precision, and citation accumulation showed no measurable age curve at all. The meaning of that pattern is not that the threshold debate is dormant. It is that, in this corpus, the debate is legible where practitioners work and faint where policy abstracts it, and that thirty records cannot resolve the finer temporal structure a fuller design might find.</w:t>
      </w:r>
    </w:p>
    <w:p>
      <w:pPr>
        <w:pStyle w:val="BodyText"/>
        <w:spacing w:line="480" w:lineRule="auto"/>
        <w:ind w:firstLine="720"/>
      </w:pPr>
      <w:r>
        <w:t xml:space="preserve">That reading has a substantive edge for the reentry-risk field. The venue result says the topic lives closest to the operations community, the people who compute footprints and survivability, and thins as it moves toward the policy and economics literature</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If the casualty threshold is a governance instrument, this is a warning: the density of engagement is highest exactly where the instrument is applied and lowest where it might be reconsidered or amended. A round number can persist unamended precisely because the community with the standing to revisit it engages the topic least densely</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dissertation cannot prove that dynamic, but it can show the venue gradient that is consistent with it, and that is a genuine, checkable contribution to how the field understands its own attention.</w:t>
      </w:r>
    </w:p>
    <w:bookmarkEnd w:id="137"/>
    <w:bookmarkStart w:id="138" w:name="Xc3abfd43f40fb602ebae7ed6299a3ac5bb33da6"/>
    <w:p>
      <w:pPr>
        <w:pStyle w:val="Heading2"/>
        <w:spacing w:line="480" w:lineRule="auto"/>
      </w:pPr>
      <w:r>
        <w:t xml:space="preserve">7.2 The venue result deserves careful, not inflated, reading</w:t>
      </w:r>
    </w:p>
    <w:p>
      <w:pPr>
        <w:pStyle w:val="FirstParagraph"/>
        <w:spacing w:line="480" w:lineRule="auto"/>
      </w:pPr>
      <w:r>
        <w:t xml:space="preserve">The one precise finding carries the most risk of overinterpretation, so it deserves the most caution. The venue coefficient is a topic-density relationship, not a quality ranking and not a causal claim. Policy-economics records score lower on the topic-signal counter partly because they treat the theme abstractly and trip the term-hit counter less often, not because they engage the threshold less seriously</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construct measures term presence across four metadata fields, so a record that discusses the threshold profoundly in prose the counter does not capture will score low. The venue gradient is real as a pattern in the constructed variable; whether it reflects genuine differences in substantive engagement or only differences in writing convention is a question the term-hit construct cannot settle. The honest claim is the narrower one: venue family organizes the measured topic signal, and it does so precisely enough to treat as structure.</w:t>
      </w:r>
    </w:p>
    <w:bookmarkEnd w:id="138"/>
    <w:bookmarkStart w:id="139" w:name="X45780bfe7d818fab4a6fe671c641bb19e775c38"/>
    <w:p>
      <w:pPr>
        <w:pStyle w:val="Heading2"/>
        <w:spacing w:line="480" w:lineRule="auto"/>
      </w:pPr>
      <w:r>
        <w:t xml:space="preserve">7.3 Why the imprecise channels are still informative</w:t>
      </w:r>
    </w:p>
    <w:p>
      <w:pPr>
        <w:pStyle w:val="FirstParagraph"/>
        <w:spacing w:line="480" w:lineRule="auto"/>
      </w:pPr>
      <w:r>
        <w:t xml:space="preserve">A weaker discipline would bury the recency and citation coefficients because they missed significance. This design does the opposite and treats them as evidence. Recency entered at 0.0607 with a p-value of 0.6374, and citation at 0.1753 with a p-value of 0.1524. Both are correctly signed under the mechanism, and the citation channel in particular is close enough to conventional thresholds that a larger corpus could plausibly resolve it</w:t>
      </w:r>
      <w:r>
        <w:t xml:space="preserve"> </w:t>
      </w:r>
      <w:hyperlink w:anchor="ref-2">
        <w:r>
          <w:rPr>
            <w:rStyle w:val="Hyperlink"/>
          </w:rPr>
          <w:t xml:space="preserve">[2]</w:t>
        </w:r>
      </w:hyperlink>
      <w:r>
        <w:t xml:space="preserve"> </w:t>
      </w:r>
      <w:hyperlink w:anchor="ref-6">
        <w:r>
          <w:rPr>
            <w:rStyle w:val="Hyperlink"/>
          </w:rPr>
          <w:t xml:space="preserve">[6]</w:t>
        </w:r>
      </w:hyperlink>
      <w:r>
        <w:t xml:space="preserve">. Reporting these as unestablished rather than absent is the correct move: it tells the next study where to look. The recency channel is the weakest and would need either a larger sample or a richer topic construct to become tractable. The citation channel is the most promising unresolved lead, and it is limited primarily by the concentration of index citations in a single venue family, not by the absence of any relationship.</w:t>
      </w:r>
    </w:p>
    <w:p>
      <w:pPr>
        <w:pStyle w:val="BodyText"/>
        <w:spacing w:line="480" w:lineRule="auto"/>
        <w:ind w:firstLine="720"/>
      </w:pPr>
      <w:r>
        <w:t xml:space="preserve">The near-null in Paper 2 carries the same kind of information. The elasticity of -0.2254 with a p-value of 0.3749 and an R-squared of 0.0231 does not show that attention fails to accumulate with age in the reentry-risk literature at large. It shows that this corpus, with citations concentrated in the journal family and most records at the offset floor, cannot reveal an accumulation curve</w:t>
      </w:r>
      <w:r>
        <w:t xml:space="preserve"> </w:t>
      </w:r>
      <w:hyperlink w:anchor="ref-4">
        <w:r>
          <w:rPr>
            <w:rStyle w:val="Hyperlink"/>
          </w:rPr>
          <w:t xml:space="preserve">[4]</w:t>
        </w:r>
      </w:hyperlink>
      <w:r>
        <w:t xml:space="preserve"> </w:t>
      </w:r>
      <w:hyperlink w:anchor="ref-5">
        <w:r>
          <w:rPr>
            <w:rStyle w:val="Hyperlink"/>
          </w:rPr>
          <w:t xml:space="preserve">[5]</w:t>
        </w:r>
      </w:hyperlink>
      <w:r>
        <w:t xml:space="preserve">. A design that widened the citation source beyond the local index would be the direct remedy, and the dissertation names that remedy plainly rather than pretending the flat result is a universal fact.</w:t>
      </w:r>
    </w:p>
    <w:bookmarkEnd w:id="139"/>
    <w:bookmarkStart w:id="140" w:name="threats-to-validity"/>
    <w:p>
      <w:pPr>
        <w:pStyle w:val="Heading2"/>
        <w:spacing w:line="480" w:lineRule="auto"/>
      </w:pPr>
      <w:r>
        <w:t xml:space="preserve">7.4 Threats to validity</w:t>
      </w:r>
    </w:p>
    <w:p>
      <w:pPr>
        <w:pStyle w:val="FirstParagraph"/>
        <w:spacing w:line="480" w:lineRule="auto"/>
      </w:pPr>
      <w:r>
        <w:t xml:space="preserve">Four threats bear on every claim in the results, and each maps to a specific limit of the design. Source selection is the first. The retained corpus is thirty records drawn by a particular retrieval process, and the structure the estimators find is structure within those records, not within the universe of reentry-risk and public-risk literature. A different retrieval could shift the venue mix and, with it, the one precise coefficient</w:t>
      </w:r>
      <w:r>
        <w:t xml:space="preserve"> </w:t>
      </w:r>
      <w:hyperlink w:anchor="ref-5">
        <w:r>
          <w:rPr>
            <w:rStyle w:val="Hyperlink"/>
          </w:rPr>
          <w:t xml:space="preserve">[5]</w:t>
        </w:r>
      </w:hyperlink>
      <w:r>
        <w:t xml:space="preserve"> </w:t>
      </w:r>
      <w:hyperlink w:anchor="ref-7">
        <w:r>
          <w:rPr>
            <w:rStyle w:val="Hyperlink"/>
          </w:rPr>
          <w:t xml:space="preserve">[7]</w:t>
        </w:r>
      </w:hyperlink>
      <w:r>
        <w:t xml:space="preserve">. Proxy measurement is the second. Citation counts come from a local index, not a universal citation database, and venue scores are ordinal; the coefficients speak to these proxies, not to the latent salience they stand in for</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Omitted variables are the third threat. A metadata model cannot include every technical, institutional, or market driver of how the threshold is discussed, so a measured association may carry the weight of an unmeasured one. The venue coefficient in particular may absorb period effects, since venue family and publication era are entangled in the corpus, with conference work spread across the full span and journal citations concentrated in recent years</w:t>
      </w:r>
      <w:r>
        <w:t xml:space="preserve"> </w:t>
      </w:r>
      <w:hyperlink w:anchor="ref-6">
        <w:r>
          <w:rPr>
            <w:rStyle w:val="Hyperlink"/>
          </w:rPr>
          <w:t xml:space="preserve">[6]</w:t>
        </w:r>
      </w:hyperlink>
      <w:r>
        <w:t xml:space="preserve"> </w:t>
      </w:r>
      <w:hyperlink w:anchor="ref-10">
        <w:r>
          <w:rPr>
            <w:rStyle w:val="Hyperlink"/>
          </w:rPr>
          <w:t xml:space="preserve">[10]</w:t>
        </w:r>
      </w:hyperlink>
      <w:r>
        <w:t xml:space="preserve">. Overinterpretation is the fourth and most persistent threat, the tendency of confident prose to outrun modest evidence, and the whole reporting discipline of Chapter 6, exact numbers, conditional language, and explicit p-values, is the guard against it.</w:t>
      </w:r>
    </w:p>
    <w:bookmarkEnd w:id="140"/>
    <w:bookmarkStart w:id="141" w:name="what-the-data-cannot-show"/>
    <w:p>
      <w:pPr>
        <w:pStyle w:val="Heading2"/>
        <w:spacing w:line="480" w:lineRule="auto"/>
      </w:pPr>
      <w:r>
        <w:t xml:space="preserve">7.5 What the data cannot show</w:t>
      </w:r>
    </w:p>
    <w:p>
      <w:pPr>
        <w:pStyle w:val="FirstParagraph"/>
        <w:spacing w:line="480" w:lineRule="auto"/>
      </w:pPr>
      <w:r>
        <w:t xml:space="preserve">Some limits are absolute at this design stage, and naming them is part of the contribution. The data cannot show whether one in ten thousand is the right acceptable-risk level; that is a normative and political question no corpus screen can answer</w:t>
      </w:r>
      <w:r>
        <w:t xml:space="preserve"> </w:t>
      </w:r>
      <w:hyperlink w:anchor="ref-9">
        <w:r>
          <w:rPr>
            <w:rStyle w:val="Hyperlink"/>
          </w:rPr>
          <w:t xml:space="preserve">[9]</w:t>
        </w:r>
      </w:hyperlink>
      <w:r>
        <w:t xml:space="preserve">. The data cannot show a causal path from attention to governance change or back; the design identifies structure, not causation. The data cannot speak to the physical correctness of any survivability or footprint model; it measures how the literature discusses the threshold, not whether the threshold’s underlying computations are sound</w:t>
      </w:r>
      <w:r>
        <w:t xml:space="preserve"> </w:t>
      </w:r>
      <w:hyperlink w:anchor="ref-15">
        <w:r>
          <w:rPr>
            <w:rStyle w:val="Hyperlink"/>
          </w:rPr>
          <w:t xml:space="preserve">[15]</w:t>
        </w:r>
      </w:hyperlink>
      <w:r>
        <w:t xml:space="preserve"> </w:t>
      </w:r>
      <w:hyperlink w:anchor="ref-13">
        <w:r>
          <w:rPr>
            <w:rStyle w:val="Hyperlink"/>
          </w:rPr>
          <w:t xml:space="preserve">[13]</w:t>
        </w:r>
      </w:hyperlink>
      <w:r>
        <w:t xml:space="preserve">. The data cannot generalize beyond the retained corpus, because the sample was not drawn to represent a defined population. These are not apologies. They are the precise coordinates of where a stronger design would have to build.</w:t>
      </w:r>
    </w:p>
    <w:bookmarkEnd w:id="141"/>
    <w:bookmarkStart w:id="142" w:name="the-template-this-leaves-behind"/>
    <w:p>
      <w:pPr>
        <w:pStyle w:val="Heading2"/>
        <w:spacing w:line="480" w:lineRule="auto"/>
      </w:pPr>
      <w:r>
        <w:t xml:space="preserve">7.6 The template this leaves behind</w:t>
      </w:r>
    </w:p>
    <w:p>
      <w:pPr>
        <w:pStyle w:val="FirstParagraph"/>
        <w:spacing w:line="480" w:lineRule="auto"/>
      </w:pPr>
      <w:r>
        <w:t xml:space="preserve">The value of the exercise is partly the specific venue finding and partly the method it demonstrates. A first pass can use retrieved records and metadata to establish whether a governance claim is visible and structured, and to isolate which channel carries the structure. A second pass can add operator-level, mission-level, or regulatory data and a document-coded topic measure that captures conceptual depth rather than term presence. A third pass can test whether the venue association survives period controls, a widened citation source, and a larger sample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present work belongs to the first stage and says so. Its discipline is to replace an intuition, that the casualty threshold is an actively contested governance object, with an auditable finding, that the topic is structured by venue and faint in the policy literature, and to hand the later stages a precise map of what remains to be measured</w:t>
      </w:r>
      <w:r>
        <w:t xml:space="preserve"> </w:t>
      </w:r>
      <w:hyperlink w:anchor="ref-8">
        <w:r>
          <w:rPr>
            <w:rStyle w:val="Hyperlink"/>
          </w:rPr>
          <w:t xml:space="preserve">[8]</w:t>
        </w:r>
      </w:hyperlink>
      <w:r>
        <w:t xml:space="preserve">.</w:t>
      </w:r>
    </w:p>
    <w:bookmarkEnd w:id="142"/>
    <w:bookmarkStart w:id="143" w:name="Xf0d0f75d112d4ca5a849cd769da77851deb883b"/>
    <w:p>
      <w:pPr>
        <w:pStyle w:val="Heading2"/>
        <w:spacing w:line="480" w:lineRule="auto"/>
      </w:pPr>
      <w:r>
        <w:t xml:space="preserve">7.7 The period-effect confound, examined directly</w:t>
      </w:r>
    </w:p>
    <w:p>
      <w:pPr>
        <w:pStyle w:val="FirstParagraph"/>
        <w:spacing w:line="480" w:lineRule="auto"/>
      </w:pPr>
      <w:r>
        <w:t xml:space="preserve">The most serious internal threat to the venue finding is that venue family and publication era are entangled in the corpus, so the discussion owes it a direct examination rather than a passing mention. The journal-family records cluster in the recent window and carry the only index citations; the conference records span the full 2011-to-2022 range and carry none; the policy records concentrate in a single year band</w:t>
      </w:r>
      <w:r>
        <w:t xml:space="preserve"> </w:t>
      </w:r>
      <w:hyperlink w:anchor="ref-3">
        <w:r>
          <w:rPr>
            <w:rStyle w:val="Hyperlink"/>
          </w:rPr>
          <w:t xml:space="preserve">[3]</w:t>
        </w:r>
      </w:hyperlink>
      <w:r>
        <w:t xml:space="preserve"> </w:t>
      </w:r>
      <w:hyperlink w:anchor="ref-6">
        <w:r>
          <w:rPr>
            <w:rStyle w:val="Hyperlink"/>
          </w:rPr>
          <w:t xml:space="preserve">[6]</w:t>
        </w:r>
      </w:hyperlink>
      <w:r>
        <w:t xml:space="preserve">. Because of this, a coefficient the model attributes to venue could in principle be carrying an era effect: if the topic-signal construct happened to score recent work lower for reasons unrelated to venue, the venue coefficient would absorb that pattern. The dissertation cannot fully separate the two channels at this sample size, and it says so.</w:t>
      </w:r>
    </w:p>
    <w:p>
      <w:pPr>
        <w:pStyle w:val="BodyText"/>
        <w:spacing w:line="480" w:lineRule="auto"/>
        <w:ind w:firstLine="720"/>
      </w:pPr>
      <w:r>
        <w:t xml:space="preserve">Two considerations keep the venue reading credible despite the confound, and both are offered as arguments rather than proofs. First, the recency channel in Paper 1 is itself insignificant, which means the corpus does not show a strong independent time gradient in the topic signal for the venue coefficient to be secretly carrying</w:t>
      </w:r>
      <w:r>
        <w:t xml:space="preserve"> </w:t>
      </w:r>
      <w:hyperlink w:anchor="ref-2">
        <w:r>
          <w:rPr>
            <w:rStyle w:val="Hyperlink"/>
          </w:rPr>
          <w:t xml:space="preserve">[2]</w:t>
        </w:r>
      </w:hyperlink>
      <w:r>
        <w:t xml:space="preserve">. If a large era effect existed, one would expect recency to register it, and it does not. Second, the venue effect runs in the direction the selection theory of Chapter 3 predicted in advance, from dense operations-conference engagement to sparse policy engagement, which is a content-based prediction that an era artifact would have no reason to reproduce</w:t>
      </w:r>
      <w:r>
        <w:t xml:space="preserve"> </w:t>
      </w:r>
      <w:hyperlink w:anchor="ref-7">
        <w:r>
          <w:rPr>
            <w:rStyle w:val="Hyperlink"/>
          </w:rPr>
          <w:t xml:space="preserve">[7]</w:t>
        </w:r>
      </w:hyperlink>
      <w:r>
        <w:t xml:space="preserve">. Neither consideration is decisive, and Chapter 8 names period controls as a required next step, but together they make the substantive reading more plausible than the artifactual one.</w:t>
      </w:r>
    </w:p>
    <w:bookmarkEnd w:id="143"/>
    <w:bookmarkStart w:id="144" w:name="Xe0ebf1295c883fda93a5591d66ed728677812bb"/>
    <w:p>
      <w:pPr>
        <w:pStyle w:val="Heading2"/>
        <w:spacing w:line="480" w:lineRule="auto"/>
      </w:pPr>
      <w:r>
        <w:t xml:space="preserve">7.8 Small-sample fragility and the risk of a false negative</w:t>
      </w:r>
    </w:p>
    <w:p>
      <w:pPr>
        <w:pStyle w:val="FirstParagraph"/>
        <w:spacing w:line="480" w:lineRule="auto"/>
      </w:pPr>
      <w:r>
        <w:t xml:space="preserve">The discussion has emphasized the risk of overreading the one significant coefficient, but the opposite error deserves equal attention: the risk that the three imprecise channels are false negatives produced by a small corpus rather than genuine absences. With thirty records, statistical power is low, and a channel with a real but modest effect could easily fail to reach conventional precision</w:t>
      </w:r>
      <w:r>
        <w:t xml:space="preserve"> </w:t>
      </w:r>
      <w:hyperlink w:anchor="ref-5">
        <w:r>
          <w:rPr>
            <w:rStyle w:val="Hyperlink"/>
          </w:rPr>
          <w:t xml:space="preserve">[5]</w:t>
        </w:r>
      </w:hyperlink>
      <w:r>
        <w:t xml:space="preserve">. The citation channel is the clearest candidate. At coefficient 0.1753 and p = 0.1524, it is close enough to the conventional bar that a moderately larger corpus with better citation coverage could plausibly resolve it as a genuine effect. Reporting it as unestablished is correct, but reading it as proof of no relationship would be a mistake, and the discussion is careful to make that distinction.</w:t>
      </w:r>
    </w:p>
    <w:p>
      <w:pPr>
        <w:pStyle w:val="BodyText"/>
        <w:spacing w:line="480" w:lineRule="auto"/>
        <w:ind w:firstLine="720"/>
      </w:pPr>
      <w:r>
        <w:t xml:space="preserve">The accumulation channel in Paper 2 is different in kind, and the fragility argument applies to it less. Its near-null is not merely a matter of low power; it is structural, driven by the concentration of index citations in a single venue family that leaves the age axis populated mostly by records at the offset floor</w:t>
      </w:r>
      <w:r>
        <w:t xml:space="preserve"> </w:t>
      </w:r>
      <w:hyperlink w:anchor="ref-4">
        <w:r>
          <w:rPr>
            <w:rStyle w:val="Hyperlink"/>
          </w:rPr>
          <w:t xml:space="preserve">[4]</w:t>
        </w:r>
      </w:hyperlink>
      <w:r>
        <w:t xml:space="preserve"> </w:t>
      </w:r>
      <w:hyperlink w:anchor="ref-6">
        <w:r>
          <w:rPr>
            <w:rStyle w:val="Hyperlink"/>
          </w:rPr>
          <w:t xml:space="preserve">[6]</w:t>
        </w:r>
      </w:hyperlink>
      <w:r>
        <w:t xml:space="preserve">. A larger corpus drawn from the same thin citation source would not fix this; only a wider citation source would. Distinguishing the two kinds of imprecision, the citation channel’s recoverable weakness and the accumulation channel’s structural starvation, is one of the more useful things the discussion can offer the next design, because the two call for different remedies.</w:t>
      </w:r>
    </w:p>
    <w:bookmarkEnd w:id="144"/>
    <w:bookmarkStart w:id="145" w:name="Xffd23fe63c18493c75e8f300a70e4fdff76e8e2"/>
    <w:p>
      <w:pPr>
        <w:pStyle w:val="Heading2"/>
        <w:spacing w:line="480" w:lineRule="auto"/>
      </w:pPr>
      <w:r>
        <w:t xml:space="preserve">7.9 What a governance audience should and should not take away</w:t>
      </w:r>
    </w:p>
    <w:p>
      <w:pPr>
        <w:pStyle w:val="FirstParagraph"/>
        <w:spacing w:line="480" w:lineRule="auto"/>
      </w:pPr>
      <w:r>
        <w:t xml:space="preserve">Because the topic is a live governance concern, it is worth stating carefully what a policy reader is entitled to conclude. A governance audience may take away that engagement with the casualty threshold is measurably concentrated in the operations community and measurably thinner in the policy-economics literature, and that this pattern is precise and large in the retained corpus</w:t>
      </w:r>
      <w:r>
        <w:t xml:space="preserve"> </w:t>
      </w:r>
      <w:hyperlink w:anchor="ref-1">
        <w:r>
          <w:rPr>
            <w:rStyle w:val="Hyperlink"/>
          </w:rPr>
          <w:t xml:space="preserve">[1]</w:t>
        </w:r>
      </w:hyperlink>
      <w:r>
        <w:t xml:space="preserve"> </w:t>
      </w:r>
      <w:hyperlink w:anchor="ref-7">
        <w:r>
          <w:rPr>
            <w:rStyle w:val="Hyperlink"/>
          </w:rPr>
          <w:t xml:space="preserve">[7]</w:t>
        </w:r>
      </w:hyperlink>
      <w:r>
        <w:t xml:space="preserve">. That is a real, checkable observation about where the field’s attention to the instrument sits, and it is consistent with the long-standing academia-to-operations adoption gap the coordination literature has described</w:t>
      </w:r>
      <w:r>
        <w:t xml:space="preserve"> </w:t>
      </w:r>
      <w:hyperlink w:anchor="ref-5">
        <w:r>
          <w:rPr>
            <w:rStyle w:val="Hyperlink"/>
          </w:rPr>
          <w:t xml:space="preserve">[5]</w:t>
        </w:r>
      </w:hyperlink>
      <w:r>
        <w:t xml:space="preserve">. A governance audience may also take away that the retained evidence does not show a strong recency surge or a citation-accumulation curve, so claims that the threshold debate is decisively intensifying should be made cautiously, if at all, on this evidence.</w:t>
      </w:r>
    </w:p>
    <w:p>
      <w:pPr>
        <w:pStyle w:val="BodyText"/>
        <w:spacing w:line="480" w:lineRule="auto"/>
        <w:ind w:firstLine="720"/>
      </w:pPr>
      <w:r>
        <w:t xml:space="preserve">A governance audience should not take away any conclusion about the correct acceptable-risk level, which no corpus screen can address, and should not read the venue gradient as evidence that policy engagement is deficient rather than merely differently framed</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reentry-risk literature independently documents that the governed risk is growing, from the unnecessary-risk critique to the recent worrying-growth assessments and the aviation-safety extension, and that substantive concern stands on its own footing regardless of this dissertation’s corpus finding</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discussion’s role is to keep the measured result and the substantive concern in their proper relation: the corpus finding describes where the field talks about the threshold, and the reentry-risk literature describes why the threshold matters. Confusing the two would be the most damaging misreading, and the chapter closes by keeping them apart</w:t>
      </w:r>
      <w:r>
        <w:t xml:space="preserve"> </w:t>
      </w:r>
      <w:hyperlink w:anchor="ref-8">
        <w:r>
          <w:rPr>
            <w:rStyle w:val="Hyperlink"/>
          </w:rPr>
          <w:t xml:space="preserve">[8]</w:t>
        </w:r>
      </w:hyperlink>
      <w:r>
        <w:t xml:space="preserve">.</w:t>
      </w:r>
    </w:p>
    <w:bookmarkEnd w:id="145"/>
    <w:bookmarkStart w:id="146" w:name="Xbde4fdf855d17d2af51ed0b2004458d3e3f1f78"/>
    <w:p>
      <w:pPr>
        <w:pStyle w:val="Heading2"/>
        <w:spacing w:line="480" w:lineRule="auto"/>
      </w:pPr>
      <w:r>
        <w:t xml:space="preserve">7.10 The topic-signal construct under scrutiny</w:t>
      </w:r>
    </w:p>
    <w:p>
      <w:pPr>
        <w:pStyle w:val="FirstParagraph"/>
        <w:spacing w:line="480" w:lineRule="auto"/>
      </w:pPr>
      <w:r>
        <w:t xml:space="preserve">The topic-signal score carries the outcome of the study’s one precise finding, so it deserves a harder look than a passing validity note. The construct counts theme-term hits across four metadata fields, and its central vulnerability is that term presence and conceptual engagement can come apart in both directions. A record can name the reentry-risk and public-risk terms densely while treating them shallowly, inflating its score, and a record can engage the threshold profoundly in prose that uses different vocabulary, deflating its score</w:t>
      </w:r>
      <w:r>
        <w:t xml:space="preserve"> </w:t>
      </w:r>
      <w:hyperlink w:anchor="ref-2">
        <w:r>
          <w:rPr>
            <w:rStyle w:val="Hyperlink"/>
          </w:rPr>
          <w:t xml:space="preserve">[2]</w:t>
        </w:r>
      </w:hyperlink>
      <w:r>
        <w:t xml:space="preserve"> </w:t>
      </w:r>
      <w:hyperlink w:anchor="ref-3">
        <w:r>
          <w:rPr>
            <w:rStyle w:val="Hyperlink"/>
          </w:rPr>
          <w:t xml:space="preserve">[3]</w:t>
        </w:r>
      </w:hyperlink>
      <w:r>
        <w:t xml:space="preserve">. If either divergence is systematic across venue families, the venue coefficient would be measuring a writing-convention difference rather than an engagement difference. The discussion cannot rule this out, and it does not pretend to.</w:t>
      </w:r>
    </w:p>
    <w:p>
      <w:pPr>
        <w:pStyle w:val="BodyText"/>
        <w:spacing w:line="480" w:lineRule="auto"/>
        <w:ind w:firstLine="720"/>
      </w:pPr>
      <w:r>
        <w:t xml:space="preserve">What the discussion can offer is a bounded defense. The face-validity check described in the data chapter showed that the construct’s ordering is broadly faithful at the extremes, with high scores attaching to records a human reader would also judge to be squarely about reentry casualty risk</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That does not guarantee fidelity in the middle of the distribution, but it makes a wholesale artifact less likely. The stronger response is deferral: the remedy for construct doubt is a document-coded topic measure that captures conceptual depth, and Chapter 8 names it as a required next step. The venue finding is offered as a result on the term-presence construct, explicitly labeled that way, and its interpretation is held to what that construct can bear rather than being quietly upgraded into a claim about engagement depth</w:t>
      </w:r>
      <w:r>
        <w:t xml:space="preserve"> </w:t>
      </w:r>
      <w:hyperlink w:anchor="ref-8">
        <w:r>
          <w:rPr>
            <w:rStyle w:val="Hyperlink"/>
          </w:rPr>
          <w:t xml:space="preserve">[8]</w:t>
        </w:r>
      </w:hyperlink>
      <w:r>
        <w:t xml:space="preserve">.</w:t>
      </w:r>
    </w:p>
    <w:bookmarkEnd w:id="146"/>
    <w:bookmarkStart w:id="147" w:name="X03060934504e5aed471cda65d69159f3969879c"/>
    <w:p>
      <w:pPr>
        <w:pStyle w:val="Heading2"/>
        <w:spacing w:line="480" w:lineRule="auto"/>
      </w:pPr>
      <w:r>
        <w:t xml:space="preserve">7.11 Comparison with how the source literature handles its own limits</w:t>
      </w:r>
    </w:p>
    <w:p>
      <w:pPr>
        <w:pStyle w:val="FirstParagraph"/>
        <w:spacing w:line="480" w:lineRule="auto"/>
      </w:pPr>
      <w:r>
        <w:t xml:space="preserve">It is instructive that the reentry-risk literature this dissertation draws on is itself unusually candid about its limits, and the discussion benefits from situating its caution alongside that of its sources. The sensitivity analysis of debris-assessment-software collision-probability estimates is built around the admission that the governing risk number moves substantially under changes in modeling assumptions, and it treats that movement as a primary result rather than a caveat</w:t>
      </w:r>
      <w:r>
        <w:t xml:space="preserve"> </w:t>
      </w:r>
      <w:hyperlink w:anchor="ref-3">
        <w:r>
          <w:rPr>
            <w:rStyle w:val="Hyperlink"/>
          </w:rPr>
          <w:t xml:space="preserve">[3]</w:t>
        </w:r>
      </w:hyperlink>
      <w:r>
        <w:t xml:space="preserve">. The observation-strategy work on reentry prediction foregrounds how much the estimate depends on tracking geometry, again making uncertainty the subject rather than the footnote</w:t>
      </w:r>
      <w:r>
        <w:t xml:space="preserve"> </w:t>
      </w:r>
      <w:hyperlink w:anchor="ref-4">
        <w:r>
          <w:rPr>
            <w:rStyle w:val="Hyperlink"/>
          </w:rPr>
          <w:t xml:space="preserve">[4]</w:t>
        </w:r>
      </w:hyperlink>
      <w:r>
        <w:t xml:space="preserve">. The recent assessments of whether reentry-risk growth is worrying frame their own conclusions as conditional on the trend data available and open to revision</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candor in the source literature is a model the dissertation deliberately follows. A study that governs, or studies, a growing physical risk earns trust by displaying its uncertainty, not by concealing it, and the engineering literature the corpus contains demonstrates that norm repeatedly</w:t>
      </w:r>
      <w:r>
        <w:t xml:space="preserve"> </w:t>
      </w:r>
      <w:hyperlink w:anchor="ref-15">
        <w:r>
          <w:rPr>
            <w:rStyle w:val="Hyperlink"/>
          </w:rPr>
          <w:t xml:space="preserve">[15]</w:t>
        </w:r>
      </w:hyperlink>
      <w:r>
        <w:t xml:space="preserve"> </w:t>
      </w:r>
      <w:hyperlink w:anchor="ref-12">
        <w:r>
          <w:rPr>
            <w:rStyle w:val="Hyperlink"/>
          </w:rPr>
          <w:t xml:space="preserve">[12]</w:t>
        </w:r>
      </w:hyperlink>
      <w:r>
        <w:t xml:space="preserve">. The discussion’s insistence on reporting three unresolved channels alongside one precise one is the same norm applied at the document level. The dissertation does not treat its mixed result as a weakness to be minimized; it treats it as the honest output of a falsifiable design, in the same spirit that the reentry-risk literature treats its own modeling uncertainty as a finding. Matching that norm is part of how a document-level study earns a place alongside the physical literature it examines, and it is the posture the discussion carries into the conclusion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7"/>
    <w:bookmarkStart w:id="148" w:name="Xed0cbe95e4a60bcb1b02b348c763e8a7546568d"/>
    <w:p>
      <w:pPr>
        <w:pStyle w:val="Heading2"/>
        <w:spacing w:line="480" w:lineRule="auto"/>
      </w:pPr>
      <w:r>
        <w:t xml:space="preserve">7.12 The limits of the venue ordinal as a governance signal</w:t>
      </w:r>
    </w:p>
    <w:p>
      <w:pPr>
        <w:pStyle w:val="FirstParagraph"/>
        <w:spacing w:line="480" w:lineRule="auto"/>
      </w:pPr>
      <w:r>
        <w:t xml:space="preserve">A last limitation deserves explicit treatment because it bears on the governance reading most directly. The venue-family score is an ordinal ranking of three publishing families, and the discussion has already cautioned that it is not a cardinal quality measure. There is a further subtlety: the ordinal ranking presumes that the three families sit on a single dimension running from applied operations to abstract policy, when the real publishing landscape is richer and partly two-dimensional</w:t>
      </w:r>
      <w:r>
        <w:t xml:space="preserve"> </w:t>
      </w:r>
      <w:hyperlink w:anchor="ref-3">
        <w:r>
          <w:rPr>
            <w:rStyle w:val="Hyperlink"/>
          </w:rPr>
          <w:t xml:space="preserve">[3]</w:t>
        </w:r>
      </w:hyperlink>
      <w:r>
        <w:t xml:space="preserve"> </w:t>
      </w:r>
      <w:hyperlink w:anchor="ref-8">
        <w:r>
          <w:rPr>
            <w:rStyle w:val="Hyperlink"/>
          </w:rPr>
          <w:t xml:space="preserve">[8]</w:t>
        </w:r>
      </w:hyperlink>
      <w:r>
        <w:t xml:space="preserve">. A policy-economics document can be highly applied, and an operations-conference paper can be quite abstract, so compressing the families onto one ordinal axis loses information that a finer venue taxonomy would keep. The venue coefficient is a relationship with that compressed axis, and its governance reading, that engagement thins from operations toward policy, is only as good as the compression.</w:t>
      </w:r>
    </w:p>
    <w:p>
      <w:pPr>
        <w:pStyle w:val="BodyText"/>
        <w:spacing w:line="480" w:lineRule="auto"/>
        <w:ind w:firstLine="720"/>
      </w:pPr>
      <w:r>
        <w:t xml:space="preserve">The discussion accepts this limit and reads the venue result accordingly, as a coarse but real gradient rather than a precise topology of the field’s attention</w:t>
      </w:r>
      <w:r>
        <w:t xml:space="preserve"> </w:t>
      </w:r>
      <w:hyperlink w:anchor="ref-2">
        <w:r>
          <w:rPr>
            <w:rStyle w:val="Hyperlink"/>
          </w:rPr>
          <w:t xml:space="preserve">[2]</w:t>
        </w:r>
      </w:hyperlink>
      <w:r>
        <w:t xml:space="preserve">. The remedy is a richer venue coding that separates applied-versus-abstract framing from operations-versus-policy institutional home, which a larger corpus could support. Until then, the governance inference stays at the level the ordinal permits: the topic is worked most densely at the applied-operations end of the corpus and least densely at the abstract-policy end, and that gradient is consistent with the academia-to-operations adoption gap the coordination literature describes, without resolving its finer structure</w:t>
      </w:r>
      <w:r>
        <w:t xml:space="preserve"> </w:t>
      </w:r>
      <w:hyperlink w:anchor="ref-5">
        <w:r>
          <w:rPr>
            <w:rStyle w:val="Hyperlink"/>
          </w:rPr>
          <w:t xml:space="preserve">[5]</w:t>
        </w:r>
      </w:hyperlink>
      <w:r>
        <w:t xml:space="preserve"> </w:t>
      </w:r>
      <w:hyperlink w:anchor="ref-7">
        <w:r>
          <w:rPr>
            <w:rStyle w:val="Hyperlink"/>
          </w:rPr>
          <w:t xml:space="preserve">[7]</w:t>
        </w:r>
      </w:hyperlink>
      <w:r>
        <w:t xml:space="preserve">. Naming the ordinal’s coarseness is the discussion’s final act of scope discipline, and it hands Chapter 8 a clean statement of exactly which refinement the venue finding most needs.</w:t>
      </w:r>
    </w:p>
    <w:bookmarkEnd w:id="148"/>
    <w:bookmarkEnd w:id="149"/>
    <w:bookmarkStart w:id="190" w:name="chapter-8.-conclusions-and-implications"/>
    <w:p>
      <w:pPr>
        <w:pStyle w:val="Heading1"/>
        <w:spacing w:line="480" w:lineRule="auto"/>
      </w:pPr>
      <w:r>
        <w:t xml:space="preserve">Chapter 8. Conclusions and Implications</w:t>
      </w:r>
    </w:p>
    <w:bookmarkStart w:id="150" w:name="the-contribution-stated-plainly"/>
    <w:p>
      <w:pPr>
        <w:pStyle w:val="Heading2"/>
        <w:spacing w:line="480" w:lineRule="auto"/>
      </w:pPr>
      <w:r>
        <w:t xml:space="preserve">8.1 The contribution, stated plainly</w:t>
      </w:r>
    </w:p>
    <w:p>
      <w:pPr>
        <w:pStyle w:val="FirstParagraph"/>
        <w:spacing w:line="480" w:lineRule="auto"/>
      </w:pPr>
      <w:r>
        <w:t xml:space="preserve">This dissertation takes the one-in-ten-thousand casualty-expectation threshold from a broad domain intuition to a reproducible, falsifiable, document-level test, and it reports the test’s mixed answer without inflation. The contribution is one clean finding wrapped in an auditable method. The finding is that the threshold topic is organized by venue family: it is expressed most densely in operations-oriented conference work and least densely in policy-economics writing, a pattern precise enough at -2.0078 with a p-value of 0.0231 to treat as corpus structure rather than noise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method is the reproducible chain from source selection to variable construction to estimator output to conditional interpretation, demonstrated on a governance question where such chains are usually absent</w:t>
      </w:r>
      <w:r>
        <w:t xml:space="preserve"> </w:t>
      </w:r>
      <w:hyperlink w:anchor="ref-5">
        <w:r>
          <w:rPr>
            <w:rStyle w:val="Hyperlink"/>
          </w:rPr>
          <w:t xml:space="preserve">[5]</w:t>
        </w:r>
      </w:hyperlink>
      <w:r>
        <w:t xml:space="preserve">. Both halves are the contribution. A field that repeats a round number without interrogation gains something from a study that shows exactly how that number’s topic is distributed across the literature that invokes it.</w:t>
      </w:r>
    </w:p>
    <w:bookmarkEnd w:id="150"/>
    <w:bookmarkStart w:id="151" w:name="what-the-two-papers-established"/>
    <w:p>
      <w:pPr>
        <w:pStyle w:val="Heading2"/>
        <w:spacing w:line="480" w:lineRule="auto"/>
      </w:pPr>
      <w:r>
        <w:t xml:space="preserve">8.2 What the two papers established</w:t>
      </w:r>
    </w:p>
    <w:p>
      <w:pPr>
        <w:pStyle w:val="FirstParagraph"/>
        <w:spacing w:line="480" w:lineRule="auto"/>
      </w:pPr>
      <w:r>
        <w:t xml:space="preserve">The first paper established that cross-sectional structure exists in the retained corpus, but that it lives in one channel rather than three. Paper 1’s ordinary least squares model, over thirty records with robust HC1 standard errors, returned N = 30, R-squared = 0.2324, F = 2.038 with F p-value = 0.1331, and term estimates of const 8.6368 (p = 5.0e-08), recency_index 0.0607 (p = 0.6374), cites_num 0.1753 (p = 0.1524), and venue_score -2.0078 (p = 0.0231). Only venue cleared conventional precision. Recency and citation pointed the predicted way and did not reach it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second paper established the boundary of what the corpus can show over time. Paper 2’s log-log learning curve returned N = 30, R-squared = 0.0231, a slope elasticity of -0.2254 with a p-value of 0.3749, a progress ratio of 0.8554, and an intercept of 0.8853 (p = 0.0764). Citation accumulation showed no measurable age curve. The two results are not interchangeable and their value is cumulative. One says the topic’s expression is structured by venue; the other says its citation attention has no legible temporal shape in this data. Together they draw a precise line between what thirty retrieved records can and cannot reveal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51"/>
    <w:bookmarkStart w:id="152" w:name="X5cbc196d21938a1ff83a21749126b89e63e48c9"/>
    <w:p>
      <w:pPr>
        <w:pStyle w:val="Heading2"/>
        <w:spacing w:line="480" w:lineRule="auto"/>
      </w:pPr>
      <w:r>
        <w:t xml:space="preserve">8.3 Relevance to launch and reentry governance</w:t>
      </w:r>
    </w:p>
    <w:p>
      <w:pPr>
        <w:pStyle w:val="FirstParagraph"/>
        <w:spacing w:line="480" w:lineRule="auto"/>
      </w:pPr>
      <w:r>
        <w:t xml:space="preserve">The venue finding has a direct governance reading, offered as a considered inference rather than a proven mechanism. If engagement with the casualty threshold is densest in the operations community and thinnest in the policy and economics literature, then the instrument is best understood by the people who apply it and least examined by those positioned to revise 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That asymmetry is one plausible reason a threshold can persist unamended while the physical risk it governs grows. The reentry-risk literature has documented that growth, from the rocket-body critique of unnecessary uncontrolled reentries to the recent assessments of ground and airspace risk, and it has begun to extend the concern into aviation safety</w:t>
      </w:r>
      <w:r>
        <w:t xml:space="preserve"> </w:t>
      </w:r>
      <w:hyperlink w:anchor="ref-1">
        <w:r>
          <w:rPr>
            <w:rStyle w:val="Hyperlink"/>
          </w:rPr>
          <w:t xml:space="preserve">[1]</w:t>
        </w:r>
      </w:hyperlink>
      <w:r>
        <w:t xml:space="preserve"> </w:t>
      </w:r>
      <w:hyperlink w:anchor="ref-10">
        <w:r>
          <w:rPr>
            <w:rStyle w:val="Hyperlink"/>
          </w:rPr>
          <w:t xml:space="preserve">[10]</w:t>
        </w:r>
      </w:hyperlink>
      <w:r>
        <w:t xml:space="preserve">. A governance system that wanted to revisit the threshold on the strength of that evidence would first need to close the engagement gap this dissertation measures, drawing the policy literature into a topic the operations literature already carries densely.</w:t>
      </w:r>
    </w:p>
    <w:p>
      <w:pPr>
        <w:pStyle w:val="BodyText"/>
        <w:spacing w:line="480" w:lineRule="auto"/>
        <w:ind w:firstLine="720"/>
      </w:pPr>
      <w:r>
        <w:t xml:space="preserve">There is a second, discipline-level implication. Space governance debates routinely turn on claims of rising salience that no one checks. This study offers a template for checking them: convert the claim into observable channels, estimate the structure, and report which channels hold and which do not</w:t>
      </w:r>
      <w:r>
        <w:t xml:space="preserve"> </w:t>
      </w:r>
      <w:hyperlink w:anchor="ref-5">
        <w:r>
          <w:rPr>
            <w:rStyle w:val="Hyperlink"/>
          </w:rPr>
          <w:t xml:space="preserve">[5]</w:t>
        </w:r>
      </w:hyperlink>
      <w:r>
        <w:t xml:space="preserve"> </w:t>
      </w:r>
      <w:hyperlink w:anchor="ref-7">
        <w:r>
          <w:rPr>
            <w:rStyle w:val="Hyperlink"/>
          </w:rPr>
          <w:t xml:space="preserve">[7]</w:t>
        </w:r>
      </w:hyperlink>
      <w:r>
        <w:t xml:space="preserve">. A claim that survives that screen is stronger than an impressionistic one; a claim that fails it, as the recency and accumulation channels did here, prevents premature confidence. Both outcomes serve the field, and a research pipeline that produces them at scale would raise the evidentiary floor under space-policy argument.</w:t>
      </w:r>
    </w:p>
    <w:bookmarkEnd w:id="152"/>
    <w:bookmarkStart w:id="153" w:name="future-work"/>
    <w:p>
      <w:pPr>
        <w:pStyle w:val="Heading2"/>
        <w:spacing w:line="480" w:lineRule="auto"/>
      </w:pPr>
      <w:r>
        <w:t xml:space="preserve">8.4 Future work</w:t>
      </w:r>
    </w:p>
    <w:p>
      <w:pPr>
        <w:pStyle w:val="FirstParagraph"/>
        <w:spacing w:line="480" w:lineRule="auto"/>
      </w:pPr>
      <w:r>
        <w:t xml:space="preserve">The next stage follows directly from the limits Chapter 7 named. First, widen the citation source beyond the local index. The near-null in Paper 2 and the imprecise citation channel in Paper 1 are both constrained by citations concentrating in a single venue family, and a universal citation database would let the citation and accumulation questions be re-asked on a fuller distribution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Second, replace the term-hit topic construct with a document-coded measure that captures conceptual engagement rather than term presence, which would test whether the venue gradient reflects genuine differences in substantive engagement or only differences in writing convention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 Third, enlarge the corpus well beyond thirty records and add period controls, so that the venue coefficient can be separated from the era effects it may currently absorb</w:t>
      </w:r>
      <w:r>
        <w:t xml:space="preserve"> </w:t>
      </w:r>
      <w:hyperlink w:anchor="ref-5">
        <w:r>
          <w:rPr>
            <w:rStyle w:val="Hyperlink"/>
          </w:rPr>
          <w:t xml:space="preserve">[5]</w:t>
        </w:r>
      </w:hyperlink>
      <w:r>
        <w:t xml:space="preserve">. Fourth, extend the design from corpus structure toward the governance outcome itself, linking documentary attention to observable regulatory events, which is the step that would move the work from measured structure toward the causal question the threshold ultimately poses</w:t>
      </w:r>
      <w:r>
        <w:t xml:space="preserve"> </w:t>
      </w:r>
      <w:hyperlink w:anchor="ref-7">
        <w:r>
          <w:rPr>
            <w:rStyle w:val="Hyperlink"/>
          </w:rPr>
          <w:t xml:space="preserve">[7]</w:t>
        </w:r>
      </w:hyperlink>
      <w:r>
        <w:t xml:space="preserve">.</w:t>
      </w:r>
    </w:p>
    <w:bookmarkEnd w:id="153"/>
    <w:bookmarkStart w:id="154" w:name="a-measured-closing"/>
    <w:p>
      <w:pPr>
        <w:pStyle w:val="Heading2"/>
        <w:spacing w:line="480" w:lineRule="auto"/>
      </w:pPr>
      <w:r>
        <w:t xml:space="preserve">8.5 A measured closing</w:t>
      </w:r>
    </w:p>
    <w:p>
      <w:pPr>
        <w:pStyle w:val="FirstParagraph"/>
        <w:spacing w:line="480" w:lineRule="auto"/>
      </w:pPr>
      <w:r>
        <w:t xml:space="preserve">The dissertation does not prove more than its artifacts support, and that restraint is the point. It shows that the casualty-expectation threshold can be tested as a document-level object rather than asserted as a policy intuition. It shows that the topic carries interpretable structure, organized by venue and faint in the policy literature. It shows, with equal clarity, where the retained evidence runs out: recency, citation, and temporal accumulation remain open at this sample size. That combination, a precise finding, a set of honestly unresolved channels, and an auditable pathway from source to estimate, is a legitimate doctoral contribution. It replaces an intuition with a reproducible test and hands the next study a precise map of what still needs to be measured</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For Roland Lund (1B-INF-178), the project also establishes a durable research program. The baseline is set: a venue-structured topic, a falsifiable design, and a named sequence of stronger tests. The casualty threshold governs a risk that the reentry-risk literature agrees is growing, and the question of whether the governing number is a considered boundary or a persistent placeholder is now, at least, a question that can be pursued with evidence rather than assertion.</w:t>
      </w:r>
    </w:p>
    <w:bookmarkEnd w:id="154"/>
    <w:bookmarkStart w:id="155" w:name="X6600dec25e68e3b07ec2184f95b3f4fa4315007"/>
    <w:p>
      <w:pPr>
        <w:pStyle w:val="Heading2"/>
        <w:spacing w:line="480" w:lineRule="auto"/>
      </w:pPr>
      <w:r>
        <w:t xml:space="preserve">8.6 The threshold as a governance object worth naming</w:t>
      </w:r>
    </w:p>
    <w:p>
      <w:pPr>
        <w:pStyle w:val="FirstParagraph"/>
        <w:spacing w:line="480" w:lineRule="auto"/>
      </w:pPr>
      <w:r>
        <w:t xml:space="preserve">It is worth being precise about what kind of object the casualty-expectation threshold is, because the answer shapes why a document-level study of it is legitimate rather than trivial. The threshold is not a law of physics and not a purely technical constant. It is a negotiated tolerance, a number at which a continuous engineering estimate is declared acceptable or unacceptable by an institution with the authority to permit or forbid a launch. That gives it a dual nature. It is quantitative enough to be computed against, and it is conventional enough to be contested. Objects with that dual nature are exactly the ones that benefit from being examined as they appear in a literature, because the literature is where the negotiation and the computation coexist</w:t>
      </w:r>
      <w:r>
        <w:t xml:space="preserve"> </w:t>
      </w:r>
      <w:hyperlink w:anchor="ref-5">
        <w:r>
          <w:rPr>
            <w:rStyle w:val="Hyperlink"/>
          </w:rPr>
          <w:t xml:space="preserve">[5]</w:t>
        </w:r>
      </w:hyperlink>
      <w:r>
        <w:t xml:space="preserve"> </w:t>
      </w:r>
      <w:hyperlink w:anchor="ref-9">
        <w:r>
          <w:rPr>
            <w:rStyle w:val="Hyperlink"/>
          </w:rPr>
          <w:t xml:space="preserve">[9]</w:t>
        </w:r>
      </w:hyperlink>
      <w:r>
        <w:t xml:space="preserve">. A survivability experiment tells us what the physical world does under a heat pulse</w:t>
      </w:r>
      <w:r>
        <w:t xml:space="preserve"> </w:t>
      </w:r>
      <w:hyperlink w:anchor="ref-15">
        <w:r>
          <w:rPr>
            <w:rStyle w:val="Hyperlink"/>
          </w:rPr>
          <w:t xml:space="preserve">[15]</w:t>
        </w:r>
      </w:hyperlink>
      <w:r>
        <w:t xml:space="preserve">. A licensing decision tells us what an institution will tolerate. The threshold sits between them, and a corpus screen is a way to see how the field holds the two together.</w:t>
      </w:r>
    </w:p>
    <w:p>
      <w:pPr>
        <w:pStyle w:val="BodyText"/>
        <w:spacing w:line="480" w:lineRule="auto"/>
        <w:ind w:firstLine="720"/>
      </w:pPr>
      <w:r>
        <w:t xml:space="preserve">The reentry-risk literature has, in recent years, begun to press on that seam directly. The uncontrolled-reentry critique argues that much of the casualty burden the threshold tolerates is avoidable through controlled deorbit or design-for-demise, which reframes the threshold from a passive tolerance into an active choice not to mitigate</w:t>
      </w:r>
      <w:r>
        <w:t xml:space="preserve"> </w:t>
      </w:r>
      <w:hyperlink w:anchor="ref-1">
        <w:r>
          <w:rPr>
            <w:rStyle w:val="Hyperlink"/>
          </w:rPr>
          <w:t xml:space="preserve">[1]</w:t>
        </w:r>
      </w:hyperlink>
      <w:r>
        <w:t xml:space="preserve"> </w:t>
      </w:r>
      <w:hyperlink w:anchor="ref-13">
        <w:r>
          <w:rPr>
            <w:rStyle w:val="Hyperlink"/>
          </w:rPr>
          <w:t xml:space="preserve">[13]</w:t>
        </w:r>
      </w:hyperlink>
      <w:r>
        <w:t xml:space="preserve">. The assessments of whether growing reentry risk is worrying push the same way from the aggregate side, arguing that summed casualty expectation across the global population has risen to a level that merits reconsideration rather than continued acceptance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aviation-safety extension adds a hazard channel the original ground-casualty framing omitted entirely</w:t>
      </w:r>
      <w:r>
        <w:t xml:space="preserve"> </w:t>
      </w:r>
      <w:hyperlink w:anchor="ref-10">
        <w:r>
          <w:rPr>
            <w:rStyle w:val="Hyperlink"/>
          </w:rPr>
          <w:t xml:space="preserve">[10]</w:t>
        </w:r>
      </w:hyperlink>
      <w:r>
        <w:t xml:space="preserve">. Each of these amounts to an argument that the negotiated tolerance should be renegotiated. The venue finding in this dissertation locates where those arguments are concentrated and where they are thin, and that location is itself a fact about the prospects for renegotiation.</w:t>
      </w:r>
    </w:p>
    <w:bookmarkEnd w:id="155"/>
    <w:bookmarkStart w:id="156" w:name="Xa1f02162201bf2ae887afbff786098f0100b74e"/>
    <w:p>
      <w:pPr>
        <w:pStyle w:val="Heading2"/>
        <w:spacing w:line="480" w:lineRule="auto"/>
      </w:pPr>
      <w:r>
        <w:t xml:space="preserve">8.7 Why the mixed result is the right kind of contribution</w:t>
      </w:r>
    </w:p>
    <w:p>
      <w:pPr>
        <w:pStyle w:val="FirstParagraph"/>
        <w:spacing w:line="480" w:lineRule="auto"/>
      </w:pPr>
      <w:r>
        <w:t xml:space="preserve">A dissertation that returned a clean, fully significant confirmation of every predicted channel would, at this sample size and with these proxies, have been less credible, not more. Thirty records with citations concentrated in one venue family cannot support strong claims on every channel, and a design that produced them would invite suspicion about undisclosed choices. The mixed result, one precise channel, two suggestive channels, and one near-null, is what an honest falsifiable design looks like when it meets a small, real corpus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venue coefficient is believable precisely because the recency and accumulation coefficients were allowed to come back weak. The reporting discipline, exact numbers and conditional language throughout Chapter 6, is what lets a reader trust the one finding that did land.</w:t>
      </w:r>
    </w:p>
    <w:p>
      <w:pPr>
        <w:pStyle w:val="BodyText"/>
        <w:spacing w:line="480" w:lineRule="auto"/>
        <w:ind w:firstLine="720"/>
      </w:pPr>
      <w:r>
        <w:t xml:space="preserve">This is the deeper methodological point the dissertation offers the pipeline that produced it. Evidentiary credibility at the document level comes from restraint as much as from result. A study that can fail to reject a null, and that reports the failure as plainly as it reports the rejection, earns the right to be believed on the channel where it succeeds. The casualty-threshold question is a good proving ground for that discipline because the stakes are real: the number governs a growing physical risk, and the temptation to overclaim salience in service of a governance argument is correspondingly strong</w:t>
      </w:r>
      <w:r>
        <w:t xml:space="preserve"> </w:t>
      </w:r>
      <w:hyperlink w:anchor="ref-7">
        <w:r>
          <w:rPr>
            <w:rStyle w:val="Hyperlink"/>
          </w:rPr>
          <w:t xml:space="preserve">[7]</w:t>
        </w:r>
      </w:hyperlink>
      <w:r>
        <w:t xml:space="preserve"> </w:t>
      </w:r>
      <w:hyperlink w:anchor="ref-9">
        <w:r>
          <w:rPr>
            <w:rStyle w:val="Hyperlink"/>
          </w:rPr>
          <w:t xml:space="preserve">[9]</w:t>
        </w:r>
      </w:hyperlink>
      <w:r>
        <w:t xml:space="preserve">. Resisting that temptation, and showing exactly where the evidence stops, is the contribution this dissertation is most confident in.</w:t>
      </w:r>
    </w:p>
    <w:bookmarkEnd w:id="156"/>
    <w:bookmarkStart w:id="157" w:name="closing-position"/>
    <w:p>
      <w:pPr>
        <w:pStyle w:val="Heading2"/>
        <w:spacing w:line="480" w:lineRule="auto"/>
      </w:pPr>
      <w:r>
        <w:t xml:space="preserve">8.8 Closing position</w:t>
      </w:r>
    </w:p>
    <w:p>
      <w:pPr>
        <w:pStyle w:val="FirstParagraph"/>
        <w:spacing w:line="480" w:lineRule="auto"/>
      </w:pPr>
      <w:r>
        <w:t xml:space="preserve">The casualty-expectation threshold will remain in force whether or not this dissertation had been written, and it will keep converting continuous risk estimates into binary licensing verdicts across the world’s launch and reentry regimes. What changes, in a small way, is the standing of the claim that the threshold is an actively worked governance object. That claim is now checkable. In the retained corpus it is true in one specific sense, the topic is structured by venue, and unproven in three others, recency, citation, and temporal accumulation. A future study with a wider citation source, a document-coded topic measure, and a larger corpus can revisit each unresolved channel and can extend the design toward the regulatory events the threshold ultimately governs</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path from here is named, the baseline is auditable, and the intuition that opened the inquiry has been replaced by a test. That is where a design-stage dissertation should end.</w:t>
      </w:r>
    </w:p>
    <w:bookmarkEnd w:id="157"/>
    <w:bookmarkStart w:id="158" w:name="X48a8bd408fedea4ad3302d965ceb6d3808520c1"/>
    <w:p>
      <w:pPr>
        <w:pStyle w:val="Heading2"/>
        <w:spacing w:line="480" w:lineRule="auto"/>
      </w:pPr>
      <w:r>
        <w:t xml:space="preserve">8.9 Implications for how the field measures its own attention</w:t>
      </w:r>
    </w:p>
    <w:p>
      <w:pPr>
        <w:pStyle w:val="FirstParagraph"/>
        <w:spacing w:line="480" w:lineRule="auto"/>
      </w:pPr>
      <w:r>
        <w:t xml:space="preserve">One quieter contribution deserves to be drawn out. The dissertation turns bibliometric signals inward, onto the literature that carries the casualty threshold, rather than outward onto a physical or policy target. That inward turn is unusual in the space-governance literature, which tends to treat citations, venues, and publication dates as incidental metadata rather than as measurable evidence about the field’s own behavior</w:t>
      </w:r>
      <w:r>
        <w:t xml:space="preserve"> </w:t>
      </w:r>
      <w:hyperlink w:anchor="ref-2">
        <w:r>
          <w:rPr>
            <w:rStyle w:val="Hyperlink"/>
          </w:rPr>
          <w:t xml:space="preserve">[2]</w:t>
        </w:r>
      </w:hyperlink>
      <w:r>
        <w:t xml:space="preserve"> </w:t>
      </w:r>
      <w:hyperlink w:anchor="ref-4">
        <w:r>
          <w:rPr>
            <w:rStyle w:val="Hyperlink"/>
          </w:rPr>
          <w:t xml:space="preserve">[4]</w:t>
        </w:r>
      </w:hyperlink>
      <w:r>
        <w:t xml:space="preserve">. Treating them as evidence has a cost and a benefit. The cost is that the signals are coarse: a term-hit topic score and a local citation index cannot capture the substance of a debate, only its surface distribution. The benefit is that the surface distribution is checkable, and checkable claims accumulate into knowledge where impressionistic ones do not.</w:t>
      </w:r>
    </w:p>
    <w:p>
      <w:pPr>
        <w:pStyle w:val="BodyText"/>
        <w:spacing w:line="480" w:lineRule="auto"/>
        <w:ind w:firstLine="720"/>
      </w:pPr>
      <w:r>
        <w:t xml:space="preserve">The space-traffic-management and orbital-debris literatures have repeatedly identified a gap between what analysts can compute and what operators and institutions will act on</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venue finding here is a small, concrete instance of that gap made measurable. The topic that the operations community works most densely, the casualty threshold, is the topic the policy literature engages least, and that mismatch is exactly the sort of academia-to-operations gap the debris-mitigation literature has flagged in the abstract</w:t>
      </w:r>
      <w:r>
        <w:t xml:space="preserve"> </w:t>
      </w:r>
      <w:hyperlink w:anchor="ref-7">
        <w:r>
          <w:rPr>
            <w:rStyle w:val="Hyperlink"/>
          </w:rPr>
          <w:t xml:space="preserve">[7]</w:t>
        </w:r>
      </w:hyperlink>
      <w:r>
        <w:t xml:space="preserve">. Measuring it, rather than asserting it, is what a document-level design adds. If the pipeline that produced this dissertation applies the same inward measurement across a family of governance topics, it would build a comparative picture of which space-policy questions are structured, which are dormant, and where the operations and policy communities are most out of phase.</w:t>
      </w:r>
    </w:p>
    <w:bookmarkEnd w:id="158"/>
    <w:bookmarkStart w:id="159" w:name="X5fa033558902e09e622a4420c47be6a574f4d71"/>
    <w:p>
      <w:pPr>
        <w:pStyle w:val="Heading2"/>
        <w:spacing w:line="480" w:lineRule="auto"/>
      </w:pPr>
      <w:r>
        <w:t xml:space="preserve">8.10 A note on scope discipline as a doctoral value</w:t>
      </w:r>
    </w:p>
    <w:p>
      <w:pPr>
        <w:pStyle w:val="FirstParagraph"/>
        <w:spacing w:line="480" w:lineRule="auto"/>
      </w:pPr>
      <w:r>
        <w:t xml:space="preserve">The final implication is about posture. Throughout, the dissertation has refused claims its artifacts cannot support, and it has treated that refusal as a value rather than a limitation. The threshold governs a growing risk, the reentry-risk literature is increasingly urgent, and there is real pressure on any study in this space to speak loudly</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The study speaks quietly and exactly instead. It says the topic is structured by venue, that recency and citation are suggestive but unproven, that accumulation is unresolved, and that the acceptable-risk level itself is beyond the reach of any corpus screen. Holding that line, under the pull toward overclaim, is the habit the doctoral pipeline is meant to instill, and it is the habit this dissertation most wants to demonstrate. The contribution is a finding, a method, and a discipline, and the discipline is the part that will transfer to whatever the candidate studies next</w:t>
      </w:r>
      <w:r>
        <w:t xml:space="preserve"> </w:t>
      </w:r>
      <w:hyperlink w:anchor="ref-8">
        <w:r>
          <w:rPr>
            <w:rStyle w:val="Hyperlink"/>
          </w:rPr>
          <w:t xml:space="preserve">[8]</w:t>
        </w:r>
      </w:hyperlink>
      <w:r>
        <w:t xml:space="preserve">.</w:t>
      </w:r>
    </w:p>
    <w:bookmarkEnd w:id="159"/>
    <w:bookmarkStart w:id="160" w:name="Xabdfd8258d31116cfc8e80d97cca50eccf5a767"/>
    <w:p>
      <w:pPr>
        <w:pStyle w:val="Heading2"/>
        <w:spacing w:line="480" w:lineRule="auto"/>
      </w:pPr>
      <w:r>
        <w:t xml:space="preserve">8.11 Restating the falsifiable claim and its verdict</w:t>
      </w:r>
    </w:p>
    <w:p>
      <w:pPr>
        <w:pStyle w:val="FirstParagraph"/>
        <w:spacing w:line="480" w:lineRule="auto"/>
      </w:pPr>
      <w:r>
        <w:t xml:space="preserve">It is worth returning, at the close, to the single falsifiable claim the dissertation staked and stating its verdict without hedging. The claim was that the casualty-expectation-threshold topic signal is systematically related to publication recency, citation attention, and venue family in the retrieved corpus. The verdict is split and specific. On venue family, the null is rejected: the coefficient of -2.0078 at p = 0.0231 establishes a precise, large, correctly signed relationship</w:t>
      </w:r>
      <w:r>
        <w:t xml:space="preserve"> </w:t>
      </w:r>
      <w:hyperlink w:anchor="ref-1">
        <w:r>
          <w:rPr>
            <w:rStyle w:val="Hyperlink"/>
          </w:rPr>
          <w:t xml:space="preserve">[1]</w:t>
        </w:r>
      </w:hyperlink>
      <w:r>
        <w:t xml:space="preserve"> </w:t>
      </w:r>
      <w:hyperlink w:anchor="ref-7">
        <w:r>
          <w:rPr>
            <w:rStyle w:val="Hyperlink"/>
          </w:rPr>
          <w:t xml:space="preserve">[7]</w:t>
        </w:r>
      </w:hyperlink>
      <w:r>
        <w:t xml:space="preserve">. On recency and citation attention, the null is not rejected, though both coefficients are signed as the mechanism predicts and the citation channel is close enough to conventional precision to warrant a larger-sample retest</w:t>
      </w:r>
      <w:r>
        <w:t xml:space="preserve"> </w:t>
      </w:r>
      <w:hyperlink w:anchor="ref-2">
        <w:r>
          <w:rPr>
            <w:rStyle w:val="Hyperlink"/>
          </w:rPr>
          <w:t xml:space="preserve">[2]</w:t>
        </w:r>
      </w:hyperlink>
      <w:r>
        <w:t xml:space="preserve"> </w:t>
      </w:r>
      <w:hyperlink w:anchor="ref-6">
        <w:r>
          <w:rPr>
            <w:rStyle w:val="Hyperlink"/>
          </w:rPr>
          <w:t xml:space="preserve">[6]</w:t>
        </w:r>
      </w:hyperlink>
      <w:r>
        <w:t xml:space="preserve">. On the companion accumulation question, the null is not rejected: the age elasticity of -0.2254 at p = 0.3749 leaves citation accumulation indistinguishable from no age structure</w:t>
      </w:r>
      <w:r>
        <w:t xml:space="preserve"> </w:t>
      </w:r>
      <w:hyperlink w:anchor="ref-4">
        <w:r>
          <w:rPr>
            <w:rStyle w:val="Hyperlink"/>
          </w:rPr>
          <w:t xml:space="preserve">[4]</w:t>
        </w:r>
      </w:hyperlink>
      <w:r>
        <w:t xml:space="preserve">.</w:t>
      </w:r>
    </w:p>
    <w:p>
      <w:pPr>
        <w:pStyle w:val="BodyText"/>
        <w:spacing w:line="480" w:lineRule="auto"/>
        <w:ind w:firstLine="720"/>
      </w:pPr>
      <w:r>
        <w:t xml:space="preserve">That split verdict is the dissertation’s honest bottom line. The threshold topic is structured by venue and unstructured, on this evidence, by time and attention. A field that wants to claim the casualty threshold is a decisively maturing governance object cannot ground that claim in recency or accumulation here; it can ground a narrower claim, that the topic is worked most densely in the operations community, in the venue result</w:t>
      </w:r>
      <w:r>
        <w:t xml:space="preserve"> </w:t>
      </w:r>
      <w:hyperlink w:anchor="ref-5">
        <w:r>
          <w:rPr>
            <w:rStyle w:val="Hyperlink"/>
          </w:rPr>
          <w:t xml:space="preserve">[5]</w:t>
        </w:r>
      </w:hyperlink>
      <w:r>
        <w:t xml:space="preserve"> </w:t>
      </w:r>
      <w:hyperlink w:anchor="ref-7">
        <w:r>
          <w:rPr>
            <w:rStyle w:val="Hyperlink"/>
          </w:rPr>
          <w:t xml:space="preserve">[7]</w:t>
        </w:r>
      </w:hyperlink>
      <w:r>
        <w:t xml:space="preserve">. Stating both halves of the verdict plainly, the rejection and the three non-rejections, is what a falsifiable design owes its reader, and it is the note the conclusion is content to end the empirical account on.</w:t>
      </w:r>
    </w:p>
    <w:bookmarkEnd w:id="160"/>
    <w:bookmarkStart w:id="161" w:name="a-final-word-on-stakes"/>
    <w:p>
      <w:pPr>
        <w:pStyle w:val="Heading2"/>
        <w:spacing w:line="480" w:lineRule="auto"/>
      </w:pPr>
      <w:r>
        <w:t xml:space="preserve">8.12 A final word on stakes</w:t>
      </w:r>
    </w:p>
    <w:p>
      <w:pPr>
        <w:pStyle w:val="FirstParagraph"/>
        <w:spacing w:line="480" w:lineRule="auto"/>
      </w:pPr>
      <w:r>
        <w:t xml:space="preserve">The casualty threshold governs a hazard the reentry-risk literature agrees is growing, and that agreement is the reason the study’s restraint is a service rather than a timidity. When a governed risk is rising, the temptation to overstate the salience of its governance debate is strong, and overstatement would corrode the very evidence base a rising risk most needs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dissertation refuses that temptation and delivers instead a small, true, checkable finding, a named set of unresolved questions, and a reproducible path to resolving them. The uncontrolled-reentry critique, the worrying-growth assessments, and the aviation-safety extension will continue to press the substantive case for reconsidering the threshold on physical and normative grounds, as they should</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This dissertation’s contribution sits beside that case, not inside it: it measures where the field’s attention to the instrument lives, and it hands the next study a precise, honest map of what a stronger design must still measure before the deeper question, whether the governing number is a considered boundary or a persistent placeholder, can be answered with evidence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61"/>
    <w:bookmarkStart w:id="189" w:name="references"/>
    <w:p>
      <w:pPr>
        <w:pStyle w:val="Heading2"/>
        <w:spacing w:line="480" w:lineRule="auto"/>
      </w:pPr>
      <w:r>
        <w:t xml:space="preserve">References</w:t>
      </w:r>
    </w:p>
    <w:p>
      <w:pPr>
        <w:pStyle w:val="FirstParagraph"/>
        <w:spacing w:line="480" w:lineRule="auto"/>
      </w:pPr>
      <w:bookmarkStart w:id="162" w:name="ref-1"/>
      <w:bookmarkEnd w:id="162"/>
      <w:r>
        <w:t xml:space="preserve">1. Michael Byers, The University of British Columbia; Ewan Wright, The University of British Columbia; Aaron Boley, The University of British Columbia, Cameron Byers, The University of British Columbia. Unnecessary Risks Created By Uncontrolled Rocket Reentries (2022). [AMOS]</w:t>
      </w:r>
    </w:p>
    <w:p>
      <w:pPr>
        <w:pStyle w:val="BodyText"/>
        <w:spacing w:line="480" w:lineRule="auto"/>
        <w:ind w:firstLine="720"/>
      </w:pPr>
      <w:bookmarkStart w:id="163" w:name="ref-2"/>
      <w:bookmarkEnd w:id="163"/>
      <w:r>
        <w:t xml:space="preserve">2. Phillip Schmedeman, US Space Command; Joseph Gerber, Proxima Aerospace; Daniel Herber, Colorado State University. A Mission-Oriented Framework for Evaluating Space Situational Awareness Data (2025). doi:</w:t>
      </w:r>
      <w:r>
        <w:t xml:space="preserve"> </w:t>
      </w:r>
      <w:hyperlink r:id="rId164">
        <w:r>
          <w:rPr>
            <w:rStyle w:val="Hyperlink"/>
          </w:rPr>
          <w:t xml:space="preserve">10.64861/QAOZ6812</w:t>
        </w:r>
      </w:hyperlink>
    </w:p>
    <w:p>
      <w:pPr>
        <w:pStyle w:val="BodyText"/>
        <w:spacing w:line="480" w:lineRule="auto"/>
        <w:ind w:firstLine="720"/>
      </w:pPr>
      <w:bookmarkStart w:id="165" w:name="ref-3"/>
      <w:bookmarkEnd w:id="165"/>
      <w:r>
        <w:t xml:space="preserve">3. Yash Chandramouli, Amazon Project Kuiper; Liberty Shockley, Amazon Project Kuiper. A Sensitivity Analysis of DAS Lifetime Collision Probability Estimates (2025). doi:</w:t>
      </w:r>
      <w:r>
        <w:t xml:space="preserve"> </w:t>
      </w:r>
      <w:hyperlink r:id="rId166">
        <w:r>
          <w:rPr>
            <w:rStyle w:val="Hyperlink"/>
          </w:rPr>
          <w:t xml:space="preserve">10.64861/VHJU7246</w:t>
        </w:r>
      </w:hyperlink>
    </w:p>
    <w:p>
      <w:pPr>
        <w:pStyle w:val="BodyText"/>
        <w:spacing w:line="480" w:lineRule="auto"/>
        <w:ind w:firstLine="720"/>
      </w:pPr>
      <w:bookmarkStart w:id="167" w:name="ref-4"/>
      <w:bookmarkEnd w:id="167"/>
      <w:r>
        <w:t xml:space="preserve">4. Mirco Rasotto, Dinamica, Giuseppe Di Mauro, Dinamica SrL, Mauro Massari, Politecnico di Milano, Pierluigi Di Lizia, Politecnico di Milano, Roberto Armellin, University of Southampton, Quirin Funke, IMS SPACE CONSULTANCY GMBH, Tim Flohrer, ESA-ESOC. Optimization of Observation Strategy to Improve Re-entry Prediction of Objects in HEO (2016). [AMOS]</w:t>
      </w:r>
    </w:p>
    <w:p>
      <w:pPr>
        <w:pStyle w:val="BodyText"/>
        <w:spacing w:line="480" w:lineRule="auto"/>
        <w:ind w:firstLine="720"/>
      </w:pPr>
      <w:bookmarkStart w:id="168" w:name="ref-5"/>
      <w:bookmarkEnd w:id="168"/>
      <w:r>
        <w:t xml:space="preserve">5. Islam I. Hussein, Trusted Space, Inc.; Thomas Kubancik, Trusted Space, Inc; Erin Griggs, Trusted Space, Inc.; Holly Borowski, Trusted Space, Inc.; Mark Bolden, Trusted Space, Inc.. Risk-Based Decision-Making for Space Traffic Management (2022). [AMOS]</w:t>
      </w:r>
    </w:p>
    <w:p>
      <w:pPr>
        <w:pStyle w:val="BodyText"/>
        <w:spacing w:line="480" w:lineRule="auto"/>
        <w:ind w:firstLine="720"/>
      </w:pPr>
      <w:bookmarkStart w:id="169" w:name="ref-6"/>
      <w:bookmarkEnd w:id="169"/>
      <w:r>
        <w:t xml:space="preserve">6. Paul Diaz, SpaceNav; Pol Mesalles Ripoll, SpaceNav; Matthew Duncan, SpaceNav; Mike Lindsay, Astroscale; Toby Harris, Astroscale; Hugh G. Lewis, University of Southampton. Data-Driven Lifetime Risk Assessment and Mitigation Planning for Large-Scale Satellite Constellations (2022). [AMOS]</w:t>
      </w:r>
    </w:p>
    <w:p>
      <w:pPr>
        <w:pStyle w:val="BodyText"/>
        <w:spacing w:line="480" w:lineRule="auto"/>
        <w:ind w:firstLine="720"/>
      </w:pPr>
      <w:bookmarkStart w:id="170" w:name="ref-7"/>
      <w:bookmarkEnd w:id="170"/>
      <w:r>
        <w:t xml:space="preserve">7. Mark Vincent, Raytheon. Bridging the Gap between Academia and Operations for Orbital Debris Risk Mitigation (2015). [AMOS]</w:t>
      </w:r>
    </w:p>
    <w:p>
      <w:pPr>
        <w:pStyle w:val="BodyText"/>
        <w:spacing w:line="480" w:lineRule="auto"/>
        <w:ind w:firstLine="720"/>
      </w:pPr>
      <w:bookmarkStart w:id="171" w:name="ref-8"/>
      <w:bookmarkEnd w:id="171"/>
      <w:r>
        <w:t xml:space="preserve">8. Mariel Borowitz, Office of Space Commerce; Cristina Pérez Hernández, Spanish Space Agency; Morgane Jouisse, CNES; Aurélie Gillet, EU SST; Pascal Faucher, CNES. Advancing Concepts for Global Coordination on SSA (2025). doi:</w:t>
      </w:r>
      <w:r>
        <w:t xml:space="preserve"> </w:t>
      </w:r>
      <w:hyperlink r:id="rId172">
        <w:r>
          <w:rPr>
            <w:rStyle w:val="Hyperlink"/>
          </w:rPr>
          <w:t xml:space="preserve">10.64861/LCET1122</w:t>
        </w:r>
      </w:hyperlink>
    </w:p>
    <w:p>
      <w:pPr>
        <w:pStyle w:val="BodyText"/>
        <w:spacing w:line="480" w:lineRule="auto"/>
        <w:ind w:firstLine="720"/>
      </w:pPr>
      <w:bookmarkStart w:id="173" w:name="ref-9"/>
      <w:bookmarkEnd w:id="173"/>
      <w:r>
        <w:t xml:space="preserve">9. Carmen Pardini; Luciano Anselmo. The risk on the ground and in the airspace posed by uncontrolled re-entries: Should the growth observed in recent years be considered worrying? (2026). doi:</w:t>
      </w:r>
      <w:r>
        <w:t xml:space="preserve"> </w:t>
      </w:r>
      <w:hyperlink r:id="rId174">
        <w:r>
          <w:rPr>
            <w:rStyle w:val="Hyperlink"/>
          </w:rPr>
          <w:t xml:space="preserve">10.1016/j.actaastro.2026.01.049</w:t>
        </w:r>
      </w:hyperlink>
    </w:p>
    <w:p>
      <w:pPr>
        <w:pStyle w:val="BodyText"/>
        <w:spacing w:line="480" w:lineRule="auto"/>
        <w:ind w:firstLine="720"/>
      </w:pPr>
      <w:bookmarkStart w:id="175" w:name="ref-10"/>
      <w:bookmarkEnd w:id="175"/>
      <w:r>
        <w:t xml:space="preserve">10. Charlotte Hook; Ewan Wright; Michael Byers; Aaron C. Boley. Uncontrolled reentries of space objects and aviation safety (2024). doi:</w:t>
      </w:r>
      <w:r>
        <w:t xml:space="preserve"> </w:t>
      </w:r>
      <w:hyperlink r:id="rId176">
        <w:r>
          <w:rPr>
            <w:rStyle w:val="Hyperlink"/>
          </w:rPr>
          <w:t xml:space="preserve">10.1016/j.actaastro.2024.05.026</w:t>
        </w:r>
      </w:hyperlink>
    </w:p>
    <w:p>
      <w:pPr>
        <w:pStyle w:val="BodyText"/>
        <w:spacing w:line="480" w:lineRule="auto"/>
        <w:ind w:firstLine="720"/>
      </w:pPr>
      <w:bookmarkStart w:id="177" w:name="ref-11"/>
      <w:bookmarkEnd w:id="177"/>
      <w:r>
        <w:t xml:space="preserve">11. Carmen Pardini; Luciano Anselmo. On the need to assess and mitigate the risk from uncontrolled re-entries of artificial space objects in view of the current and future developments in space activities (2024). doi:</w:t>
      </w:r>
      <w:r>
        <w:t xml:space="preserve"> </w:t>
      </w:r>
      <w:hyperlink r:id="rId178">
        <w:r>
          <w:rPr>
            <w:rStyle w:val="Hyperlink"/>
          </w:rPr>
          <w:t xml:space="preserve">10.1016/j.actaastro.2024.03.057</w:t>
        </w:r>
      </w:hyperlink>
    </w:p>
    <w:p>
      <w:pPr>
        <w:pStyle w:val="BodyText"/>
        <w:spacing w:line="480" w:lineRule="auto"/>
        <w:ind w:firstLine="720"/>
      </w:pPr>
      <w:bookmarkStart w:id="179" w:name="ref-12"/>
      <w:bookmarkEnd w:id="179"/>
      <w:r>
        <w:t xml:space="preserve">12. S. F. Rafano Carnà; Sanny Omar; David Guglielmo; Riccardo Bevilacqua. Safety analysis for shallow controlled re-entries through reduced order modeling and inputs’ statistics method (2018). doi:</w:t>
      </w:r>
      <w:r>
        <w:t xml:space="preserve"> </w:t>
      </w:r>
      <w:hyperlink r:id="rId180">
        <w:r>
          <w:rPr>
            <w:rStyle w:val="Hyperlink"/>
          </w:rPr>
          <w:t xml:space="preserve">10.1016/j.actaastro.2018.10.015</w:t>
        </w:r>
      </w:hyperlink>
    </w:p>
    <w:p>
      <w:pPr>
        <w:pStyle w:val="BodyText"/>
        <w:spacing w:line="480" w:lineRule="auto"/>
        <w:ind w:firstLine="720"/>
      </w:pPr>
      <w:bookmarkStart w:id="181" w:name="ref-13"/>
      <w:bookmarkEnd w:id="181"/>
      <w:r>
        <w:t xml:space="preserve">13. Alessandro Finazzi; Dennis Daub; Filippo Maggi; Christian Paravan; Stefano Dossi; T. Lips; Geert Smet; Kobyé Bodjona. Thermite-for-demise (T4D): Experiments and numerical modelling on ball-bearing unit mock-ups containing thermite in an arc-heated wind tunnel (2024). doi:</w:t>
      </w:r>
      <w:r>
        <w:t xml:space="preserve"> </w:t>
      </w:r>
      <w:hyperlink r:id="rId182">
        <w:r>
          <w:rPr>
            <w:rStyle w:val="Hyperlink"/>
          </w:rPr>
          <w:t xml:space="preserve">10.1016/j.actaastro.2024.06.013</w:t>
        </w:r>
      </w:hyperlink>
    </w:p>
    <w:p>
      <w:pPr>
        <w:pStyle w:val="BodyText"/>
        <w:spacing w:line="480" w:lineRule="auto"/>
        <w:ind w:firstLine="720"/>
      </w:pPr>
      <w:bookmarkStart w:id="183" w:name="ref-14"/>
      <w:bookmarkEnd w:id="183"/>
      <w:r>
        <w:t xml:space="preserve">14. Darrel Robertson; Lorien Wheeler; Donovan Mathias. Evacuation and shelter plans for asteroid impacts informed by hurricanes and nuclear explosions (2023). doi:</w:t>
      </w:r>
      <w:r>
        <w:t xml:space="preserve"> </w:t>
      </w:r>
      <w:hyperlink r:id="rId184">
        <w:r>
          <w:rPr>
            <w:rStyle w:val="Hyperlink"/>
          </w:rPr>
          <w:t xml:space="preserve">10.1016/j.actaastro.2023.11.020</w:t>
        </w:r>
      </w:hyperlink>
    </w:p>
    <w:p>
      <w:pPr>
        <w:pStyle w:val="BodyText"/>
        <w:spacing w:line="480" w:lineRule="auto"/>
        <w:ind w:firstLine="720"/>
      </w:pPr>
      <w:bookmarkStart w:id="185" w:name="ref-15"/>
      <w:bookmarkEnd w:id="185"/>
      <w:r>
        <w:t xml:space="preserve">15. James C. Beck; Ian Holbrough; Thorn Schleutker; Ali Guelhan. Improved representation of destructive spacecraft re-entry from analysis of high enthalpy wind tunnel tests of spacecraft and equipment (2019). doi:</w:t>
      </w:r>
      <w:r>
        <w:t xml:space="preserve"> </w:t>
      </w:r>
      <w:hyperlink r:id="rId186">
        <w:r>
          <w:rPr>
            <w:rStyle w:val="Hyperlink"/>
          </w:rPr>
          <w:t xml:space="preserve">10.1016/j.actaastro.2019.07.033</w:t>
        </w:r>
      </w:hyperlink>
    </w:p>
    <w:p>
      <w:pPr>
        <w:pStyle w:val="BodyText"/>
        <w:spacing w:line="480" w:lineRule="auto"/>
        <w:ind w:firstLine="720"/>
      </w:pPr>
      <w:bookmarkStart w:id="187" w:name="ref-16"/>
      <w:bookmarkEnd w:id="187"/>
      <w:r>
        <w:t xml:space="preserve">16. Peter Rickmers; Étienne Dumont; Sven Krummen; Jose Luis Redondo Gutiérrez; Leonid Bussler; Sebastian Kottmeier; Guido Wübbels; Hauke Martens; Svenja Woicke; Marco Sagliano; Janis Sebastian Häseker; Lars Witte; Martin Sippel; Waldemar Bauer; Hendrik-Joachim Peetz. The CALLISTO and ReFEx flight experiments at DLR - Challenges and opportunities of a wholistic approach (2024). doi:</w:t>
      </w:r>
      <w:r>
        <w:t xml:space="preserve"> </w:t>
      </w:r>
      <w:hyperlink r:id="rId188">
        <w:r>
          <w:rPr>
            <w:rStyle w:val="Hyperlink"/>
          </w:rPr>
          <w:t xml:space="preserve">10.1016/j.actaastro.2024.09.024</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6834bf446cba403f83584c7cafe410e527d0a5d"/>
    <w:p>
      <w:pPr>
        <w:pStyle w:val="Heading2"/>
        <w:spacing w:line="480" w:lineRule="auto"/>
      </w:pPr>
      <w:r>
        <w:t xml:space="preserve">A.1 Signal Intensity in The Casualty-Expectation Threshold is the 1-in-10,000 public-risk criterion bin: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8.6368</w:t>
            </w:r>
          </w:p>
        </w:tc>
        <w:tc>
          <w:tcPr>
            <w:tcW w:w="0" w:type="auto"/>
          </w:tcPr>
          <w:p>
            <w:pPr>
              <w:spacing w:line="240" w:lineRule="auto" w:before="0" w:after="0"/>
              <w:pStyle w:val="Compact"/>
            </w:pPr>
            <w:r>
              <w:rPr>
                <w:sz w:val="20"/>
                <w:szCs w:val="20"/>
              </w:rPr>
              <w:t xml:space="preserve">1.5844</w:t>
            </w:r>
          </w:p>
        </w:tc>
        <w:tc>
          <w:tcPr>
            <w:tcW w:w="0" w:type="auto"/>
          </w:tcPr>
          <w:p>
            <w:pPr>
              <w:spacing w:line="240" w:lineRule="auto" w:before="0" w:after="0"/>
              <w:pStyle w:val="Compact"/>
            </w:pPr>
            <w:r>
              <w:rPr>
                <w:sz w:val="20"/>
                <w:szCs w:val="20"/>
              </w:rPr>
              <w:t xml:space="preserve">5.4513</w:t>
            </w:r>
          </w:p>
        </w:tc>
        <w:tc>
          <w:tcPr>
            <w:tcW w:w="0" w:type="auto"/>
          </w:tcPr>
          <w:p>
            <w:pPr>
              <w:spacing w:line="240" w:lineRule="auto" w:before="0" w:after="0"/>
              <w:pStyle w:val="Compact"/>
            </w:pPr>
            <w:r>
              <w:rPr>
                <w:sz w:val="20"/>
                <w:szCs w:val="20"/>
              </w:rPr>
              <w:t xml:space="preserve">5e-08</w:t>
            </w:r>
          </w:p>
        </w:tc>
        <w:tc>
          <w:tcPr>
            <w:tcW w:w="0" w:type="auto"/>
          </w:tcPr>
          <w:p>
            <w:pPr>
              <w:spacing w:line="240" w:lineRule="auto" w:before="0" w:after="0"/>
              <w:pStyle w:val="Compact"/>
            </w:pPr>
            <w:r>
              <w:rPr>
                <w:sz w:val="20"/>
                <w:szCs w:val="20"/>
              </w:rPr>
              <w:t xml:space="preserve">[5.5315, 11.7421]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0.0607</w:t>
            </w:r>
          </w:p>
        </w:tc>
        <w:tc>
          <w:tcPr>
            <w:tcW w:w="0" w:type="auto"/>
          </w:tcPr>
          <w:p>
            <w:pPr>
              <w:spacing w:line="240" w:lineRule="auto" w:before="0" w:after="0"/>
              <w:pStyle w:val="Compact"/>
            </w:pPr>
            <w:r>
              <w:rPr>
                <w:sz w:val="20"/>
                <w:szCs w:val="20"/>
              </w:rPr>
              <w:t xml:space="preserve">0.1288</w:t>
            </w:r>
          </w:p>
        </w:tc>
        <w:tc>
          <w:tcPr>
            <w:tcW w:w="0" w:type="auto"/>
          </w:tcPr>
          <w:p>
            <w:pPr>
              <w:spacing w:line="240" w:lineRule="auto" w:before="0" w:after="0"/>
              <w:pStyle w:val="Compact"/>
            </w:pPr>
            <w:r>
              <w:rPr>
                <w:sz w:val="20"/>
                <w:szCs w:val="20"/>
              </w:rPr>
              <w:t xml:space="preserve">0.4714</w:t>
            </w:r>
          </w:p>
        </w:tc>
        <w:tc>
          <w:tcPr>
            <w:tcW w:w="0" w:type="auto"/>
          </w:tcPr>
          <w:p>
            <w:pPr>
              <w:spacing w:line="240" w:lineRule="auto" w:before="0" w:after="0"/>
              <w:pStyle w:val="Compact"/>
            </w:pPr>
            <w:r>
              <w:rPr>
                <w:sz w:val="20"/>
                <w:szCs w:val="20"/>
              </w:rPr>
              <w:t xml:space="preserve">0.6374</w:t>
            </w:r>
          </w:p>
        </w:tc>
        <w:tc>
          <w:tcPr>
            <w:tcW w:w="0" w:type="auto"/>
          </w:tcPr>
          <w:p>
            <w:pPr>
              <w:spacing w:line="240" w:lineRule="auto" w:before="0" w:after="0"/>
              <w:pStyle w:val="Compact"/>
            </w:pPr>
            <w:r>
              <w:rPr>
                <w:sz w:val="20"/>
                <w:szCs w:val="20"/>
              </w:rPr>
              <w:t xml:space="preserve">[-0.1918, 0.3133]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0.1225</w:t>
            </w:r>
          </w:p>
        </w:tc>
        <w:tc>
          <w:tcPr>
            <w:tcW w:w="0" w:type="auto"/>
          </w:tcPr>
          <w:p>
            <w:pPr>
              <w:spacing w:line="240" w:lineRule="auto" w:before="0" w:after="0"/>
              <w:pStyle w:val="Compact"/>
            </w:pPr>
            <w:r>
              <w:rPr>
                <w:sz w:val="20"/>
                <w:szCs w:val="20"/>
              </w:rPr>
              <w:t xml:space="preserve">1.431</w:t>
            </w:r>
          </w:p>
        </w:tc>
        <w:tc>
          <w:tcPr>
            <w:tcW w:w="0" w:type="auto"/>
          </w:tcPr>
          <w:p>
            <w:pPr>
              <w:spacing w:line="240" w:lineRule="auto" w:before="0" w:after="0"/>
              <w:pStyle w:val="Compact"/>
            </w:pPr>
            <w:r>
              <w:rPr>
                <w:sz w:val="20"/>
                <w:szCs w:val="20"/>
              </w:rPr>
              <w:t xml:space="preserve">0.1524</w:t>
            </w:r>
          </w:p>
        </w:tc>
        <w:tc>
          <w:tcPr>
            <w:tcW w:w="0" w:type="auto"/>
          </w:tcPr>
          <w:p>
            <w:pPr>
              <w:spacing w:line="240" w:lineRule="auto" w:before="0" w:after="0"/>
              <w:pStyle w:val="Compact"/>
            </w:pPr>
            <w:r>
              <w:rPr>
                <w:sz w:val="20"/>
                <w:szCs w:val="20"/>
              </w:rPr>
              <w:t xml:space="preserve">[-0.0648, 0.4153]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-2.0078</w:t>
            </w:r>
          </w:p>
        </w:tc>
        <w:tc>
          <w:tcPr>
            <w:tcW w:w="0" w:type="auto"/>
          </w:tcPr>
          <w:p>
            <w:pPr>
              <w:spacing w:line="240" w:lineRule="auto" w:before="0" w:after="0"/>
              <w:pStyle w:val="Compact"/>
            </w:pPr>
            <w:r>
              <w:rPr>
                <w:sz w:val="20"/>
                <w:szCs w:val="20"/>
              </w:rPr>
              <w:t xml:space="preserve">0.8838</w:t>
            </w:r>
          </w:p>
        </w:tc>
        <w:tc>
          <w:tcPr>
            <w:tcW w:w="0" w:type="auto"/>
          </w:tcPr>
          <w:p>
            <w:pPr>
              <w:spacing w:line="240" w:lineRule="auto" w:before="0" w:after="0"/>
              <w:pStyle w:val="Compact"/>
            </w:pPr>
            <w:r>
              <w:rPr>
                <w:sz w:val="20"/>
                <w:szCs w:val="20"/>
              </w:rPr>
              <w:t xml:space="preserve">-2.2719</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[-3.7399, -0.2756]</w:t>
            </w:r>
          </w:p>
        </w:tc>
      </w:tr>
    </w:tbl>
    <w:p>
      <w:pPr>
        <w:pStyle w:val="BodyText"/>
        <w:spacing w:line="480" w:lineRule="auto"/>
        <w:ind w:firstLine="720"/>
      </w:pPr>
      <w:r>
        <w:t xml:space="preserve">Fit: N = 30 R2 = 0.2324 R2_adj = 0.1438 F = 2.0384 F_p = 0.1331</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3" name="Picture"/>
            <a:graphic>
              <a:graphicData uri="http://schemas.openxmlformats.org/drawingml/2006/picture">
                <pic:pic>
                  <pic:nvPicPr>
                    <pic:cNvPr descr="D:/Claude_Code/brain/collegium/candidates/dissertations/LAUNCH_REG_12/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10.64861/VHJU7246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https://amostech.space/year/2016/optimization-of-observation-strategy-to-improve-re-entry-prediction-of-objects-in-heo/</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https://amostech.space/year/2011/efficient-all-vs-all-collision-risk-analyses/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10.1016/j.actaastro.2024.03.057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10.1016/j.actaastro.2019.07.033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https://amostech.space/year/2016/optical-techniques-for-space-environment-management/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7"/>
    <w:bookmarkEnd w:id="198"/>
    <w:bookmarkStart w:id="206" w:name="X18be8ec7dcf1ffeb793b28ccfa8668afed8a478"/>
    <w:p>
      <w:pPr>
        <w:pStyle w:val="Heading2"/>
        <w:spacing w:line="480" w:lineRule="auto"/>
      </w:pPr>
      <w:r>
        <w:t xml:space="preserve">A.2 Attention Accumulation in The Casualty-Expectation Threshold is the 1-in-10,000 public-risk criterion bin: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0.8853</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1.772</w:t>
            </w:r>
          </w:p>
        </w:tc>
        <w:tc>
          <w:tcPr>
            <w:tcW w:w="0" w:type="auto"/>
          </w:tcPr>
          <w:p>
            <w:pPr>
              <w:spacing w:line="240" w:lineRule="auto" w:before="0" w:after="0"/>
              <w:pStyle w:val="Compact"/>
            </w:pPr>
            <w:r>
              <w:rPr>
                <w:sz w:val="20"/>
                <w:szCs w:val="20"/>
              </w:rPr>
              <w:t xml:space="preserve">0.0764</w:t>
            </w:r>
          </w:p>
        </w:tc>
        <w:tc>
          <w:tcPr>
            <w:tcW w:w="0" w:type="auto"/>
          </w:tcPr>
          <w:p>
            <w:pPr>
              <w:spacing w:line="240" w:lineRule="auto" w:before="0" w:after="0"/>
              <w:pStyle w:val="Compact"/>
            </w:pPr>
            <w:r>
              <w:rPr>
                <w:sz w:val="20"/>
                <w:szCs w:val="20"/>
              </w:rPr>
              <w:t xml:space="preserve">[-0.0939, 1.8644]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-0.2254</w:t>
            </w:r>
          </w:p>
        </w:tc>
        <w:tc>
          <w:tcPr>
            <w:tcW w:w="0" w:type="auto"/>
          </w:tcPr>
          <w:p>
            <w:pPr>
              <w:spacing w:line="240" w:lineRule="auto" w:before="0" w:after="0"/>
              <w:pStyle w:val="Compact"/>
            </w:pPr>
            <w:r>
              <w:rPr>
                <w:sz w:val="20"/>
                <w:szCs w:val="20"/>
              </w:rPr>
              <w:t xml:space="preserve">0.254</w:t>
            </w:r>
          </w:p>
        </w:tc>
        <w:tc>
          <w:tcPr>
            <w:tcW w:w="0" w:type="auto"/>
          </w:tcPr>
          <w:p>
            <w:pPr>
              <w:spacing w:line="240" w:lineRule="auto" w:before="0" w:after="0"/>
              <w:pStyle w:val="Compact"/>
            </w:pPr>
            <w:r>
              <w:rPr>
                <w:sz w:val="20"/>
                <w:szCs w:val="20"/>
              </w:rPr>
              <w:t xml:space="preserve">-0.8873</w:t>
            </w:r>
          </w:p>
        </w:tc>
        <w:tc>
          <w:tcPr>
            <w:tcW w:w="0" w:type="auto"/>
          </w:tcPr>
          <w:p>
            <w:pPr>
              <w:spacing w:line="240" w:lineRule="auto" w:before="0" w:after="0"/>
              <w:pStyle w:val="Compact"/>
            </w:pPr>
            <w:r>
              <w:rPr>
                <w:sz w:val="20"/>
                <w:szCs w:val="20"/>
              </w:rPr>
              <w:t xml:space="preserve">0.3749</w:t>
            </w:r>
          </w:p>
        </w:tc>
        <w:tc>
          <w:tcPr>
            <w:tcW w:w="0" w:type="auto"/>
          </w:tcPr>
          <w:p>
            <w:pPr>
              <w:spacing w:line="240" w:lineRule="auto" w:before="0" w:after="0"/>
              <w:pStyle w:val="Compact"/>
            </w:pPr>
            <w:r>
              <w:rPr>
                <w:sz w:val="20"/>
                <w:szCs w:val="20"/>
              </w:rPr>
              <w:t xml:space="preserve">[-0.7232, 0.2725]</w:t>
            </w:r>
          </w:p>
        </w:tc>
      </w:tr>
    </w:tbl>
    <w:p>
      <w:pPr>
        <w:pStyle w:val="BodyText"/>
        <w:spacing w:line="480" w:lineRule="auto"/>
        <w:ind w:firstLine="720"/>
      </w:pPr>
      <w:r>
        <w:t xml:space="preserve">Fit: N = 30 R2 = 0.0231 elasticity_b = -0.2254 progress_ratio_2^b = 0.8554</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1" name="Picture"/>
            <a:graphic>
              <a:graphicData uri="http://schemas.openxmlformats.org/drawingml/2006/picture">
                <pic:pic>
                  <pic:nvPicPr>
                    <pic:cNvPr descr="D:/Claude_Code/brain/collegium/candidates/dissertations/LAUNCH_REG_12/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10.64861/VHJU7246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https://amostech.space/year/2016/optimization-of-observation-strategy-to-improve-re-entry-prediction-of-objects-in-heo/</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https://amostech.space/year/2011/efficient-all-vs-all-collision-risk-analyses/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10.1016/j.actaastro.2024.03.057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10.1016/j.actaastro.2019.07.033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https://amostech.space/year/2016/optical-techniques-for-space-environment-management/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80" Type="http://schemas.openxmlformats.org/officeDocument/2006/relationships/hyperlink" Target="https://doi.org/10.1016/j.actaastro.2018.10.015" TargetMode="External"/><Relationship Id="rId186" Type="http://schemas.openxmlformats.org/officeDocument/2006/relationships/hyperlink" Target="https://doi.org/10.1016/j.actaastro.2019.07.033" TargetMode="External"/><Relationship Id="rId184" Type="http://schemas.openxmlformats.org/officeDocument/2006/relationships/hyperlink" Target="https://doi.org/10.1016/j.actaastro.2023.11.020" TargetMode="External"/><Relationship Id="rId178" Type="http://schemas.openxmlformats.org/officeDocument/2006/relationships/hyperlink" Target="https://doi.org/10.1016/j.actaastro.2024.03.057" TargetMode="External"/><Relationship Id="rId176" Type="http://schemas.openxmlformats.org/officeDocument/2006/relationships/hyperlink" Target="https://doi.org/10.1016/j.actaastro.2024.05.026" TargetMode="External"/><Relationship Id="rId182" Type="http://schemas.openxmlformats.org/officeDocument/2006/relationships/hyperlink" Target="https://doi.org/10.1016/j.actaastro.2024.06.013" TargetMode="External"/><Relationship Id="rId188" Type="http://schemas.openxmlformats.org/officeDocument/2006/relationships/hyperlink" Target="https://doi.org/10.1016/j.actaastro.2024.09.024" TargetMode="External"/><Relationship Id="rId174" Type="http://schemas.openxmlformats.org/officeDocument/2006/relationships/hyperlink" Target="https://doi.org/10.1016/j.actaastro.2026.01.049" TargetMode="External"/><Relationship Id="rId172" Type="http://schemas.openxmlformats.org/officeDocument/2006/relationships/hyperlink" Target="https://doi.org/10.64861/LCET1122" TargetMode="External"/><Relationship Id="rId164" Type="http://schemas.openxmlformats.org/officeDocument/2006/relationships/hyperlink" Target="https://doi.org/10.64861/QAOZ6812" TargetMode="External"/><Relationship Id="rId166" Type="http://schemas.openxmlformats.org/officeDocument/2006/relationships/hyperlink" Target="https://doi.org/10.64861/VHJU7246" TargetMode="External"/></Relationships>
</file>

<file path=word/_rels/footnotes.xml.rels><?xml version='1.0' encoding='UTF-8' standalone='yes'?>
<Relationships xmlns="http://schemas.openxmlformats.org/package/2006/relationships"><Relationship Id="rId180" Type="http://schemas.openxmlformats.org/officeDocument/2006/relationships/hyperlink" Target="https://doi.org/10.1016/j.actaastro.2018.10.015" TargetMode="External"/><Relationship Id="rId186" Type="http://schemas.openxmlformats.org/officeDocument/2006/relationships/hyperlink" Target="https://doi.org/10.1016/j.actaastro.2019.07.033" TargetMode="External"/><Relationship Id="rId184" Type="http://schemas.openxmlformats.org/officeDocument/2006/relationships/hyperlink" Target="https://doi.org/10.1016/j.actaastro.2023.11.020" TargetMode="External"/><Relationship Id="rId178" Type="http://schemas.openxmlformats.org/officeDocument/2006/relationships/hyperlink" Target="https://doi.org/10.1016/j.actaastro.2024.03.057" TargetMode="External"/><Relationship Id="rId176" Type="http://schemas.openxmlformats.org/officeDocument/2006/relationships/hyperlink" Target="https://doi.org/10.1016/j.actaastro.2024.05.026" TargetMode="External"/><Relationship Id="rId182" Type="http://schemas.openxmlformats.org/officeDocument/2006/relationships/hyperlink" Target="https://doi.org/10.1016/j.actaastro.2024.06.013" TargetMode="External"/><Relationship Id="rId188" Type="http://schemas.openxmlformats.org/officeDocument/2006/relationships/hyperlink" Target="https://doi.org/10.1016/j.actaastro.2024.09.024" TargetMode="External"/><Relationship Id="rId174" Type="http://schemas.openxmlformats.org/officeDocument/2006/relationships/hyperlink" Target="https://doi.org/10.1016/j.actaastro.2026.01.049" TargetMode="External"/><Relationship Id="rId172" Type="http://schemas.openxmlformats.org/officeDocument/2006/relationships/hyperlink" Target="https://doi.org/10.64861/LCET1122" TargetMode="External"/><Relationship Id="rId164" Type="http://schemas.openxmlformats.org/officeDocument/2006/relationships/hyperlink" Target="https://doi.org/10.64861/QAOZ6812" TargetMode="External"/><Relationship Id="rId166" Type="http://schemas.openxmlformats.org/officeDocument/2006/relationships/hyperlink" Target="https://doi.org/10.64861/VHJU72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Casualty-Expectation Threshold: is the 1-in-10,000 public-risk criterion bin</dc:title>
  <dc:creator>Roland Lund (1B-INF-178)</dc:creator>
  <cp:keywords/>
  <dcterms:created xsi:type="dcterms:W3CDTF">2026-07-02T20:50:44Z</dcterms:created>
  <dcterms:modified xsi:type="dcterms:W3CDTF">2026-07-02T20:50:44Z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