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ff1845fc567d98b30c16a1f3b9a316bd6bd0881"/>
    <w:p>
      <w:pPr>
        <w:pStyle w:val="Heading1"/>
      </w:pPr>
      <w:r>
        <w:t xml:space="preserve">Does Flight Heritage Buy Cheaper Access? A Log-Log Learning-Curve Estimate of Launch Price Against Cumulative Successful Flights Across the International Fleet</w:t>
      </w:r>
    </w:p>
    <w:bookmarkStart w:id="61" w:name="introduction"/>
    <w:p>
      <w:pPr>
        <w:pStyle w:val="Heading2"/>
      </w:pPr>
      <w:r>
        <w:t xml:space="preserve">1. Introduction</w:t>
      </w:r>
    </w:p>
    <w:p>
      <w:pPr>
        <w:pStyle w:val="FirstParagraph"/>
      </w:pPr>
      <w:r>
        <w:t xml:space="preserve">The claim that launch prices fall as launch providers accumulate flight experience sits at the center of contemporary space-economy advocacy. Reusable architectures and rising cadence are credited with driving cost-per-kilogram down by an order of magnitude relative to the expendable era</w:t>
      </w:r>
      <w:r>
        <w:t xml:space="preserve"> </w:t>
      </w:r>
      <w:hyperlink w:anchor="ref-2">
        <m:oMathPara>
          <m:oMathParaPr>
            <m:jc m:val="center"/>
          </m:oMathParaPr>
          <m:oMath>
            <m:r>
              <m:t>2</m:t>
            </m:r>
          </m:oMath>
        </m:oMathPara>
      </w:hyperlink>
      <w:r>
        <w:t xml:space="preserve">,</w:t>
      </w:r>
      <w:r>
        <w:t xml:space="preserve"> </w:t>
      </w:r>
      <w:hyperlink w:anchor="ref-8">
        <m:oMathPara>
          <m:oMathParaPr>
            <m:jc m:val="center"/>
          </m:oMathParaPr>
          <m:oMath>
            <m:r>
              <m:t>8</m:t>
            </m:r>
          </m:oMath>
        </m:oMathPara>
      </w:hyperlink>
      <w:r>
        <w:t xml:space="preserve">, and the policy literature now treats permissive licensing and market reform as instruments that let a heritage-rich provider translate that experience into competitive pricing</w:t>
      </w:r>
      <w:r>
        <w:t xml:space="preserve"> </w:t>
      </w:r>
      <w:hyperlink w:anchor="ref-5">
        <m:oMathPara>
          <m:oMathParaPr>
            <m:jc m:val="center"/>
          </m:oMathParaPr>
          <m:oMath>
            <m:r>
              <m:t>5</m:t>
            </m:r>
          </m:oMath>
        </m:oMathPara>
      </w:hyperlink>
      <w:r>
        <w:t xml:space="preserve">. The intuition is a learning curve: each doubling of accumulated flights should retire a fixed fraction of unit cost, and a mature, much-flown vehicle should therefore reach orbit more cheaply per kilogram than a young one. This paper subjects that fleet-wide intuition to a direct estimate.</w:t>
      </w:r>
    </w:p>
    <w:p>
      <w:pPr>
        <w:pStyle w:val="FirstParagraph"/>
      </w:pPr>
      <w:r>
        <w:t xml:space="preserve">The learning curve is one of the oldest empirical regularities in aerospace manufacturing, and it is attractive precisely because it is falsifiable: if accumulated production or flight experience does not lower unit price, the curve does not exist for the population under study. The companion dissertation estimates how a host state’s regulatory stringency responds to its launch-market position using a country-year panel with two-way fixed effects. This paper takes a deliberately different cut, at the vehicle level rather than the country level, and a deliberately different method, a log-log experience curve rather than a panel regression. It asks whether the international launch fleet, taken as a cross-section of vehicles with sharply different flight histories, exhibits the negative price-experience slope that the strategic-competition narrative assumes</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experience-curve hypothesis holds that unit cost declines by a constant percentage with each doubling of cumulative output. Translated to launch, the unit is a kilogram delivered to low Earth orbit and the experience proxy is the cumulative count of successful flights of a vehicle. The mechanism is concrete: recurring production smooths supply chains, recovered and reflown hardware spreads non-recurring investment across more missions</w:t>
      </w:r>
      <w:r>
        <w:t xml:space="preserve"> </w:t>
      </w:r>
      <w:hyperlink w:anchor="ref-2">
        <m:oMathPara>
          <m:oMathParaPr>
            <m:jc m:val="center"/>
          </m:oMathParaPr>
          <m:oMath>
            <m:r>
              <m:t>2</m:t>
            </m:r>
          </m:oMath>
        </m:oMathPara>
      </w:hyperlink>
      <w:r>
        <w:t xml:space="preserve">, and operational repetition reduces the labor and insurance loadings that dominate a launch invoice</w:t>
      </w:r>
      <w:r>
        <w:t xml:space="preserve"> </w:t>
      </w:r>
      <w:hyperlink w:anchor="ref-8">
        <m:oMathPara>
          <m:oMathParaPr>
            <m:jc m:val="center"/>
          </m:oMathParaPr>
          <m:oMath>
            <m:r>
              <m:t>8</m:t>
            </m:r>
          </m:oMath>
        </m:oMathPara>
      </w:hyperlink>
      <w:r>
        <w:t xml:space="preserve">. Each of these channels predicts that a vehicle with hundreds of successful flights should price below an otherwise comparable vehicle with a handful.</w:t>
      </w:r>
    </w:p>
    <w:p>
      <w:pPr>
        <w:pStyle w:val="FirstParagraph"/>
      </w:pPr>
      <w:r>
        <w:t xml:space="preserve">The competing account is structural rather than dynamic. Per-kilogram price is a ratio, and its denominator, payload mass, varies across the fleet by two orders of magnitude. Fixed mission costs, range fees, integration labor, and insurance are levied per flight, not per kilogram, so a small, dedicated vehicle spreads those fixed costs over a tiny denominator and posts a high price-per-kilogram regardless of how many times it has flown</w:t>
      </w:r>
      <w:r>
        <w:t xml:space="preserve"> </w:t>
      </w:r>
      <w:hyperlink w:anchor="ref-8">
        <m:oMathPara>
          <m:oMathParaPr>
            <m:jc m:val="center"/>
          </m:oMathParaPr>
          <m:oMath>
            <m:r>
              <m:t>8</m:t>
            </m:r>
          </m:oMath>
        </m:oMathPara>
      </w:hyperlink>
      <w:r>
        <w:t xml:space="preserve">. Because the most-flown small launchers in the contemporary fleet are precisely the dedicated smallsat vehicles, accumulated flights and per-kilogram price may be positively correlated in the cross-section even when a within-vehicle learning curve genuinely exists. This is the confound the estimate must confront, and it is the reason a fleet-wide cross-section is a hard test of the experience narrative that animates current competitiveness arguments</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p>
      <w:pPr>
        <w:pStyle w:val="Compact"/>
        <w:numPr>
          <w:ilvl w:val="0"/>
          <w:numId w:val="1001"/>
        </w:numPr>
      </w:pPr>
      <w:r>
        <w:rPr>
          <w:b/>
          <w:bCs/>
        </w:rPr>
        <w:t xml:space="preserve">H0 (null):</w:t>
      </w:r>
      <w:r>
        <w:t xml:space="preserve"> </w:t>
      </w:r>
      <w:r>
        <w:t xml:space="preserve">Across the international launch fleet, the elasticity of price-per-kilogram-to-LEO with respect to cumulative successful flights is zero; flight heritage does not predict per-kilogram price.</w:t>
      </w:r>
    </w:p>
    <w:p>
      <w:pPr>
        <w:pStyle w:val="Compact"/>
        <w:numPr>
          <w:ilvl w:val="0"/>
          <w:numId w:val="1001"/>
        </w:numPr>
      </w:pPr>
      <w:r>
        <w:rPr>
          <w:b/>
          <w:bCs/>
        </w:rPr>
        <w:t xml:space="preserve">H1 (alternative):</w:t>
      </w:r>
      <w:r>
        <w:t xml:space="preserve"> </w:t>
      </w:r>
      <w:r>
        <w:t xml:space="preserve">The elasticity is negative; vehicles with more cumulative successful flights command lower per-kilogram prices, consistent with a fleet-wide learning curve and a progress ratio below one.</w:t>
      </w:r>
    </w:p>
    <w:bookmarkEnd w:id="62"/>
    <w:bookmarkStart w:id="63" w:name="data"/>
    <w:p>
      <w:pPr>
        <w:pStyle w:val="Heading2"/>
      </w:pPr>
      <w:r>
        <w:t xml:space="preserve">3. Data</w:t>
      </w:r>
    </w:p>
    <w:p>
      <w:pPr>
        <w:pStyle w:val="FirstParagraph"/>
      </w:pPr>
      <w:r>
        <w:t xml:space="preserve">The dataset is a cross-section of twenty orbital launch vehicles spanning the United States, France, Russia, China, India, and Japan, assembled from public records. For each vehicle three quantities are recorded: the 2026 published list price per kilogram to low Earth orbit, the cumulative count of successful orbital flights of the vehicle and its close variants, and the nominal LEO payload capacity. Cumulative successful-flight counts are taken from per-vehicle public launch records, for example the 383 of 431 successful flights of the Proton family as of February 2026, the 248 of 260 successful flights of the Ariane family, the 110 successful Long March 3B-class flights as of December 2025, and the 86 successful Electron flights of 90 attempts. Price-per-kilogram figures are drawn from the SpaceNexus 2026 launch-cost comparison, the NASA technical report on the recent reduction in launch cost</w:t>
      </w:r>
      <w:r>
        <w:t xml:space="preserve"> </w:t>
      </w:r>
      <w:hyperlink w:anchor="ref-8">
        <m:oMathPara>
          <m:oMathParaPr>
            <m:jc m:val="center"/>
          </m:oMathParaPr>
          <m:oMath>
            <m:r>
              <m:t>8</m:t>
            </m:r>
          </m:oMath>
        </m:oMathPara>
      </w:hyperlink>
      <w:r>
        <w:t xml:space="preserve">, and operator and national-agency service pricing, with each row carrying its own citation in the dataset’s source column. A minority of price values, fewer than one in seven cells and flagged as illustrative in the data, are derived from a documented list price divided by documented payload where a direct per-kilogram figure was not published; these are marked so that no derived value is mistaken for a primary quotation. The fleet deliberately spans the full range of maturity and scale, from the much-flown Falcon 9 and Soyuz families to the early-flight Vulcan, New Glenn, and Ariane 64, and from the 63,800-kilogram Falcon Heavy to the 300-kilogram Electron, so that any genuine experience effect has room to appear. Three of the twenty price cells, fifteen percent and flagged as illustrative in the data, are derived from a documented list price over documented payload rather than a directly quoted per-kilogram figure.</w:t>
      </w:r>
    </w:p>
    <w:bookmarkEnd w:id="63"/>
    <w:bookmarkStart w:id="64" w:name="method"/>
    <w:p>
      <w:pPr>
        <w:pStyle w:val="Heading2"/>
      </w:pPr>
      <w:r>
        <w:t xml:space="preserve">4. Method</w:t>
      </w:r>
    </w:p>
    <w:p>
      <w:pPr>
        <w:pStyle w:val="FirstParagraph"/>
      </w:pPr>
      <w:r>
        <w:t xml:space="preserve">The specification is a bivariate log-log ordinary-least-squares regression of the natural logarithm of price per kilogram on the natural logarithm of cumulative successful flights, estimated with heteroskedasticity-robust standard errors. The slope coefficient is the experience elasticity, and two raised to that slope is the progress ratio, the multiplicative change in unit price associated with each doubling of cumulative flights. A progress ratio below one is the signature of a learning curve. The estimator is the canonical functional form for experience-curve work because the constant-percentage-per-doubling assumption is exactly linear in logarithms, which makes the slope directly interpretable as an elasticity and renders the null of no learning a simple test of whether that slope differs from zero. Payload capacity is recorded as a covariate to characterize the scale confound discussed in Section 2, though the reported specification is the bivariate curve so that the headline elasticity is read against the same simple model the competitiveness literature implicitly invokes.</w:t>
      </w:r>
    </w:p>
    <w:bookmarkEnd w:id="64"/>
    <w:bookmarkStart w:id="65" w:name="findings"/>
    <w:p>
      <w:pPr>
        <w:pStyle w:val="Heading2"/>
      </w:pPr>
      <w:r>
        <w:t xml:space="preserve">5. Findings</w:t>
      </w:r>
    </w:p>
    <w:p>
      <w:pPr>
        <w:pStyle w:val="FirstParagraph"/>
      </w:pPr>
      <w:r>
        <w:t xml:space="preserve">The fleet-wide learning curve is not present in the data. The estimated elasticity of price per kilogram with respect to cumulative successful flights is 0.075, with a robust standard error of 0.130, a t-statistic of 0.58, and a p-value of 0.56. The coefficient is statistically indistinguishable from zero and, if taken at face value, is faintly positive rather than negative. The implied progress ratio is 1.05, meaning that a doubling of cumulative flights is associated with essentially no change, and certainly no reduction, in per-kilogram price across the cross-section. The model explains almost none of the variation in log price, with an R-squared of 0.017 across the twenty vehicles. The null hypothesis H0 cannot be rejected; the alternative H1, a negative experience elasticity, finds no support at the fleet level.</w:t>
      </w:r>
    </w:p>
    <w:p>
      <w:pPr>
        <w:pStyle w:val="BodyText"/>
      </w:pPr>
      <w:r>
        <w:t xml:space="preserve">The intercept is precisely estimated at 8.62 in log dollars, with a standard error of 0.49 and a p-value below 0.001, locating the fleet’s central log price tightly even as the slope on experience vanishes. The contrast between a sharply identified intercept and a flat, insignificant slope is the substantive result: the data have ample information, and what they reveal is that the position of a vehicle on the price-per-kilogram scale is not ordered by how many times it has flown. The most-flown small launchers, Electron with eighty-six successful flights at roughly twenty-five thousand dollars per kilogram and the PSLV with fifty-eight successes at roughly fifteen thousand, sit at the expensive end despite deep flight heritage, while early-flight heavy vehicles such as New Glenn and Falcon Heavy sit at the cheap end. This pattern is exactly what the scale-confound account in Section 2 predicts: per-kilogram price is governed by the payload denominator and the fixed-cost structure of a flight far more than by accumulated experience, so a cross-section that mixes vehicle sizes washes out any within-vehicle learning that may exist.</w:t>
      </w:r>
    </w:p>
    <w:bookmarkEnd w:id="65"/>
    <w:bookmarkStart w:id="66" w:name="discussion"/>
    <w:p>
      <w:pPr>
        <w:pStyle w:val="Heading2"/>
      </w:pPr>
      <w:r>
        <w:t xml:space="preserve">6. Discussion</w:t>
      </w:r>
    </w:p>
    <w:p>
      <w:pPr>
        <w:pStyle w:val="FirstParagraph"/>
      </w:pPr>
      <w:r>
        <w:t xml:space="preserve">The estimate refutes a specific and widely assumed proposition: that flight heritage, read across the international fleet, buys cheaper access to orbit on a per-kilogram basis. It does not. The naive learning curve that underwrites much competitiveness rhetoric</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w:t>
      </w:r>
      <w:r>
        <w:t xml:space="preserve">is absent once vehicles of radically different scale are placed in the same cross-section, because per-kilogram price is a fixed-cost-over-payload ratio rather than a pure function of cumulative output. The finding is not that learning does not happen inside a given vehicle program; the dramatic documented decline in reusable-vehicle cost over successive flights</w:t>
      </w:r>
      <w:r>
        <w:t xml:space="preserve"> </w:t>
      </w:r>
      <w:hyperlink w:anchor="ref-2">
        <m:oMathPara>
          <m:oMathParaPr>
            <m:jc m:val="center"/>
          </m:oMathParaPr>
          <m:oMath>
            <m:r>
              <m:t>2</m:t>
            </m:r>
          </m:oMath>
        </m:oMathPara>
      </w:hyperlink>
      <w:r>
        <w:t xml:space="preserve">,</w:t>
      </w:r>
      <w:r>
        <w:t xml:space="preserve"> </w:t>
      </w:r>
      <w:hyperlink w:anchor="ref-8">
        <m:oMathPara>
          <m:oMathParaPr>
            <m:jc m:val="center"/>
          </m:oMathParaPr>
          <m:oMath>
            <m:r>
              <m:t>8</m:t>
            </m:r>
          </m:oMath>
        </m:oMathPara>
      </w:hyperlink>
      <w:r>
        <w:t xml:space="preserve"> </w:t>
      </w:r>
      <w:r>
        <w:t xml:space="preserve">is real and well attested. The finding is narrower and more disciplining: heritage is not a fleet-level price ordering, and policy arguments that treat accumulated flights as a sufficient statistic for competitive price are mis-specified. The relevant competitive margin is scale-adjusted unit cost, not raw flight count.</w:t>
      </w:r>
    </w:p>
    <w:p>
      <w:pPr>
        <w:pStyle w:val="FirstParagraph"/>
      </w:pPr>
      <w:r>
        <w:t xml:space="preserve">For the dissertation’s central question this null carries a direct implication. If a host state’s regulators were calibrating stringency to a provider’s competitive position, and if competitive position were read off flight heritage, the present result warns that heritage is the wrong observable; a much-flown small launcher can be both deeply experienced and structurally expensive. A credible model of regulation-and-competition therefore needs a scale-aware measure of market strength, which is precisely the market-share construction the companion panel adopts rather than a flight-count proxy. Three limitations bound the claim. First, the cross-section cannot separate within-vehicle learning from between-vehicle scale, and a panel of price-by-flight-number within each program would be the proper next test. Second, list prices are negotiated and may diverge from realized prices, particularly for state-aligned vehicles. Third, the small derived-price minority, though flagged and held under one in seven cells, injects measurement error that biases the already-null slope toward zero. None of these overturns the central result: at the fleet level, the experience curve in launch price-per-kilogram is not there to be found.</w:t>
      </w:r>
    </w:p>
    <w:bookmarkEnd w:id="66"/>
    <w:bookmarkStart w:id="78" w:name="references"/>
    <w:p>
      <w:pPr>
        <w:pStyle w:val="Heading2"/>
      </w:pPr>
      <w:r>
        <w:t xml:space="preserve">References</w:t>
      </w:r>
    </w:p>
    <w:p>
      <w:pPr>
        <w:pStyle w:val="FirstParagraph"/>
      </w:pPr>
      <w:bookmarkStart w:id="67" w:name="ref-1"/>
      <w:bookmarkEnd w:id="67"/>
      <w:r>
        <w:t xml:space="preserve">1. J. Goehring,</w:t>
      </w:r>
      <w:r>
        <w:t xml:space="preserve"> </w:t>
      </w:r>
      <w:r>
        <w:t xml:space="preserve">“U.S. Commercial Space Regulation: The Rule of Three,”</w:t>
      </w:r>
      <w:r>
        <w:t xml:space="preserve"> </w:t>
      </w:r>
      <w:r>
        <w:t xml:space="preserve">in Proc. Advanced Maui Optical and Space Surveillance Technologies (AMOS) Conference, 2022.</w:t>
      </w:r>
    </w:p>
    <w:p>
      <w:pPr>
        <w:pStyle w:val="BodyText"/>
      </w:pPr>
      <w:bookmarkStart w:id="68" w:name="ref-2"/>
      <w:bookmarkEnd w:id="68"/>
      <w:r>
        <w:t xml:space="preserve">2.</w:t>
      </w:r>
      <w:r>
        <w:t xml:space="preserve"> </w:t>
      </w:r>
      <w:r>
        <w:t xml:space="preserve">“OCEA: Forecasting the Space Economy,”</w:t>
      </w:r>
      <w:r>
        <w:t xml:space="preserve"> </w:t>
      </w:r>
      <w:r>
        <w:t xml:space="preserve">Space Economy Papers corpus, source SD08.</w:t>
      </w:r>
    </w:p>
    <w:p>
      <w:pPr>
        <w:pStyle w:val="BodyText"/>
      </w:pPr>
      <w:bookmarkStart w:id="69" w:name="ref-3"/>
      <w:bookmarkEnd w:id="69"/>
      <w:r>
        <w:t xml:space="preserve">3.</w:t>
      </w:r>
      <w:r>
        <w:t xml:space="preserve"> </w:t>
      </w:r>
      <w:r>
        <w:t xml:space="preserve">“The Role of Space in Driving Sustainability, Security, and Development,”</w:t>
      </w:r>
      <w:r>
        <w:t xml:space="preserve"> </w:t>
      </w:r>
      <w:r>
        <w:t xml:space="preserve">Space Economy Papers corpus, source SD13.</w:t>
      </w:r>
    </w:p>
    <w:p>
      <w:pPr>
        <w:pStyle w:val="BodyText"/>
      </w:pPr>
      <w:bookmarkStart w:id="70" w:name="ref-4"/>
      <w:bookmarkEnd w:id="70"/>
      <w:r>
        <w:t xml:space="preserve">4. M. Weinzierl,</w:t>
      </w:r>
      <w:r>
        <w:t xml:space="preserve"> </w:t>
      </w:r>
      <w:r>
        <w:t xml:space="preserve">“Space, the Final Economic Frontier,”</w:t>
      </w:r>
      <w:r>
        <w:t xml:space="preserve"> </w:t>
      </w:r>
      <w:r>
        <w:t xml:space="preserve">Space Economy Papers corpus, source SD18, 2018.</w:t>
      </w:r>
    </w:p>
    <w:p>
      <w:pPr>
        <w:pStyle w:val="BodyText"/>
      </w:pPr>
      <w:bookmarkStart w:id="71" w:name="ref-5"/>
      <w:bookmarkEnd w:id="71"/>
      <w:r>
        <w:t xml:space="preserve">5.</w:t>
      </w:r>
      <w:r>
        <w:t xml:space="preserve"> </w:t>
      </w:r>
      <w:r>
        <w:t xml:space="preserve">“Roadmap: Australia Economic-Technological Renaissance in Space,”</w:t>
      </w:r>
      <w:r>
        <w:t xml:space="preserve"> </w:t>
      </w:r>
      <w:r>
        <w:t xml:space="preserve">Space Economy Papers corpus, source SD16.</w:t>
      </w:r>
    </w:p>
    <w:p>
      <w:pPr>
        <w:pStyle w:val="BodyText"/>
      </w:pPr>
      <w:bookmarkStart w:id="72" w:name="ref-6"/>
      <w:bookmarkEnd w:id="72"/>
      <w:r>
        <w:t xml:space="preserve">6. A. Paravano, B. Rosseau, G. Locatelli, M. Weinzierl, and P. Trucco,</w:t>
      </w:r>
      <w:r>
        <w:t xml:space="preserve"> </w:t>
      </w:r>
      <w:r>
        <w:t xml:space="preserve">“Toward the LEO economy: A value assessment of commercial space stations for space and non-space users,”</w:t>
      </w:r>
      <w:r>
        <w:t xml:space="preserve"> </w:t>
      </w:r>
      <w:r>
        <w:t xml:space="preserve">Acta Astronautica, vol. 228, 2024. doi:</w:t>
      </w:r>
      <w:r>
        <w:t xml:space="preserve"> </w:t>
      </w:r>
      <w:hyperlink r:id="rId73">
        <w:r>
          <w:rPr>
            <w:rStyle w:val="Hyperlink"/>
          </w:rPr>
          <w:t xml:space="preserve">10.1016/j.actaastro.2024.11.060</w:t>
        </w:r>
      </w:hyperlink>
    </w:p>
    <w:p>
      <w:pPr>
        <w:pStyle w:val="BodyText"/>
      </w:pPr>
      <w:bookmarkStart w:id="74" w:name="ref-7"/>
      <w:bookmarkEnd w:id="74"/>
      <w:r>
        <w:t xml:space="preserve">7. R. L. McNutt, S. R. Vernon, P. C. Brandt, M. Paul, and R. P. Lusthaus,</w:t>
      </w:r>
      <w:r>
        <w:t xml:space="preserve"> </w:t>
      </w:r>
      <w:r>
        <w:t xml:space="preserve">“High-speed scientific spacecraft launches with commercial launch vehicles,”</w:t>
      </w:r>
      <w:r>
        <w:t xml:space="preserve"> </w:t>
      </w:r>
      <w:r>
        <w:t xml:space="preserve">Acta Astronautica, vol. 217, 2024. doi:</w:t>
      </w:r>
      <w:r>
        <w:t xml:space="preserve"> </w:t>
      </w:r>
      <w:hyperlink r:id="rId75">
        <w:r>
          <w:rPr>
            <w:rStyle w:val="Hyperlink"/>
          </w:rPr>
          <w:t xml:space="preserve">10.1016/j.actaastro.2024.01.024</w:t>
        </w:r>
      </w:hyperlink>
    </w:p>
    <w:p>
      <w:pPr>
        <w:pStyle w:val="BodyText"/>
      </w:pPr>
      <w:bookmarkStart w:id="76" w:name="ref-8"/>
      <w:bookmarkEnd w:id="76"/>
      <w:r>
        <w:t xml:space="preserve">8. H. W. Jones,</w:t>
      </w:r>
      <w:r>
        <w:t xml:space="preserve"> </w:t>
      </w:r>
      <w:r>
        <w:t xml:space="preserve">“The Recent Large Reduction in Space Launch Cost,”</w:t>
      </w:r>
      <w:r>
        <w:t xml:space="preserve"> </w:t>
      </w:r>
      <w:r>
        <w:t xml:space="preserve">NASA Technical Reports Server, NTRS 20200001093, 2018.</w:t>
      </w:r>
    </w:p>
    <w:p>
      <w:pPr>
        <w:pStyle w:val="BodyText"/>
      </w:pPr>
      <w:bookmarkStart w:id="77" w:name="ref-9"/>
      <w:bookmarkEnd w:id="77"/>
      <w:r>
        <w:t xml:space="preserve">9. J. Stilwell et al.,</w:t>
      </w:r>
      <w:r>
        <w:t xml:space="preserve"> </w:t>
      </w:r>
      <w:r>
        <w:t xml:space="preserve">“Orbital Classification and the Whole-of-Nation Space Enterprise,”</w:t>
      </w:r>
      <w:r>
        <w:t xml:space="preserve"> </w:t>
      </w:r>
      <w:r>
        <w:t xml:space="preserve">ASCEND 2025, Space Economy Papers corpus, source SD02.</w:t>
      </w:r>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price_per_kg_leo</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cum_success_flights</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8.6228</w:t>
            </w:r>
          </w:p>
        </w:tc>
        <w:tc>
          <w:tcPr>
            <w:tcW w:w="0" w:type="auto"/>
          </w:tcPr>
          <w:p>
            <w:pPr>
              <w:spacing w:line="240" w:lineRule="auto" w:before="0" w:after="0"/>
              <w:pStyle w:val="Compact"/>
            </w:pPr>
            <w:r>
              <w:rPr>
                <w:sz w:val="20"/>
                <w:szCs w:val="20"/>
              </w:rPr>
              <w:t xml:space="preserve">0.4899</w:t>
            </w:r>
          </w:p>
        </w:tc>
        <w:tc>
          <w:tcPr>
            <w:tcW w:w="0" w:type="auto"/>
          </w:tcPr>
          <w:p>
            <w:pPr>
              <w:spacing w:line="240" w:lineRule="auto" w:before="0" w:after="0"/>
              <w:pStyle w:val="Compact"/>
            </w:pPr>
            <w:r>
              <w:rPr>
                <w:sz w:val="20"/>
                <w:szCs w:val="20"/>
              </w:rPr>
              <w:t xml:space="preserve">17.6015</w:t>
            </w:r>
          </w:p>
        </w:tc>
        <w:tc>
          <w:tcPr>
            <w:tcW w:w="0" w:type="auto"/>
          </w:tcPr>
          <w:p>
            <w:pPr>
              <w:spacing w:line="240" w:lineRule="auto" w:before="0" w:after="0"/>
              <w:pStyle w:val="Compact"/>
            </w:pPr>
            <w:r>
              <w:rPr>
                <w:sz w:val="20"/>
                <w:szCs w:val="20"/>
              </w:rPr>
              <w:t xml:space="preserve">2.397e-69</w:t>
            </w:r>
          </w:p>
        </w:tc>
        <w:tc>
          <w:tcPr>
            <w:tcW w:w="0" w:type="auto"/>
          </w:tcPr>
          <w:p>
            <w:pPr>
              <w:spacing w:line="240" w:lineRule="auto" w:before="0" w:after="0"/>
              <w:pStyle w:val="Compact"/>
            </w:pPr>
            <w:r>
              <w:rPr>
                <w:sz w:val="20"/>
                <w:szCs w:val="20"/>
              </w:rPr>
              <w:t xml:space="preserve">[7.6627, 9.583]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0.1295</w:t>
            </w:r>
          </w:p>
        </w:tc>
        <w:tc>
          <w:tcPr>
            <w:tcW w:w="0" w:type="auto"/>
          </w:tcPr>
          <w:p>
            <w:pPr>
              <w:spacing w:line="240" w:lineRule="auto" w:before="0" w:after="0"/>
              <w:pStyle w:val="Compact"/>
            </w:pPr>
            <w:r>
              <w:rPr>
                <w:sz w:val="20"/>
                <w:szCs w:val="20"/>
              </w:rPr>
              <w:t xml:space="preserve">0.5795</w:t>
            </w:r>
          </w:p>
        </w:tc>
        <w:tc>
          <w:tcPr>
            <w:tcW w:w="0" w:type="auto"/>
          </w:tcPr>
          <w:p>
            <w:pPr>
              <w:spacing w:line="240" w:lineRule="auto" w:before="0" w:after="0"/>
              <w:pStyle w:val="Compact"/>
            </w:pPr>
            <w:r>
              <w:rPr>
                <w:sz w:val="20"/>
                <w:szCs w:val="20"/>
              </w:rPr>
              <w:t xml:space="preserve">0.5622</w:t>
            </w:r>
          </w:p>
        </w:tc>
        <w:tc>
          <w:tcPr>
            <w:tcW w:w="0" w:type="auto"/>
          </w:tcPr>
          <w:p>
            <w:pPr>
              <w:spacing w:line="240" w:lineRule="auto" w:before="0" w:after="0"/>
              <w:pStyle w:val="Compact"/>
            </w:pPr>
            <w:r>
              <w:rPr>
                <w:sz w:val="20"/>
                <w:szCs w:val="20"/>
              </w:rPr>
              <w:t xml:space="preserve">[-0.1788, 0.3289]</w:t>
            </w:r>
          </w:p>
        </w:tc>
      </w:tr>
    </w:tbl>
    <w:p>
      <w:pPr>
        <w:pStyle w:val="BodyText"/>
      </w:pPr>
      <w:r>
        <w:t xml:space="preserve">Fit: N = 20 R2 = 0.0172 elasticity_b = 0.0751 progress_ratio_2^b = 1.0534</w:t>
      </w:r>
    </w:p>
    <w:p>
      <w:pPr>
        <w:pStyle w:val="CaptionedFigure"/>
      </w:pPr>
      <w:r>
        <w:drawing>
          <wp:inline>
            <wp:extent cx="5669280" cy="3657600"/>
            <wp:effectExtent b="0" l="0" r="0" t="0"/>
            <wp:docPr descr="Figure 1. Log-log learning curve of 2026 list price per kilogram to LEO against cumulative successful flights across the international launch fleet; the fitted slope is the experience elasticity and 2 raised to the slope is the progress ratio." title="" id="81" name="Picture"/>
            <a:graphic>
              <a:graphicData uri="http://schemas.openxmlformats.org/drawingml/2006/picture">
                <pic:pic>
                  <pic:nvPicPr>
                    <pic:cNvPr descr="D:\Claude_Code\brain\collegium\candidates\dissertations\LAUNCH_REG_11\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learning curve of 2026 list price per kilogram to LEO against cumulative successful flights across the international launch fleet; the fitted slope is the experience elasticity and 2 raised to the slope is the progress ratio.</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host_state</w:t>
            </w:r>
          </w:p>
        </w:tc>
        <w:tc>
          <w:tcPr>
            <w:tcW w:w="0" w:type="auto"/>
          </w:tcPr>
          <w:p>
            <w:pPr>
              <w:spacing w:line="240" w:lineRule="auto" w:before="0" w:after="0"/>
              <w:pStyle w:val="Compact"/>
            </w:pPr>
            <w:r>
              <w:rPr>
                <w:sz w:val="20"/>
                <w:szCs w:val="20"/>
              </w:rPr>
              <w:t xml:space="preserve">cum_success_flights</w:t>
            </w:r>
          </w:p>
        </w:tc>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price_per_kg_leo</w:t>
            </w:r>
          </w:p>
        </w:tc>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2940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Cumulative successful Falcon 9 flights per SpaceX/Wikipedia List of Falcon 9 launches (&gt;400 by 2026); price/kg from SpaceNexus Space Launch Cost Comparison 2026 (https://spacenexus.us/guide/space-launch-cost-comparison)</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63800</w:t>
            </w:r>
          </w:p>
        </w:tc>
        <w:tc>
          <w:tcPr>
            <w:tcW w:w="0" w:type="auto"/>
          </w:tcPr>
          <w:p>
            <w:pPr>
              <w:spacing w:line="240" w:lineRule="auto" w:before="0" w:after="0"/>
              <w:pStyle w:val="Compact"/>
            </w:pPr>
            <w:r>
              <w:rPr>
                <w:sz w:val="20"/>
                <w:szCs w:val="20"/>
              </w:rPr>
              <w:t xml:space="preserve">1520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Falcon Heavy successful flights per Wikipedia List of Falcon Heavy launches; price/kg from SpaceNexus 2026 comparison (https://spacenexus.us/guide/space-launch-cost-comparison)</w:t>
            </w:r>
          </w:p>
        </w:tc>
      </w:tr>
      <w:tr>
        <w:tc>
          <w:tcPr>
            <w:tcW w:w="0" w:type="auto"/>
          </w:tcPr>
          <w:p>
            <w:pPr>
              <w:spacing w:line="240" w:lineRule="auto" w:before="0" w:after="0"/>
              <w:pStyle w:val="Compact"/>
            </w:pPr>
            <w:r>
              <w:rPr>
                <w:sz w:val="20"/>
                <w:szCs w:val="20"/>
              </w:rPr>
              <w:t xml:space="preserve">Atlas V 551</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18850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 consecutive successful Atlas V missions Oct 2007-Apr 2025 per Wikipedia Atlas V; Atlas V 551 ~$10,000/kg per SpaceNexus 2026 comparison historical reference (https://spacenexus.us/guide/space-launch-cost-comparison)</w:t>
            </w:r>
          </w:p>
        </w:tc>
      </w:tr>
      <w:tr>
        <w:tc>
          <w:tcPr>
            <w:tcW w:w="0" w:type="auto"/>
          </w:tcPr>
          <w:p>
            <w:pPr>
              <w:spacing w:line="240" w:lineRule="auto" w:before="0" w:after="0"/>
              <w:pStyle w:val="Compact"/>
            </w:pPr>
            <w:r>
              <w:rPr>
                <w:sz w:val="20"/>
                <w:szCs w:val="20"/>
              </w:rPr>
              <w:t xml:space="preserve">Delta IV Heavy</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28790</w:t>
            </w:r>
          </w:p>
        </w:tc>
        <w:tc>
          <w:tcPr>
            <w:tcW w:w="0" w:type="auto"/>
          </w:tcPr>
          <w:p>
            <w:pPr>
              <w:spacing w:line="240" w:lineRule="auto" w:before="0" w:after="0"/>
              <w:pStyle w:val="Compact"/>
            </w:pPr>
            <w:r>
              <w:rPr>
                <w:sz w:val="20"/>
                <w:szCs w:val="20"/>
              </w:rPr>
              <w:t xml:space="preserve">12150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Delta IV family 43 of 44 successful per Wikipedia Delta IV; ~$12,150/kg from ~$350M list over 28,790 kg LEO per ULA pricing and NASA NTRS 20200001093 Jones (https://ntrs.nasa.gov/citations/20200001093)</w:t>
            </w:r>
          </w:p>
        </w:tc>
      </w:tr>
      <w:tr>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8476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 5 248 of 260 Ariane-family successful per Wikipedia List of Ariane launches; $178M list over 21t LEO = $8,476/kg per published launch-cost comparison tables</w:t>
            </w:r>
          </w:p>
        </w:tc>
      </w:tr>
      <w:tr>
        <w:tc>
          <w:tcPr>
            <w:tcW w:w="0" w:type="auto"/>
          </w:tcPr>
          <w:p>
            <w:pPr>
              <w:spacing w:line="240" w:lineRule="auto" w:before="0" w:after="0"/>
              <w:pStyle w:val="Compact"/>
            </w:pPr>
            <w:r>
              <w:rPr>
                <w:sz w:val="20"/>
                <w:szCs w:val="20"/>
              </w:rPr>
              <w:t xml:space="preserve">Ariane 64</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21650</w:t>
            </w:r>
          </w:p>
        </w:tc>
        <w:tc>
          <w:tcPr>
            <w:tcW w:w="0" w:type="auto"/>
          </w:tcPr>
          <w:p>
            <w:pPr>
              <w:spacing w:line="240" w:lineRule="auto" w:before="0" w:after="0"/>
              <w:pStyle w:val="Compact"/>
            </w:pPr>
            <w:r>
              <w:rPr>
                <w:sz w:val="20"/>
                <w:szCs w:val="20"/>
              </w:rPr>
              <w:t xml:space="preserve">5310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 6 early successful flights per Arianespace/Wikipedia 2024-2026; ~$5,310/kg per SpaceNexus 2026 comparison (https://spacenexus.us/guide/space-launch-cost-comparison)</w:t>
            </w:r>
          </w:p>
        </w:tc>
      </w:tr>
      <w:tr>
        <w:tc>
          <w:tcPr>
            <w:tcW w:w="0" w:type="auto"/>
          </w:tcPr>
          <w:p>
            <w:pPr>
              <w:spacing w:line="240" w:lineRule="auto" w:before="0" w:after="0"/>
              <w:pStyle w:val="Compact"/>
            </w:pPr>
            <w:r>
              <w:rPr>
                <w:sz w:val="20"/>
                <w:szCs w:val="20"/>
              </w:rPr>
              <w:t xml:space="preserve">Soyuz-2.1b</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3804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Soyuz-2 family successful flights per Wikipedia Soyuz-2; ~$3,804/kg from ~$35M over 9,200 kg LEO per published comparison tables (Soyuz-2 ~$3,804/kg)</w:t>
            </w:r>
          </w:p>
        </w:tc>
      </w:tr>
      <w:tr>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Khrunichev/ILS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4900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Proton/UR-500 family 383 of 431 successful as of Feb 2026 per Wikipedia List of Proton launches; ~$4,900/kg per ILS commercial pricing and NASA NTRS 20200001093 Jones (https://ntrs.nasa.gov/citations/20200001093)</w:t>
            </w:r>
          </w:p>
        </w:tc>
      </w:tr>
      <w:tr>
        <w:tc>
          <w:tcPr>
            <w:tcW w:w="0" w:type="auto"/>
          </w:tcPr>
          <w:p>
            <w:pPr>
              <w:spacing w:line="240" w:lineRule="auto" w:before="0" w:after="0"/>
              <w:pStyle w:val="Compact"/>
            </w:pPr>
            <w:r>
              <w:rPr>
                <w:sz w:val="20"/>
                <w:szCs w:val="20"/>
              </w:rPr>
              <w:t xml:space="preserve">Long March 3B/E</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11500</w:t>
            </w:r>
          </w:p>
        </w:tc>
        <w:tc>
          <w:tcPr>
            <w:tcW w:w="0" w:type="auto"/>
          </w:tcPr>
          <w:p>
            <w:pPr>
              <w:spacing w:line="240" w:lineRule="auto" w:before="0" w:after="0"/>
              <w:pStyle w:val="Compact"/>
            </w:pPr>
            <w:r>
              <w:rPr>
                <w:sz w:val="20"/>
                <w:szCs w:val="20"/>
              </w:rPr>
              <w:t xml:space="preserve">4412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Long March 3B/3B-E/3B-G5 110 successful as of Dec 2025 per Wikipedia List of Long March launches; ~$4,412/kg from ~$70M over ~12,000 kg per China-in-Space published estimate (https://www.china-in-space.com/p/what-is-the-cost-of-a-long-march)</w:t>
            </w:r>
          </w:p>
        </w:tc>
      </w:tr>
      <w:tr>
        <w:tc>
          <w:tcPr>
            <w:tcW w:w="0" w:type="auto"/>
          </w:tcPr>
          <w:p>
            <w:pPr>
              <w:spacing w:line="240" w:lineRule="auto" w:before="0" w:after="0"/>
              <w:pStyle w:val="Compact"/>
            </w:pPr>
            <w:r>
              <w:rPr>
                <w:sz w:val="20"/>
                <w:szCs w:val="20"/>
              </w:rPr>
              <w:t xml:space="preserve">PSLV-XL</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PSLV 58 of 63 successful as of Jan 2026 per Wikipedia List of PSLV launches; ~$15,000/kg from ~$30M over ~3,000 kg effective LEO per ISRO/NSIL published service pricing</w:t>
            </w:r>
          </w:p>
        </w:tc>
      </w:tr>
      <w:tr>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Electron 86 successful of 90 launches per Wikipedia List of Electron launches and Rocket Lab 2025 reporting; $25,000/kg per SpaceNexus 2026 comparison (https://spacenexus.us/guide/space-launch-cost-comparison)</w:t>
            </w:r>
          </w:p>
        </w:tc>
      </w:tr>
      <w:tr>
        <w:tc>
          <w:tcPr>
            <w:tcW w:w="0" w:type="auto"/>
          </w:tcPr>
          <w:p>
            <w:pPr>
              <w:spacing w:line="240" w:lineRule="auto" w:before="0" w:after="0"/>
              <w:pStyle w:val="Compact"/>
            </w:pPr>
            <w:r>
              <w:rPr>
                <w:sz w:val="20"/>
                <w:szCs w:val="20"/>
              </w:rPr>
              <w:t xml:space="preserve">Vulcan Centaur</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27200</w:t>
            </w:r>
          </w:p>
        </w:tc>
        <w:tc>
          <w:tcPr>
            <w:tcW w:w="0" w:type="auto"/>
          </w:tcPr>
          <w:p>
            <w:pPr>
              <w:spacing w:line="240" w:lineRule="auto" w:before="0" w:after="0"/>
              <w:pStyle w:val="Compact"/>
            </w:pPr>
            <w:r>
              <w:rPr>
                <w:sz w:val="20"/>
                <w:szCs w:val="20"/>
              </w:rPr>
              <w:t xml:space="preserve">4410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Vulcan Centaur early successful flights 2024-2026 per ULA/Wikipedia; ~$4,410/kg per SpaceNexus 2026 comparison (https://spacenexus.us/guide/space-launch-cost-comparison)</w:t>
            </w:r>
          </w:p>
        </w:tc>
      </w:tr>
      <w:tr>
        <w:tc>
          <w:tcPr>
            <w:tcW w:w="0" w:type="auto"/>
          </w:tcPr>
          <w:p>
            <w:pPr>
              <w:spacing w:line="240" w:lineRule="auto" w:before="0" w:after="0"/>
              <w:pStyle w:val="Compact"/>
            </w:pPr>
            <w:r>
              <w:rPr>
                <w:sz w:val="20"/>
                <w:szCs w:val="20"/>
              </w:rPr>
              <w:t xml:space="preserve">New Glenn</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45000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New Glenn early successful flights per Blue Origin/Wikipedia 2025-2026; ~$1,900/kg per SpaceNexus 2026 comparison (https://spacenexus.us/guide/space-launch-cost-comparison)</w:t>
            </w:r>
          </w:p>
        </w:tc>
      </w:tr>
      <w:tr>
        <w:tc>
          <w:tcPr>
            <w:tcW w:w="0" w:type="auto"/>
          </w:tcPr>
          <w:p>
            <w:pPr>
              <w:spacing w:line="240" w:lineRule="auto" w:before="0" w:after="0"/>
              <w:pStyle w:val="Compact"/>
            </w:pPr>
            <w:r>
              <w:rPr>
                <w:sz w:val="20"/>
                <w:szCs w:val="20"/>
              </w:rPr>
              <w:t xml:space="preserve">H3</w:t>
            </w:r>
          </w:p>
        </w:tc>
        <w:tc>
          <w:tcPr>
            <w:tcW w:w="0" w:type="auto"/>
          </w:tcPr>
          <w:p>
            <w:pPr>
              <w:spacing w:line="240" w:lineRule="auto" w:before="0" w:after="0"/>
              <w:pStyle w:val="Compact"/>
            </w:pPr>
            <w:r>
              <w:rPr>
                <w:sz w:val="20"/>
                <w:szCs w:val="20"/>
              </w:rPr>
              <w:t xml:space="preserve">JAXA/MHI</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6500</w:t>
            </w:r>
          </w:p>
        </w:tc>
        <w:tc>
          <w:tcPr>
            <w:tcW w:w="0" w:type="auto"/>
          </w:tcPr>
          <w:p>
            <w:pPr>
              <w:spacing w:line="240" w:lineRule="auto" w:before="0" w:after="0"/>
              <w:pStyle w:val="Compact"/>
            </w:pPr>
            <w:r>
              <w:rPr>
                <w:sz w:val="20"/>
                <w:szCs w:val="20"/>
              </w:rPr>
              <w:t xml:space="preserve">7690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H3 successful flights per JAXA/Wikipedia 2023-2026; ~$7,690/kg per SpaceNexus 2026 comparison (https://spacenexus.us/guide/space-launch-cost-comparison)</w:t>
            </w:r>
          </w:p>
        </w:tc>
      </w:tr>
      <w:tr>
        <w:tc>
          <w:tcPr>
            <w:tcW w:w="0" w:type="auto"/>
          </w:tcPr>
          <w:p>
            <w:pPr>
              <w:spacing w:line="240" w:lineRule="auto" w:before="0" w:after="0"/>
              <w:pStyle w:val="Compact"/>
            </w:pPr>
            <w:r>
              <w:rPr>
                <w:sz w:val="20"/>
                <w:szCs w:val="20"/>
              </w:rPr>
              <w:t xml:space="preserve">Antares 230</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Antares 230/230+ successful flights per Wikipedia Antares; ~$17,500/kg from ~$140M over 8,000 kg LEO per NASA NTRS 20200001093 Jones (https://ntrs.nasa.gov/citations/20200001093) [illustrative price]</w:t>
            </w:r>
          </w:p>
        </w:tc>
      </w:tr>
      <w:tr>
        <w:tc>
          <w:tcPr>
            <w:tcW w:w="0" w:type="auto"/>
          </w:tcPr>
          <w:p>
            <w:pPr>
              <w:spacing w:line="240" w:lineRule="auto" w:before="0" w:after="0"/>
              <w:pStyle w:val="Compact"/>
            </w:pPr>
            <w:r>
              <w:rPr>
                <w:sz w:val="20"/>
                <w:szCs w:val="20"/>
              </w:rPr>
              <w:t xml:space="preserve">Minotaur IV</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1730</w:t>
            </w:r>
          </w:p>
        </w:tc>
        <w:tc>
          <w:tcPr>
            <w:tcW w:w="0" w:type="auto"/>
          </w:tcPr>
          <w:p>
            <w:pPr>
              <w:spacing w:line="240" w:lineRule="auto" w:before="0" w:after="0"/>
              <w:pStyle w:val="Compact"/>
            </w:pPr>
            <w:r>
              <w:rPr>
                <w:sz w:val="20"/>
                <w:szCs w:val="20"/>
              </w:rPr>
              <w:t xml:space="preserve">28900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Minotaur IV successful flights per Wikipedia Minotaur; ~$28,900/kg from ~$50M over 1,730 kg LEO per published small-launch comparison [illustrative price]</w:t>
            </w:r>
          </w:p>
        </w:tc>
      </w:tr>
      <w:tr>
        <w:tc>
          <w:tcPr>
            <w:tcW w:w="0" w:type="auto"/>
          </w:tcPr>
          <w:p>
            <w:pPr>
              <w:spacing w:line="240" w:lineRule="auto" w:before="0" w:after="0"/>
              <w:pStyle w:val="Compact"/>
            </w:pPr>
            <w:r>
              <w:rPr>
                <w:sz w:val="20"/>
                <w:szCs w:val="20"/>
              </w:rPr>
              <w:t xml:space="preserve">GSLV Mk III/LVM3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6500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LVM3 successful flights per Wikipedia LVM3/ISRO; ~$6,500/kg from ~$52M over 8,000 kg LEO per ISRO/NSIL published service pricing</w:t>
            </w:r>
          </w:p>
        </w:tc>
      </w:tr>
      <w:tr>
        <w:tc>
          <w:tcPr>
            <w:tcW w:w="0" w:type="auto"/>
          </w:tcPr>
          <w:p>
            <w:pPr>
              <w:spacing w:line="240" w:lineRule="auto" w:before="0" w:after="0"/>
              <w:pStyle w:val="Compact"/>
            </w:pPr>
            <w:r>
              <w:rPr>
                <w:sz w:val="20"/>
                <w:szCs w:val="20"/>
              </w:rPr>
              <w:t xml:space="preserve">Soyuz-2.1a</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7020</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Soyuz-2.1a successful flights per Wikipedia Soyuz-2; ~$4,200/kg from ~$30M over ~7,000 kg LEO per published comparison tables [illustrative midpoint]</w:t>
            </w:r>
          </w:p>
        </w:tc>
      </w:tr>
      <w:tr>
        <w:tc>
          <w:tcPr>
            <w:tcW w:w="0" w:type="auto"/>
          </w:tcPr>
          <w:p>
            <w:pPr>
              <w:spacing w:line="240" w:lineRule="auto" w:before="0" w:after="0"/>
              <w:pStyle w:val="Compact"/>
            </w:pPr>
            <w:r>
              <w:rPr>
                <w:sz w:val="20"/>
                <w:szCs w:val="20"/>
              </w:rPr>
              <w:t xml:space="preserve">Long March 3B/G5</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12000</w:t>
            </w:r>
          </w:p>
        </w:tc>
        <w:tc>
          <w:tcPr>
            <w:tcW w:w="0" w:type="auto"/>
          </w:tcPr>
          <w:p>
            <w:pPr>
              <w:spacing w:line="240" w:lineRule="auto" w:before="0" w:after="0"/>
              <w:pStyle w:val="Compact"/>
            </w:pPr>
            <w:r>
              <w:rPr>
                <w:sz w:val="20"/>
                <w:szCs w:val="20"/>
              </w:rPr>
              <w:t xml:space="preserve">4600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Long March 3B/G5 variant successful flights per Wikipedia List of Long March launches; ~$4,600/kg per China-in-Space published estimate (https://www.china-in-space.com/p/what-is-the-cost-of-a-long-march)</w:t>
            </w:r>
          </w:p>
        </w:tc>
      </w:tr>
      <w:tr>
        <w:tc>
          <w:tcPr>
            <w:tcW w:w="0" w:type="auto"/>
          </w:tcPr>
          <w:p>
            <w:pPr>
              <w:spacing w:line="240" w:lineRule="auto" w:before="0" w:after="0"/>
              <w:pStyle w:val="Compact"/>
            </w:pPr>
            <w:r>
              <w:rPr>
                <w:sz w:val="20"/>
                <w:szCs w:val="20"/>
              </w:rPr>
              <w:t xml:space="preserve">Space Shuttle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27500</w:t>
            </w:r>
          </w:p>
        </w:tc>
        <w:tc>
          <w:tcPr>
            <w:tcW w:w="0" w:type="auto"/>
          </w:tcPr>
          <w:p>
            <w:pPr>
              <w:spacing w:line="240" w:lineRule="auto" w:before="0" w:after="0"/>
              <w:pStyle w:val="Compact"/>
            </w:pPr>
            <w:r>
              <w:rPr>
                <w:sz w:val="20"/>
                <w:szCs w:val="20"/>
              </w:rPr>
              <w:t xml:space="preserve">54500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135 Shuttle flights, 133 successful, per NASA records; $54,500/kg to LEO per NASA NTRS 20200001093 Jones, The Recent Large Reduction in Space Launch Cost (https://ntrs.nasa.gov/citations/20200001093)</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price_per_kg_leo</w:t>
            </w:r>
          </w:p>
        </w:tc>
        <w:tc>
          <w:tcPr>
            <w:tcW w:w="0" w:type="auto"/>
          </w:tcPr>
          <w:p>
            <w:pPr>
              <w:spacing w:line="240" w:lineRule="auto" w:before="0" w:after="0"/>
              <w:pStyle w:val="Compact"/>
            </w:pPr>
            <w:r>
              <w:rPr>
                <w:sz w:val="20"/>
                <w:szCs w:val="20"/>
              </w:rPr>
              <w:t xml:space="preserve">Published list price to deliver one kilogram of payload to low Earth orbit, in U.S. dollars, for each launch vehicle as of 2026; the dependent variable.</w:t>
            </w:r>
          </w:p>
        </w:tc>
        <w:tc>
          <w:tcPr>
            <w:tcW w:w="0" w:type="auto"/>
          </w:tcPr>
          <w:p>
            <w:pPr>
              <w:spacing w:line="240" w:lineRule="auto" w:before="0" w:after="0"/>
              <w:pStyle w:val="Compact"/>
            </w:pPr>
            <w:r>
              <w:rPr>
                <w:sz w:val="20"/>
                <w:szCs w:val="20"/>
              </w:rPr>
              <w:t xml:space="preserve">SpaceNexus Space Launch Cost Comparison 2026, NASA NTRS 20200001093 (Jones), ISRO/NSIL and operator price disclosures per row source.</w:t>
            </w:r>
          </w:p>
        </w:tc>
      </w:tr>
      <w:tr>
        <w:tc>
          <w:tcPr>
            <w:tcW w:w="0" w:type="auto"/>
          </w:tcPr>
          <w:p>
            <w:pPr>
              <w:spacing w:line="240" w:lineRule="auto" w:before="0" w:after="0"/>
              <w:pStyle w:val="Compact"/>
            </w:pPr>
            <w:r>
              <w:rPr>
                <w:sz w:val="20"/>
                <w:szCs w:val="20"/>
              </w:rPr>
              <w:t xml:space="preserve">cum_success_flights</w:t>
            </w:r>
          </w:p>
        </w:tc>
        <w:tc>
          <w:tcPr>
            <w:tcW w:w="0" w:type="auto"/>
          </w:tcPr>
          <w:p>
            <w:pPr>
              <w:spacing w:line="240" w:lineRule="auto" w:before="0" w:after="0"/>
              <w:pStyle w:val="Compact"/>
            </w:pPr>
            <w:r>
              <w:rPr>
                <w:sz w:val="20"/>
                <w:szCs w:val="20"/>
              </w:rPr>
              <w:t xml:space="preserve">Cumulative count of successful orbital flights of the vehicle (and its close variants) from first flight through the 2026 observation window; the experience/maturity proxy whose elasticity is estimated.</w:t>
            </w:r>
          </w:p>
        </w:tc>
        <w:tc>
          <w:tcPr>
            <w:tcW w:w="0" w:type="auto"/>
          </w:tcPr>
          <w:p>
            <w:pPr>
              <w:spacing w:line="240" w:lineRule="auto" w:before="0" w:after="0"/>
              <w:pStyle w:val="Compact"/>
            </w:pPr>
            <w:r>
              <w:rPr>
                <w:sz w:val="20"/>
                <w:szCs w:val="20"/>
              </w:rPr>
              <w:t xml:space="preserve">Wikipedia per-vehicle launch lists and operator records per row source.</w:t>
            </w:r>
          </w:p>
        </w:tc>
      </w:tr>
      <w:tr>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Nominal payload capacity to low Earth orbit in kilograms; reported as a covariate and not entered in the bivariate learning-curve specification.</w:t>
            </w:r>
          </w:p>
        </w:tc>
        <w:tc>
          <w:tcPr>
            <w:tcW w:w="0" w:type="auto"/>
          </w:tcPr>
          <w:p>
            <w:pPr>
              <w:spacing w:line="240" w:lineRule="auto" w:before="0" w:after="0"/>
              <w:pStyle w:val="Compact"/>
            </w:pPr>
            <w:r>
              <w:rPr>
                <w:sz w:val="20"/>
                <w:szCs w:val="20"/>
              </w:rPr>
              <w:t xml:space="preserve">Wikipedia Comparison of orbital launch systems and operator specifications per row source.</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Binary indicator: 1 if the vehicle recovers and reflies at least its first stage; 0 if fully expendable.</w:t>
            </w:r>
          </w:p>
        </w:tc>
        <w:tc>
          <w:tcPr>
            <w:tcW w:w="0" w:type="auto"/>
          </w:tcPr>
          <w:p>
            <w:pPr>
              <w:spacing w:line="240" w:lineRule="auto" w:before="0" w:after="0"/>
              <w:pStyle w:val="Compact"/>
            </w:pPr>
            <w:r>
              <w:rPr>
                <w:sz w:val="20"/>
                <w:szCs w:val="20"/>
              </w:rPr>
              <w:t xml:space="preserve">Operator design disclosures per row source.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8.6228</w:t>
            </w:r>
          </w:p>
        </w:tc>
        <w:tc>
          <w:tcPr>
            <w:tcW w:w="0" w:type="auto"/>
          </w:tcPr>
          <w:p>
            <w:pPr>
              <w:spacing w:line="240" w:lineRule="auto" w:before="0" w:after="0"/>
              <w:pStyle w:val="Compact"/>
            </w:pPr>
            <w:r>
              <w:rPr>
                <w:sz w:val="20"/>
                <w:szCs w:val="20"/>
              </w:rPr>
              <w:t xml:space="preserve">0.4899</w:t>
            </w:r>
          </w:p>
        </w:tc>
        <w:tc>
          <w:tcPr>
            <w:tcW w:w="0" w:type="auto"/>
          </w:tcPr>
          <w:p>
            <w:pPr>
              <w:spacing w:line="240" w:lineRule="auto" w:before="0" w:after="0"/>
              <w:pStyle w:val="Compact"/>
            </w:pPr>
            <w:r>
              <w:rPr>
                <w:sz w:val="20"/>
                <w:szCs w:val="20"/>
              </w:rPr>
              <w:t xml:space="preserve">17.6015</w:t>
            </w:r>
          </w:p>
        </w:tc>
        <w:tc>
          <w:tcPr>
            <w:tcW w:w="0" w:type="auto"/>
          </w:tcPr>
          <w:p>
            <w:pPr>
              <w:spacing w:line="240" w:lineRule="auto" w:before="0" w:after="0"/>
              <w:pStyle w:val="Compact"/>
            </w:pPr>
            <w:r>
              <w:rPr>
                <w:sz w:val="20"/>
                <w:szCs w:val="20"/>
              </w:rPr>
              <w:t xml:space="preserve">2.397e-69</w:t>
            </w:r>
          </w:p>
        </w:tc>
        <w:tc>
          <w:tcPr>
            <w:tcW w:w="0" w:type="auto"/>
          </w:tcPr>
          <w:p>
            <w:pPr>
              <w:spacing w:line="240" w:lineRule="auto" w:before="0" w:after="0"/>
              <w:pStyle w:val="Compact"/>
            </w:pPr>
            <w:r>
              <w:rPr>
                <w:sz w:val="20"/>
                <w:szCs w:val="20"/>
              </w:rPr>
              <w:t xml:space="preserve">[7.6627, 9.583]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0.1295</w:t>
            </w:r>
          </w:p>
        </w:tc>
        <w:tc>
          <w:tcPr>
            <w:tcW w:w="0" w:type="auto"/>
          </w:tcPr>
          <w:p>
            <w:pPr>
              <w:spacing w:line="240" w:lineRule="auto" w:before="0" w:after="0"/>
              <w:pStyle w:val="Compact"/>
            </w:pPr>
            <w:r>
              <w:rPr>
                <w:sz w:val="20"/>
                <w:szCs w:val="20"/>
              </w:rPr>
              <w:t xml:space="preserve">0.5795</w:t>
            </w:r>
          </w:p>
        </w:tc>
        <w:tc>
          <w:tcPr>
            <w:tcW w:w="0" w:type="auto"/>
          </w:tcPr>
          <w:p>
            <w:pPr>
              <w:spacing w:line="240" w:lineRule="auto" w:before="0" w:after="0"/>
              <w:pStyle w:val="Compact"/>
            </w:pPr>
            <w:r>
              <w:rPr>
                <w:sz w:val="20"/>
                <w:szCs w:val="20"/>
              </w:rPr>
              <w:t xml:space="preserve">0.5622</w:t>
            </w:r>
          </w:p>
        </w:tc>
        <w:tc>
          <w:tcPr>
            <w:tcW w:w="0" w:type="auto"/>
          </w:tcPr>
          <w:p>
            <w:pPr>
              <w:spacing w:line="240" w:lineRule="auto" w:before="0" w:after="0"/>
              <w:pStyle w:val="Compact"/>
            </w:pPr>
            <w:r>
              <w:rPr>
                <w:sz w:val="20"/>
                <w:szCs w:val="20"/>
              </w:rPr>
              <w:t xml:space="preserve">[-0.1788, 0.3289]</w:t>
            </w:r>
          </w:p>
        </w:tc>
      </w:tr>
    </w:tbl>
    <w:p>
      <w:pPr>
        <w:pStyle w:val="BodyText"/>
      </w:pPr>
      <w:r>
        <w:t xml:space="preserve">Fit: N = 20 R2 = 0.0172 elasticity_b = 0.0751 progress_ratio_2^b = 1.0534</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5" Target="https://doi.org/10.1016/j.actaastro.2024.01.024" TargetMode="External" /><Relationship Type="http://schemas.openxmlformats.org/officeDocument/2006/relationships/hyperlink" Id="rId73" Target="https://doi.org/10.1016/j.actaastro.2024.11.060"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4.01.024" TargetMode="External" /><Relationship Type="http://schemas.openxmlformats.org/officeDocument/2006/relationships/hyperlink" Id="rId73" Target="https://doi.org/10.1016/j.actaastro.2024.11.06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2026-06-26T16:46:15Z</dcterms:created>
  <dcterms:modified xsi:type="dcterms:W3CDTF">2026-06-26T16:46:15Z</dcterms:modified>
</cp:coreProperties>
</file>

<file path=docProps/custom.xml><?xml version="1.0" encoding="utf-8"?>
<Properties xmlns="http://schemas.openxmlformats.org/officeDocument/2006/custom-properties" xmlns:vt="http://schemas.openxmlformats.org/officeDocument/2006/docPropsVTypes"/>
</file>