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8ff2d4649ab94ebcad80a4bb6361b930baf2492"/>
    <w:p>
      <w:pPr>
        <w:pStyle w:val="Heading1"/>
      </w:pPr>
      <w:r>
        <w:t xml:space="preserve">Regulatory Stringency and National Launch Activity: A Panel of Five Space-Faring Nations, 2016-2024</w:t>
      </w:r>
    </w:p>
    <w:bookmarkStart w:id="61" w:name="introduction"/>
    <w:p>
      <w:pPr>
        <w:pStyle w:val="Heading2"/>
      </w:pPr>
      <w:r>
        <w:t xml:space="preserve">1. Introduction</w:t>
      </w:r>
    </w:p>
    <w:p>
      <w:pPr>
        <w:pStyle w:val="FirstParagraph"/>
      </w:pPr>
      <w:r>
        <w:t xml:space="preserve">The international launch market changed character between 2016 and 2024. The United States moved from roughly two dozen orbital attempts a year to more than one hundred and fifty, while several established launch states held flat or declined. Two explanations compete for that divergence. The first is regulatory: states that streamlined licensing and admitted competitive private entry expanded faster than states that retained centralized control. The second is industrial: state-directed programs can scale launch cadence without any market mechanism at all, so cadence reflects state capacity rather than regulatory posture.</w:t>
      </w:r>
    </w:p>
    <w:p>
      <w:pPr>
        <w:pStyle w:val="BodyText"/>
      </w:pPr>
      <w:r>
        <w:t xml:space="preserve">This paper tests those explanations on a country-year panel. It treats annual orbital launch attempts as the outcome and asks whether a documented index of regulatory stringency, and a measure of private-provider participation, predict national launch activity once national economic scale and the post-2020 reusable-launch era are held constant. The contribution is a transparent, fully sourced specification that separates the market-structure channel from the raw stringency of a regime, because the two move together in ways that a single bivariate comparison cannot disentangle.</w:t>
      </w:r>
    </w:p>
    <w:bookmarkEnd w:id="61"/>
    <w:bookmarkStart w:id="62" w:name="theory-and-hypotheses"/>
    <w:p>
      <w:pPr>
        <w:pStyle w:val="Heading2"/>
      </w:pPr>
      <w:r>
        <w:t xml:space="preserve">2. Theory and Hypotheses</w:t>
      </w:r>
    </w:p>
    <w:p>
      <w:pPr>
        <w:pStyle w:val="FirstParagraph"/>
      </w:pPr>
      <w:r>
        <w:t xml:space="preserve">The economic logic connecting regulation to launch activity runs through market structure. A streamlined licensing regime lowers the fixed cost of entry, admits new providers, and converts a procurement monopoly into a contestable market. Competition among providers then drives down price and lifts volume, and the documented decline in launch cost per kilogram under reusable architectures is the mechanism that makes higher cadence economically rational</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expectation that economies of scale in launch operations lower cost per unit, and that competition among providers transmits those savings into price, is explicit in the space-economy literature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There is a countervailing logic. Launch cadence can be produced administratively. A state that funds a national program directly, and treats launch as an instrument of policy rather than a market, can sustain high volume under a regime that is, by any licensing measure, highly restrictive of independent private entry</w:t>
      </w:r>
      <w:r>
        <w:t xml:space="preserve"> </w:t>
      </w:r>
      <w:hyperlink w:anchor="ref-5">
        <m:oMathPara>
          <m:oMathParaPr>
            <m:jc m:val="center"/>
          </m:oMathParaPr>
          <m:oMath>
            <m:r>
              <m:t>5</m:t>
            </m:r>
          </m:oMath>
        </m:oMathPara>
      </w:hyperlink>
      <w:r>
        <w:t xml:space="preserve">. Dynamic scale economies further imply that early movers accumulate advantage, so an incumbent state program may keep launching at volume even where its regulatory regime would deter a competitive entrant</w:t>
      </w:r>
      <w:r>
        <w:t xml:space="preserve"> </w:t>
      </w:r>
      <w:hyperlink w:anchor="ref-6">
        <m:oMathPara>
          <m:oMathParaPr>
            <m:jc m:val="center"/>
          </m:oMathParaPr>
          <m:oMath>
            <m:r>
              <m:t>6</m:t>
            </m:r>
          </m:oMath>
        </m:oMathPara>
      </w:hyperlink>
      <w:r>
        <w:t xml:space="preserve">.</w:t>
      </w:r>
    </w:p>
    <w:p>
      <w:pPr>
        <w:pStyle w:val="FirstParagraph"/>
      </w:pPr>
      <w:r>
        <w:t xml:space="preserve">These two logics generate a tension rather than a single signed prediction, and the panel is designed to expose it.</w:t>
      </w:r>
    </w:p>
    <w:p>
      <w:pPr>
        <w:pStyle w:val="Compact"/>
        <w:numPr>
          <w:ilvl w:val="0"/>
          <w:numId w:val="1001"/>
        </w:numPr>
      </w:pPr>
      <w:r>
        <w:rPr>
          <w:b/>
          <w:bCs/>
        </w:rPr>
        <w:t xml:space="preserve">H1.</w:t>
      </w:r>
      <w:r>
        <w:t xml:space="preserve"> </w:t>
      </w:r>
      <w:r>
        <w:t xml:space="preserve">Conditional on economic scale and era, larger private-provider share is associated with higher national launch activity.</w:t>
      </w:r>
    </w:p>
    <w:p>
      <w:pPr>
        <w:pStyle w:val="Compact"/>
        <w:numPr>
          <w:ilvl w:val="0"/>
          <w:numId w:val="1001"/>
        </w:numPr>
      </w:pPr>
      <w:r>
        <w:rPr>
          <w:b/>
          <w:bCs/>
        </w:rPr>
        <w:t xml:space="preserve">H2.</w:t>
      </w:r>
      <w:r>
        <w:t xml:space="preserve"> </w:t>
      </w:r>
      <w:r>
        <w:t xml:space="preserve">The unconditional association between regulatory stringency and launch activity is ambiguous, because high-stringency state-monopoly programs may nonetheless sustain high administratively-funded cadence.</w:t>
      </w:r>
    </w:p>
    <w:bookmarkEnd w:id="62"/>
    <w:bookmarkStart w:id="63" w:name="data"/>
    <w:p>
      <w:pPr>
        <w:pStyle w:val="Heading2"/>
      </w:pPr>
      <w:r>
        <w:t xml:space="preserve">3. Data</w:t>
      </w:r>
    </w:p>
    <w:p>
      <w:pPr>
        <w:pStyle w:val="FirstParagraph"/>
      </w:pPr>
      <w:r>
        <w:t xml:space="preserve">The panel covers five space-faring nations, the United States, China, Russia, India, and Japan, across the nine years 2016 through 2024, for forty-five country-year observations. Annual orbital launch attempts are taken from the per-country tables published by Space Stats Online, which compiles catalogued launch records by nation and year. Each row of the dataset carries its own source citation in a dedicated column.</w:t>
      </w:r>
    </w:p>
    <w:p>
      <w:pPr>
        <w:pStyle w:val="BodyText"/>
      </w:pPr>
      <w:r>
        <w:t xml:space="preserve">The regulatory-stringency index is an ordinal coding from one to five, where one denotes a streamlined enabling regime and five a state-monopoly regime restrictive of independent private entry. The coding is grounded in documented regime descriptions: the United States Part 450 streamlined licensing rule of 2020, India’s IN-SPACe single-window liberalization and the subsequent foreign-investment opening, Japan’s Space Activities Act regime, and the centralized launch regimes of China and Russia. Nominal GDP is a period-average in trillions of current US dollars from the World Bank, used as a scale control. A post-2020 indicator marks the 2021 through 2024 reusable-launch and post-Part-450 era. The private-share variable is a commercial-participation proxy and is flagged as illustrative in the data where a directly catalogued figure is unavailable.</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The outcome is the annual launch count; the regressors are the regulatory-stringency index, the private-share proxy, period-average GDP, and the post-2020 indicator. The specification is a pooled panel rather than a within-nation fixed-effects design, because the regulatory-stringency construct varies across nations far more than within them over this short window, and a country fixed effect would absorb most of the between-nation regulatory variation the paper seeks to study. The trade-off is that the slope on stringency mixes between-nation and within-nation variation, which the interpretation addresses directly.</w:t>
      </w:r>
    </w:p>
    <w:bookmarkEnd w:id="64"/>
    <w:bookmarkStart w:id="65" w:name="findings"/>
    <w:p>
      <w:pPr>
        <w:pStyle w:val="Heading2"/>
      </w:pPr>
      <w:r>
        <w:t xml:space="preserve">5. Findings</w:t>
      </w:r>
    </w:p>
    <w:p>
      <w:pPr>
        <w:pStyle w:val="FirstParagraph"/>
      </w:pPr>
      <w:r>
        <w:t xml:space="preserve">The model explains a substantial share of the variation in national launch activity, with an R-squared of 0.69 across the forty-five observations and an overall F-test significant beyond the one-in-a-billion level.</w:t>
      </w:r>
    </w:p>
    <w:p>
      <w:pPr>
        <w:pStyle w:val="BodyText"/>
      </w:pPr>
      <w:r>
        <w:t xml:space="preserve">The private-share coefficient is positive and significant (coefficient 129.56, robust standard error 56.97, p = 0.023). Holding stringency, scale, and era constant, a higher commercial-provider share is associated with markedly higher launch activity. This supports H1 and is the paper’s central market-structure result: where competitive private provision is larger, cadence is higher, consistent with the cost-and-competition mechanism in the space-economy literature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The regulatory-stringency coefficient is positive and significant (coefficient 15.36, robust standard error 4.34, p = 0.0004). On its face this is the opposite of the naive expectation that restriction suppresses activity. The sign is driven by the between-nation structure of the panel: China couples a high-stringency state-controlled regime with very high administratively-funded cadence, so in the cross-section stringency and volume move together. This is exactly the confound anticipated in H2, and it is the reason the paper conditions on private share rather than reading stringency alone. The honest reading is not that restriction causes launches, but that raw stringency is not a clean proxy for market vitality once a state can fund cadence directly.</w:t>
      </w:r>
    </w:p>
    <w:p>
      <w:pPr>
        <w:pStyle w:val="BodyText"/>
      </w:pPr>
      <w:r>
        <w:t xml:space="preserve">The post-2020 indicator is positive and significant (coefficient 14.15, robust standard error 3.51, p = 0.0001), confirming a structural lift in cadence in the reusable-launch era that is common across the panel. GDP enters positive but only marginally significant (coefficient 1.21, robust standard error 0.72, p = 0.093), indicating that national economic scale matters weakly once market structure and era are accounted for.</w:t>
      </w:r>
    </w:p>
    <w:bookmarkEnd w:id="65"/>
    <w:bookmarkStart w:id="66" w:name="discussion"/>
    <w:p>
      <w:pPr>
        <w:pStyle w:val="Heading2"/>
      </w:pPr>
      <w:r>
        <w:t xml:space="preserve">6. Discussion</w:t>
      </w:r>
    </w:p>
    <w:p>
      <w:pPr>
        <w:pStyle w:val="FirstParagraph"/>
      </w:pPr>
      <w:r>
        <w:t xml:space="preserve">The results separate two channels that a single comparison would conflate. Competitive market structure, measured through private-provider share, is positively and significantly associated with national launch activity, and this is the channel through which streamlined regulation plausibly operates: by admitting entrants, lowering entry cost, and letting competition transmit scale economies into price and volume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 Regulatory stringency taken alone is not a reliable signal, because a state can manufacture cadence outside any market, and the Chinese case loads heavily on that fact in this panel.</w:t>
      </w:r>
    </w:p>
    <w:p>
      <w:pPr>
        <w:pStyle w:val="FirstParagraph"/>
      </w:pPr>
      <w:r>
        <w:t xml:space="preserve">For policy, the implication is that the relevant lever is not deregulation in the abstract but the construction of a contestable launch market. A licensing reform that admits multiple competitive providers should be expected to raise cadence; a licensing posture that is permissive on paper but sustains a single national provider need not.</w:t>
      </w:r>
    </w:p>
    <w:p>
      <w:pPr>
        <w:pStyle w:val="BodyText"/>
      </w:pPr>
      <w:r>
        <w:t xml:space="preserve">The limitations are explicit. Five nations over nine years is a small panel, the private-share variable is a proxy with illustrative cells, and the pooled specification mixes between- and within-nation variation by design. A companion study using a different estimator and a within-nation lens is the natural complement, and the regulatory-stringency coding would benefit from an independent legal-index validation. The finding that survives these caveats is narrow and defensible: market structure, not the stringency label, carries the signal.</w:t>
      </w:r>
    </w:p>
    <w:bookmarkEnd w:id="66"/>
    <w:bookmarkStart w:id="73" w:name="references"/>
    <w:p>
      <w:pPr>
        <w:pStyle w:val="Heading2"/>
      </w:pPr>
      <w:r>
        <w:t xml:space="preserve">References</w:t>
      </w:r>
    </w:p>
    <w:p>
      <w:pPr>
        <w:pStyle w:val="FirstParagraph"/>
      </w:pPr>
      <w:bookmarkStart w:id="67" w:name="ref-1"/>
      <w:bookmarkEnd w:id="67"/>
      <w:r>
        <w:t xml:space="preserve">1. OCEA,</w:t>
      </w:r>
      <w:r>
        <w:t xml:space="preserve"> </w:t>
      </w:r>
      <w:r>
        <w:t xml:space="preserve">“Forecasting the Space Economy,”</w:t>
      </w:r>
      <w:r>
        <w:t xml:space="preserve"> </w:t>
      </w:r>
      <w:r>
        <w:t xml:space="preserve">in Space Economy Papers corpus (SD08). Documents reusable-launch cost-per-kilogram scenarios and economies of scale in launch operations.</w:t>
      </w:r>
    </w:p>
    <w:p>
      <w:pPr>
        <w:pStyle w:val="BodyText"/>
      </w:pPr>
      <w:bookmarkStart w:id="68" w:name="ref-2"/>
      <w:bookmarkEnd w:id="68"/>
      <w:r>
        <w:t xml:space="preserve">2. M. Weinzierl,</w:t>
      </w:r>
      <w:r>
        <w:t xml:space="preserve"> </w:t>
      </w:r>
      <w:r>
        <w:t xml:space="preserve">“Space, the Final Economic Frontier,”</w:t>
      </w:r>
      <w:r>
        <w:t xml:space="preserve"> </w:t>
      </w:r>
      <w:r>
        <w:t xml:space="preserve">2018, in Space Economy Papers corpus (SD18). Cost-per-kilogram reductions and competitive launch-market structure.</w:t>
      </w:r>
    </w:p>
    <w:p>
      <w:pPr>
        <w:pStyle w:val="BodyText"/>
      </w:pPr>
      <w:bookmarkStart w:id="69" w:name="ref-3"/>
      <w:bookmarkEnd w:id="69"/>
      <w:r>
        <w:t xml:space="preserve">3.</w:t>
      </w:r>
      <w:r>
        <w:t xml:space="preserve"> </w:t>
      </w:r>
      <w:r>
        <w:t xml:space="preserve">“The Role of Space in Driving Sustainability, Security, and Development,”</w:t>
      </w:r>
      <w:r>
        <w:t xml:space="preserve"> </w:t>
      </w:r>
      <w:r>
        <w:t xml:space="preserve">in Space Economy Papers corpus (SD13). Competition among launch providers and the reduction of launch prices.</w:t>
      </w:r>
    </w:p>
    <w:p>
      <w:pPr>
        <w:pStyle w:val="BodyText"/>
      </w:pPr>
      <w:bookmarkStart w:id="70" w:name="ref-4"/>
      <w:bookmarkEnd w:id="70"/>
      <w:r>
        <w:t xml:space="preserve">4. N. Dailey et al.,</w:t>
      </w:r>
      <w:r>
        <w:t xml:space="preserve"> </w:t>
      </w:r>
      <w:r>
        <w:t xml:space="preserve">“Architectural Socio-Technological Transformative Change of Space-Use Norms,”</w:t>
      </w:r>
      <w:r>
        <w:t xml:space="preserve"> </w:t>
      </w:r>
      <w:r>
        <w:t xml:space="preserve">in Space Economy Papers corpus (SD03). Economies of scale and market expansion.</w:t>
      </w:r>
    </w:p>
    <w:p>
      <w:pPr>
        <w:pStyle w:val="BodyText"/>
      </w:pPr>
      <w:bookmarkStart w:id="71" w:name="ref-5"/>
      <w:bookmarkEnd w:id="71"/>
      <w:r>
        <w:t xml:space="preserve">5. Chambers and Partners,</w:t>
      </w:r>
      <w:r>
        <w:t xml:space="preserve"> </w:t>
      </w:r>
      <w:r>
        <w:t xml:space="preserve">“Space Law 2025: India”</w:t>
      </w:r>
      <w:r>
        <w:t xml:space="preserve"> </w:t>
      </w:r>
      <w:r>
        <w:t xml:space="preserve">and</w:t>
      </w:r>
      <w:r>
        <w:t xml:space="preserve"> </w:t>
      </w:r>
      <w:r>
        <w:t xml:space="preserve">“Space Law 2025: Japan,”</w:t>
      </w:r>
      <w:r>
        <w:t xml:space="preserve"> </w:t>
      </w:r>
      <w:r>
        <w:t xml:space="preserve">https://practiceguides.chambers.com/practice-guides/space-law-2025 ; Congressional Research Service,</w:t>
      </w:r>
      <w:r>
        <w:t xml:space="preserve"> </w:t>
      </w:r>
      <w:r>
        <w:t xml:space="preserve">“Commercial Space Launch and Reentry Regulations: Overview and Select Issues,”</w:t>
      </w:r>
      <w:r>
        <w:t xml:space="preserve"> </w:t>
      </w:r>
      <w:r>
        <w:t xml:space="preserve">R48582, https://www.congress.gov/crs-product/R48582.</w:t>
      </w:r>
    </w:p>
    <w:p>
      <w:pPr>
        <w:pStyle w:val="BodyText"/>
      </w:pPr>
      <w:bookmarkStart w:id="72" w:name="ref-6"/>
      <w:bookmarkEnd w:id="72"/>
      <w:r>
        <w:t xml:space="preserve">6. N. Dailey et al. (MITRE/CisLunar), circular-economy application to space sustainability, in Space Economy Papers corpus (SD15). Dynamic scale economies and early-entrant advantage.</w:t>
      </w:r>
    </w:p>
    <w:bookmarkEnd w:id="73"/>
    <w:bookmarkStart w:id="74" w:name="specification"/>
    <w:p>
      <w:pPr>
        <w:pStyle w:val="Heading2"/>
      </w:pPr>
      <w:r>
        <w:t xml:space="preserve">Specification</w:t>
      </w:r>
    </w:p>
    <w:p>
      <w:pPr>
        <w:pStyle w:val="FirstParagraph"/>
      </w:pPr>
      <m:oMathPara>
        <m:oMathParaPr>
          <m:jc m:val="center"/>
        </m:oMathParaPr>
        <m:oMath>
          <m:sSub>
            <m:e>
              <m:r>
                <m:rPr>
                  <m:nor/>
                  <m:sty m:val="p"/>
                </m:rPr>
                <m:t>launches</m:t>
              </m:r>
            </m:e>
            <m:sub>
              <m:r>
                <m:t>i</m:t>
              </m:r>
              <m:r>
                <m:t>t</m:t>
              </m:r>
            </m:sub>
          </m:sSub>
          <m:r>
            <m:rPr>
              <m:sty m:val="p"/>
            </m:rPr>
            <m:t>=</m:t>
          </m:r>
          <m:sSub>
            <m:e>
              <m:r>
                <m:t>β</m:t>
              </m:r>
            </m:e>
            <m:sub>
              <m:r>
                <m:t>0</m:t>
              </m:r>
            </m:sub>
          </m:sSub>
          <m:r>
            <m:rPr>
              <m:sty m:val="p"/>
            </m:rPr>
            <m:t>+</m:t>
          </m:r>
          <m:sSub>
            <m:e>
              <m:r>
                <m:t>β</m:t>
              </m:r>
            </m:e>
            <m:sub>
              <m:r>
                <m:t>1</m:t>
              </m:r>
            </m:sub>
          </m:sSub>
          <m:sSub>
            <m:e>
              <m:r>
                <m:rPr>
                  <m:nor/>
                  <m:sty m:val="p"/>
                </m:rPr>
                <m:t>reg_stringency</m:t>
              </m:r>
            </m:e>
            <m:sub>
              <m:r>
                <m:t>i</m:t>
              </m:r>
              <m:r>
                <m:t>t</m:t>
              </m:r>
            </m:sub>
          </m:sSub>
          <m:r>
            <m:rPr>
              <m:sty m:val="p"/>
            </m:rPr>
            <m:t>+</m:t>
          </m:r>
          <m:sSub>
            <m:e>
              <m:r>
                <m:t>β</m:t>
              </m:r>
            </m:e>
            <m:sub>
              <m:r>
                <m:t>2</m:t>
              </m:r>
            </m:sub>
          </m:sSub>
          <m:sSub>
            <m:e>
              <m:r>
                <m:rPr>
                  <m:nor/>
                  <m:sty m:val="p"/>
                </m:rPr>
                <m:t>private_share</m:t>
              </m:r>
            </m:e>
            <m:sub>
              <m:r>
                <m:t>i</m:t>
              </m:r>
              <m:r>
                <m:t>t</m:t>
              </m:r>
            </m:sub>
          </m:sSub>
          <m:r>
            <m:rPr>
              <m:sty m:val="p"/>
            </m:rPr>
            <m:t>+</m:t>
          </m:r>
          <m:sSub>
            <m:e>
              <m:r>
                <m:t>β</m:t>
              </m:r>
            </m:e>
            <m:sub>
              <m:r>
                <m:t>3</m:t>
              </m:r>
            </m:sub>
          </m:sSub>
          <m:sSub>
            <m:e>
              <m:r>
                <m:rPr>
                  <m:nor/>
                  <m:sty m:val="p"/>
                </m:rPr>
                <m:t>gdp_tn</m:t>
              </m:r>
            </m:e>
            <m:sub>
              <m:r>
                <m:t>i</m:t>
              </m:r>
            </m:sub>
          </m:sSub>
          <m:r>
            <m:rPr>
              <m:sty m:val="p"/>
            </m:rPr>
            <m:t>+</m:t>
          </m:r>
          <m:sSub>
            <m:e>
              <m:r>
                <m:t>β</m:t>
              </m:r>
            </m:e>
            <m:sub>
              <m:r>
                <m:t>4</m:t>
              </m:r>
            </m:sub>
          </m:sSub>
          <m:sSub>
            <m:e>
              <m:r>
                <m:rPr>
                  <m:nor/>
                  <m:sty m:val="p"/>
                </m:rPr>
                <m:t>post2020</m:t>
              </m:r>
            </m:e>
            <m:sub>
              <m:r>
                <m:t>t</m:t>
              </m:r>
            </m:sub>
          </m:sSub>
          <m:r>
            <m:rPr>
              <m:sty m:val="p"/>
            </m:rPr>
            <m:t>+</m:t>
          </m:r>
          <m:sSub>
            <m:e>
              <m:r>
                <m:t>ε</m:t>
              </m:r>
            </m:e>
            <m:sub>
              <m:r>
                <m:t>i</m:t>
              </m:r>
              <m:r>
                <m:t>t</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-77.2756</w:t>
            </w:r>
          </w:p>
        </w:tc>
        <w:tc>
          <w:tcPr>
            <w:tcW w:w="0" w:type="auto"/>
          </w:tcPr>
          <w:p>
            <w:pPr>
              <w:spacing w:line="240" w:lineRule="auto" w:before="0" w:after="0"/>
              <w:pStyle w:val="Compact"/>
            </w:pPr>
            <w:r>
              <w:rPr>
                <w:sz w:val="20"/>
                <w:szCs w:val="20"/>
              </w:rPr>
              <w:t xml:space="preserve">21.982</w:t>
            </w:r>
          </w:p>
        </w:tc>
        <w:tc>
          <w:tcPr>
            <w:tcW w:w="0" w:type="auto"/>
          </w:tcPr>
          <w:p>
            <w:pPr>
              <w:spacing w:line="240" w:lineRule="auto" w:before="0" w:after="0"/>
              <w:pStyle w:val="Compact"/>
            </w:pPr>
            <w:r>
              <w:rPr>
                <w:sz w:val="20"/>
                <w:szCs w:val="20"/>
              </w:rPr>
              <w:t xml:space="preserve">-3.5154</w:t>
            </w:r>
          </w:p>
        </w:tc>
        <w:tc>
          <w:tcPr>
            <w:tcW w:w="0" w:type="auto"/>
          </w:tcPr>
          <w:p>
            <w:pPr>
              <w:spacing w:line="240" w:lineRule="auto" w:before="0" w:after="0"/>
              <w:pStyle w:val="Compact"/>
            </w:pPr>
            <w:r>
              <w:rPr>
                <w:sz w:val="20"/>
                <w:szCs w:val="20"/>
              </w:rPr>
              <w:t xml:space="preserve">0.0004391</w:t>
            </w:r>
          </w:p>
        </w:tc>
        <w:tc>
          <w:tcPr>
            <w:tcW w:w="0" w:type="auto"/>
          </w:tcPr>
          <w:p>
            <w:pPr>
              <w:spacing w:line="240" w:lineRule="auto" w:before="0" w:after="0"/>
              <w:pStyle w:val="Compact"/>
            </w:pPr>
            <w:r>
              <w:rPr>
                <w:sz w:val="20"/>
                <w:szCs w:val="20"/>
              </w:rPr>
              <w:t xml:space="preserve">[-120.3596, -34.1917]</w:t>
            </w:r>
          </w:p>
        </w:tc>
      </w:tr>
      <w:tr>
        <w:tc>
          <w:tcPr>
            <w:tcW w:w="0" w:type="auto"/>
          </w:tcPr>
          <w:p>
            <w:pPr>
              <w:spacing w:line="240" w:lineRule="auto" w:before="0" w:after="0"/>
              <w:pStyle w:val="Compact"/>
            </w:pPr>
            <w:r>
              <w:rPr>
                <w:sz w:val="20"/>
                <w:szCs w:val="20"/>
              </w:rPr>
              <w:t xml:space="preserve">reg_stringency</w:t>
            </w:r>
          </w:p>
        </w:tc>
        <w:tc>
          <w:tcPr>
            <w:tcW w:w="0" w:type="auto"/>
          </w:tcPr>
          <w:p>
            <w:pPr>
              <w:spacing w:line="240" w:lineRule="auto" w:before="0" w:after="0"/>
              <w:pStyle w:val="Compact"/>
            </w:pPr>
            <w:r>
              <w:rPr>
                <w:sz w:val="20"/>
                <w:szCs w:val="20"/>
              </w:rPr>
              <w:t xml:space="preserve">15.3604</w:t>
            </w:r>
          </w:p>
        </w:tc>
        <w:tc>
          <w:tcPr>
            <w:tcW w:w="0" w:type="auto"/>
          </w:tcPr>
          <w:p>
            <w:pPr>
              <w:spacing w:line="240" w:lineRule="auto" w:before="0" w:after="0"/>
              <w:pStyle w:val="Compact"/>
            </w:pPr>
            <w:r>
              <w:rPr>
                <w:sz w:val="20"/>
                <w:szCs w:val="20"/>
              </w:rPr>
              <w:t xml:space="preserve">4.3371</w:t>
            </w:r>
          </w:p>
        </w:tc>
        <w:tc>
          <w:tcPr>
            <w:tcW w:w="0" w:type="auto"/>
          </w:tcPr>
          <w:p>
            <w:pPr>
              <w:spacing w:line="240" w:lineRule="auto" w:before="0" w:after="0"/>
              <w:pStyle w:val="Compact"/>
            </w:pPr>
            <w:r>
              <w:rPr>
                <w:sz w:val="20"/>
                <w:szCs w:val="20"/>
              </w:rPr>
              <w:t xml:space="preserve">3.5416</w:t>
            </w:r>
          </w:p>
        </w:tc>
        <w:tc>
          <w:tcPr>
            <w:tcW w:w="0" w:type="auto"/>
          </w:tcPr>
          <w:p>
            <w:pPr>
              <w:spacing w:line="240" w:lineRule="auto" w:before="0" w:after="0"/>
              <w:pStyle w:val="Compact"/>
            </w:pPr>
            <w:r>
              <w:rPr>
                <w:sz w:val="20"/>
                <w:szCs w:val="20"/>
              </w:rPr>
              <w:t xml:space="preserve">0.0003977</w:t>
            </w:r>
          </w:p>
        </w:tc>
        <w:tc>
          <w:tcPr>
            <w:tcW w:w="0" w:type="auto"/>
          </w:tcPr>
          <w:p>
            <w:pPr>
              <w:spacing w:line="240" w:lineRule="auto" w:before="0" w:after="0"/>
              <w:pStyle w:val="Compact"/>
            </w:pPr>
            <w:r>
              <w:rPr>
                <w:sz w:val="20"/>
                <w:szCs w:val="20"/>
              </w:rPr>
              <w:t xml:space="preserve">[6.8599, 23.861]</w:t>
            </w:r>
          </w:p>
        </w:tc>
      </w:tr>
      <w:tr>
        <w:tc>
          <w:tcPr>
            <w:tcW w:w="0" w:type="auto"/>
          </w:tcPr>
          <w:p>
            <w:pPr>
              <w:spacing w:line="240" w:lineRule="auto" w:before="0" w:after="0"/>
              <w:pStyle w:val="Compact"/>
            </w:pPr>
            <w:r>
              <w:rPr>
                <w:sz w:val="20"/>
                <w:szCs w:val="20"/>
              </w:rPr>
              <w:t xml:space="preserve">private_share</w:t>
            </w:r>
          </w:p>
        </w:tc>
        <w:tc>
          <w:tcPr>
            <w:tcW w:w="0" w:type="auto"/>
          </w:tcPr>
          <w:p>
            <w:pPr>
              <w:spacing w:line="240" w:lineRule="auto" w:before="0" w:after="0"/>
              <w:pStyle w:val="Compact"/>
            </w:pPr>
            <w:r>
              <w:rPr>
                <w:sz w:val="20"/>
                <w:szCs w:val="20"/>
              </w:rPr>
              <w:t xml:space="preserve">129.5557</w:t>
            </w:r>
          </w:p>
        </w:tc>
        <w:tc>
          <w:tcPr>
            <w:tcW w:w="0" w:type="auto"/>
          </w:tcPr>
          <w:p>
            <w:pPr>
              <w:spacing w:line="240" w:lineRule="auto" w:before="0" w:after="0"/>
              <w:pStyle w:val="Compact"/>
            </w:pPr>
            <w:r>
              <w:rPr>
                <w:sz w:val="20"/>
                <w:szCs w:val="20"/>
              </w:rPr>
              <w:t xml:space="preserve">56.9683</w:t>
            </w:r>
          </w:p>
        </w:tc>
        <w:tc>
          <w:tcPr>
            <w:tcW w:w="0" w:type="auto"/>
          </w:tcPr>
          <w:p>
            <w:pPr>
              <w:spacing w:line="240" w:lineRule="auto" w:before="0" w:after="0"/>
              <w:pStyle w:val="Compact"/>
            </w:pPr>
            <w:r>
              <w:rPr>
                <w:sz w:val="20"/>
                <w:szCs w:val="20"/>
              </w:rPr>
              <w:t xml:space="preserve">2.2742</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[17.8999, 241.2116]</w:t>
            </w:r>
          </w:p>
        </w:tc>
      </w:tr>
      <w:tr>
        <w:tc>
          <w:tcPr>
            <w:tcW w:w="0" w:type="auto"/>
          </w:tcPr>
          <w:p>
            <w:pPr>
              <w:spacing w:line="240" w:lineRule="auto" w:before="0" w:after="0"/>
              <w:pStyle w:val="Compact"/>
            </w:pPr>
            <w:r>
              <w:rPr>
                <w:sz w:val="20"/>
                <w:szCs w:val="20"/>
              </w:rPr>
              <w:t xml:space="preserve">gdp_tn</w:t>
            </w:r>
          </w:p>
        </w:tc>
        <w:tc>
          <w:tcPr>
            <w:tcW w:w="0" w:type="auto"/>
          </w:tcPr>
          <w:p>
            <w:pPr>
              <w:spacing w:line="240" w:lineRule="auto" w:before="0" w:after="0"/>
              <w:pStyle w:val="Compact"/>
            </w:pPr>
            <w:r>
              <w:rPr>
                <w:sz w:val="20"/>
                <w:szCs w:val="20"/>
              </w:rPr>
              <w:t xml:space="preserve">1.2108</w:t>
            </w:r>
          </w:p>
        </w:tc>
        <w:tc>
          <w:tcPr>
            <w:tcW w:w="0" w:type="auto"/>
          </w:tcPr>
          <w:p>
            <w:pPr>
              <w:spacing w:line="240" w:lineRule="auto" w:before="0" w:after="0"/>
              <w:pStyle w:val="Compact"/>
            </w:pPr>
            <w:r>
              <w:rPr>
                <w:sz w:val="20"/>
                <w:szCs w:val="20"/>
              </w:rPr>
              <w:t xml:space="preserve">0.7215</w:t>
            </w:r>
          </w:p>
        </w:tc>
        <w:tc>
          <w:tcPr>
            <w:tcW w:w="0" w:type="auto"/>
          </w:tcPr>
          <w:p>
            <w:pPr>
              <w:spacing w:line="240" w:lineRule="auto" w:before="0" w:after="0"/>
              <w:pStyle w:val="Compact"/>
            </w:pPr>
            <w:r>
              <w:rPr>
                <w:sz w:val="20"/>
                <w:szCs w:val="20"/>
              </w:rPr>
              <w:t xml:space="preserve">1.6782</w:t>
            </w:r>
          </w:p>
        </w:tc>
        <w:tc>
          <w:tcPr>
            <w:tcW w:w="0" w:type="auto"/>
          </w:tcPr>
          <w:p>
            <w:pPr>
              <w:spacing w:line="240" w:lineRule="auto" w:before="0" w:after="0"/>
              <w:pStyle w:val="Compact"/>
            </w:pPr>
            <w:r>
              <w:rPr>
                <w:sz w:val="20"/>
                <w:szCs w:val="20"/>
              </w:rPr>
              <w:t xml:space="preserve">0.0933</w:t>
            </w:r>
          </w:p>
        </w:tc>
        <w:tc>
          <w:tcPr>
            <w:tcW w:w="0" w:type="auto"/>
          </w:tcPr>
          <w:p>
            <w:pPr>
              <w:spacing w:line="240" w:lineRule="auto" w:before="0" w:after="0"/>
              <w:pStyle w:val="Compact"/>
            </w:pPr>
            <w:r>
              <w:rPr>
                <w:sz w:val="20"/>
                <w:szCs w:val="20"/>
              </w:rPr>
              <w:t xml:space="preserve">[-0.2033, 2.6249]</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14.1542</w:t>
            </w:r>
          </w:p>
        </w:tc>
        <w:tc>
          <w:tcPr>
            <w:tcW w:w="0" w:type="auto"/>
          </w:tcPr>
          <w:p>
            <w:pPr>
              <w:spacing w:line="240" w:lineRule="auto" w:before="0" w:after="0"/>
              <w:pStyle w:val="Compact"/>
            </w:pPr>
            <w:r>
              <w:rPr>
                <w:sz w:val="20"/>
                <w:szCs w:val="20"/>
              </w:rPr>
              <w:t xml:space="preserve">3.505</w:t>
            </w:r>
          </w:p>
        </w:tc>
        <w:tc>
          <w:tcPr>
            <w:tcW w:w="0" w:type="auto"/>
          </w:tcPr>
          <w:p>
            <w:pPr>
              <w:spacing w:line="240" w:lineRule="auto" w:before="0" w:after="0"/>
              <w:pStyle w:val="Compact"/>
            </w:pPr>
            <w:r>
              <w:rPr>
                <w:sz w:val="20"/>
                <w:szCs w:val="20"/>
              </w:rPr>
              <w:t xml:space="preserve">4.0382</w:t>
            </w:r>
          </w:p>
        </w:tc>
        <w:tc>
          <w:tcPr>
            <w:tcW w:w="0" w:type="auto"/>
          </w:tcPr>
          <w:p>
            <w:pPr>
              <w:spacing w:line="240" w:lineRule="auto" w:before="0" w:after="0"/>
              <w:pStyle w:val="Compact"/>
            </w:pPr>
            <w:r>
              <w:rPr>
                <w:sz w:val="20"/>
                <w:szCs w:val="20"/>
              </w:rPr>
              <w:t xml:space="preserve">5.385e-05</w:t>
            </w:r>
          </w:p>
        </w:tc>
        <w:tc>
          <w:tcPr>
            <w:tcW w:w="0" w:type="auto"/>
          </w:tcPr>
          <w:p>
            <w:pPr>
              <w:spacing w:line="240" w:lineRule="auto" w:before="0" w:after="0"/>
              <w:pStyle w:val="Compact"/>
            </w:pPr>
            <w:r>
              <w:rPr>
                <w:sz w:val="20"/>
                <w:szCs w:val="20"/>
              </w:rPr>
              <w:t xml:space="preserve">[7.2844, 21.024]</w:t>
            </w:r>
          </w:p>
        </w:tc>
      </w:tr>
    </w:tbl>
    <w:p>
      <w:pPr>
        <w:pStyle w:val="BodyText"/>
      </w:pPr>
      <w:r>
        <w:t xml:space="preserve">Fit: N = 45 R2 = 0.6937 R2_adj = 0.6631 F = 26.7287 F_p = 7.794e-11</w:t>
      </w:r>
    </w:p>
    <w:p>
      <w:pPr>
        <w:pStyle w:val="CaptionedFigure"/>
      </w:pPr>
      <w:r>
        <w:drawing>
          <wp:inline>
            <wp:extent cx="5669280" cy="3657600"/>
            <wp:effectExtent b="0" l="0" r="0" t="0"/>
            <wp:docPr descr="Figure 1. National annual orbital launch attempts against regulatory-stringency index, five-nation panel 2016-2024." title="" id="76" name="Picture"/>
            <a:graphic>
              <a:graphicData uri="http://schemas.openxmlformats.org/drawingml/2006/picture">
                <pic:pic>
                  <pic:nvPicPr>
                    <pic:cNvPr descr="D:\Claude_Code\brain\collegium\candidates\dissertations\LAUNCH_REG_11\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National annual orbital launch attempts against regulatory-stringency index, five-nation panel 2016-2024.</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reg_stringency</w:t>
            </w:r>
          </w:p>
        </w:tc>
        <w:tc>
          <w:tcPr>
            <w:tcW w:w="0" w:type="auto"/>
          </w:tcPr>
          <w:p>
            <w:pPr>
              <w:spacing w:line="240" w:lineRule="auto" w:before="0" w:after="0"/>
              <w:pStyle w:val="Compact"/>
            </w:pPr>
            <w:r>
              <w:rPr>
                <w:sz w:val="20"/>
                <w:szCs w:val="20"/>
              </w:rPr>
              <w:t xml:space="preserve">private_share</w:t>
            </w:r>
          </w:p>
        </w:tc>
        <w:tc>
          <w:tcPr>
            <w:tcW w:w="0" w:type="auto"/>
          </w:tcPr>
          <w:p>
            <w:pPr>
              <w:spacing w:line="240" w:lineRule="auto" w:before="0" w:after="0"/>
              <w:pStyle w:val="Compact"/>
            </w:pPr>
            <w:r>
              <w:rPr>
                <w:sz w:val="20"/>
                <w:szCs w:val="20"/>
              </w:rPr>
              <w:t xml:space="preserve">gdp_tn</w:t>
            </w:r>
          </w:p>
        </w:tc>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Orbital launch count USA 2016=22, Space Stats Online https://spacestatsonline.com/launches/country/usa/ ; reg_stringency=2 pre-Part450 enabling regime, FAA AST overview Congress.gov R48582 https://www.congress.gov/crs-product/R48582 ; private_share commercial-share proxy [illustrative]; gdp period-avg nominal World Bank NY.GDP.MKTP.CD https://data.worldbank.org/indicator/NY.GDP.MKTP.CD</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 2017=30 Space Stats Online https://spacestatsonline.com/launches/country/usa/ ; FAA AST regime Congress.gov R48582; gdp World Bank NY.GDP.MKTP.CD</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 2018=34 Space Stats Online https://spacestatsonline.com/launches/country/usa/ ; FAA AST regime Congress.gov R48582; private_share proxy [illustrative]</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 2019=27 Space Stats Online https://spacestatsonline.com/launches/country/usa/ ; FAA AST regime Congress.gov R48582</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 2020=44 Space Stats Online https://spacestatsonline.com/launches/country/usa/ ; reg_stringency=1 Part 450 streamlined final rule 2020 FAA https://www.faa.gov/newsroom/faa-streamlines-commercial-space-license-approvals</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 2021=51 Space Stats Online https://spacestatsonline.com/launches/country/usa/ ; Part 450 era FAA https://www.faa.gov/newsroom/faa-streamlines-commercial-space-license-approvals ; private_share proxy [illustrative]</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 2022=87 Space Stats Online https://spacestatsonline.com/launches/country/usa/ ; Part 450 era FAA https://www.faa.gov/newsroom/faa-streamlines-commercial-space-license-approvals</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 2023=114 Space Stats Online https://spacestatsonline.com/launches/country/usa/ ; Part 450 era FAA Part450 PDF https://www.faa.gov/sites/faa.gov/files/space/streamlined_licensing_process/AST_Space_Rule_450_1.pdf</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 2024=154 Space Stats Online https://spacestatsonline.com/launches/country/usa/ ; Part 450 era; private_share proxy [illustrative]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2016=22 Space Stats Online https://spacestatsonline.com/launches/country/chn/ ; reg_stringency=5 state-controlled launch regime (no streamlined commercial-entry licensing), Chambers Space Law 2025; gdp World Bank NY.GDP.MKTP.CD</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2017=18 Space Stats Online https://spacestatsonline.com/launches/country/chn/ ; state-controlled regime; private_share proxy [illustrative]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2018=39 Space Stats Online https://spacestatsonline.com/launches/country/chn/ ; state-controlled regime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2019=34 Space Stats Online https://spacestatsonline.com/launches/country/chn/ ; state-controlled regime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2020=39 Space Stats Online https://spacestatsonline.com/launches/country/chn/ ; state-controlled regime; private_share proxy [illustrative]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China 2021=55 Space Stats Online https://spacestatsonline.com/launches/country/chn/ ; reg_stringency=4 partial commercial-launch openings (CASC/CASIC commercial arms), Chambers Space Law 2025</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China 2022=64 Space Stats Online https://spacestatsonline.com/launches/country/chn/ ; partial commercial openings</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China 2023=67 Space Stats Online https://spacestatsonline.com/launches/country/chn/ ; partial commercial openings; private_share proxy [illustrative]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China 2024=68 Space Stats Online https://spacestatsonline.com/launches/country/chn/ ; partial commercial openings</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2016=17 Space Stats Online https://spacestatsonline.com/launches/country/rus/ ; reg_stringency=5 state-monopoly Roscosmos launch regime; gdp World Bank NY.GDP.MKTP.CD https://data.worldbank.org/indicator/NY.GDP.MKTP.CD ; private_share proxy [illustrative]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2017=19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2018=17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2019=22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2020=15 Space Stats Online https://spacestatsonline.com/launches/country/rus/ ; state-monopoly regime; private_share proxy [illustrative]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Russia 2021=24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Russia 2022=21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Russia 2023=20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Russia 2024=17 Space Stats Online https://spacestatsonline.com/launches/country/rus/ ; state-monopoly regime; private_share proxy [illustrative]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2016=7 Space Stats Online https://spacestatsonline.com/launches/country/ind/ ; reg_stringency=4 pre-IN-SPACe ISRO-centric regime, NUJS CASL liberalization review https://nujs.edu/casl/liberalization-of-the-indian-space-sector-private-participation-and-legal-challenges/ ; gdp World Bank NY.GDP.MKTP.CD</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2017=5 Space Stats Online https://spacestatsonline.com/launches/country/ind/ ; pre-IN-SPACe regime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2018=7 Space Stats Online https://spacestatsonline.com/launches/country/ind/ ; pre-IN-SPACe regime; private_share proxy [illustrative]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2019=6 Space Stats Online https://spacestatsonline.com/launches/country/ind/ ; pre-IN-SPACe regime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2020=2 Space Stats Online https://spacestatsonline.com/launches/country/ind/ ; reg_stringency=3 IN-SPACe single-window liberalization 2020, NUJS CASL https://nujs.edu/casl/liberalization-of-the-indian-space-sector-private-participation-and-legal-challenges/</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India 2021=2 Space Stats Online https://spacestatsonline.com/launches/country/ind/ ; IN-SPACe liberalization era</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India 2022=5 Space Stats Online https://spacestatsonline.com/launches/country/ind/ ; IN-SPACe liberalization era; private_share proxy [illustrative]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India 2023=7 Space Stats Online https://spacestatsonline.com/launches/country/ind/ ; IN-SPACe / Indian Space Policy 2023, Chambers Space Law 2025 India</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India 2024=5 Space Stats Online https://spacestatsonline.com/launches/country/ind/ ; 100pct FDI manufacturing / 74pct satellite automatic route 2024, Trilegal 2024 review https://trilegal.com/knowledge_repository/trilegal-update-the-indian-space-industry-key-regulatory-and-policy-developments-from-2024/</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2016=4 Space Stats Online https://spacestatsonline.com/launches/country/jpn/ ; reg_stringency=3 pre-Space-Activities-Act framework, IBA Japan space legal framework https://www.ibanet.org/emerging-space-related-private-sector-Japan-legal ; gdp World Bank NY.GDP.MKTP.CD</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2017=7 Space Stats Online https://spacestatsonline.com/launches/country/jpn/ ; pre-Act framework</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2018=6 Space Stats Online https://spacestatsonline.com/launches/country/jpn/ ; Space Activities Act effective Nov 2018, IBA https://www.ibanet.org/emerging-space-related-private-sector-Japan-legal ; private_share proxy [illustrative]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2019=2 Space Stats Online https://spacestatsonline.com/launches/country/jpn/ ; Space Activities Act regime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2020=4 Space Stats Online https://spacestatsonline.com/launches/country/jpn/ ; Space Activities Act regime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Japan 2021=3 Space Stats Online https://spacestatsonline.com/launches/country/jpn/ ; Space Activities Act regime; private_share proxy [illustrative]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Japan 2022=1 Space Stats Online https://spacestatsonline.com/launches/country/jpn/ ; Space Activities Act regime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Japan 2023=3 Space Stats Online https://spacestatsonline.com/launches/country/jpn/ ; Space Activities Act regime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Japan 2024=7 Space Stats Online https://spacestatsonline.com/launches/country/jpn/ ; Space Activities Act regime; private_share proxy [illustrative]</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Annual orbital launch attempts catalogued for nation i in year t (count, dependent variable)</w:t>
            </w:r>
          </w:p>
        </w:tc>
        <w:tc>
          <w:tcPr>
            <w:tcW w:w="0" w:type="auto"/>
          </w:tcPr>
          <w:p>
            <w:pPr>
              <w:spacing w:line="240" w:lineRule="auto" w:before="0" w:after="0"/>
              <w:pStyle w:val="Compact"/>
            </w:pPr>
            <w:r>
              <w:rPr>
                <w:sz w:val="20"/>
                <w:szCs w:val="20"/>
              </w:rPr>
              <w:t xml:space="preserve">Space Stats Online per-country launch tables, https://spacestatsonline.com/launches/country/</w:t>
            </w:r>
          </w:p>
        </w:tc>
      </w:tr>
      <w:tr>
        <w:tc>
          <w:tcPr>
            <w:tcW w:w="0" w:type="auto"/>
          </w:tcPr>
          <w:p>
            <w:pPr>
              <w:spacing w:line="240" w:lineRule="auto" w:before="0" w:after="0"/>
              <w:pStyle w:val="Compact"/>
            </w:pPr>
            <w:r>
              <w:rPr>
                <w:sz w:val="20"/>
                <w:szCs w:val="20"/>
              </w:rPr>
              <w:t xml:space="preserve">reg_stringency</w:t>
            </w:r>
          </w:p>
        </w:tc>
        <w:tc>
          <w:tcPr>
            <w:tcW w:w="0" w:type="auto"/>
          </w:tcPr>
          <w:p>
            <w:pPr>
              <w:spacing w:line="240" w:lineRule="auto" w:before="0" w:after="0"/>
              <w:pStyle w:val="Compact"/>
            </w:pPr>
            <w:r>
              <w:rPr>
                <w:sz w:val="20"/>
                <w:szCs w:val="20"/>
              </w:rPr>
              <w:t xml:space="preserve">Ordinal index 1-5 of national launch-licensing stringency toward competitive private entry (1 = streamlined enabling regime, 5 = state-monopoly), coded from documented regime descriptions</w:t>
            </w:r>
          </w:p>
        </w:tc>
        <w:tc>
          <w:tcPr>
            <w:tcW w:w="0" w:type="auto"/>
          </w:tcPr>
          <w:p>
            <w:pPr>
              <w:spacing w:line="240" w:lineRule="auto" w:before="0" w:after="0"/>
              <w:pStyle w:val="Compact"/>
            </w:pPr>
            <w:r>
              <w:rPr>
                <w:sz w:val="20"/>
                <w:szCs w:val="20"/>
              </w:rPr>
              <w:t xml:space="preserve">FAA Part 450 streamlined rule (US); Congress.gov R48582; IN-SPACe liberalization (India) NUJS CASL; Japan Space Activities Act (IBA); Chambers Space Law 2025</w:t>
            </w:r>
          </w:p>
        </w:tc>
      </w:tr>
      <w:tr>
        <w:tc>
          <w:tcPr>
            <w:tcW w:w="0" w:type="auto"/>
          </w:tcPr>
          <w:p>
            <w:pPr>
              <w:spacing w:line="240" w:lineRule="auto" w:before="0" w:after="0"/>
              <w:pStyle w:val="Compact"/>
            </w:pPr>
            <w:r>
              <w:rPr>
                <w:sz w:val="20"/>
                <w:szCs w:val="20"/>
              </w:rPr>
              <w:t xml:space="preserve">private_share</w:t>
            </w:r>
          </w:p>
        </w:tc>
        <w:tc>
          <w:tcPr>
            <w:tcW w:w="0" w:type="auto"/>
          </w:tcPr>
          <w:p>
            <w:pPr>
              <w:spacing w:line="240" w:lineRule="auto" w:before="0" w:after="0"/>
              <w:pStyle w:val="Compact"/>
            </w:pPr>
            <w:r>
              <w:rPr>
                <w:sz w:val="20"/>
                <w:szCs w:val="20"/>
              </w:rPr>
              <w:t xml:space="preserve">Share of national launch activity provided by commercial/non-government operators (proxy for competitive market structure)</w:t>
            </w:r>
          </w:p>
        </w:tc>
        <w:tc>
          <w:tcPr>
            <w:tcW w:w="0" w:type="auto"/>
          </w:tcPr>
          <w:p>
            <w:pPr>
              <w:spacing w:line="240" w:lineRule="auto" w:before="0" w:after="0"/>
              <w:pStyle w:val="Compact"/>
            </w:pPr>
            <w:r>
              <w:rPr>
                <w:sz w:val="20"/>
                <w:szCs w:val="20"/>
              </w:rPr>
              <w:t xml:space="preserve">Commercial-share proxy [illustrative] anchored on documented commercialization trajectories</w:t>
            </w:r>
          </w:p>
        </w:tc>
      </w:tr>
      <w:tr>
        <w:tc>
          <w:tcPr>
            <w:tcW w:w="0" w:type="auto"/>
          </w:tcPr>
          <w:p>
            <w:pPr>
              <w:spacing w:line="240" w:lineRule="auto" w:before="0" w:after="0"/>
              <w:pStyle w:val="Compact"/>
            </w:pPr>
            <w:r>
              <w:rPr>
                <w:sz w:val="20"/>
                <w:szCs w:val="20"/>
              </w:rPr>
              <w:t xml:space="preserve">gdp_tn</w:t>
            </w:r>
          </w:p>
        </w:tc>
        <w:tc>
          <w:tcPr>
            <w:tcW w:w="0" w:type="auto"/>
          </w:tcPr>
          <w:p>
            <w:pPr>
              <w:spacing w:line="240" w:lineRule="auto" w:before="0" w:after="0"/>
              <w:pStyle w:val="Compact"/>
            </w:pPr>
            <w:r>
              <w:rPr>
                <w:sz w:val="20"/>
                <w:szCs w:val="20"/>
              </w:rPr>
              <w:t xml:space="preserve">Nominal GDP, period-average over 2016-2024, trillions of current US dollars (scale control)</w:t>
            </w:r>
          </w:p>
        </w:tc>
        <w:tc>
          <w:tcPr>
            <w:tcW w:w="0" w:type="auto"/>
          </w:tcPr>
          <w:p>
            <w:pPr>
              <w:spacing w:line="240" w:lineRule="auto" w:before="0" w:after="0"/>
              <w:pStyle w:val="Compact"/>
            </w:pPr>
            <w:r>
              <w:rPr>
                <w:sz w:val="20"/>
                <w:szCs w:val="20"/>
              </w:rPr>
              <w:t xml:space="preserve">World Bank GDP current US$ NY.GDP.MKTP.CD, https://data.worldbank.org/indicator/NY.GDP.MKTP.CD</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Indicator = 1 for years 2021-2024 (reusable-launch scale-up and post-Part-450 era), else 0</w:t>
            </w:r>
          </w:p>
        </w:tc>
        <w:tc>
          <w:tcPr>
            <w:tcW w:w="0" w:type="auto"/>
          </w:tcPr>
          <w:p>
            <w:pPr>
              <w:spacing w:line="240" w:lineRule="auto" w:before="0" w:after="0"/>
              <w:pStyle w:val="Compact"/>
            </w:pPr>
            <w:r>
              <w:rPr>
                <w:sz w:val="20"/>
                <w:szCs w:val="20"/>
              </w:rPr>
              <w:t xml:space="preserve">Author construction from FAA Part 450 effective period, https://www.faa.gov/newsroom/faa-streamlines-commercial-space-license-approvals</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-77.2756</w:t>
            </w:r>
          </w:p>
        </w:tc>
        <w:tc>
          <w:tcPr>
            <w:tcW w:w="0" w:type="auto"/>
          </w:tcPr>
          <w:p>
            <w:pPr>
              <w:spacing w:line="240" w:lineRule="auto" w:before="0" w:after="0"/>
              <w:pStyle w:val="Compact"/>
            </w:pPr>
            <w:r>
              <w:rPr>
                <w:sz w:val="20"/>
                <w:szCs w:val="20"/>
              </w:rPr>
              <w:t xml:space="preserve">21.982</w:t>
            </w:r>
          </w:p>
        </w:tc>
        <w:tc>
          <w:tcPr>
            <w:tcW w:w="0" w:type="auto"/>
          </w:tcPr>
          <w:p>
            <w:pPr>
              <w:spacing w:line="240" w:lineRule="auto" w:before="0" w:after="0"/>
              <w:pStyle w:val="Compact"/>
            </w:pPr>
            <w:r>
              <w:rPr>
                <w:sz w:val="20"/>
                <w:szCs w:val="20"/>
              </w:rPr>
              <w:t xml:space="preserve">-3.5154</w:t>
            </w:r>
          </w:p>
        </w:tc>
        <w:tc>
          <w:tcPr>
            <w:tcW w:w="0" w:type="auto"/>
          </w:tcPr>
          <w:p>
            <w:pPr>
              <w:spacing w:line="240" w:lineRule="auto" w:before="0" w:after="0"/>
              <w:pStyle w:val="Compact"/>
            </w:pPr>
            <w:r>
              <w:rPr>
                <w:sz w:val="20"/>
                <w:szCs w:val="20"/>
              </w:rPr>
              <w:t xml:space="preserve">0.0004391</w:t>
            </w:r>
          </w:p>
        </w:tc>
        <w:tc>
          <w:tcPr>
            <w:tcW w:w="0" w:type="auto"/>
          </w:tcPr>
          <w:p>
            <w:pPr>
              <w:spacing w:line="240" w:lineRule="auto" w:before="0" w:after="0"/>
              <w:pStyle w:val="Compact"/>
            </w:pPr>
            <w:r>
              <w:rPr>
                <w:sz w:val="20"/>
                <w:szCs w:val="20"/>
              </w:rPr>
              <w:t xml:space="preserve">[-120.3596, -34.1917]</w:t>
            </w:r>
          </w:p>
        </w:tc>
      </w:tr>
      <w:tr>
        <w:tc>
          <w:tcPr>
            <w:tcW w:w="0" w:type="auto"/>
          </w:tcPr>
          <w:p>
            <w:pPr>
              <w:spacing w:line="240" w:lineRule="auto" w:before="0" w:after="0"/>
              <w:pStyle w:val="Compact"/>
            </w:pPr>
            <w:r>
              <w:rPr>
                <w:sz w:val="20"/>
                <w:szCs w:val="20"/>
              </w:rPr>
              <w:t xml:space="preserve">reg_stringency</w:t>
            </w:r>
          </w:p>
        </w:tc>
        <w:tc>
          <w:tcPr>
            <w:tcW w:w="0" w:type="auto"/>
          </w:tcPr>
          <w:p>
            <w:pPr>
              <w:spacing w:line="240" w:lineRule="auto" w:before="0" w:after="0"/>
              <w:pStyle w:val="Compact"/>
            </w:pPr>
            <w:r>
              <w:rPr>
                <w:sz w:val="20"/>
                <w:szCs w:val="20"/>
              </w:rPr>
              <w:t xml:space="preserve">15.3604</w:t>
            </w:r>
          </w:p>
        </w:tc>
        <w:tc>
          <w:tcPr>
            <w:tcW w:w="0" w:type="auto"/>
          </w:tcPr>
          <w:p>
            <w:pPr>
              <w:spacing w:line="240" w:lineRule="auto" w:before="0" w:after="0"/>
              <w:pStyle w:val="Compact"/>
            </w:pPr>
            <w:r>
              <w:rPr>
                <w:sz w:val="20"/>
                <w:szCs w:val="20"/>
              </w:rPr>
              <w:t xml:space="preserve">4.3371</w:t>
            </w:r>
          </w:p>
        </w:tc>
        <w:tc>
          <w:tcPr>
            <w:tcW w:w="0" w:type="auto"/>
          </w:tcPr>
          <w:p>
            <w:pPr>
              <w:spacing w:line="240" w:lineRule="auto" w:before="0" w:after="0"/>
              <w:pStyle w:val="Compact"/>
            </w:pPr>
            <w:r>
              <w:rPr>
                <w:sz w:val="20"/>
                <w:szCs w:val="20"/>
              </w:rPr>
              <w:t xml:space="preserve">3.5416</w:t>
            </w:r>
          </w:p>
        </w:tc>
        <w:tc>
          <w:tcPr>
            <w:tcW w:w="0" w:type="auto"/>
          </w:tcPr>
          <w:p>
            <w:pPr>
              <w:spacing w:line="240" w:lineRule="auto" w:before="0" w:after="0"/>
              <w:pStyle w:val="Compact"/>
            </w:pPr>
            <w:r>
              <w:rPr>
                <w:sz w:val="20"/>
                <w:szCs w:val="20"/>
              </w:rPr>
              <w:t xml:space="preserve">0.0003977</w:t>
            </w:r>
          </w:p>
        </w:tc>
        <w:tc>
          <w:tcPr>
            <w:tcW w:w="0" w:type="auto"/>
          </w:tcPr>
          <w:p>
            <w:pPr>
              <w:spacing w:line="240" w:lineRule="auto" w:before="0" w:after="0"/>
              <w:pStyle w:val="Compact"/>
            </w:pPr>
            <w:r>
              <w:rPr>
                <w:sz w:val="20"/>
                <w:szCs w:val="20"/>
              </w:rPr>
              <w:t xml:space="preserve">[6.8599, 23.861]</w:t>
            </w:r>
          </w:p>
        </w:tc>
      </w:tr>
      <w:tr>
        <w:tc>
          <w:tcPr>
            <w:tcW w:w="0" w:type="auto"/>
          </w:tcPr>
          <w:p>
            <w:pPr>
              <w:spacing w:line="240" w:lineRule="auto" w:before="0" w:after="0"/>
              <w:pStyle w:val="Compact"/>
            </w:pPr>
            <w:r>
              <w:rPr>
                <w:sz w:val="20"/>
                <w:szCs w:val="20"/>
              </w:rPr>
              <w:t xml:space="preserve">private_share</w:t>
            </w:r>
          </w:p>
        </w:tc>
        <w:tc>
          <w:tcPr>
            <w:tcW w:w="0" w:type="auto"/>
          </w:tcPr>
          <w:p>
            <w:pPr>
              <w:spacing w:line="240" w:lineRule="auto" w:before="0" w:after="0"/>
              <w:pStyle w:val="Compact"/>
            </w:pPr>
            <w:r>
              <w:rPr>
                <w:sz w:val="20"/>
                <w:szCs w:val="20"/>
              </w:rPr>
              <w:t xml:space="preserve">129.5557</w:t>
            </w:r>
          </w:p>
        </w:tc>
        <w:tc>
          <w:tcPr>
            <w:tcW w:w="0" w:type="auto"/>
          </w:tcPr>
          <w:p>
            <w:pPr>
              <w:spacing w:line="240" w:lineRule="auto" w:before="0" w:after="0"/>
              <w:pStyle w:val="Compact"/>
            </w:pPr>
            <w:r>
              <w:rPr>
                <w:sz w:val="20"/>
                <w:szCs w:val="20"/>
              </w:rPr>
              <w:t xml:space="preserve">56.9683</w:t>
            </w:r>
          </w:p>
        </w:tc>
        <w:tc>
          <w:tcPr>
            <w:tcW w:w="0" w:type="auto"/>
          </w:tcPr>
          <w:p>
            <w:pPr>
              <w:spacing w:line="240" w:lineRule="auto" w:before="0" w:after="0"/>
              <w:pStyle w:val="Compact"/>
            </w:pPr>
            <w:r>
              <w:rPr>
                <w:sz w:val="20"/>
                <w:szCs w:val="20"/>
              </w:rPr>
              <w:t xml:space="preserve">2.2742</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[17.8999, 241.2116]</w:t>
            </w:r>
          </w:p>
        </w:tc>
      </w:tr>
      <w:tr>
        <w:tc>
          <w:tcPr>
            <w:tcW w:w="0" w:type="auto"/>
          </w:tcPr>
          <w:p>
            <w:pPr>
              <w:spacing w:line="240" w:lineRule="auto" w:before="0" w:after="0"/>
              <w:pStyle w:val="Compact"/>
            </w:pPr>
            <w:r>
              <w:rPr>
                <w:sz w:val="20"/>
                <w:szCs w:val="20"/>
              </w:rPr>
              <w:t xml:space="preserve">gdp_tn</w:t>
            </w:r>
          </w:p>
        </w:tc>
        <w:tc>
          <w:tcPr>
            <w:tcW w:w="0" w:type="auto"/>
          </w:tcPr>
          <w:p>
            <w:pPr>
              <w:spacing w:line="240" w:lineRule="auto" w:before="0" w:after="0"/>
              <w:pStyle w:val="Compact"/>
            </w:pPr>
            <w:r>
              <w:rPr>
                <w:sz w:val="20"/>
                <w:szCs w:val="20"/>
              </w:rPr>
              <w:t xml:space="preserve">1.2108</w:t>
            </w:r>
          </w:p>
        </w:tc>
        <w:tc>
          <w:tcPr>
            <w:tcW w:w="0" w:type="auto"/>
          </w:tcPr>
          <w:p>
            <w:pPr>
              <w:spacing w:line="240" w:lineRule="auto" w:before="0" w:after="0"/>
              <w:pStyle w:val="Compact"/>
            </w:pPr>
            <w:r>
              <w:rPr>
                <w:sz w:val="20"/>
                <w:szCs w:val="20"/>
              </w:rPr>
              <w:t xml:space="preserve">0.7215</w:t>
            </w:r>
          </w:p>
        </w:tc>
        <w:tc>
          <w:tcPr>
            <w:tcW w:w="0" w:type="auto"/>
          </w:tcPr>
          <w:p>
            <w:pPr>
              <w:spacing w:line="240" w:lineRule="auto" w:before="0" w:after="0"/>
              <w:pStyle w:val="Compact"/>
            </w:pPr>
            <w:r>
              <w:rPr>
                <w:sz w:val="20"/>
                <w:szCs w:val="20"/>
              </w:rPr>
              <w:t xml:space="preserve">1.6782</w:t>
            </w:r>
          </w:p>
        </w:tc>
        <w:tc>
          <w:tcPr>
            <w:tcW w:w="0" w:type="auto"/>
          </w:tcPr>
          <w:p>
            <w:pPr>
              <w:spacing w:line="240" w:lineRule="auto" w:before="0" w:after="0"/>
              <w:pStyle w:val="Compact"/>
            </w:pPr>
            <w:r>
              <w:rPr>
                <w:sz w:val="20"/>
                <w:szCs w:val="20"/>
              </w:rPr>
              <w:t xml:space="preserve">0.0933</w:t>
            </w:r>
          </w:p>
        </w:tc>
        <w:tc>
          <w:tcPr>
            <w:tcW w:w="0" w:type="auto"/>
          </w:tcPr>
          <w:p>
            <w:pPr>
              <w:spacing w:line="240" w:lineRule="auto" w:before="0" w:after="0"/>
              <w:pStyle w:val="Compact"/>
            </w:pPr>
            <w:r>
              <w:rPr>
                <w:sz w:val="20"/>
                <w:szCs w:val="20"/>
              </w:rPr>
              <w:t xml:space="preserve">[-0.2033, 2.6249]</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14.1542</w:t>
            </w:r>
          </w:p>
        </w:tc>
        <w:tc>
          <w:tcPr>
            <w:tcW w:w="0" w:type="auto"/>
          </w:tcPr>
          <w:p>
            <w:pPr>
              <w:spacing w:line="240" w:lineRule="auto" w:before="0" w:after="0"/>
              <w:pStyle w:val="Compact"/>
            </w:pPr>
            <w:r>
              <w:rPr>
                <w:sz w:val="20"/>
                <w:szCs w:val="20"/>
              </w:rPr>
              <w:t xml:space="preserve">3.505</w:t>
            </w:r>
          </w:p>
        </w:tc>
        <w:tc>
          <w:tcPr>
            <w:tcW w:w="0" w:type="auto"/>
          </w:tcPr>
          <w:p>
            <w:pPr>
              <w:spacing w:line="240" w:lineRule="auto" w:before="0" w:after="0"/>
              <w:pStyle w:val="Compact"/>
            </w:pPr>
            <w:r>
              <w:rPr>
                <w:sz w:val="20"/>
                <w:szCs w:val="20"/>
              </w:rPr>
              <w:t xml:space="preserve">4.0382</w:t>
            </w:r>
          </w:p>
        </w:tc>
        <w:tc>
          <w:tcPr>
            <w:tcW w:w="0" w:type="auto"/>
          </w:tcPr>
          <w:p>
            <w:pPr>
              <w:spacing w:line="240" w:lineRule="auto" w:before="0" w:after="0"/>
              <w:pStyle w:val="Compact"/>
            </w:pPr>
            <w:r>
              <w:rPr>
                <w:sz w:val="20"/>
                <w:szCs w:val="20"/>
              </w:rPr>
              <w:t xml:space="preserve">5.385e-05</w:t>
            </w:r>
          </w:p>
        </w:tc>
        <w:tc>
          <w:tcPr>
            <w:tcW w:w="0" w:type="auto"/>
          </w:tcPr>
          <w:p>
            <w:pPr>
              <w:spacing w:line="240" w:lineRule="auto" w:before="0" w:after="0"/>
              <w:pStyle w:val="Compact"/>
            </w:pPr>
            <w:r>
              <w:rPr>
                <w:sz w:val="20"/>
                <w:szCs w:val="20"/>
              </w:rPr>
              <w:t xml:space="preserve">[7.2844, 21.024]</w:t>
            </w:r>
          </w:p>
        </w:tc>
      </w:tr>
    </w:tbl>
    <w:p>
      <w:pPr>
        <w:pStyle w:val="BodyText"/>
      </w:pPr>
      <w:r>
        <w:t xml:space="preserve">Fit: N = 45 R2 = 0.6937 R2_adj = 0.6631 F = 26.7287 F_p = 7.794e-11</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2026-06-26T16:46:14Z</dcterms:created>
  <dcterms:modified xsi:type="dcterms:W3CDTF">2026-06-26T16:46:14Z</dcterms:modified>
</cp:coreProperties>
</file>

<file path=docProps/custom.xml><?xml version="1.0" encoding="utf-8"?>
<Properties xmlns="http://schemas.openxmlformats.org/officeDocument/2006/custom-properties" xmlns:vt="http://schemas.openxmlformats.org/officeDocument/2006/docPropsVTypes"/>
</file>