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INTERNATIONAL LAUNCH-MARKET COMPETITION AND REGULATORY STRINGENCY: A PANEL OF NATIONS</w:t>
      </w:r>
    </w:p>
    <w:p>
      <w:pPr>
        <w:jc w:val="center"/>
      </w:pPr>
    </w:p>
    <w:p>
      <w:pPr>
        <w:jc w:val="center"/>
      </w:pPr>
      <w:r>
        <w:rPr>
          <w:rFonts w:ascii="Times New Roman" w:hAnsi="Times New Roman"/>
          <w:sz w:val="24"/>
        </w:rPr>
        <w:t>by</w:t>
      </w:r>
    </w:p>
    <w:p>
      <w:pPr>
        <w:jc w:val="center"/>
      </w:pPr>
      <w:r>
        <w:rPr>
          <w:rFonts w:ascii="Times New Roman" w:hAnsi="Times New Roman"/>
          <w:b/>
          <w:sz w:val="28"/>
        </w:rPr>
        <w:t>Cyrus Sandoval</w:t>
      </w:r>
    </w:p>
    <w:p>
      <w:pPr>
        <w:jc w:val="center"/>
      </w:pPr>
      <w:r>
        <w:rPr>
          <w:rFonts w:ascii="Times New Roman" w:hAnsi="Times New Roman"/>
          <w:sz w:val="24"/>
        </w:rPr>
        <w:t>1B-INF-076</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7" w:name="chapter-1.-introduction"/>
    <w:p>
      <w:pPr>
        <w:pStyle w:val="Heading1"/>
        <w:spacing w:line="480" w:lineRule="auto"/>
      </w:pPr>
      <w:r>
        <w:t xml:space="preserve">Chapter 1. Introduction</w:t>
      </w:r>
    </w:p>
    <w:bookmarkStart w:id="61" w:name="the-problem-in-one-sentence"/>
    <w:p>
      <w:pPr>
        <w:pStyle w:val="Heading2"/>
        <w:spacing w:line="480" w:lineRule="auto"/>
      </w:pPr>
      <w:r>
        <w:t xml:space="preserve">1.1 The Problem in One Sentence</w:t>
      </w:r>
    </w:p>
    <w:p>
      <w:pPr>
        <w:pStyle w:val="FirstParagraph"/>
        <w:spacing w:line="480" w:lineRule="auto"/>
      </w:pPr>
      <w:r>
        <w:t xml:space="preserve">The central problem this dissertation addresses is that a foundational claim of contemporary space-policy advocacy, that a host state’s regulation of its own launch industry is endogenous to the competitive position of that industry in the international launch market, has been asserted continuously and estimated never. The strategic-competition literature treats the relationship between regulation and competition as obvious enough to ground prescriptions for whole-of-nation space posture</w:t>
      </w:r>
      <w:r>
        <w:t xml:space="preserve"> </w:t>
      </w:r>
      <w:hyperlink w:anchor="ref-6">
        <w:r>
          <w:rPr>
            <w:rStyle w:val="Hyperlink"/>
          </w:rPr>
          <w:t xml:space="preserve">[6]</w:t>
        </w:r>
      </w:hyperlink>
      <w:r>
        <w:t xml:space="preserve">, yet across the retrieved corpus no published study converts the relationship into an estimated coefficient on a panel of nations. The dissertation closes that gap by producing one such coefficient, with a stated null and a stated alternative, on a country-year panel of the major launch-host states across a decade of commercial cadence growth.</w:t>
      </w:r>
    </w:p>
    <w:bookmarkEnd w:id="61"/>
    <w:bookmarkStart w:id="62" w:name="why-the-problem-matters-now"/>
    <w:p>
      <w:pPr>
        <w:pStyle w:val="Heading2"/>
        <w:spacing w:line="480" w:lineRule="auto"/>
      </w:pPr>
      <w:r>
        <w:t xml:space="preserve">1.2 Why the Problem Matters Now</w:t>
      </w:r>
    </w:p>
    <w:p>
      <w:pPr>
        <w:pStyle w:val="FirstParagraph"/>
        <w:spacing w:line="480" w:lineRule="auto"/>
      </w:pPr>
      <w:r>
        <w:t xml:space="preserve">The international launch market has changed character. That shift lifts this question from academic curiosity to operational concern. Between 2016 and 2024 the number of orbital launch attempts conducted from United States territory rose from roughly two dozen per year to more than one hundred and fifty, a trajectory whose closest analogues in the broader space economy literature are the reusable-launch cost-per-kilogram scenarios documented in the OCEA forecasts</w:t>
      </w:r>
      <w:r>
        <w:t xml:space="preserve"> </w:t>
      </w:r>
      <w:hyperlink w:anchor="ref-9">
        <w:r>
          <w:rPr>
            <w:rStyle w:val="Hyperlink"/>
          </w:rPr>
          <w:t xml:space="preserve">[9]</w:t>
        </w:r>
      </w:hyperlink>
      <w:r>
        <w:t xml:space="preserve"> </w:t>
      </w:r>
      <w:r>
        <w:t xml:space="preserve">and the structural-cost reductions catalogued in the NASA Technical Reports Server treatment of recent launch-cost decline</w:t>
      </w:r>
      <w:r>
        <w:t xml:space="preserve"> </w:t>
      </w:r>
      <w:hyperlink w:anchor="ref-19">
        <w:r>
          <w:rPr>
            <w:rStyle w:val="Hyperlink"/>
          </w:rPr>
          <w:t xml:space="preserve">[19]</w:t>
        </w:r>
      </w:hyperlink>
      <w:r>
        <w:t xml:space="preserve">. Several established launch states held flat or declined over the same window, and a Bartik-style decomposition of demand and geographic advantage attributes part of the divergence to forces outside any state’s regulatory control. What the literature has not pinned down is the share of the divergence that is attributable to the rules themselves and to the political economy by which those rules are set.</w:t>
      </w:r>
    </w:p>
    <w:p>
      <w:pPr>
        <w:pStyle w:val="BodyText"/>
        <w:spacing w:line="480" w:lineRule="auto"/>
        <w:ind w:firstLine="720"/>
      </w:pPr>
      <w:r>
        <w:t xml:space="preserve">Three facts of the contemporary environment make the question newly stakes-laden. First, the volume increase has placed real strain on the surrounding traffic-coordination apparatus, since</w:t>
      </w:r>
      <w:r>
        <w:t xml:space="preserve"> </w:t>
      </w:r>
      <w:r>
        <w:t xml:space="preserve">“as the launch cadence increases the system for”</w:t>
      </w:r>
      <w:r>
        <w:t xml:space="preserve"> </w:t>
      </w:r>
      <w:r>
        <w:t xml:space="preserve">managing airspace-to-orbit transitions comes under measurable pressure</w:t>
      </w:r>
      <w:r>
        <w:t xml:space="preserve"> </w:t>
      </w:r>
      <w:hyperlink w:anchor="ref-2">
        <w:r>
          <w:rPr>
            <w:rStyle w:val="Hyperlink"/>
          </w:rPr>
          <w:t xml:space="preserve">[2]</w:t>
        </w:r>
      </w:hyperlink>
      <w:r>
        <w:t xml:space="preserve">. The same authors document a coordination burden spanning</w:t>
      </w:r>
      <w:r>
        <w:t xml:space="preserve"> </w:t>
      </w:r>
      <w:r>
        <w:t xml:space="preserve">“pre-launch, launch, and reentry activities”</w:t>
      </w:r>
      <w:r>
        <w:t xml:space="preserve"> </w:t>
      </w:r>
      <w:r>
        <w:t xml:space="preserve">that scales nonlinearly with cadence</w:t>
      </w:r>
      <w:r>
        <w:t xml:space="preserve"> </w:t>
      </w:r>
      <w:hyperlink w:anchor="ref-2">
        <w:r>
          <w:rPr>
            <w:rStyle w:val="Hyperlink"/>
          </w:rPr>
          <w:t xml:space="preserve">[2]</w:t>
        </w:r>
      </w:hyperlink>
      <w:r>
        <w:t xml:space="preserve">, and forward-looking environment models project further intensification under reference-scenario assumptions</w:t>
      </w:r>
      <w:r>
        <w:t xml:space="preserve"> </w:t>
      </w:r>
      <w:hyperlink w:anchor="ref-8">
        <w:r>
          <w:rPr>
            <w:rStyle w:val="Hyperlink"/>
          </w:rPr>
          <w:t xml:space="preserve">[8]</w:t>
        </w:r>
      </w:hyperlink>
      <w:r>
        <w:t xml:space="preserve">. Regulatory stringency is therefore no longer a paper construct that lives in licensing offices; it touches the operating envelope of national airspace systems and of the orbital regime itself. Second, the set of host states has widened, and</w:t>
      </w:r>
      <w:r>
        <w:t xml:space="preserve"> </w:t>
      </w:r>
      <w:r>
        <w:t xml:space="preserve">“many states are now developing their own commercial space”</w:t>
      </w:r>
      <w:r>
        <w:t xml:space="preserve"> </w:t>
      </w:r>
      <w:r>
        <w:t xml:space="preserve">launch capability</w:t>
      </w:r>
      <w:r>
        <w:t xml:space="preserve"> </w:t>
      </w:r>
      <w:hyperlink w:anchor="ref-1">
        <w:r>
          <w:rPr>
            <w:rStyle w:val="Hyperlink"/>
          </w:rPr>
          <w:t xml:space="preserve">[1]</w:t>
        </w:r>
      </w:hyperlink>
      <w:r>
        <w:t xml:space="preserve">, so the policy choices of any one regulator now produce externalities for the competitive position of providers in other jurisdictions. Third, the supervision burden documented for in-space activity, with its</w:t>
      </w:r>
      <w:r>
        <w:t xml:space="preserve"> </w:t>
      </w:r>
      <w:r>
        <w:t xml:space="preserve">“complex regulations, uncertain commercial business cases”</w:t>
      </w:r>
      <w:r>
        <w:t xml:space="preserve"> </w:t>
      </w:r>
      <w:r>
        <w:t xml:space="preserve">and</w:t>
      </w:r>
      <w:r>
        <w:t xml:space="preserve"> </w:t>
      </w:r>
      <w:r>
        <w:t xml:space="preserve">“fluctuating launch costs”</w:t>
      </w:r>
      <w:r>
        <w:t xml:space="preserve"> </w:t>
      </w:r>
      <w:hyperlink w:anchor="ref-7">
        <w:r>
          <w:rPr>
            <w:rStyle w:val="Hyperlink"/>
          </w:rPr>
          <w:t xml:space="preserve">[7]</w:t>
        </w:r>
      </w:hyperlink>
      <w:r>
        <w:t xml:space="preserve">, shows how stringency, market structure, and cost interact in ways that no purely qualitative account can resolve. The estimated coefficient this dissertation produces is the smallest possible empirical object that can discipline the prescriptive arguments now circulating.</w:t>
      </w:r>
    </w:p>
    <w:bookmarkEnd w:id="62"/>
    <w:bookmarkStart w:id="63" w:name="stakes-for-nasa-and-jpl"/>
    <w:p>
      <w:pPr>
        <w:pStyle w:val="Heading2"/>
        <w:spacing w:line="480" w:lineRule="auto"/>
      </w:pPr>
      <w:r>
        <w:t xml:space="preserve">1.3 Stakes for NASA and JPL</w:t>
      </w:r>
    </w:p>
    <w:p>
      <w:pPr>
        <w:pStyle w:val="FirstParagraph"/>
        <w:spacing w:line="480" w:lineRule="auto"/>
      </w:pPr>
      <w:r>
        <w:t xml:space="preserve">The question matters for NASA, and for the Jet Propulsion Laboratory in particular, in three concrete ways that the dissertation will return to in the discussion chapter and that are stated here only to motivate the engineering audience for whom the result is intended.</w:t>
      </w:r>
    </w:p>
    <w:p>
      <w:pPr>
        <w:pStyle w:val="BodyText"/>
        <w:spacing w:line="480" w:lineRule="auto"/>
        <w:ind w:firstLine="720"/>
      </w:pPr>
      <w:r>
        <w:t xml:space="preserve">First, NASA is the largest single buyer of commercial launch services in the United States and the principal mission customer for the JPL flight portfolio. When the agency procures a launch for a planetary or astrophysics mission, it does so in a price environment shaped by the regulatory posture of the host state under which the chosen provider operates. If host-state stringency is endogenous to a provider’s market share, as the strategic-regulation thesis claims</w:t>
      </w:r>
      <w:r>
        <w:t xml:space="preserve"> </w:t>
      </w:r>
      <w:hyperlink w:anchor="ref-6">
        <w:r>
          <w:rPr>
            <w:rStyle w:val="Hyperlink"/>
          </w:rPr>
          <w:t xml:space="preserve">[6]</w:t>
        </w:r>
      </w:hyperlink>
      <w:r>
        <w:t xml:space="preserve">, then provider pricing dynamics are partly a function of political-economic feedback within the host state rather than of pure cost evolution. Mission planners who treat the launch price as exogenous will systematically misestimate the cost trajectory of a planned acquisition. The dissertation does not deliver a cost forecast, but it does deliver the sign and magnitude of the feedback parameter that any credible cost forecast must condition on.</w:t>
      </w:r>
    </w:p>
    <w:p>
      <w:pPr>
        <w:pStyle w:val="BodyText"/>
        <w:spacing w:line="480" w:lineRule="auto"/>
        <w:ind w:firstLine="720"/>
      </w:pPr>
      <w:r>
        <w:t xml:space="preserve">Second, JPL builds spacecraft whose mass, schedule, and risk posture interact with launch-vehicle selection, and that interaction makes the agency’s procurement choices a meaningful demand signal in the international market. The decision to fly on a domestic provider versus an international one, and the willingness to entertain rideshare or dedicated configurations, contribute to the very market-share variable whose effect on stringency this dissertation estimates. A JPL acquisition strategist who understands that the agency’s choices feed back into host-state regulatory posture, and who understands the elasticity of that feedback, can structure procurements with awareness of the political-economic externalities they create.</w:t>
      </w:r>
    </w:p>
    <w:p>
      <w:pPr>
        <w:pStyle w:val="BodyText"/>
        <w:spacing w:line="480" w:lineRule="auto"/>
        <w:ind w:firstLine="720"/>
      </w:pPr>
      <w:r>
        <w:t xml:space="preserve">Third, the agency increasingly cooperates with launch-host states whose regulatory regimes are themselves moving. The strategic-competition literature warns that fragmented authority in commercial space regulation leaves the United States</w:t>
      </w:r>
      <w:r>
        <w:t xml:space="preserve"> </w:t>
      </w:r>
      <w:r>
        <w:t xml:space="preserve">“space industry at a competitive disadvantage”</w:t>
      </w:r>
      <w:r>
        <w:t xml:space="preserve"> </w:t>
      </w:r>
      <w:r>
        <w:t xml:space="preserve">relative to peers</w:t>
      </w:r>
      <w:r>
        <w:t xml:space="preserve"> </w:t>
      </w:r>
      <w:hyperlink w:anchor="ref-6">
        <w:r>
          <w:rPr>
            <w:rStyle w:val="Hyperlink"/>
          </w:rPr>
          <w:t xml:space="preserve">[6]</w:t>
        </w:r>
      </w:hyperlink>
      <w:r>
        <w:t xml:space="preserve">. If that warning is empirically grounded, the United States interest in regulatory coordination is sharper than current statutory architecture admits; if it is not empirically grounded, the policy agenda built atop it should be reweighted. Either result is informative for NASA mission directorates that must plan in a multi-jurisdictional procurement environment.</w:t>
      </w:r>
    </w:p>
    <w:bookmarkEnd w:id="63"/>
    <w:bookmarkStart w:id="64" w:name="Xf30008fd28f360eb8a859a1c12858bf7c60a4b4"/>
    <w:p>
      <w:pPr>
        <w:pStyle w:val="Heading2"/>
        <w:spacing w:line="480" w:lineRule="auto"/>
      </w:pPr>
      <w:r>
        <w:t xml:space="preserve">1.4 The Gap Between the Domain Literature and the Econometric Method Literature</w:t>
      </w:r>
    </w:p>
    <w:p>
      <w:pPr>
        <w:pStyle w:val="FirstParagraph"/>
        <w:spacing w:line="480" w:lineRule="auto"/>
      </w:pPr>
      <w:r>
        <w:t xml:space="preserve">The motivating gap is not the absence of writing on the topic; the topic is well-covered in prose. Writing is plentiful. What is missing is an estimated parameter that the prose presupposes. Three strands of the domain literature bracket the question without answering it, and each strand stops where the econometric method literature would begin.</w:t>
      </w:r>
    </w:p>
    <w:p>
      <w:pPr>
        <w:pStyle w:val="BodyText"/>
        <w:spacing w:line="480" w:lineRule="auto"/>
        <w:ind w:firstLine="720"/>
      </w:pPr>
      <w:r>
        <w:t xml:space="preserve">The economic-framework strand, anchored by Weinzierl’s tripartite account of establishing, refining, and tempering space markets through</w:t>
      </w:r>
      <w:r>
        <w:t xml:space="preserve"> </w:t>
      </w:r>
      <w:r>
        <w:t xml:space="preserve">“social objective regulation”</w:t>
      </w:r>
      <w:r>
        <w:t xml:space="preserve"> </w:t>
      </w:r>
      <w:hyperlink w:anchor="ref-5">
        <w:r>
          <w:rPr>
            <w:rStyle w:val="Hyperlink"/>
          </w:rPr>
          <w:t xml:space="preserve">[5]</w:t>
        </w:r>
      </w:hyperlink>
      <w:r>
        <w:t xml:space="preserve">, supplies the conceptual claim that regulation is a deliberate policy instrument responsive to market structure rather than a neutral background condition. The strand is rich and influential. It does not, however, deliver a cross-national stringency response, and the digest of that work in the Space Economy Papers corpus</w:t>
      </w:r>
      <w:r>
        <w:t xml:space="preserve"> </w:t>
      </w:r>
      <w:hyperlink w:anchor="ref-10">
        <w:r>
          <w:rPr>
            <w:rStyle w:val="Hyperlink"/>
          </w:rPr>
          <w:t xml:space="preserve">[10]</w:t>
        </w:r>
      </w:hyperlink>
      <w:r>
        <w:t xml:space="preserve"> </w:t>
      </w:r>
      <w:r>
        <w:t xml:space="preserve">makes clear that the conceptual contribution was never accompanied by a panel estimate.</w:t>
      </w:r>
    </w:p>
    <w:p>
      <w:pPr>
        <w:pStyle w:val="BodyText"/>
        <w:spacing w:line="480" w:lineRule="auto"/>
        <w:ind w:firstLine="720"/>
      </w:pPr>
      <w:r>
        <w:t xml:space="preserve">The strategic-competition strand argues that</w:t>
      </w:r>
      <w:r>
        <w:t xml:space="preserve"> </w:t>
      </w:r>
      <w:r>
        <w:t xml:space="preserve">“effective international strategic competition in space requires a</w:t>
      </w:r>
      <w:r>
        <w:t xml:space="preserve"> </w:t>
      </w:r>
      <w:r>
        <w:t xml:space="preserve">‘Whole of Nation’</w:t>
      </w:r>
      <w:r>
        <w:t xml:space="preserve"> </w:t>
      </w:r>
      <w:r>
        <w:t xml:space="preserve">approach”</w:t>
      </w:r>
      <w:r>
        <w:t xml:space="preserve"> </w:t>
      </w:r>
      <w:r>
        <w:t xml:space="preserve">unifying government and industry</w:t>
      </w:r>
      <w:r>
        <w:t xml:space="preserve"> </w:t>
      </w:r>
      <w:hyperlink w:anchor="ref-6">
        <w:r>
          <w:rPr>
            <w:rStyle w:val="Hyperlink"/>
          </w:rPr>
          <w:t xml:space="preserve">[6]</w:t>
        </w:r>
      </w:hyperlink>
      <w:r>
        <w:t xml:space="preserve">, and the SFA DIME campaign material</w:t>
      </w:r>
      <w:r>
        <w:t xml:space="preserve"> </w:t>
      </w:r>
      <w:hyperlink w:anchor="ref-4">
        <w:r>
          <w:rPr>
            <w:rStyle w:val="Hyperlink"/>
          </w:rPr>
          <w:t xml:space="preserve">[4]</w:t>
        </w:r>
      </w:hyperlink>
      <w:r>
        <w:t xml:space="preserve"> </w:t>
      </w:r>
      <w:r>
        <w:t xml:space="preserve">develops that posture into a prescriptive framework. The Space Imperative</w:t>
      </w:r>
      <w:r>
        <w:t xml:space="preserve"> </w:t>
      </w:r>
      <w:hyperlink w:anchor="ref-6">
        <w:r>
          <w:rPr>
            <w:rStyle w:val="Hyperlink"/>
          </w:rPr>
          <w:t xml:space="preserve">[6]</w:t>
        </w:r>
      </w:hyperlink>
      <w:r>
        <w:t xml:space="preserve"> </w:t>
      </w:r>
      <w:r>
        <w:t xml:space="preserve">extends the argument and treats fragmented authority as a source of strategic disadvantage. The Australia-focused roadmap on</w:t>
      </w:r>
      <w:r>
        <w:t xml:space="preserve"> </w:t>
      </w:r>
      <w:r>
        <w:t xml:space="preserve">“more competitive pricing in the satellite launch market”</w:t>
      </w:r>
      <w:r>
        <w:t xml:space="preserve"> </w:t>
      </w:r>
      <w:r>
        <w:t xml:space="preserve">treats licensing reform as a lever for capturing demand</w:t>
      </w:r>
      <w:r>
        <w:t xml:space="preserve"> </w:t>
      </w:r>
      <w:hyperlink w:anchor="ref-3">
        <w:r>
          <w:rPr>
            <w:rStyle w:val="Hyperlink"/>
          </w:rPr>
          <w:t xml:space="preserve">[3]</w:t>
        </w:r>
      </w:hyperlink>
      <w:r>
        <w:t xml:space="preserve">, framing the latitude-based delta-V efficiency of a host state’s geography as</w:t>
      </w:r>
      <w:r>
        <w:t xml:space="preserve"> </w:t>
      </w:r>
      <w:r>
        <w:t xml:space="preserve">“a tradeable economic commodity”</w:t>
      </w:r>
      <w:r>
        <w:t xml:space="preserve"> </w:t>
      </w:r>
      <w:hyperlink w:anchor="ref-3">
        <w:r>
          <w:rPr>
            <w:rStyle w:val="Hyperlink"/>
          </w:rPr>
          <w:t xml:space="preserve">[3]</w:t>
        </w:r>
      </w:hyperlink>
      <w:r>
        <w:t xml:space="preserve">. The strand is prescriptive, energetic, and policy-relevant. It does not estimate how stringency actually tracks competitive position across countries and years; the words</w:t>
      </w:r>
      <w:r>
        <w:t xml:space="preserve"> </w:t>
      </w:r>
      <w:r>
        <w:t xml:space="preserve">“coefficient,”</w:t>
      </w:r>
      <w:r>
        <w:t xml:space="preserve"> </w:t>
      </w:r>
      <w:r>
        <w:t xml:space="preserve">“elasticity,”</w:t>
      </w:r>
      <w:r>
        <w:t xml:space="preserve"> </w:t>
      </w:r>
      <w:r>
        <w:t xml:space="preserve">and</w:t>
      </w:r>
      <w:r>
        <w:t xml:space="preserve"> </w:t>
      </w:r>
      <w:r>
        <w:t xml:space="preserve">“panel”</w:t>
      </w:r>
      <w:r>
        <w:t xml:space="preserve"> </w:t>
      </w:r>
      <w:r>
        <w:t xml:space="preserve">appear nowhere in the retrieved strategic-competition material.</w:t>
      </w:r>
    </w:p>
    <w:p>
      <w:pPr>
        <w:pStyle w:val="BodyText"/>
        <w:spacing w:line="480" w:lineRule="auto"/>
        <w:ind w:firstLine="720"/>
      </w:pPr>
      <w:r>
        <w:t xml:space="preserve">The regulatory-design strand documents the institutional machinery of launch and in-space oversight. Goehring’s account of the multi-agency structure of United States commercial space regulation is the canonical recent description of how fragmentation operates in practice</w:t>
      </w:r>
      <w:r>
        <w:t xml:space="preserve"> </w:t>
      </w:r>
      <w:hyperlink w:anchor="ref-1">
        <w:r>
          <w:rPr>
            <w:rStyle w:val="Hyperlink"/>
          </w:rPr>
          <w:t xml:space="preserve">[1]</w:t>
        </w:r>
      </w:hyperlink>
      <w:r>
        <w:t xml:space="preserve">. The decision-support architecture for</w:t>
      </w:r>
      <w:r>
        <w:t xml:space="preserve"> </w:t>
      </w:r>
      <w:r>
        <w:t xml:space="preserve">“continuing supervision of commercial”</w:t>
      </w:r>
      <w:r>
        <w:t xml:space="preserve"> </w:t>
      </w:r>
      <w:r>
        <w:t xml:space="preserve">in-space activity catalogues the regulatory friction that the contemporary licensing environment imposes</w:t>
      </w:r>
      <w:r>
        <w:t xml:space="preserve"> </w:t>
      </w:r>
      <w:hyperlink w:anchor="ref-7">
        <w:r>
          <w:rPr>
            <w:rStyle w:val="Hyperlink"/>
          </w:rPr>
          <w:t xml:space="preserve">[7]</w:t>
        </w:r>
      </w:hyperlink>
      <w:r>
        <w:t xml:space="preserve">. The reference-scenario modeling of the future launch population provides the cadence pathway against which any regulatory response must be evaluated</w:t>
      </w:r>
      <w:r>
        <w:t xml:space="preserve"> </w:t>
      </w:r>
      <w:hyperlink w:anchor="ref-8">
        <w:r>
          <w:rPr>
            <w:rStyle w:val="Hyperlink"/>
          </w:rPr>
          <w:t xml:space="preserve">[8]</w:t>
        </w:r>
      </w:hyperlink>
      <w:r>
        <w:t xml:space="preserve">. These contributions are technical and operationally grounded. None is an econometric study, and none was designed to be.</w:t>
      </w:r>
    </w:p>
    <w:p>
      <w:pPr>
        <w:pStyle w:val="BodyText"/>
        <w:spacing w:line="480" w:lineRule="auto"/>
        <w:ind w:firstLine="720"/>
      </w:pPr>
      <w:r>
        <w:t xml:space="preserve">What the econometric method literature would call for, and what the domain literature has not supplied, is a panel specification: an outcome variable (regulatory stringency) measured at the country-year level, a treatment variable (lagged international launch-market share) measured on the same panel, two-way fixed effects absorbing time-invariant national legal traditions and common annual shocks, an instrument for the endogenous treatment exploiting geographic launch advantage interacted with global demand, and standard errors clustered by country. The companion paper estimating annual orbital launch attempts on a five-nation panel of country-year observations advances the empirical method in one direction by demonstrating that market structure measured through private-provider share is positively and significantly associated with national launch activity once stringency, scale, and era are held constant. That paper is pooled rather than fixed-effects by design, because the five-nation, nine-year window does not support a within-nation identification strategy for the stringency-on-cadence direction. The dissertation reverses the dependent and independent variables and pursues a longer panel with two-way fixed effects, so that the question is the one the domain literature has been begging without estimating: does stringency respond to share,</w:t>
      </w:r>
    </w:p>
    <w:p>
      <w:pPr>
        <w:pStyle w:val="BodyText"/>
        <w:spacing w:line="480" w:lineRule="auto"/>
        <w:ind w:firstLine="720"/>
      </w:pPr>
      <w:r>
        <w:t xml:space="preserve">The companion vehicle-level learning-curve estimate sharpens the same point from a different angle. A bivariate log-log specification of price per kilogram to low Earth orbit on cumulative successful flights across a cross-section of twenty international vehicles delivers a slope of 0.075 with a robust standard error of 0.130, a t-statistic of 0.58, and a progress ratio statistically indistinguishable from one. The fleet-wide learning curve that the competitiveness literature implicitly invokes</w:t>
      </w:r>
      <w:r>
        <w:t xml:space="preserve"> </w:t>
      </w:r>
      <w:hyperlink w:anchor="ref-3">
        <w:r>
          <w:rPr>
            <w:rStyle w:val="Hyperlink"/>
          </w:rPr>
          <w:t xml:space="preserve">[3]</w:t>
        </w:r>
      </w:hyperlink>
      <w:r>
        <w:t xml:space="preserve">,</w:t>
      </w:r>
      <w:r>
        <w:t xml:space="preserve"> </w:t>
      </w:r>
      <w:hyperlink w:anchor="ref-6">
        <w:r>
          <w:rPr>
            <w:rStyle w:val="Hyperlink"/>
          </w:rPr>
          <w:t xml:space="preserve">[6]</w:t>
        </w:r>
      </w:hyperlink>
      <w:r>
        <w:t xml:space="preserve"> </w:t>
      </w:r>
      <w:r>
        <w:t xml:space="preserve">is not there to be found at the cross-section level. That null carries a methodological warning for the dissertation: heritage is not a clean proxy for competitive position because per-kilogram price is governed by a fixed-cost-over-payload ratio rather than by accumulated output. The dissertation therefore measures competitive position through international launch-market share rather than through flight-heritage counts, a choice the companion result helps to justify.</w:t>
      </w:r>
    </w:p>
    <w:p>
      <w:pPr>
        <w:pStyle w:val="BodyText"/>
        <w:spacing w:line="480" w:lineRule="auto"/>
        <w:ind w:firstLine="720"/>
      </w:pPr>
      <w:r>
        <w:t xml:space="preserve">The gap between the strands is the precise space the dissertation occupies. The domain literature has the prose and the prescription; the econometric method literature has the tools; no published work joins the two on this question.</w:t>
      </w:r>
    </w:p>
    <w:bookmarkEnd w:id="64"/>
    <w:bookmarkStart w:id="65" w:name="X5015f88937f6a5a629161c1e94859c763fbde2d"/>
    <w:p>
      <w:pPr>
        <w:pStyle w:val="Heading2"/>
        <w:spacing w:line="480" w:lineRule="auto"/>
      </w:pPr>
      <w:r>
        <w:t xml:space="preserve">1.5 The Single Falsifiable Contribution Stated Precisely</w:t>
      </w:r>
    </w:p>
    <w:p>
      <w:pPr>
        <w:pStyle w:val="FirstParagraph"/>
        <w:spacing w:line="480" w:lineRule="auto"/>
      </w:pPr>
      <w:r>
        <w:t xml:space="preserve">The dissertation makes one contribution. It is the sign and magnitude of a single coefficient. The estimating equation is a two-way fixed-effects panel model of regulatory stringency on lagged launch-market share, identified by a Bartik-style instrument in which geographic launch advantage, the latitude-based delta-V efficiency treated as a tradeable endowment</w:t>
      </w:r>
      <w:r>
        <w:t xml:space="preserve"> </w:t>
      </w:r>
      <w:hyperlink w:anchor="ref-3">
        <w:r>
          <w:rPr>
            <w:rStyle w:val="Hyperlink"/>
          </w:rPr>
          <w:t xml:space="preserve">[3]</w:t>
        </w:r>
      </w:hyperlink>
      <w:r>
        <w:t xml:space="preserve">, is interacted with global launch demand. The contribution is precisely the following.</w:t>
      </w:r>
    </w:p>
    <w:p>
      <w:pPr>
        <w:pStyle w:val="BodyText"/>
        <w:spacing w:line="480" w:lineRule="auto"/>
        <w:ind w:firstLine="720"/>
      </w:pPr>
      <w:r>
        <w:t xml:space="preserve">H0 (null): within a launch-host state, regulatory stringency imposed on domestic launch operators is statistically independent of that state’s share of the international launch market, conditional on country and year fixed effects. The coefficient on lagged market share in the stringency equation is zero.</w:t>
      </w:r>
    </w:p>
    <w:p>
      <w:pPr>
        <w:pStyle w:val="BodyText"/>
        <w:spacing w:line="480" w:lineRule="auto"/>
        <w:ind w:firstLine="720"/>
      </w:pPr>
      <w:r>
        <w:t xml:space="preserve">H1 (alternative): within a launch-host state, regulatory stringency increases with lagged international launch-market share. States whose providers hold durable share tighten oversight; states facing competitive disadvantage relax it. The coefficient on lagged market share is positive and statistically distinguishable from zero.</w:t>
      </w:r>
    </w:p>
    <w:p>
      <w:pPr>
        <w:pStyle w:val="BodyText"/>
        <w:spacing w:line="480" w:lineRule="auto"/>
        <w:ind w:firstLine="720"/>
      </w:pPr>
      <w:r>
        <w:t xml:space="preserve">The single contribution is the estimated value of that coefficient, its sign, its standard error, its instrumental-variable counterpart, and its robustness to a dynamic specification with a lagged dependent variable. The result is falsifiable in both directions and is intended to be falsifiable. A null result refutes the strategic-regulation thesis that animates much current space-policy advocacy</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 negative coefficient would instead support the</w:t>
      </w:r>
      <w:r>
        <w:t xml:space="preserve"> </w:t>
      </w:r>
      <w:r>
        <w:t xml:space="preserve">“competitive pricing”</w:t>
      </w:r>
      <w:r>
        <w:t xml:space="preserve"> </w:t>
      </w:r>
      <w:r>
        <w:t xml:space="preserve">liberalization account in which leaders shed stringency to defend share</w:t>
      </w:r>
      <w:r>
        <w:t xml:space="preserve"> </w:t>
      </w:r>
      <w:hyperlink w:anchor="ref-3">
        <w:r>
          <w:rPr>
            <w:rStyle w:val="Hyperlink"/>
          </w:rPr>
          <w:t xml:space="preserve">[3]</w:t>
        </w:r>
      </w:hyperlink>
      <w:r>
        <w:t xml:space="preserve">, a result that would itself be informative because it would invert the prescriptive logic of the whole-of-nation strand. A positive coefficient confirms the strategic-regulation thesis and gives policy advocates the parameter their arguments have so far assumed.</w:t>
      </w:r>
    </w:p>
    <w:p>
      <w:pPr>
        <w:pStyle w:val="BodyText"/>
        <w:spacing w:line="480" w:lineRule="auto"/>
        <w:ind w:firstLine="720"/>
      </w:pPr>
      <w:r>
        <w:t xml:space="preserve">The contribution is stated narrowly on purpose. It is not a theory of regulation, not a forecast of national launch cadence, and not a normative recommendation on licensing reform. It is one estimated parameter, with stated identifying assumptions, on a stated panel, with a stated null. The discipline of stating the contribution this narrowly is itself a small methodological contribution, because the strategic-regulation thesis as it currently circulates is not stated in a form that admits refutation. Converting it into a refutable form, and then estimating the parameter that refutation requires, is the dissertation’s claim on the literature.</w:t>
      </w:r>
    </w:p>
    <w:bookmarkEnd w:id="65"/>
    <w:bookmarkStart w:id="66" w:name="roadmap"/>
    <w:p>
      <w:pPr>
        <w:pStyle w:val="Heading2"/>
        <w:spacing w:line="480" w:lineRule="auto"/>
      </w:pPr>
      <w:r>
        <w:t xml:space="preserve">1.6 Roadmap</w:t>
      </w:r>
    </w:p>
    <w:p>
      <w:pPr>
        <w:pStyle w:val="FirstParagraph"/>
        <w:spacing w:line="480" w:lineRule="auto"/>
      </w:pPr>
      <w:r>
        <w:t xml:space="preserve">The remainder of the dissertation proceeds in seven chapters. Chapter 2 develops the theoretical framework in which a host state’s regulator is modeled as choosing stringency to balance the safety and sustainability signals stringency conveys against the cost it imposes on a domestic provider competing internationally. The chapter draws on Weinzierl’s social-objective regulation framing</w:t>
      </w:r>
      <w:r>
        <w:t xml:space="preserve"> </w:t>
      </w:r>
      <w:hyperlink w:anchor="ref-5">
        <w:r>
          <w:rPr>
            <w:rStyle w:val="Hyperlink"/>
          </w:rPr>
          <w:t xml:space="preserve">[5]</w:t>
        </w:r>
      </w:hyperlink>
      <w:r>
        <w:t xml:space="preserve"> </w:t>
      </w:r>
      <w:r>
        <w:t xml:space="preserve">and the strategic-competition strand</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it derives the sign restriction on the central coefficient under each account.</w:t>
      </w:r>
    </w:p>
    <w:p>
      <w:pPr>
        <w:pStyle w:val="BodyText"/>
        <w:spacing w:line="480" w:lineRule="auto"/>
        <w:ind w:firstLine="720"/>
      </w:pPr>
      <w:r>
        <w:t xml:space="preserve">Chapter 3 reviews the three strands of the domain literature in detail and the relevant econometric method literature on two-way fixed-effects panel estimation with Bartik instruments. It establishes that no retrieved source delivers the panel estimate the dissertation produces, and it positions the contribution against the companion papers on national launch activity and the fleet-wide learning curve.</w:t>
      </w:r>
    </w:p>
    <w:p>
      <w:pPr>
        <w:pStyle w:val="BodyText"/>
        <w:spacing w:line="480" w:lineRule="auto"/>
        <w:ind w:firstLine="720"/>
      </w:pPr>
      <w:r>
        <w:t xml:space="preserve">Chapter 4 describes the data. The primary launch-record source is the FAA Office of Commercial Space Transportation licensed-launch record, mirrored in the FAA AST annual compendia and the United States launch-licensing database. International coverage is completed with the United Nations Office for Outer Space Affairs Online Index of Objects Launched into Outer Space, the treaty-mandated public registry of launching state and launch date for every registered object. The dependent variable is coded from primary national licensing instruments and anchored to the documented multi-agency structure of United States commercial space regulation</w:t>
      </w:r>
      <w:r>
        <w:t xml:space="preserve"> </w:t>
      </w:r>
      <w:hyperlink w:anchor="ref-1">
        <w:r>
          <w:rPr>
            <w:rStyle w:val="Hyperlink"/>
          </w:rPr>
          <w:t xml:space="preserve">[1]</w:t>
        </w:r>
      </w:hyperlink>
      <w:r>
        <w:t xml:space="preserve"> </w:t>
      </w:r>
      <w:r>
        <w:t xml:space="preserve">and to the supervision-burden framework for commercial space activity</w:t>
      </w:r>
      <w:r>
        <w:t xml:space="preserve"> </w:t>
      </w:r>
      <w:hyperlink w:anchor="ref-7">
        <w:r>
          <w:rPr>
            <w:rStyle w:val="Hyperlink"/>
          </w:rPr>
          <w:t xml:space="preserve">[7]</w:t>
        </w:r>
      </w:hyperlink>
      <w:r>
        <w:t xml:space="preserve">. The Chambers and Partners practice guides and the Congressional Research Service overview of commercial space launch and reentry regulations supply the legal-text inputs to the coding</w:t>
      </w:r>
      <w:r>
        <w:t xml:space="preserve"> </w:t>
      </w:r>
      <w:hyperlink w:anchor="ref-13">
        <w:r>
          <w:rPr>
            <w:rStyle w:val="Hyperlink"/>
          </w:rPr>
          <w:t xml:space="preserve">[13]</w:t>
        </w:r>
      </w:hyperlink>
      <w:r>
        <w:t xml:space="preserve">. Cadence covariates draw on the reference-scenario modeling of the future launch population</w:t>
      </w:r>
      <w:r>
        <w:t xml:space="preserve"> </w:t>
      </w:r>
      <w:hyperlink w:anchor="ref-8">
        <w:r>
          <w:rPr>
            <w:rStyle w:val="Hyperlink"/>
          </w:rPr>
          <w:t xml:space="preserve">[8]</w:t>
        </w:r>
      </w:hyperlink>
      <w:r>
        <w:t xml:space="preserve">.</w:t>
      </w:r>
    </w:p>
    <w:p>
      <w:pPr>
        <w:pStyle w:val="BodyText"/>
        <w:spacing w:line="480" w:lineRule="auto"/>
        <w:ind w:firstLine="720"/>
      </w:pPr>
      <w:r>
        <w:t xml:space="preserve">Chapter 5 specifies the estimator. The baseline is the two-way fixed-effects panel with lagged market share. The instrumental specification adds the geographic-advantage-times-global-demand Bartik instrument and reports first-stage diagnostics. A dynamic specification with a lagged dependent variable is reported with a bias-corrected estimator. Standard errors are clustered by country throughout.</w:t>
      </w:r>
    </w:p>
    <w:p>
      <w:pPr>
        <w:pStyle w:val="BodyText"/>
        <w:spacing w:line="480" w:lineRule="auto"/>
        <w:ind w:firstLine="720"/>
      </w:pPr>
      <w:r>
        <w:t xml:space="preserve">Chapter 6 reports results. The headline number is the estimated coefficient on lagged market share in the stringency equation, with confidence intervals, instrumental counterparts, and robustness bounds. Sub-index decompositions of the stringency construct address the construct-validity threat. Placebo specifications probe the exclusion restriction on the instrument.</w:t>
      </w:r>
    </w:p>
    <w:p>
      <w:pPr>
        <w:pStyle w:val="BodyText"/>
        <w:spacing w:line="480" w:lineRule="auto"/>
        <w:ind w:firstLine="720"/>
      </w:pPr>
      <w:r>
        <w:t xml:space="preserve">Chapter 7 discusses the implications for NASA acquisition planning, JPL mission procurement, and the broader strategic-competition literature. The chapter draws the implication of the estimated coefficient for each of the three stakes articulated in Section 1.3.</w:t>
      </w:r>
    </w:p>
    <w:p>
      <w:pPr>
        <w:pStyle w:val="BodyText"/>
        <w:spacing w:line="480" w:lineRule="auto"/>
        <w:ind w:firstLine="720"/>
      </w:pPr>
      <w:r>
        <w:t xml:space="preserve">Chapter 8 concludes. It restates the contribution, acknowledges the limitations articulated in the threats-to-validity section of the prospectus, and identifies the natural extensions that a longer panel and a more granular stringency construct would enable.</w:t>
      </w:r>
    </w:p>
    <w:p>
      <w:pPr>
        <w:pStyle w:val="BodyText"/>
        <w:spacing w:line="480" w:lineRule="auto"/>
        <w:ind w:firstLine="720"/>
      </w:pPr>
      <w:r>
        <w:t xml:space="preserve">The dissertation is intended to leave the strategic-regulation thesis in a different empirical condition than it found it. If the coefficient is positive and significant, the thesis acquires the parameter it has so far assumed. If the coefficient is null, the thesis loses the empirical footing on which it rests. Either outcome is a contribution, because either outcome resolves a question the field has been asking without answering.</w:t>
      </w:r>
    </w:p>
    <w:bookmarkEnd w:id="66"/>
    <w:bookmarkEnd w:id="67"/>
    <w:bookmarkStart w:id="74" w:name="chapter-2.-literature-review"/>
    <w:p>
      <w:pPr>
        <w:pStyle w:val="Heading1"/>
        <w:spacing w:line="480" w:lineRule="auto"/>
      </w:pPr>
      <w:r>
        <w:t xml:space="preserve">Chapter 2. Literature Review</w:t>
      </w:r>
    </w:p>
    <w:bookmarkStart w:id="68" w:name="purpose-and-architecture-of-the-review"/>
    <w:p>
      <w:pPr>
        <w:pStyle w:val="Heading2"/>
        <w:spacing w:line="480" w:lineRule="auto"/>
      </w:pPr>
      <w:r>
        <w:t xml:space="preserve">2.1 Purpose and Architecture of the Review</w:t>
      </w:r>
    </w:p>
    <w:p>
      <w:pPr>
        <w:pStyle w:val="FirstParagraph"/>
        <w:spacing w:line="480" w:lineRule="auto"/>
      </w:pPr>
      <w:r>
        <w:t xml:space="preserve">This chapter assembles the two distinct bodies of scholarship on which the dissertation’s central question rests, and demonstrates that they have not yet been joined. The dissertation asks whether a host state’s regulatory stringency over its domestic launch operators responds to that state’s position in the international launch market. Answering that question requires drawing on two literatures that have evolved in nearly complete isolation from one another. The first is a domain-technical and policy literature on launch regulation, space traffic management, commercial space economics, and the strategic posture of space-faring states. This literature is rich in framing and prescription but thin in estimation. The second is the broader cliometric and econometric methodology literature on endogenous regulation, panel identification, and learning-curve estimation, which has matured into a stable toolkit for testing exactly the kind of co-movement the space literature asserts. The space domain has not absorbed that toolkit, and the methodology literature has not turned its attention to launch licensing. The gap this dissertation occupies sits squarely in that unjoined seam.</w:t>
      </w:r>
    </w:p>
    <w:p>
      <w:pPr>
        <w:pStyle w:val="BodyText"/>
        <w:spacing w:line="480" w:lineRule="auto"/>
        <w:ind w:firstLine="720"/>
      </w:pPr>
      <w:r>
        <w:t xml:space="preserve">The review proceeds in five movements. Section 2.2 surveys the domain literature on launch regulation and its institutional structure. Section 2.3 surveys the adjacent technical literature on launch cadence, traffic management, and the future launch population that conditions any regulatory choice. Section 2.4 surveys the strategic-competition and economic-development literatures that supply the conceptual claim of regulation-as-instrument. Section 2.5 surveys the cliometric and econometric methodology literature on which a quantitative estimate of that claim must be built, including learning-curve estimation, panel fixed effects, and instrumental-variables identification. Section 2.6 synthesizes the two unjoined literatures, locates the dissertation’s contribution in the seam between them, and states the gap that the country-year panel design proposed in the prospectus is intended to close. Throughout, citations refer exclusively to the shared reference pool that anchors the dissertation’s three sibling outputs.</w:t>
      </w:r>
    </w:p>
    <w:bookmarkEnd w:id="68"/>
    <w:bookmarkStart w:id="69" w:name="Xe274579e2217257e4318ed0b499ee193dc3b3f0"/>
    <w:p>
      <w:pPr>
        <w:pStyle w:val="Heading2"/>
        <w:spacing w:line="480" w:lineRule="auto"/>
      </w:pPr>
      <w:r>
        <w:t xml:space="preserve">2.2 The Domain Literature on Launch Regulation</w:t>
      </w:r>
    </w:p>
    <w:p>
      <w:pPr>
        <w:pStyle w:val="FirstParagraph"/>
        <w:spacing w:line="480" w:lineRule="auto"/>
      </w:pPr>
      <w:r>
        <w:t xml:space="preserve">The institutional starting point for any inquiry into launch regulation is the recognition that no modern launch jurisdiction has a single launch regulator. Goehring’s characterization of United States commercial space regulation as a</w:t>
      </w:r>
      <w:r>
        <w:t xml:space="preserve"> </w:t>
      </w:r>
      <w:r>
        <w:t xml:space="preserve">“Rule of Three”</w:t>
      </w:r>
      <w:r>
        <w:t xml:space="preserve"> </w:t>
      </w:r>
      <w:r>
        <w:t xml:space="preserve">remains the canonical exposition of this fragmentation, documenting how launch, reentry, payload, and downstream activity are partitioned across multiple federal agencies whose mandates were written before the contemporary commercial launch market existed</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 The Rule-of-Three framing is more than a description of overlap; it is an argument that fragmentation is itself a regulatory variable, because each fragmentation seam is a place where stringency can be tightened or loosened by reassignment rather than by formal rulemaking. This insight matters for the dissertation because it warns that a single ordinal index of stringency, however carefully coded, will miss strategic adjustment that takes the form of jurisdictional reallocation rather than rule change.</w:t>
      </w:r>
    </w:p>
    <w:p>
      <w:pPr>
        <w:pStyle w:val="BodyText"/>
        <w:spacing w:line="480" w:lineRule="auto"/>
        <w:ind w:firstLine="720"/>
      </w:pPr>
      <w:r>
        <w:t xml:space="preserve">The companion paper to Goehring’s institutional account is the supervision-burden literature, which treats the licensing process less as a gatekeeping event than as an ongoing oversight relationship. Smith, Jah, and Wood develop this view explicitly for the in-space servicing case, where they argue that the regulator’s central problem is not the issuance of a license but the construction of a decision-support system capable of continuing supervision under</w:t>
      </w:r>
      <w:r>
        <w:t xml:space="preserve"> </w:t>
      </w:r>
      <w:r>
        <w:t xml:space="preserve">“complex regulations, uncertain commercial business cases”</w:t>
      </w:r>
      <w:r>
        <w:t xml:space="preserve"> </w:t>
      </w:r>
      <w:r>
        <w:t xml:space="preserve">and</w:t>
      </w:r>
      <w:r>
        <w:t xml:space="preserve"> </w:t>
      </w:r>
      <w:r>
        <w:t xml:space="preserve">“fluctuating launch costs”</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Their framing pulls the regulatory variable into the time domain. A state can hold its formal licensing posture constant while substantially changing the intensity of its continuing supervision, and a panel that records only the formal posture will misread that change as no change at all. The dissertation’s stringency construct must therefore be informed by, even if it cannot fully capture, the supervision-burden dimension that Smith and colleagues isolate.</w:t>
      </w:r>
    </w:p>
    <w:p>
      <w:pPr>
        <w:pStyle w:val="BodyText"/>
        <w:spacing w:line="480" w:lineRule="auto"/>
        <w:ind w:firstLine="720"/>
      </w:pPr>
      <w:r>
        <w:t xml:space="preserve">A third strand of the domain literature treats launch regulation comparatively across jurisdictions. The Chambers and Partners Space Law 2025 surveys for India and Japan, alongside the Congressional Research Service overview of United States commercial launch and reentry regulation, document the divergence of national licensing regimes along several dimensions simultaneously: pre-flight authorization, financial-responsibility requirements, third-party liability allocation, and post-flight reporting</w:t>
      </w:r>
      <w:r>
        <w:t xml:space="preserve"> </w:t>
      </w:r>
      <w:hyperlink w:anchor="ref-13">
        <w:r>
          <w:rPr>
            <w:rStyle w:val="Hyperlink"/>
          </w:rPr>
          <w:t xml:space="preserve">[13]</w:t>
        </w:r>
      </w:hyperlink>
      <w:r>
        <w:t xml:space="preserve">. The comparative literature is descriptively rich but methodologically agnostic. It catalogues differences without estimating their consequences, and it stops short of the cross-national, over-time analysis that would convert the catalogue into a tested proposition. The dissertation builds on this descriptive base by accepting the comparative literature’s coding of regime features as primary evidence while subjecting the resulting stringency series to a panel test that the comparative authors do not attempt.</w:t>
      </w:r>
    </w:p>
    <w:p>
      <w:pPr>
        <w:pStyle w:val="BodyText"/>
        <w:spacing w:line="480" w:lineRule="auto"/>
        <w:ind w:firstLine="720"/>
      </w:pPr>
      <w:r>
        <w:t xml:space="preserve">A further dimension of the regulatory-design literature concerns the deliberate construction of regulatory competition among NewSpace jurisdictions. Simon’s analysis of</w:t>
      </w:r>
      <w:r>
        <w:t xml:space="preserve"> </w:t>
      </w:r>
      <w:r>
        <w:t xml:space="preserve">“developing regulatory competitions in NewSpace”</w:t>
      </w:r>
      <w:r>
        <w:t xml:space="preserve"> </w:t>
      </w:r>
      <w:r>
        <w:t xml:space="preserve">advances the explicit thesis that states are aware of one another’s licensing postures and adjust their own postures with competitive intent</w:t>
      </w:r>
      <w:r>
        <w:t xml:space="preserve"> </w:t>
      </w:r>
      <w:hyperlink w:anchor="ref-30">
        <w:r>
          <w:rPr>
            <w:rStyle w:val="Hyperlink"/>
          </w:rPr>
          <w:t xml:space="preserve">[30]</w:t>
        </w:r>
      </w:hyperlink>
      <w:r>
        <w:t xml:space="preserve">. Simon’s contribution is to make the strategic-regulation hypothesis a named object in the literature rather than an implicit assumption. He does not, however, estimate it. He documents anecdote and case, names the phenomenon, and stops at the door of quantitative test. The dissertation’s contribution is to walk through that door.</w:t>
      </w:r>
    </w:p>
    <w:p>
      <w:pPr>
        <w:pStyle w:val="BodyText"/>
        <w:spacing w:line="480" w:lineRule="auto"/>
        <w:ind w:firstLine="720"/>
      </w:pPr>
      <w:r>
        <w:t xml:space="preserve">Adjacent to the launch-licensing literature is a smaller body of work on the governance of the in-space environment that the licensed launch creates. Dinsley and Newman’s account of space situational awareness governance argues that the SSA regime has changed by</w:t>
      </w:r>
      <w:r>
        <w:t xml:space="preserve"> </w:t>
      </w:r>
      <w:r>
        <w:t xml:space="preserve">“revolution not evolution”</w:t>
      </w:r>
      <w:r>
        <w:t xml:space="preserve"> </w:t>
      </w:r>
      <w:r>
        <w:t xml:space="preserve">and that the governance structures lag the technical capability they oversee</w:t>
      </w:r>
      <w:r>
        <w:t xml:space="preserve"> </w:t>
      </w:r>
      <w:hyperlink w:anchor="ref-24">
        <w:r>
          <w:rPr>
            <w:rStyle w:val="Hyperlink"/>
          </w:rPr>
          <w:t xml:space="preserve">[24]</w:t>
        </w:r>
      </w:hyperlink>
      <w:r>
        <w:t xml:space="preserve">. The governance-lag thesis is important for this dissertation because it implies that the regulatory variable being estimated is a variable in transition. The panel period spans years in which national regimes were reconfiguring at very different paces, and the variation that fixed-effects estimation exploits is partly the variation produced by that asynchronous reconfiguration. Opromolla and colleagues extend the governance question to in-orbit servicing within the broader space-traffic-management context, documenting both the regulatory and the operational pressures that the next decade of commercial activity will place on national licensing authorities</w:t>
      </w:r>
      <w:r>
        <w:t xml:space="preserve"> </w:t>
      </w:r>
      <w:hyperlink w:anchor="ref-32">
        <w:r>
          <w:rPr>
            <w:rStyle w:val="Hyperlink"/>
          </w:rPr>
          <w:t xml:space="preserve">[32]</w:t>
        </w:r>
      </w:hyperlink>
      <w:r>
        <w:t xml:space="preserve">. David, Saada, Pecujlic and colleagues develop an incentive-based mechanism for</w:t>
      </w:r>
      <w:r>
        <w:t xml:space="preserve"> </w:t>
      </w:r>
      <w:r>
        <w:t xml:space="preserve">“fostering multi-stakeholder collaboration for space sustainability,”</w:t>
      </w:r>
      <w:r>
        <w:t xml:space="preserve"> </w:t>
      </w:r>
      <w:r>
        <w:t xml:space="preserve">which formalizes the design problem of writing regulation that elicits cooperation rather than mere compliance</w:t>
      </w:r>
      <w:r>
        <w:t xml:space="preserve"> </w:t>
      </w:r>
      <w:hyperlink w:anchor="ref-33">
        <w:r>
          <w:rPr>
            <w:rStyle w:val="Hyperlink"/>
          </w:rPr>
          <w:t xml:space="preserve">[33]</w:t>
        </w:r>
      </w:hyperlink>
      <w:r>
        <w:t xml:space="preserve">. Each of these contributions sharpens the dissertation’s conceptual understanding of what the regulator is doing without supplying the quantitative test the dissertation will perform.</w:t>
      </w:r>
    </w:p>
    <w:bookmarkEnd w:id="69"/>
    <w:bookmarkStart w:id="70" w:name="X2fcee0902edc6bcd6975169860208ddcd88f7e5"/>
    <w:p>
      <w:pPr>
        <w:pStyle w:val="Heading2"/>
        <w:spacing w:line="480" w:lineRule="auto"/>
      </w:pPr>
      <w:r>
        <w:t xml:space="preserve">2.3 The Domain Literature on Cadence, Traffic, and the Launch Population</w:t>
      </w:r>
    </w:p>
    <w:p>
      <w:pPr>
        <w:pStyle w:val="FirstParagraph"/>
        <w:spacing w:line="480" w:lineRule="auto"/>
      </w:pPr>
      <w:r>
        <w:t xml:space="preserve">The launch-regulation literature does not stand alone. It is embedded in a larger technical literature on launch cadence and space traffic management that conditions every regulatory choice the dissertation studies. Reilly, Blackford, and Mueller’s two AMOS papers on</w:t>
      </w:r>
      <w:r>
        <w:t xml:space="preserve"> </w:t>
      </w:r>
      <w:r>
        <w:t xml:space="preserve">“Challenges in Space Traffic Management”</w:t>
      </w:r>
      <w:r>
        <w:t xml:space="preserve"> </w:t>
      </w:r>
      <w:r>
        <w:t xml:space="preserve">document the operational pressures generated by rising cadence, including the increasing coordination burden across</w:t>
      </w:r>
      <w:r>
        <w:t xml:space="preserve"> </w:t>
      </w:r>
      <w:r>
        <w:t xml:space="preserve">“pre-launch, launch, and reentry activities”</w:t>
      </w:r>
      <w:r>
        <w:t xml:space="preserve"> </w:t>
      </w:r>
      <w:r>
        <w:t xml:space="preserve">and the strain on the system</w:t>
      </w:r>
      <w:r>
        <w:t xml:space="preserve"> </w:t>
      </w:r>
      <w:r>
        <w:t xml:space="preserve">“for managing airspace-to-orbit transitions”</w:t>
      </w:r>
      <w:r>
        <w:t xml:space="preserve"> </w:t>
      </w:r>
      <w:r>
        <w:t xml:space="preserve">as cadence increases</w:t>
      </w:r>
      <w:r>
        <w:t xml:space="preserve"> </w:t>
      </w:r>
      <w:hyperlink w:anchor="ref-2">
        <w:r>
          <w:rPr>
            <w:rStyle w:val="Hyperlink"/>
          </w:rPr>
          <w:t xml:space="preserve">[2]</w:t>
        </w:r>
      </w:hyperlink>
      <w:r>
        <w:t xml:space="preserve">. This technical literature is important to the dissertation for two reasons. First, it identifies cadence itself as a covariate whose level conditions the cost of stringency: a regime that is easy to administer at ten flights per year may be impossible at one hundred and fifty. Second, it identifies a confound. If cadence and stringency move together, the analyst must distinguish stringency that responds to competitive position from stringency that responds to the operational necessity of managing a busier launch corridor.</w:t>
      </w:r>
    </w:p>
    <w:p>
      <w:pPr>
        <w:pStyle w:val="BodyText"/>
        <w:spacing w:line="480" w:lineRule="auto"/>
        <w:ind w:firstLine="720"/>
      </w:pPr>
      <w:r>
        <w:t xml:space="preserve">Lifson and colleagues develop</w:t>
      </w:r>
      <w:r>
        <w:t xml:space="preserve"> </w:t>
      </w:r>
      <w:r>
        <w:t xml:space="preserve">“Reference Scenarios and Supporting Inputs for Space Environment Modeling”</w:t>
      </w:r>
      <w:r>
        <w:t xml:space="preserve"> </w:t>
      </w:r>
      <w:r>
        <w:t xml:space="preserve">that translate cadence growth into a forecast of the launch population over the coming decades</w:t>
      </w:r>
      <w:r>
        <w:t xml:space="preserve"> </w:t>
      </w:r>
      <w:hyperlink w:anchor="ref-8">
        <w:r>
          <w:rPr>
            <w:rStyle w:val="Hyperlink"/>
          </w:rPr>
          <w:t xml:space="preserve">[8]</w:t>
        </w:r>
      </w:hyperlink>
      <w:r>
        <w:t xml:space="preserve">. Their reference-scenario framework supplies the dissertation with the population-level baseline against which national market shares are measured. Their work is not a regulatory paper, but it is an essential input to the regulatory analysis, because national share is a ratio whose denominator is the global launch population they model. Retagne and Colombo extend the cadence-forecast literature with a</w:t>
      </w:r>
      <w:r>
        <w:t xml:space="preserve"> </w:t>
      </w:r>
      <w:r>
        <w:t xml:space="preserve">“Satellite launch traffic forecast based on the global Gross Domestic Product and constellation plans”</w:t>
      </w:r>
      <w:r>
        <w:t xml:space="preserve"> </w:t>
      </w:r>
      <w:r>
        <w:t xml:space="preserve">that builds an explicit macroeconomic link into the cadence projection</w:t>
      </w:r>
      <w:r>
        <w:t xml:space="preserve"> </w:t>
      </w:r>
      <w:hyperlink w:anchor="ref-34">
        <w:r>
          <w:rPr>
            <w:rStyle w:val="Hyperlink"/>
          </w:rPr>
          <w:t xml:space="preserve">[34]</w:t>
        </w:r>
      </w:hyperlink>
      <w:r>
        <w:t xml:space="preserve">. Their use of global GDP as a forcing variable is consequential for the dissertation’s identification strategy, because it implies that the global demand component of the prospectus’s Bartik-style instrument has a defensible empirical basis in the cadence-forecast literature itself.</w:t>
      </w:r>
    </w:p>
    <w:p>
      <w:pPr>
        <w:pStyle w:val="BodyText"/>
        <w:spacing w:line="480" w:lineRule="auto"/>
        <w:ind w:firstLine="720"/>
      </w:pPr>
      <w:r>
        <w:t xml:space="preserve">Jang and colleagues at MIT develop</w:t>
      </w:r>
      <w:r>
        <w:t xml:space="preserve"> </w:t>
      </w:r>
      <w:r>
        <w:t xml:space="preserve">“Monte-Carlo Methods for All-vs-all Future LEO Population Evolution Modeling”</w:t>
      </w:r>
      <w:r>
        <w:t xml:space="preserve"> </w:t>
      </w:r>
      <w:r>
        <w:t xml:space="preserve">that further document the stochastic structure of the launch population and its long-run evolution</w:t>
      </w:r>
      <w:r>
        <w:t xml:space="preserve"> </w:t>
      </w:r>
      <w:hyperlink w:anchor="ref-25">
        <w:r>
          <w:rPr>
            <w:rStyle w:val="Hyperlink"/>
          </w:rPr>
          <w:t xml:space="preserve">[25]</w:t>
        </w:r>
      </w:hyperlink>
      <w:r>
        <w:t xml:space="preserve">. Their work, alongside Lifson’s, supplies the technical underpinning for the population-level variables that condition the dissertation’s regulatory analysis. Sullivan and colleagues at Oceanit develop</w:t>
      </w:r>
      <w:r>
        <w:t xml:space="preserve"> </w:t>
      </w:r>
      <w:r>
        <w:t xml:space="preserve">“Space Situational Awareness using Market Based Agents”</w:t>
      </w:r>
      <w:r>
        <w:t xml:space="preserve"> </w:t>
      </w:r>
      <w:r>
        <w:t xml:space="preserve">that, although directed at the SSA domain rather than launch licensing, illustrates the conceptual move of applying market-mechanism design to space-policy problems</w:t>
      </w:r>
      <w:r>
        <w:t xml:space="preserve"> </w:t>
      </w:r>
      <w:hyperlink w:anchor="ref-28">
        <w:r>
          <w:rPr>
            <w:rStyle w:val="Hyperlink"/>
          </w:rPr>
          <w:t xml:space="preserve">[28]</w:t>
        </w:r>
      </w:hyperlink>
      <w:r>
        <w:t xml:space="preserve">. This conceptual move is exactly the move that the dissertation makes for launch licensing, treating the regulatory regime as the output of a market-aware optimization rather than as a constant institutional inheritance.</w:t>
      </w:r>
    </w:p>
    <w:p>
      <w:pPr>
        <w:pStyle w:val="BodyText"/>
        <w:spacing w:line="480" w:lineRule="auto"/>
        <w:ind w:firstLine="720"/>
      </w:pPr>
      <w:r>
        <w:t xml:space="preserve">The technical literature on launch cost is the immediate context for the dissertation’s sibling learning-curve paper and is also relevant to the regulatory analysis. Jones’s NASA Technical Report on</w:t>
      </w:r>
      <w:r>
        <w:t xml:space="preserve"> </w:t>
      </w:r>
      <w:r>
        <w:t xml:space="preserve">“The Recent Large Reduction in Space Launch Cost”</w:t>
      </w:r>
      <w:r>
        <w:t xml:space="preserve"> </w:t>
      </w:r>
      <w:r>
        <w:t xml:space="preserve">documents the order-of-magnitude decline in cost per kilogram that reusable architectures have delivered and partitions that decline into operational, manufacturing, and amortization components</w:t>
      </w:r>
      <w:r>
        <w:t xml:space="preserve"> </w:t>
      </w:r>
      <w:hyperlink w:anchor="ref-19">
        <w:r>
          <w:rPr>
            <w:rStyle w:val="Hyperlink"/>
          </w:rPr>
          <w:t xml:space="preserve">[19]</w:t>
        </w:r>
      </w:hyperlink>
      <w:r>
        <w:t xml:space="preserve">. McNutt and colleagues extend the cost-and-capability discussion to</w:t>
      </w:r>
      <w:r>
        <w:t xml:space="preserve"> </w:t>
      </w:r>
      <w:r>
        <w:t xml:space="preserve">“High-speed scientific spacecraft launches with commercial launch vehicles,”</w:t>
      </w:r>
      <w:r>
        <w:t xml:space="preserve"> </w:t>
      </w:r>
      <w:r>
        <w:t xml:space="preserve">which documents how the price collapse on the commercial side has changed the option set facing scientific missions</w:t>
      </w:r>
      <w:r>
        <w:t xml:space="preserve"> </w:t>
      </w:r>
      <w:hyperlink w:anchor="ref-18">
        <w:r>
          <w:rPr>
            <w:rStyle w:val="Hyperlink"/>
          </w:rPr>
          <w:t xml:space="preserve">[18]</w:t>
        </w:r>
      </w:hyperlink>
      <w:r>
        <w:t xml:space="preserve">. Paravano, Rosseau, Locatelli, Weinzierl, and Trucco extend the cost-and-value literature into the commercial space-station domain with a</w:t>
      </w:r>
      <w:r>
        <w:t xml:space="preserve"> </w:t>
      </w:r>
      <w:r>
        <w:t xml:space="preserve">“value assessment of commercial space stations for space and non-space users,”</w:t>
      </w:r>
      <w:r>
        <w:t xml:space="preserve"> </w:t>
      </w:r>
      <w:r>
        <w:t xml:space="preserve">documenting how the downstream demand environment that licensing regimes serve has expanded beyond government customers</w:t>
      </w:r>
      <w:r>
        <w:t xml:space="preserve"> </w:t>
      </w:r>
      <w:hyperlink w:anchor="ref-17">
        <w:r>
          <w:rPr>
            <w:rStyle w:val="Hyperlink"/>
          </w:rPr>
          <w:t xml:space="preserve">[17]</w:t>
        </w:r>
      </w:hyperlink>
      <w:r>
        <w:t xml:space="preserve">. Trucco, Paravano, and Locatelli further develop the dynamic side of the cost-and-value picture in their framing of</w:t>
      </w:r>
      <w:r>
        <w:t xml:space="preserve"> </w:t>
      </w:r>
      <w:r>
        <w:t xml:space="preserve">“the dynamics of risk landscape amidst space economy trends,”</w:t>
      </w:r>
      <w:r>
        <w:t xml:space="preserve"> </w:t>
      </w:r>
      <w:r>
        <w:t xml:space="preserve">which is directly relevant to the supervision-burden problem because it identifies the risk channels that a continuing-supervision regime must monitor</w:t>
      </w:r>
      <w:r>
        <w:t xml:space="preserve"> </w:t>
      </w:r>
      <w:hyperlink w:anchor="ref-36">
        <w:r>
          <w:rPr>
            <w:rStyle w:val="Hyperlink"/>
          </w:rPr>
          <w:t xml:space="preserve">[36]</w:t>
        </w:r>
      </w:hyperlink>
      <w:r>
        <w:t xml:space="preserve">. Each of these contributions enters the dissertation as a covariate or a robustness input rather than as a primary regulatory variable, but each is essential to specifying the regulatory variable correctly.</w:t>
      </w:r>
    </w:p>
    <w:p>
      <w:pPr>
        <w:pStyle w:val="BodyText"/>
        <w:spacing w:line="480" w:lineRule="auto"/>
        <w:ind w:firstLine="720"/>
      </w:pPr>
      <w:r>
        <w:t xml:space="preserve">A separate stream within the cadence-and-population literature is the Earth-observation market literature, exemplified by Denis and colleagues’ analysis of</w:t>
      </w:r>
      <w:r>
        <w:t xml:space="preserve"> </w:t>
      </w:r>
      <w:r>
        <w:t xml:space="preserve">“disruptions in Earth observation”</w:t>
      </w:r>
      <w:r>
        <w:t xml:space="preserve"> </w:t>
      </w:r>
      <w:r>
        <w:t xml:space="preserve">and the evolution of new Earth-observation systems and markets</w:t>
      </w:r>
      <w:r>
        <w:t xml:space="preserve"> </w:t>
      </w:r>
      <w:hyperlink w:anchor="ref-35">
        <w:r>
          <w:rPr>
            <w:rStyle w:val="Hyperlink"/>
          </w:rPr>
          <w:t xml:space="preserve">[35]</w:t>
        </w:r>
      </w:hyperlink>
      <w:r>
        <w:t xml:space="preserve">. Earth-observation payloads are a substantial fraction of the cadence that national licensing authorities supervise, and Denis’s market-evolution scenarios supply useful context for the demand side of the launch market the dissertation studies. McKeown, Dempster, Saydam, and Coulton’s analysis of</w:t>
      </w:r>
      <w:r>
        <w:t xml:space="preserve"> </w:t>
      </w:r>
      <w:r>
        <w:t xml:space="preserve">“potential space resources markets”</w:t>
      </w:r>
      <w:r>
        <w:t xml:space="preserve"> </w:t>
      </w:r>
      <w:r>
        <w:t xml:space="preserve">extends the demand-side picture into the resource-extraction frontier, where regulatory regimes are particularly underdeveloped and the stakes of regulatory competition are highest</w:t>
      </w:r>
      <w:r>
        <w:t xml:space="preserve"> </w:t>
      </w:r>
      <w:hyperlink w:anchor="ref-31">
        <w:r>
          <w:rPr>
            <w:rStyle w:val="Hyperlink"/>
          </w:rPr>
          <w:t xml:space="preserve">[31]</w:t>
        </w:r>
      </w:hyperlink>
      <w:r>
        <w:t xml:space="preserve">. Fehrler, Hornuf, and Vrankar’s empirical investigation of</w:t>
      </w:r>
      <w:r>
        <w:t xml:space="preserve"> </w:t>
      </w:r>
      <w:r>
        <w:t xml:space="preserve">“what citizens expect from space”</w:t>
      </w:r>
      <w:r>
        <w:t xml:space="preserve"> </w:t>
      </w:r>
      <w:r>
        <w:t xml:space="preserve">supplies a complementary demand-side input, documenting the public-preference structure that political principals plausibly weigh when calibrating licensing posture</w:t>
      </w:r>
      <w:r>
        <w:t xml:space="preserve"> </w:t>
      </w:r>
      <w:hyperlink w:anchor="ref-29">
        <w:r>
          <w:rPr>
            <w:rStyle w:val="Hyperlink"/>
          </w:rPr>
          <w:t xml:space="preserve">[29]</w:t>
        </w:r>
      </w:hyperlink>
      <w:r>
        <w:t xml:space="preserve">. Together these contributions fill in the demand environment within which the dissertation’s regulator-as-strategic-actor model must be located.</w:t>
      </w:r>
    </w:p>
    <w:bookmarkEnd w:id="70"/>
    <w:bookmarkStart w:id="71" w:name="Xfb5956b28b7aefe6daae5d8359b07ff5897ffe5"/>
    <w:p>
      <w:pPr>
        <w:pStyle w:val="Heading2"/>
        <w:spacing w:line="480" w:lineRule="auto"/>
      </w:pPr>
      <w:r>
        <w:t xml:space="preserve">2.4 The Domain Literature on Strategic Competition and the Space Economy</w:t>
      </w:r>
    </w:p>
    <w:p>
      <w:pPr>
        <w:pStyle w:val="FirstParagraph"/>
        <w:spacing w:line="480" w:lineRule="auto"/>
      </w:pPr>
      <w:r>
        <w:t xml:space="preserve">The third stream of domain scholarship treats launch regulation as an instrument of strategic and economic policy. The most explicit articulation of the strategic-instrument view is the Space Force Association’s</w:t>
      </w:r>
      <w:r>
        <w:t xml:space="preserve"> </w:t>
      </w:r>
      <w:r>
        <w:t xml:space="preserve">“Space DIME Campaign Plan v3.0,”</w:t>
      </w:r>
      <w:r>
        <w:t xml:space="preserve"> </w:t>
      </w:r>
      <w:r>
        <w:t xml:space="preserve">which advances the thesis that</w:t>
      </w:r>
      <w:r>
        <w:t xml:space="preserve"> </w:t>
      </w:r>
      <w:r>
        <w:t xml:space="preserve">“effective international strategic competition in space requires a</w:t>
      </w:r>
      <w:r>
        <w:t xml:space="preserve"> </w:t>
      </w:r>
      <w:r>
        <w:t xml:space="preserve">‘Whole of Nation’</w:t>
      </w:r>
      <w:r>
        <w:t xml:space="preserve"> </w:t>
      </w:r>
      <w:r>
        <w:t xml:space="preserve">approach”</w:t>
      </w:r>
      <w:r>
        <w:t xml:space="preserve"> </w:t>
      </w:r>
      <w:r>
        <w:t xml:space="preserve">unifying government and industry under a single strategic frame</w:t>
      </w:r>
      <w:r>
        <w:t xml:space="preserve"> </w:t>
      </w:r>
      <w:hyperlink w:anchor="ref-4">
        <w:r>
          <w:rPr>
            <w:rStyle w:val="Hyperlink"/>
          </w:rPr>
          <w:t xml:space="preserve">[4]</w:t>
        </w:r>
      </w:hyperlink>
      <w:r>
        <w:t xml:space="preserve">. The Space Imperative document develops the same thesis from a different institutional base, arguing that fragmented authority leaves the</w:t>
      </w:r>
      <w:r>
        <w:t xml:space="preserve"> </w:t>
      </w:r>
      <w:r>
        <w:t xml:space="preserve">“space industry at a competitive disadvantage”</w:t>
      </w:r>
      <w:r>
        <w:t xml:space="preserve"> </w:t>
      </w:r>
      <w:r>
        <w:t xml:space="preserve">and that whole-of-nation coordination is the appropriate corrective</w:t>
      </w:r>
      <w:r>
        <w:t xml:space="preserve"> </w:t>
      </w:r>
      <w:hyperlink w:anchor="ref-6">
        <w:r>
          <w:rPr>
            <w:rStyle w:val="Hyperlink"/>
          </w:rPr>
          <w:t xml:space="preserve">[6]</w:t>
        </w:r>
      </w:hyperlink>
      <w:r>
        <w:t xml:space="preserve">. These documents are advocacy rather than estimation, but their advocacy is the conceptual claim that the dissertation tests. Their argument is that regulation should be calibrated to competitive position. The dissertation asks whether it is.</w:t>
      </w:r>
    </w:p>
    <w:p>
      <w:pPr>
        <w:pStyle w:val="BodyText"/>
        <w:spacing w:line="480" w:lineRule="auto"/>
        <w:ind w:firstLine="720"/>
      </w:pPr>
      <w:r>
        <w:t xml:space="preserve">The strategic-competition literature is paralleled by an economic-development literature that treats permissive licensing as a tool to attract launch business. The</w:t>
      </w:r>
      <w:r>
        <w:t xml:space="preserve"> </w:t>
      </w:r>
      <w:r>
        <w:t xml:space="preserve">“Roadmap: Australia Economic-Technological Renaissance in Space”</w:t>
      </w:r>
      <w:r>
        <w:t xml:space="preserve"> </w:t>
      </w:r>
      <w:r>
        <w:t xml:space="preserve">makes the explicit argument that a host state</w:t>
      </w:r>
      <w:r>
        <w:t xml:space="preserve"> </w:t>
      </w:r>
      <w:r>
        <w:t xml:space="preserve">“can offer more competitive pricing in the satellite launch market, attract diverse customers, and potentially”</w:t>
      </w:r>
      <w:r>
        <w:t xml:space="preserve"> </w:t>
      </w:r>
      <w:r>
        <w:t xml:space="preserve">capture market share by combining latitude-based launch advantage with reform-oriented licensing</w:t>
      </w:r>
      <w:r>
        <w:t xml:space="preserve"> </w:t>
      </w:r>
      <w:hyperlink w:anchor="ref-3">
        <w:r>
          <w:rPr>
            <w:rStyle w:val="Hyperlink"/>
          </w:rPr>
          <w:t xml:space="preserve">[3]</w:t>
        </w:r>
      </w:hyperlink>
      <w:r>
        <w:t xml:space="preserve">. The roadmap treats geographic launch advantage as</w:t>
      </w:r>
      <w:r>
        <w:t xml:space="preserve"> </w:t>
      </w:r>
      <w:r>
        <w:t xml:space="preserve">“a tradeable economic commodity”</w:t>
      </w:r>
      <w:r>
        <w:t xml:space="preserve"> </w:t>
      </w:r>
      <w:r>
        <w:t xml:space="preserve">to be amplified by deliberate policy choice. This framing is consequential for the dissertation’s identification strategy because it supplies the conceptual basis for the geographic-advantage instrument that the prospectus’s two-stage least-squares specification employs.</w:t>
      </w:r>
    </w:p>
    <w:p>
      <w:pPr>
        <w:pStyle w:val="BodyText"/>
        <w:spacing w:line="480" w:lineRule="auto"/>
        <w:ind w:firstLine="720"/>
      </w:pPr>
      <w:r>
        <w:t xml:space="preserve">Weinzierl’s</w:t>
      </w:r>
      <w:r>
        <w:t xml:space="preserve"> </w:t>
      </w:r>
      <w:r>
        <w:t xml:space="preserve">“Space, the Final Economic Frontier”</w:t>
      </w:r>
      <w:r>
        <w:t xml:space="preserve"> </w:t>
      </w:r>
      <w:r>
        <w:t xml:space="preserve">is the most cited general-purpose statement of the space-as-market view and supplies the three-part framework of establishing, refining, and tempering space markets through</w:t>
      </w:r>
      <w:r>
        <w:t xml:space="preserve"> </w:t>
      </w:r>
      <w:r>
        <w:t xml:space="preserve">“social objective regulation”</w:t>
      </w:r>
      <w:r>
        <w:t xml:space="preserve"> </w:t>
      </w:r>
      <w:r>
        <w:t xml:space="preserve">that the dissertation adopts as its conceptual frame</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Weinzierl’s contribution is to make regulation a deliberate object of social-objective choice rather than a residual institutional fact. His framework is theoretical rather than empirical; it does not estimate the cross-national regulatory response function that the dissertation tests, but it supplies the categorical structure within which that response function is defined.</w:t>
      </w:r>
    </w:p>
    <w:p>
      <w:pPr>
        <w:pStyle w:val="BodyText"/>
        <w:spacing w:line="480" w:lineRule="auto"/>
        <w:ind w:firstLine="720"/>
      </w:pPr>
      <w:r>
        <w:t xml:space="preserve">A series of more applied space-economy contributions extend Weinzierl’s framework to specific operational claims. The OCEA</w:t>
      </w:r>
      <w:r>
        <w:t xml:space="preserve"> </w:t>
      </w:r>
      <w:r>
        <w:t xml:space="preserve">“Forecasting the Space Economy”</w:t>
      </w:r>
      <w:r>
        <w:t xml:space="preserve"> </w:t>
      </w:r>
      <w:r>
        <w:t xml:space="preserve">document develops reusable-launch cost-per-kilogram scenarios and explicit economies-of-scale claims about launch operations</w:t>
      </w:r>
      <w:r>
        <w:t xml:space="preserve"> </w:t>
      </w:r>
      <w:hyperlink w:anchor="ref-9">
        <w:r>
          <w:rPr>
            <w:rStyle w:val="Hyperlink"/>
          </w:rPr>
          <w:t xml:space="preserve">[9]</w:t>
        </w:r>
      </w:hyperlink>
      <w:r>
        <w:t xml:space="preserve">,</w:t>
      </w:r>
      <w:r>
        <w:t xml:space="preserve"> </w:t>
      </w:r>
      <w:hyperlink w:anchor="ref-15">
        <w:r>
          <w:rPr>
            <w:rStyle w:val="Hyperlink"/>
          </w:rPr>
          <w:t xml:space="preserve">[15]</w:t>
        </w:r>
      </w:hyperlink>
      <w:r>
        <w:t xml:space="preserve">.</w:t>
      </w:r>
      <w:r>
        <w:t xml:space="preserve"> </w:t>
      </w:r>
      <w:r>
        <w:t xml:space="preserve">“The Role of Space in Driving Sustainability, Security, and Development”</w:t>
      </w:r>
      <w:r>
        <w:t xml:space="preserve"> </w:t>
      </w:r>
      <w:r>
        <w:t xml:space="preserve">documents the competitive-pricing transmission mechanism by which competition among launch providers reduces launch prices</w:t>
      </w:r>
      <w:r>
        <w:t xml:space="preserve"> </w:t>
      </w:r>
      <w:hyperlink w:anchor="ref-11">
        <w:r>
          <w:rPr>
            <w:rStyle w:val="Hyperlink"/>
          </w:rPr>
          <w:t xml:space="preserve">[11]</w:t>
        </w:r>
      </w:hyperlink>
      <w:r>
        <w:t xml:space="preserve">. Dailey and colleagues’</w:t>
      </w:r>
      <w:r>
        <w:t xml:space="preserve"> </w:t>
      </w:r>
      <w:r>
        <w:t xml:space="preserve">“Architectural Socio-Technological Transformative Change of Space-Use Norms”</w:t>
      </w:r>
      <w:r>
        <w:t xml:space="preserve"> </w:t>
      </w:r>
      <w:r>
        <w:t xml:space="preserve">develops the economies-of-scale and market-expansion thesis in greater architectural detail</w:t>
      </w:r>
      <w:r>
        <w:t xml:space="preserve"> </w:t>
      </w:r>
      <w:hyperlink w:anchor="ref-12">
        <w:r>
          <w:rPr>
            <w:rStyle w:val="Hyperlink"/>
          </w:rPr>
          <w:t xml:space="preserve">[12]</w:t>
        </w:r>
      </w:hyperlink>
      <w:r>
        <w:t xml:space="preserve">, and a separate Dailey and colleagues contribution at MITRE applies the circular-economy framework to space sustainability, with explicit attention to dynamic scale economies and early-entrant advantage</w:t>
      </w:r>
      <w:r>
        <w:t xml:space="preserve"> </w:t>
      </w:r>
      <w:hyperlink w:anchor="ref-14">
        <w:r>
          <w:rPr>
            <w:rStyle w:val="Hyperlink"/>
          </w:rPr>
          <w:t xml:space="preserve">[14]</w:t>
        </w:r>
      </w:hyperlink>
      <w:r>
        <w:t xml:space="preserve">. Stilwell and colleagues’</w:t>
      </w:r>
      <w:r>
        <w:t xml:space="preserve"> </w:t>
      </w:r>
      <w:r>
        <w:t xml:space="preserve">“Orbital Classification and the Whole-of-Nation Space Enterprise”</w:t>
      </w:r>
      <w:r>
        <w:t xml:space="preserve"> </w:t>
      </w:r>
      <w:r>
        <w:t xml:space="preserve">weaves the strategic-competition and economic-development threads together into a single orbital-classification framework that the dissertation reads as the operational expression of the whole-of-nation thesis</w:t>
      </w:r>
      <w:r>
        <w:t xml:space="preserve"> </w:t>
      </w:r>
      <w:hyperlink w:anchor="ref-20">
        <w:r>
          <w:rPr>
            <w:rStyle w:val="Hyperlink"/>
          </w:rPr>
          <w:t xml:space="preserve">[20]</w:t>
        </w:r>
      </w:hyperlink>
      <w:r>
        <w:t xml:space="preserve">.</w:t>
      </w:r>
    </w:p>
    <w:p>
      <w:pPr>
        <w:pStyle w:val="BodyText"/>
        <w:spacing w:line="480" w:lineRule="auto"/>
        <w:ind w:firstLine="720"/>
      </w:pPr>
      <w:r>
        <w:t xml:space="preserve">Adjacent to the space-economy literature is a strand of geopolitics-of-space scholarship that supplies the international-rivalry context the dissertation must respect. Young and Thadani’s</w:t>
      </w:r>
      <w:r>
        <w:t xml:space="preserve"> </w:t>
      </w:r>
      <w:r>
        <w:t xml:space="preserve">“Low-Orbit, High Stakes: Winning the LEO Broadband Competition”</w:t>
      </w:r>
      <w:r>
        <w:t xml:space="preserve"> </w:t>
      </w:r>
      <w:r>
        <w:t xml:space="preserve">frames the competitive landscape between major launch states as a contest with strategic as well as commercial stakes</w:t>
      </w:r>
      <w:r>
        <w:t xml:space="preserve"> </w:t>
      </w:r>
      <w:hyperlink w:anchor="ref-21">
        <w:r>
          <w:rPr>
            <w:rStyle w:val="Hyperlink"/>
          </w:rPr>
          <w:t xml:space="preserve">[21]</w:t>
        </w:r>
      </w:hyperlink>
      <w:r>
        <w:t xml:space="preserve">. Harrison’s</w:t>
      </w:r>
      <w:r>
        <w:t xml:space="preserve"> </w:t>
      </w:r>
      <w:r>
        <w:t xml:space="preserve">“International Perspectives on Space Weapons”</w:t>
      </w:r>
      <w:r>
        <w:t xml:space="preserve"> </w:t>
      </w:r>
      <w:r>
        <w:t xml:space="preserve">surveys the security dimensions that condition national space policy, including the launch-regulation dimension, and supplies a useful reminder that licensing posture is rarely a purely economic choice</w:t>
      </w:r>
      <w:r>
        <w:t xml:space="preserve"> </w:t>
      </w:r>
      <w:hyperlink w:anchor="ref-26">
        <w:r>
          <w:rPr>
            <w:rStyle w:val="Hyperlink"/>
          </w:rPr>
          <w:t xml:space="preserve">[26]</w:t>
        </w:r>
      </w:hyperlink>
      <w:r>
        <w:t xml:space="preserve">. Latif and colleagues, together with Reed and Stilwell, develop the AI-enabled space battle-management thesis from the Space Protocol vantage, which sharpens the security-side concern that the strategic-competition literature treats as latent</w:t>
      </w:r>
      <w:r>
        <w:t xml:space="preserve"> </w:t>
      </w:r>
      <w:hyperlink w:anchor="ref-22">
        <w:r>
          <w:rPr>
            <w:rStyle w:val="Hyperlink"/>
          </w:rPr>
          <w:t xml:space="preserve">[22]</w:t>
        </w:r>
      </w:hyperlink>
      <w:r>
        <w:t xml:space="preserve">. None of these contributions estimates the regulatory response that the dissertation tests, but each conditions the regulator’s choice set and supplies the strategic backdrop against which the response is calibrated.</w:t>
      </w:r>
    </w:p>
    <w:p>
      <w:pPr>
        <w:pStyle w:val="BodyText"/>
        <w:spacing w:line="480" w:lineRule="auto"/>
        <w:ind w:firstLine="720"/>
      </w:pPr>
      <w:r>
        <w:t xml:space="preserve">What ties this domain literature together is a shared conceptual posture and a shared methodological gap. Conceptually, the literature treats regulation as an instrument of strategy and an instrument of economic development. Methodologically, the literature does not estimate the instrument’s calibration. It asserts that stringency and competitive position co-move and prescribes how policymakers should adjust them, but it does not subject the asserted co-movement to a cross-national, over-time econometric test. The dissertation’s contribution is to perform that test.</w:t>
      </w:r>
    </w:p>
    <w:bookmarkEnd w:id="71"/>
    <w:bookmarkStart w:id="72" w:name="X07fe73e594277fc276c6392b9242153367417e1"/>
    <w:p>
      <w:pPr>
        <w:pStyle w:val="Heading2"/>
        <w:spacing w:line="480" w:lineRule="auto"/>
      </w:pPr>
      <w:r>
        <w:t xml:space="preserve">2.5 The Cliometric and Econometric Methodology Literature</w:t>
      </w:r>
    </w:p>
    <w:p>
      <w:pPr>
        <w:pStyle w:val="FirstParagraph"/>
        <w:spacing w:line="480" w:lineRule="auto"/>
      </w:pPr>
      <w:r>
        <w:t xml:space="preserve">The second body of scholarship the dissertation relies on is the methodology literature for estimating endogenous regulatory response in a panel of countries. This literature has matured along three principal axes that bear on the dissertation: the learning-curve and experience-effect tradition, the two-way fixed-effects panel tradition, and the instrumental-variables tradition for identification under reverse causation. Each axis enters the dissertation’s design at a specific point.</w:t>
      </w:r>
    </w:p>
    <w:p>
      <w:pPr>
        <w:pStyle w:val="BodyText"/>
        <w:spacing w:line="480" w:lineRule="auto"/>
        <w:ind w:firstLine="720"/>
      </w:pPr>
      <w:r>
        <w:t xml:space="preserve">The learning-curve tradition is the oldest of the three. It begins with the empirical observation that unit cost declines by a constant percentage with each doubling of cumulative output, a regularity sufficiently robust across industries that it has become the canonical functional form for experience-effect estimation. The dissertation’s sibling learning-curve paper applies this functional form to the international launch fleet, regressing the natural logarithm of price per kilogram on the natural logarithm of cumulative successful flights and reading the slope coefficient as an experience elasticity whose antilog is the progress ratio. That paper’s null result, which finds no fleet-level evidence of a learning curve in launch price per kilogram once vehicle scale is uncontrolled, is methodologically informative for the regulatory panel. It demonstrates that the experience proxy used by the competitiveness literature, namely flight heritage, does not in fact predict the per-kilogram price that the strategic narrative assumes it predicts. The methodological inheritance for the dissertation’s main panel is therefore explicit: any specification that uses flight heritage as a proxy for competitive position will inherit the same scale confound the sibling paper documents, and the dissertation’s main panel will instead use lagged market share, a scale-aware construct, as its principal regressor of interest.</w:t>
      </w:r>
    </w:p>
    <w:p>
      <w:pPr>
        <w:pStyle w:val="BodyText"/>
        <w:spacing w:line="480" w:lineRule="auto"/>
        <w:ind w:firstLine="720"/>
      </w:pPr>
      <w:r>
        <w:t xml:space="preserve">The two-way fixed-effects tradition supplies the panel infrastructure on which the dissertation’s main estimate rests. The prospectus commits to a country-year panel of the major launch-host states with two-way fixed effects absorbing time-invariant national institutions and common annual shocks, and to a one-year lag on market share that addresses the simultaneity between this year’s regulatory posture and this year’s flights. The methodological literature on within-transformation estimators is mature, and the principal trade-off that the literature foregrounds is the trade-off between within-nation and between-nation variation. The dissertation’s sibling country-year paper makes this trade-off visible by deliberately choosing a pooled rather than within-nation specification, on the explicit ground that the regulatory-stringency construct varies across nations far more than within them over the short nine-year panel window and that a country fixed effect would absorb most of the between-nation variation the analysis sought to study. The dissertation’s main panel adopts the opposite trade-off, accepting the loss of cross-sectional variation in exchange for the cleaner identification that within-country variation supplies. The methodological inheritance is therefore explicit: the dissertation’s main panel uses the same data sources as the sibling paper but a different estimator, and the comparison between the two is itself a methodological contribution because it allows the reader to see how much of the apparent stringency effect in a pooled specification survives within-country identification.</w:t>
      </w:r>
    </w:p>
    <w:p>
      <w:pPr>
        <w:pStyle w:val="BodyText"/>
        <w:spacing w:line="480" w:lineRule="auto"/>
        <w:ind w:firstLine="720"/>
      </w:pPr>
      <w:r>
        <w:t xml:space="preserve">The instrumental-variables tradition supplies the identification strategy that closes the residual-endogeneity threat. The prospectus commits to a Bartik-style instrument that interacts a state’s geographic launch advantage, conceived as the latitude-based delta-V efficiency endowment that Weinzierl and the Australia roadmap document characterize as a tradeable economic commodity</w:t>
      </w:r>
      <w:r>
        <w:t xml:space="preserve"> </w:t>
      </w:r>
      <w:hyperlink w:anchor="ref-3">
        <w:r>
          <w:rPr>
            <w:rStyle w:val="Hyperlink"/>
          </w:rPr>
          <w:t xml:space="preserve">[3]</w:t>
        </w:r>
      </w:hyperlink>
      <w:r>
        <w:t xml:space="preserve">,</w:t>
      </w:r>
      <w:r>
        <w:t xml:space="preserve"> </w:t>
      </w:r>
      <w:hyperlink w:anchor="ref-5">
        <w:r>
          <w:rPr>
            <w:rStyle w:val="Hyperlink"/>
          </w:rPr>
          <w:t xml:space="preserve">[5]</w:t>
        </w:r>
      </w:hyperlink>
      <w:r>
        <w:t xml:space="preserve">, with the global launch demand series that the cadence-forecast literature supplies</w:t>
      </w:r>
      <w:r>
        <w:t xml:space="preserve"> </w:t>
      </w:r>
      <w:hyperlink w:anchor="ref-8">
        <w:r>
          <w:rPr>
            <w:rStyle w:val="Hyperlink"/>
          </w:rPr>
          <w:t xml:space="preserve">[8]</w:t>
        </w:r>
      </w:hyperlink>
      <w:r>
        <w:t xml:space="preserve">,</w:t>
      </w:r>
      <w:r>
        <w:t xml:space="preserve"> </w:t>
      </w:r>
      <w:hyperlink w:anchor="ref-34">
        <w:r>
          <w:rPr>
            <w:rStyle w:val="Hyperlink"/>
          </w:rPr>
          <w:t xml:space="preserve">[34]</w:t>
        </w:r>
      </w:hyperlink>
      <w:r>
        <w:t xml:space="preserve">. The Bartik construction is a standard tool in the labor-economics methodology literature, where it is used to instrument local labor-demand shocks by interacting national industry-mix shares with national industry-employment growth. The conceptual transposition to launch markets is direct. A state’s geographic advantage is its analogue of a fixed industry share, and the global demand series is its analogue of a national growth rate. The interaction shifts the state’s expected market share through a force outside its regulatory control, and the share is therefore plausibly exogenous to the state’s own rulemaking decisions. The methodological literature on Bartik instruments has matured into a stable diagnostic toolkit, including the over-identification test that the prospectus commits to reporting and the placebo specifications that probe the exclusion restriction.</w:t>
      </w:r>
    </w:p>
    <w:p>
      <w:pPr>
        <w:pStyle w:val="BodyText"/>
        <w:spacing w:line="480" w:lineRule="auto"/>
        <w:ind w:firstLine="720"/>
      </w:pPr>
      <w:r>
        <w:t xml:space="preserve">The cliometric tradition, broader than any of these three specific methodology axes, supplies the disposition the dissertation brings to its evidentiary base. Cliometrics insists that historical claims be expressed as quantitative magnitudes with explicit confidence intervals, that data sources be public and reproducible, that the unit of observation be defined with precision, and that the estimand be stated as a falsifiable hypothesis whose null can be rejected or sustained on the basis of the panel rather than the analyst’s prior. The dissertation’s prospectus is explicit on each of these points: the unit of observation is the country-year, the data sources are the FAA Office of Commercial Space Transportation licensed-launch record and the United Nations Office for Outer Space Affairs Online Index of Objects Launched into Outer Space, the dependent variable is coded from primary national licensing instruments anchored to the multi-agency structure that Goehring documents</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 </w:t>
      </w:r>
      <w:r>
        <w:t xml:space="preserve">and the supervision-burden framework that Smith, Jah, and Wood develop</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and the population-level and cadence covariates are drawn from Lifson and colleagues’ reference-scenario modeling</w:t>
      </w:r>
      <w:r>
        <w:t xml:space="preserve"> </w:t>
      </w:r>
      <w:hyperlink w:anchor="ref-8">
        <w:r>
          <w:rPr>
            <w:rStyle w:val="Hyperlink"/>
          </w:rPr>
          <w:t xml:space="preserve">[8]</w:t>
        </w:r>
      </w:hyperlink>
      <w:r>
        <w:t xml:space="preserve">. The estimand is the sign and magnitude of one coefficient, and the dissertation will live or die by the falsifiability of that single quantity.</w:t>
      </w:r>
    </w:p>
    <w:bookmarkEnd w:id="72"/>
    <w:bookmarkStart w:id="73" w:name="synthesis-and-the-gap"/>
    <w:p>
      <w:pPr>
        <w:pStyle w:val="Heading2"/>
        <w:spacing w:line="480" w:lineRule="auto"/>
      </w:pPr>
      <w:r>
        <w:t xml:space="preserve">2.6 Synthesis and the Gap</w:t>
      </w:r>
    </w:p>
    <w:p>
      <w:pPr>
        <w:pStyle w:val="FirstParagraph"/>
        <w:spacing w:line="480" w:lineRule="auto"/>
      </w:pPr>
      <w:r>
        <w:t xml:space="preserve">The two literatures the chapter has surveyed do not yet speak to one another. The domain literature on launch regulation, traffic, and the strategic space economy is conceptually rich and prescriptively confident. It asserts that regulation and competitive position move together, that stringency is an instrument of strategic policy, and that permissive licensing is an instrument of economic development</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It does not estimate any of these propositions on a cross-national, over-time panel. The cliometric and econometric methodology literature, by contrast, has the toolkit to estimate exactly this kind of claim. Two-way fixed-effects panel estimators, Bartik-style instrumental-variables identification, and learning-curve regression are stable, well-diagnosed, and well-understood. The methodology literature has not, however, turned that toolkit on launch licensing, and the result is a structural seam in the literature: a question the domain literature poses but cannot answer, and a toolkit the methodology literature provides but does not aim.</w:t>
      </w:r>
    </w:p>
    <w:p>
      <w:pPr>
        <w:pStyle w:val="BodyText"/>
        <w:spacing w:line="480" w:lineRule="auto"/>
        <w:ind w:firstLine="720"/>
      </w:pPr>
      <w:r>
        <w:t xml:space="preserve">The dissertation’s contribution lies in that seam. It takes the strategic-regulation hypothesis as the domain literature states it, expresses it as a single falsifiable parameter, and estimates that parameter using the panel infrastructure the methodology literature supplies. The result is a number with a confidence interval, a sign that is either positive or negative or indistinguishable from zero, and a magnitude that can be compared to the prescriptive force with which the domain literature asserts the relationship. If the estimate is positive and statistically distinguishable from zero, the strategic-regulation thesis gains an empirical anchor that it currently lacks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If the estimate is negative, the alternative liberalization narrative in which leaders shed stringency to defend share gains support</w:t>
      </w:r>
      <w:r>
        <w:t xml:space="preserve"> </w:t>
      </w:r>
      <w:hyperlink w:anchor="ref-3">
        <w:r>
          <w:rPr>
            <w:rStyle w:val="Hyperlink"/>
          </w:rPr>
          <w:t xml:space="preserve">[3]</w:t>
        </w:r>
      </w:hyperlink>
      <w:r>
        <w:t xml:space="preserve">,</w:t>
      </w:r>
      <w:r>
        <w:t xml:space="preserve"> </w:t>
      </w:r>
      <w:hyperlink w:anchor="ref-11">
        <w:r>
          <w:rPr>
            <w:rStyle w:val="Hyperlink"/>
          </w:rPr>
          <w:t xml:space="preserve">[11]</w:t>
        </w:r>
      </w:hyperlink>
      <w:r>
        <w:t xml:space="preserve">. If the estimate is indistinguishable from zero, both narratives lose their empirical footing and the literature must absorb that loss honestly. The dissertation is built so that any of those three outcomes is publishable and meaningful, because the contribution is the test rather than its direction.</w:t>
      </w:r>
    </w:p>
    <w:p>
      <w:pPr>
        <w:pStyle w:val="BodyText"/>
        <w:spacing w:line="480" w:lineRule="auto"/>
        <w:ind w:firstLine="720"/>
      </w:pPr>
      <w:r>
        <w:t xml:space="preserve">Three more specific synthesis claims close the chapter. First, the construct of regulatory stringency that the dissertation will adopt is informed by Goehring’s Rule-of-Three fragmentation account</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 </w:t>
      </w:r>
      <w:r>
        <w:t xml:space="preserve">and by the supervision-burden framework of Smith, Jah, and Wood</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so that the ordinal scale captures both the formal posture of the licensing regime and the intensity of continuing supervision, with sub-indices reported separately for reader transparency. Second, the principal regressor of interest is lagged international launch-market share rather than flight heritage, a choice that is methodologically anchored by the sibling learning-curve paper’s null result on the experience-elasticity coefficient and that respects the scale-aware construction of competitive position the methodology literature would recommend. Third, the identification strategy combines two-way fixed effects on the within-country panel with a Bartik-style instrument that uses geographic launch advantage interacted with the global demand series the cadence-forecast literature supplies</w:t>
      </w:r>
      <w:r>
        <w:t xml:space="preserve"> </w:t>
      </w:r>
      <w:hyperlink w:anchor="ref-8">
        <w:r>
          <w:rPr>
            <w:rStyle w:val="Hyperlink"/>
          </w:rPr>
          <w:t xml:space="preserve">[8]</w:t>
        </w:r>
      </w:hyperlink>
      <w:r>
        <w:t xml:space="preserve">,</w:t>
      </w:r>
      <w:r>
        <w:t xml:space="preserve"> </w:t>
      </w:r>
      <w:hyperlink w:anchor="ref-34">
        <w:r>
          <w:rPr>
            <w:rStyle w:val="Hyperlink"/>
          </w:rPr>
          <w:t xml:space="preserve">[34]</w:t>
        </w:r>
      </w:hyperlink>
      <w:r>
        <w:t xml:space="preserve">, thus drawing both halves of its identification on the seam between the two literatures the chapter has surveyed.</w:t>
      </w:r>
    </w:p>
    <w:p>
      <w:pPr>
        <w:pStyle w:val="BodyText"/>
        <w:spacing w:line="480" w:lineRule="auto"/>
        <w:ind w:firstLine="720"/>
      </w:pPr>
      <w:r>
        <w:t xml:space="preserve">The chapter ends where the dissertation’s contribution begins. The domain literature has asked the right question and supplied the conceptual frame for an answer. The methodology literature has assembled the toolkit with which an answer can be estimated. Neither literature, on the evidence of the shared reference pool, has joined the question to the toolkit. The remainder of the dissertation does so.</w:t>
      </w:r>
    </w:p>
    <w:bookmarkEnd w:id="73"/>
    <w:bookmarkEnd w:id="74"/>
    <w:bookmarkStart w:id="81" w:name="Xcfcc00a3ded59aed0c781c16bfc121f2a509603"/>
    <w:p>
      <w:pPr>
        <w:pStyle w:val="Heading1"/>
        <w:spacing w:line="480" w:lineRule="auto"/>
      </w:pPr>
      <w:r>
        <w:t xml:space="preserve">Chapter 3. Theoretical Framework and Hypotheses</w:t>
      </w:r>
    </w:p>
    <w:bookmarkStart w:id="75" w:name="purpose-and-position-of-the-chapter"/>
    <w:p>
      <w:pPr>
        <w:pStyle w:val="Heading2"/>
        <w:spacing w:line="480" w:lineRule="auto"/>
      </w:pPr>
      <w:r>
        <w:t xml:space="preserve">3.1 Purpose and Position of the Chapter</w:t>
      </w:r>
    </w:p>
    <w:p>
      <w:pPr>
        <w:pStyle w:val="FirstParagraph"/>
        <w:spacing w:line="480" w:lineRule="auto"/>
      </w:pPr>
      <w:r>
        <w:t xml:space="preserve">The two prior chapters established the empirical and conceptual terrain. Chapter 1 documented that orbital launch has become a competitive international market in which licensing has shifted from sovereign formality to an instrument of industrial policy, and that the practitioner literature asserts a strategic relationship between competitive position and regulatory posture without estimating it</w:t>
      </w:r>
      <w:r>
        <w:t xml:space="preserve"> </w:t>
      </w:r>
      <w:hyperlink w:anchor="ref-6">
        <w:r>
          <w:rPr>
            <w:rStyle w:val="Hyperlink"/>
          </w:rPr>
          <w:t xml:space="preserve">[6]</w:t>
        </w:r>
      </w:hyperlink>
      <w:r>
        <w:t xml:space="preserve">,</w:t>
      </w:r>
      <w:r>
        <w:t xml:space="preserve"> </w:t>
      </w:r>
      <w:hyperlink w:anchor="ref-8">
        <w:r>
          <w:rPr>
            <w:rStyle w:val="Hyperlink"/>
          </w:rPr>
          <w:t xml:space="preserve">[8]</w:t>
        </w:r>
      </w:hyperlink>
      <w:r>
        <w:t xml:space="preserve">. Chapter 2 surveyed the economic, strategic, and regulatory-design strands of the literature that bracket the question, showing that the conceptual apparatus is in place but the cross-national parameter is absent. The purpose of the present chapter is to specify the theoretical framework that makes that absent parameter recoverable from data, to render the causal logic in a form that admits a single estimable coefficient, and to state the hypotheses H0 and H1 in a manner that exposes the strategic-regulation thesis to refutation.</w:t>
      </w:r>
    </w:p>
    <w:p>
      <w:pPr>
        <w:pStyle w:val="BodyText"/>
        <w:spacing w:line="480" w:lineRule="auto"/>
        <w:ind w:firstLine="720"/>
      </w:pPr>
      <w:r>
        <w:t xml:space="preserve">The chapter proceeds in five steps. Section 3.2 lays out the foundational economic logic by which regulatory stringency becomes an endogenous policy variable rather than an exogenous constraint, building on the Weinzierl tri-partite account of establishing, refining, and tempering space markets</w:t>
      </w:r>
      <w:r>
        <w:t xml:space="preserve"> </w:t>
      </w:r>
      <w:hyperlink w:anchor="ref-5">
        <w:r>
          <w:rPr>
            <w:rStyle w:val="Hyperlink"/>
          </w:rPr>
          <w:t xml:space="preserve">[5]</w:t>
        </w:r>
      </w:hyperlink>
      <w:r>
        <w:t xml:space="preserve">,</w:t>
      </w:r>
      <w:r>
        <w:t xml:space="preserve"> </w:t>
      </w:r>
      <w:hyperlink w:anchor="ref-16">
        <w:r>
          <w:rPr>
            <w:rStyle w:val="Hyperlink"/>
          </w:rPr>
          <w:t xml:space="preserve">[16]</w:t>
        </w:r>
      </w:hyperlink>
      <w:r>
        <w:t xml:space="preserve"> </w:t>
      </w:r>
      <w:r>
        <w:t xml:space="preserve">and the whole-of-nation framing that treats unified posture as a precondition for international competitiveness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Section 3.3 develops the causal mechanism, decomposing the link from market share to stringency into a sequence of decision-theoretic steps undertaken by a strategic regulator. Section 3.4 confronts the framework with two countervailing logics, a liberalization account in which leaders shed rules to defend share</w:t>
      </w:r>
      <w:r>
        <w:t xml:space="preserve"> </w:t>
      </w:r>
      <w:hyperlink w:anchor="ref-3">
        <w:r>
          <w:rPr>
            <w:rStyle w:val="Hyperlink"/>
          </w:rPr>
          <w:t xml:space="preserve">[3]</w:t>
        </w:r>
      </w:hyperlink>
      <w:r>
        <w:t xml:space="preserve"> </w:t>
      </w:r>
      <w:r>
        <w:t xml:space="preserve">and a regulatory-competition account in which states race downward irrespective of position</w:t>
      </w:r>
      <w:r>
        <w:t xml:space="preserve"> </w:t>
      </w:r>
      <w:hyperlink w:anchor="ref-30">
        <w:r>
          <w:rPr>
            <w:rStyle w:val="Hyperlink"/>
          </w:rPr>
          <w:t xml:space="preserve">[30]</w:t>
        </w:r>
      </w:hyperlink>
      <w:r>
        <w:t xml:space="preserve">, and shows how the panel design discriminates among them. Section 3.5 states the formal hypotheses, fixes the sign convention, and identifies the single coefficient on which the dissertation stands or falls. Section 3.6 closes by stating the scope conditions under which the framework is intended to hold.</w:t>
      </w:r>
    </w:p>
    <w:bookmarkEnd w:id="75"/>
    <w:bookmarkStart w:id="76" w:name="the-foundational-economic-logic"/>
    <w:p>
      <w:pPr>
        <w:pStyle w:val="Heading2"/>
        <w:spacing w:line="480" w:lineRule="auto"/>
      </w:pPr>
      <w:r>
        <w:t xml:space="preserve">3.2 The Foundational Economic Logic</w:t>
      </w:r>
    </w:p>
    <w:p>
      <w:pPr>
        <w:pStyle w:val="FirstParagraph"/>
        <w:spacing w:line="480" w:lineRule="auto"/>
      </w:pPr>
      <w:r>
        <w:t xml:space="preserve">The framework begins from a position that the space-economy literature has reached but not yet operationalized: that regulation in the launch sector is not a fixed environmental parameter but a deliberate policy choice taken in view of market structure. Weinzierl’s account distinguishes three regulatory functions, the establishment of property rights and market access, the refinement of pricing and externality management, and the tempering of activity in pursuit of social objectives</w:t>
      </w:r>
      <w:r>
        <w:t xml:space="preserve"> </w:t>
      </w:r>
      <w:hyperlink w:anchor="ref-5">
        <w:r>
          <w:rPr>
            <w:rStyle w:val="Hyperlink"/>
          </w:rPr>
          <w:t xml:space="preserve">[5]</w:t>
        </w:r>
      </w:hyperlink>
      <w:r>
        <w:t xml:space="preserve">,</w:t>
      </w:r>
      <w:r>
        <w:t xml:space="preserve"> </w:t>
      </w:r>
      <w:hyperlink w:anchor="ref-16">
        <w:r>
          <w:rPr>
            <w:rStyle w:val="Hyperlink"/>
          </w:rPr>
          <w:t xml:space="preserve">[16]</w:t>
        </w:r>
      </w:hyperlink>
      <w:r>
        <w:t xml:space="preserve">. Each of these functions is exercised against a background market structure that itself responds to prior regulatory choices, so the relationship between rules and the market is reciprocal. The launch-cost reductions documented in the post-reusable era</w:t>
      </w:r>
      <w:r>
        <w:t xml:space="preserve"> </w:t>
      </w:r>
      <w:hyperlink w:anchor="ref-19">
        <w:r>
          <w:rPr>
            <w:rStyle w:val="Hyperlink"/>
          </w:rPr>
          <w:t xml:space="preserve">[19]</w:t>
        </w:r>
      </w:hyperlink>
      <w:r>
        <w:t xml:space="preserve"> </w:t>
      </w:r>
      <w:r>
        <w:t xml:space="preserve">and the cadence trajectory anchored in reference-scenario modeling</w:t>
      </w:r>
      <w:r>
        <w:t xml:space="preserve"> </w:t>
      </w:r>
      <w:hyperlink w:anchor="ref-8">
        <w:r>
          <w:rPr>
            <w:rStyle w:val="Hyperlink"/>
          </w:rPr>
          <w:t xml:space="preserve">[8]</w:t>
        </w:r>
      </w:hyperlink>
      <w:r>
        <w:t xml:space="preserve"> </w:t>
      </w:r>
      <w:r>
        <w:t xml:space="preserve">have made that reciprocity sharper, because the elasticity of providers’ decisions to licensing terms has grown along with the commercial weight of the sector.</w:t>
      </w:r>
    </w:p>
    <w:p>
      <w:pPr>
        <w:pStyle w:val="BodyText"/>
        <w:spacing w:line="480" w:lineRule="auto"/>
        <w:ind w:firstLine="720"/>
      </w:pPr>
      <w:r>
        <w:t xml:space="preserve">Within that economic frame, the practitioner literature on strategic competition supplies the proposition that this dissertation tests. The whole-of-nation argument holds that a state which fails to align its regulatory, industrial, and diplomatic instruments leaves its space industry at a competitive disadvantage in an arena where unified posture is the relevant unit of analysis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same argument, restated, is that a state which has secured durable share has both the latitude and the incentive to use regulation as a forward instrument, tightening oversight to consolidate quality, signal sustainability, and shape the international rule set in directions favorable to its incumbents. Conversely, a state whose providers face structural disadvantage has neither the latitude nor the incentive to tighten; it conserves the only lever still available to it, namely a permissive licensing posture that offsets disadvantage on cost</w:t>
      </w:r>
      <w:r>
        <w:t xml:space="preserve"> </w:t>
      </w:r>
      <w:hyperlink w:anchor="ref-3">
        <w:r>
          <w:rPr>
            <w:rStyle w:val="Hyperlink"/>
          </w:rPr>
          <w:t xml:space="preserve">[3]</w:t>
        </w:r>
      </w:hyperlink>
      <w:r>
        <w:t xml:space="preserve">. This is the strategic-regulation thesis in its sharpest form, and Chapter 1 noted that it is everywhere assumed and nowhere estimated.</w:t>
      </w:r>
    </w:p>
    <w:p>
      <w:pPr>
        <w:pStyle w:val="BodyText"/>
        <w:spacing w:line="480" w:lineRule="auto"/>
        <w:ind w:firstLine="720"/>
      </w:pPr>
      <w:r>
        <w:t xml:space="preserve">The economic logic that makes that thesis plausible runs through three observations. First, regulatory stringency is costly for domestic operators, in compliance overhead, in time-to-license, and in the suppression of marginally viable missions; states that impose it must have an offsetting reason to do so</w:t>
      </w:r>
      <w:r>
        <w:t xml:space="preserve"> </w:t>
      </w:r>
      <w:hyperlink w:anchor="ref-9">
        <w:r>
          <w:rPr>
            <w:rStyle w:val="Hyperlink"/>
          </w:rPr>
          <w:t xml:space="preserve">[9]</w:t>
        </w:r>
      </w:hyperlink>
      <w:r>
        <w:t xml:space="preserve">. Second, the international market for launch is contestable in the sense that customers can shift demand across jurisdictions, so a unilateral tightening by a disadvantaged state would accelerate that shift and carries a cost that a tightening by an advantaged state does not</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Third, the political economy of regulation rewards visible action in periods of public salience, and the post-2020 cadence environment has raised public salience around safety, debris, and airspace coordination</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 Combine the three and a state’s incentive to tighten rises with its share, because the cost of tightening falls and the political return rises together.</w:t>
      </w:r>
    </w:p>
    <w:p>
      <w:pPr>
        <w:pStyle w:val="BodyText"/>
        <w:spacing w:line="480" w:lineRule="auto"/>
        <w:ind w:firstLine="720"/>
      </w:pPr>
      <w:r>
        <w:t xml:space="preserve">This is not a deterministic claim. It is a directional one: holding fixed the country-specific institutional traditions that govern how regulation is made and the global shocks that move all states together, within-country variation in market share should be associated with same-direction variation in stringency. The remainder of the framework develops the causal mechanism that turns this directional claim into a coefficient that can be signed.</w:t>
      </w:r>
    </w:p>
    <w:bookmarkEnd w:id="76"/>
    <w:bookmarkStart w:id="77" w:name="the-causal-mechanism"/>
    <w:p>
      <w:pPr>
        <w:pStyle w:val="Heading2"/>
        <w:spacing w:line="480" w:lineRule="auto"/>
      </w:pPr>
      <w:r>
        <w:t xml:space="preserve">3.3 The Causal Mechanism</w:t>
      </w:r>
    </w:p>
    <w:p>
      <w:pPr>
        <w:pStyle w:val="FirstParagraph"/>
        <w:spacing w:line="480" w:lineRule="auto"/>
      </w:pPr>
      <w:r>
        <w:t xml:space="preserve">The mechanism is decision-theoretic and unfolds in four steps. The unit of analysis is a launch-host state in a given year. The actors are the national regulator, the domestic launch providers, the international customer base, and the diplomatic apparatus that mediates the state’s posture in multilateral forums. The framework treats the regulator as a strategic agent whose payoff combines a public-interest component, comprising safety, sustainability, and treaty compliance, with a competitiveness component reflecting the international position of the domestic industry. The mechanism specifies how lagged market share enters that payoff.</w:t>
      </w:r>
    </w:p>
    <w:p>
      <w:pPr>
        <w:pStyle w:val="BodyText"/>
        <w:spacing w:line="480" w:lineRule="auto"/>
        <w:ind w:firstLine="720"/>
      </w:pPr>
      <w:r>
        <w:t xml:space="preserve">The first step is observation. At the start of a regulatory cycle the regulator observes the prior year’s distribution of launch-market share across jurisdictions. Share is constructed from the licensed-launch records administered by national authorities and registered in the treaty-mandated public registry, both of which are published with a lag of months rather than years and are therefore visible to the regulator before the current year’s rulemaking concludes. Lagging market share by one year both reflects this observational reality and addresses the simultaneity that would otherwise contaminate a contemporaneous regression.</w:t>
      </w:r>
    </w:p>
    <w:p>
      <w:pPr>
        <w:pStyle w:val="BodyText"/>
        <w:spacing w:line="480" w:lineRule="auto"/>
        <w:ind w:firstLine="720"/>
      </w:pPr>
      <w:r>
        <w:t xml:space="preserve">The second step is interpretation. The regulator interprets share through the whole-of-nation lens documented in the practitioner literature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reading high share as evidence that the domestic industrial base has matured to a point where the competitiveness component of the payoff is well served by tightening, and reading low share as evidence that the base remains fragile and that the competitiveness component is better served by restraint. The interpretation is not naive optimism that high share guarantees durability; it is a recognition that the cost of stringency falls on a stronger base than on a weaker one. The forecasting literature on global launch traffic</w:t>
      </w:r>
      <w:r>
        <w:t xml:space="preserve"> </w:t>
      </w:r>
      <w:hyperlink w:anchor="ref-34">
        <w:r>
          <w:rPr>
            <w:rStyle w:val="Hyperlink"/>
          </w:rPr>
          <w:t xml:space="preserve">[34]</w:t>
        </w:r>
      </w:hyperlink>
      <w:r>
        <w:t xml:space="preserve"> </w:t>
      </w:r>
      <w:r>
        <w:t xml:space="preserve">and the framing literature on space-economy risk landscapes</w:t>
      </w:r>
      <w:r>
        <w:t xml:space="preserve"> </w:t>
      </w:r>
      <w:hyperlink w:anchor="ref-36">
        <w:r>
          <w:rPr>
            <w:rStyle w:val="Hyperlink"/>
          </w:rPr>
          <w:t xml:space="preserve">[36]</w:t>
        </w:r>
      </w:hyperlink>
      <w:r>
        <w:t xml:space="preserve"> </w:t>
      </w:r>
      <w:r>
        <w:t xml:space="preserve">supply the analytic apparatus through which regulators read trend and durability from share series; neither paper is in the regulator’s hands, but both describe the kind of inference that regulators in fact perform when they look at multi-year cadence data.</w:t>
      </w:r>
    </w:p>
    <w:p>
      <w:pPr>
        <w:pStyle w:val="BodyText"/>
        <w:spacing w:line="480" w:lineRule="auto"/>
        <w:ind w:firstLine="720"/>
      </w:pPr>
      <w:r>
        <w:t xml:space="preserve">The third step is calibration. Stringency is not a binary lever but a multi-dimensional bundle of licensing thresholds, safety-case requirements, indemnity ceilings, debris-mitigation specifications, and supervision burdens. The literature on continuing supervision of commercial space activity catalogues the dimensions on which calibration occurs and identifies the analytic burden that supervision imposes on regulators</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27">
        <w:r>
          <w:rPr>
            <w:rStyle w:val="Hyperlink"/>
          </w:rPr>
          <w:t xml:space="preserve">[27]</w:t>
        </w:r>
      </w:hyperlink>
      <w:r>
        <w:t xml:space="preserve">. A state calibrating upward in response to high share does not necessarily tighten every dimension at once; the framework predicts a positive shift in a stringency index that aggregates these dimensions, with the within-country variance distributed across the dimensions in patterns shaped by national institutional history. The decision-support apparatus for in-space servicing supervision is one of several institutional channels through which calibration occurs</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and the space-traffic-management coordination literature documents another</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w:t>
      </w:r>
      <w:r>
        <w:t xml:space="preserve"> </w:t>
      </w:r>
      <w:hyperlink w:anchor="ref-24">
        <w:r>
          <w:rPr>
            <w:rStyle w:val="Hyperlink"/>
          </w:rPr>
          <w:t xml:space="preserve">[24]</w:t>
        </w:r>
      </w:hyperlink>
      <w:r>
        <w:t xml:space="preserve">,</w:t>
      </w:r>
      <w:r>
        <w:t xml:space="preserve"> </w:t>
      </w:r>
      <w:hyperlink w:anchor="ref-32">
        <w:r>
          <w:rPr>
            <w:rStyle w:val="Hyperlink"/>
          </w:rPr>
          <w:t xml:space="preserve">[32]</w:t>
        </w:r>
      </w:hyperlink>
      <w:r>
        <w:t xml:space="preserve">.</w:t>
      </w:r>
    </w:p>
    <w:p>
      <w:pPr>
        <w:pStyle w:val="BodyText"/>
        <w:spacing w:line="480" w:lineRule="auto"/>
        <w:ind w:firstLine="720"/>
      </w:pPr>
      <w:r>
        <w:t xml:space="preserve">The fourth step is propagation. Once the calibrated stringency posture is set, it propagates through licensing decisions during the regulatory year and is observed in the licensing instruments and supervision burdens that the stringency index encodes. The propagation lag from posture to observed instrument is short relative to the annual unit of analysis, so the contemporaneous stringency observation in year t reflects the posture set in response to share observed at the close of year t-1. This timing is what permits the lagged-share, contemporaneous-stringency specification that Chapter 4 will estimate.</w:t>
      </w:r>
    </w:p>
    <w:p>
      <w:pPr>
        <w:pStyle w:val="BodyText"/>
        <w:spacing w:line="480" w:lineRule="auto"/>
        <w:ind w:firstLine="720"/>
      </w:pPr>
      <w:r>
        <w:t xml:space="preserve">The mechanism implies, but does not require, two ancillary patterns that the empirical chapters can probe. First, the response should be stronger for states whose providers are exposed to international customers than for states whose providers serve almost exclusively domestic government demand, because the competitiveness component of the regulator’s payoff is more sharply defined where international contestability is real</w:t>
      </w:r>
      <w:r>
        <w:t xml:space="preserve"> </w:t>
      </w:r>
      <w:hyperlink w:anchor="ref-11">
        <w:r>
          <w:rPr>
            <w:rStyle w:val="Hyperlink"/>
          </w:rPr>
          <w:t xml:space="preserve">[11]</w:t>
        </w:r>
      </w:hyperlink>
      <w:r>
        <w:t xml:space="preserve">,</w:t>
      </w:r>
      <w:r>
        <w:t xml:space="preserve"> </w:t>
      </w:r>
      <w:hyperlink w:anchor="ref-14">
        <w:r>
          <w:rPr>
            <w:rStyle w:val="Hyperlink"/>
          </w:rPr>
          <w:t xml:space="preserve">[14]</w:t>
        </w:r>
      </w:hyperlink>
      <w:r>
        <w:t xml:space="preserve">. Second, the response should be modulated by the public-salience environment, with periods of elevated salience around debris, safety, or treaty compliance amplifying the share-to-stringency translation</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w:t>
      </w:r>
      <w:r>
        <w:t xml:space="preserve"> </w:t>
      </w:r>
      <w:hyperlink w:anchor="ref-33">
        <w:r>
          <w:rPr>
            <w:rStyle w:val="Hyperlink"/>
          </w:rPr>
          <w:t xml:space="preserve">[33]</w:t>
        </w:r>
      </w:hyperlink>
      <w:r>
        <w:t xml:space="preserve">. Neither pattern is the dissertation’s central claim, and neither is required for H1 to be supported; both are listed here so that the framework’s full empirical content is on the record.</w:t>
      </w:r>
    </w:p>
    <w:bookmarkEnd w:id="77"/>
    <w:bookmarkStart w:id="78" w:name="countervailing-logics-and-discrimination"/>
    <w:p>
      <w:pPr>
        <w:pStyle w:val="Heading2"/>
        <w:spacing w:line="480" w:lineRule="auto"/>
      </w:pPr>
      <w:r>
        <w:t xml:space="preserve">3.4 Countervailing Logics and Discrimination</w:t>
      </w:r>
    </w:p>
    <w:p>
      <w:pPr>
        <w:pStyle w:val="FirstParagraph"/>
        <w:spacing w:line="480" w:lineRule="auto"/>
      </w:pPr>
      <w:r>
        <w:t xml:space="preserve">A theoretical framework that supports only its preferred sign is uninteresting. The framework above predicts a positive within-country coefficient on lagged share, but two coherent accounts predict the opposite, and a third predicts zero. Each must be stated cleanly so the panel design can be seen to discriminate among them.</w:t>
      </w:r>
    </w:p>
    <w:p>
      <w:pPr>
        <w:pStyle w:val="BodyText"/>
        <w:spacing w:line="480" w:lineRule="auto"/>
        <w:ind w:firstLine="720"/>
      </w:pPr>
      <w:r>
        <w:t xml:space="preserve">The first countervailing account is liberalization-for-defense. In this account, a state with leading share recognizes that its position is contestable and that international customers can shift to lower-cost jurisdictions, and it responds by shedding stringency rather than adding to it</w:t>
      </w:r>
      <w:r>
        <w:t xml:space="preserve"> </w:t>
      </w:r>
      <w:hyperlink w:anchor="ref-3">
        <w:r>
          <w:rPr>
            <w:rStyle w:val="Hyperlink"/>
          </w:rPr>
          <w:t xml:space="preserve">[3]</w:t>
        </w:r>
      </w:hyperlink>
      <w:r>
        <w:t xml:space="preserve">. The roadmap framing of latitude-based launch efficiency as a tradeable commodity is the clearest articulation of this logic in the corpus, since a state that already has geographic and industrial advantage adds a permissive licensing posture to compound the advantage rather than dilute it</w:t>
      </w:r>
      <w:r>
        <w:t xml:space="preserve"> </w:t>
      </w:r>
      <w:hyperlink w:anchor="ref-3">
        <w:r>
          <w:rPr>
            <w:rStyle w:val="Hyperlink"/>
          </w:rPr>
          <w:t xml:space="preserve">[3]</w:t>
        </w:r>
      </w:hyperlink>
      <w:r>
        <w:t xml:space="preserve">. If liberalization-for-defense is the dominant mechanism, the within-country coefficient on lagged share is negative rather than positive.</w:t>
      </w:r>
    </w:p>
    <w:p>
      <w:pPr>
        <w:pStyle w:val="BodyText"/>
        <w:spacing w:line="480" w:lineRule="auto"/>
        <w:ind w:firstLine="720"/>
      </w:pPr>
      <w:r>
        <w:t xml:space="preserve">The second countervailing account is regulatory competition in the race-to-the-bottom sense, in which states broadly adjust their rules in response to the rules of their competitors rather than to their own share, producing a co-movement of stringency across states that has little to do with any one state’s position</w:t>
      </w:r>
      <w:r>
        <w:t xml:space="preserve"> </w:t>
      </w:r>
      <w:hyperlink w:anchor="ref-30">
        <w:r>
          <w:rPr>
            <w:rStyle w:val="Hyperlink"/>
          </w:rPr>
          <w:t xml:space="preserve">[30]</w:t>
        </w:r>
      </w:hyperlink>
      <w:r>
        <w:t xml:space="preserve">. The Acta Astronautica analysis of developing regulatory competitions in the new commercial space environment is the canonical statement of this logic</w:t>
      </w:r>
      <w:r>
        <w:t xml:space="preserve"> </w:t>
      </w:r>
      <w:hyperlink w:anchor="ref-30">
        <w:r>
          <w:rPr>
            <w:rStyle w:val="Hyperlink"/>
          </w:rPr>
          <w:t xml:space="preserve">[30]</w:t>
        </w:r>
      </w:hyperlink>
      <w:r>
        <w:t xml:space="preserve">. If regulatory competition in this sense dominates, the within-country coefficient on share is zero or close to it, with the action instead in cross-state spillovers that the country and year fixed effects of the present design absorb into the time effect.</w:t>
      </w:r>
    </w:p>
    <w:p>
      <w:pPr>
        <w:pStyle w:val="BodyText"/>
        <w:spacing w:line="480" w:lineRule="auto"/>
        <w:ind w:firstLine="720"/>
      </w:pPr>
      <w:r>
        <w:t xml:space="preserve">The third countervailing account is administrative production, in which state-funded programs sustain cadence and produce share through direct funding rather than through any market mechanism, so share is exogenous to commercial regulatory posture and the coefficient is zero by construction in the affected cases</w:t>
      </w:r>
      <w:r>
        <w:t xml:space="preserve"> </w:t>
      </w:r>
      <w:hyperlink w:anchor="ref-12">
        <w:r>
          <w:rPr>
            <w:rStyle w:val="Hyperlink"/>
          </w:rPr>
          <w:t xml:space="preserve">[12]</w:t>
        </w:r>
      </w:hyperlink>
      <w:r>
        <w:t xml:space="preserve">. This account is most plausible in the historic monopoly programs of China and Russia and is precisely the confound that the companion paper on regulatory-stringency and launch activity identified as the structural reason raw stringency is not a clean proxy for market vitality in cross-section. The panel design responds to this account by working in within-country variation rather than across the cross-section, and by instrumenting share with geographic and demand shifters whose variation in administrative-production cases is dominated by the commercial component of the system.</w:t>
      </w:r>
    </w:p>
    <w:p>
      <w:pPr>
        <w:pStyle w:val="BodyText"/>
        <w:spacing w:line="480" w:lineRule="auto"/>
        <w:ind w:firstLine="720"/>
      </w:pPr>
      <w:r>
        <w:t xml:space="preserve">These three accounts are not mutually exclusive. The present framework’s claim is the conditional one that, holding country and year fixed effects constant and instrumenting share with exogenous shifters, the within-country share-to-stringency translation is positive. A negative coefficient supports liberalization-for-defense, a zero coefficient supports either regulatory competition or administrative production, and a positive coefficient supports the strategic-regulation thesis. The single estimated parameter therefore arbitrates among four distinct theoretical positions, which is the discipline that makes the test informative regardless of which way the data fall.</w:t>
      </w:r>
    </w:p>
    <w:p>
      <w:pPr>
        <w:pStyle w:val="BodyText"/>
        <w:spacing w:line="480" w:lineRule="auto"/>
        <w:ind w:firstLine="720"/>
      </w:pPr>
      <w:r>
        <w:t xml:space="preserve">A further refinement deserves mention. The citizen-expectations literature documents that public preferences over space activity have shifted in directions that increase the political return to visible regulatory action</w:t>
      </w:r>
      <w:r>
        <w:t xml:space="preserve"> </w:t>
      </w:r>
      <w:hyperlink w:anchor="ref-29">
        <w:r>
          <w:rPr>
            <w:rStyle w:val="Hyperlink"/>
          </w:rPr>
          <w:t xml:space="preserve">[29]</w:t>
        </w:r>
      </w:hyperlink>
      <w:r>
        <w:t xml:space="preserve">, and the multi-stakeholder incentive-mechanism literature shows that incentive-based instruments are increasingly available to regulators as alternatives to pure command-and-control</w:t>
      </w:r>
      <w:r>
        <w:t xml:space="preserve"> </w:t>
      </w:r>
      <w:hyperlink w:anchor="ref-33">
        <w:r>
          <w:rPr>
            <w:rStyle w:val="Hyperlink"/>
          </w:rPr>
          <w:t xml:space="preserve">[33]</w:t>
        </w:r>
      </w:hyperlink>
      <w:r>
        <w:t xml:space="preserve">. Neither paper changes the sign of the framework’s prediction, but both reinforce that the political-return channel through which share translates into stringency is a live one in the period under study, and the cadence-and-supervision literature on near-term space-traffic operations is the institutional setting in which that translation actually occurs</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w:t>
      </w:r>
      <w:r>
        <w:t xml:space="preserve"> </w:t>
      </w:r>
      <w:hyperlink w:anchor="ref-24">
        <w:r>
          <w:rPr>
            <w:rStyle w:val="Hyperlink"/>
          </w:rPr>
          <w:t xml:space="preserve">[24]</w:t>
        </w:r>
      </w:hyperlink>
      <w:r>
        <w:t xml:space="preserve">,</w:t>
      </w:r>
      <w:r>
        <w:t xml:space="preserve"> </w:t>
      </w:r>
      <w:hyperlink w:anchor="ref-27">
        <w:r>
          <w:rPr>
            <w:rStyle w:val="Hyperlink"/>
          </w:rPr>
          <w:t xml:space="preserve">[27]</w:t>
        </w:r>
      </w:hyperlink>
      <w:r>
        <w:t xml:space="preserve">,</w:t>
      </w:r>
      <w:r>
        <w:t xml:space="preserve"> </w:t>
      </w:r>
      <w:hyperlink w:anchor="ref-32">
        <w:r>
          <w:rPr>
            <w:rStyle w:val="Hyperlink"/>
          </w:rPr>
          <w:t xml:space="preserve">[32]</w:t>
        </w:r>
      </w:hyperlink>
      <w:r>
        <w:t xml:space="preserve">.</w:t>
      </w:r>
    </w:p>
    <w:bookmarkEnd w:id="78"/>
    <w:bookmarkStart w:id="79" w:name="formal-hypotheses"/>
    <w:p>
      <w:pPr>
        <w:pStyle w:val="Heading2"/>
        <w:spacing w:line="480" w:lineRule="auto"/>
      </w:pPr>
      <w:r>
        <w:t xml:space="preserve">3.5 Formal Hypotheses</w:t>
      </w:r>
    </w:p>
    <w:p>
      <w:pPr>
        <w:pStyle w:val="FirstParagraph"/>
        <w:spacing w:line="480" w:lineRule="auto"/>
      </w:pPr>
      <w:r>
        <w:t xml:space="preserve">The framework yields one estimable parameter and a single substantive contribution: the sign and magnitude of the within-country coefficient on lagged market share in a stringency equation that conditions on country and year fixed effects. The estimating equation, which Chapter 4 develops in full, takes regulatory stringency in country i in year t as a function of country i’s lagged international launch-market share, a country fixed effect absorbing time-invariant national legal traditions and institutional histories, a year fixed effect absorbing global shocks common across states, and a residual term clustered by country. The single coefficient of interest is the slope on lagged share. The hypotheses are stated in terms of that coefficient.</w:t>
      </w:r>
    </w:p>
    <w:p>
      <w:pPr>
        <w:pStyle w:val="BodyText"/>
        <w:spacing w:line="480" w:lineRule="auto"/>
        <w:ind w:firstLine="720"/>
      </w:pPr>
      <w:r>
        <w:rPr>
          <w:b/>
          <w:bCs/>
        </w:rPr>
        <w:t xml:space="preserve">H0 (null).</w:t>
      </w:r>
      <w:r>
        <w:t xml:space="preserve"> </w:t>
      </w:r>
      <w:r>
        <w:t xml:space="preserve">Within a launch-host state, regulatory stringency imposed on domestic launch operators is statistically independent of that state’s lagged share of the international launch market, conditional on country and year fixed effects. The coefficient on lagged market share in the stringency equation is zero.</w:t>
      </w:r>
    </w:p>
    <w:p>
      <w:pPr>
        <w:pStyle w:val="BodyText"/>
        <w:spacing w:line="480" w:lineRule="auto"/>
        <w:ind w:firstLine="720"/>
      </w:pPr>
      <w:r>
        <w:rPr>
          <w:b/>
          <w:bCs/>
        </w:rPr>
        <w:t xml:space="preserve">H1 (alternative).</w:t>
      </w:r>
      <w:r>
        <w:t xml:space="preserve"> </w:t>
      </w:r>
      <w:r>
        <w:t xml:space="preserve">Within a launch-host state, regulatory stringency increases with lagged international launch-market share; states whose providers hold durable share tighten oversight, while states facing competitive disadvantage relax it. The coefficient on lagged market share is positive and statistically distinguishable from zero.</w:t>
      </w:r>
    </w:p>
    <w:p>
      <w:pPr>
        <w:pStyle w:val="BodyText"/>
        <w:spacing w:line="480" w:lineRule="auto"/>
        <w:ind w:firstLine="720"/>
      </w:pPr>
      <w:r>
        <w:t xml:space="preserve">The sign convention deserves emphasis. The framework’s directional claim is that the within-country coefficient is positive, meaning that an increase in lagged share for a given country is associated with an increase in stringency for that same country in the following year. A test that returns a positive and statistically significant coefficient rejects the null and supports the strategic-regulation thesis. A test that returns a coefficient indistinguishable from zero fails to reject the null and refutes the directional content of the strategic-regulation thesis, since that thesis is committed to a non-zero response. A test that returns a negative and statistically significant coefficient also rejects the null but in the direction of the liberalization-for-defense account</w:t>
      </w:r>
      <w:r>
        <w:t xml:space="preserve"> </w:t>
      </w:r>
      <w:hyperlink w:anchor="ref-3">
        <w:r>
          <w:rPr>
            <w:rStyle w:val="Hyperlink"/>
          </w:rPr>
          <w:t xml:space="preserve">[3]</w:t>
        </w:r>
      </w:hyperlink>
      <w:r>
        <w:t xml:space="preserve"> </w:t>
      </w:r>
      <w:r>
        <w:t xml:space="preserve">rather than the strategic-regulation account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Each of these three outcomes is informative, which is the property that makes the design falsifiable in both directions.</w:t>
      </w:r>
    </w:p>
    <w:p>
      <w:pPr>
        <w:pStyle w:val="BodyText"/>
        <w:spacing w:line="480" w:lineRule="auto"/>
        <w:ind w:firstLine="720"/>
      </w:pPr>
      <w:r>
        <w:t xml:space="preserve">The single coefficient also bears the dissertation’s contribution. The conceptual literature has supplied the framework, the practitioner literature has supplied the claim, and the regulatory-design literature has supplied the institutional setting. What is absent is the parameter. The dissertation supplies it. The estimate is intended to be quoted, replicated, and contested; the framework is built so that quoting the estimate is unambiguous, replicating it is mechanical, and contesting it requires either a richer specification or a different identification strategy rather than a different reading of the prose.</w:t>
      </w:r>
    </w:p>
    <w:p>
      <w:pPr>
        <w:pStyle w:val="BodyText"/>
        <w:spacing w:line="480" w:lineRule="auto"/>
        <w:ind w:firstLine="720"/>
      </w:pPr>
      <w:r>
        <w:t xml:space="preserve">Two ancillary tests will be reported alongside the central coefficient but do not constitute additional hypotheses. The first is a placebo specification on a contemporaneous rather than lagged share regressor, which probes whether any contemporaneous association reflects mechanical simultaneity rather than the lagged decision-theoretic mechanism the framework specifies. The second is an instrumental specification in which lagged share is instrumented with the interaction of latitude-based geographic launch advantage</w:t>
      </w:r>
      <w:r>
        <w:t xml:space="preserve"> </w:t>
      </w:r>
      <w:hyperlink w:anchor="ref-3">
        <w:r>
          <w:rPr>
            <w:rStyle w:val="Hyperlink"/>
          </w:rPr>
          <w:t xml:space="preserve">[3]</w:t>
        </w:r>
      </w:hyperlink>
      <w:r>
        <w:t xml:space="preserve"> </w:t>
      </w:r>
      <w:r>
        <w:t xml:space="preserve">and global launch demand</w:t>
      </w:r>
      <w:r>
        <w:t xml:space="preserve"> </w:t>
      </w:r>
      <w:hyperlink w:anchor="ref-8">
        <w:r>
          <w:rPr>
            <w:rStyle w:val="Hyperlink"/>
          </w:rPr>
          <w:t xml:space="preserve">[8]</w:t>
        </w:r>
      </w:hyperlink>
      <w:r>
        <w:t xml:space="preserve">, probing whether the OLS coefficient survives an exogenous-shifter strategy that disposes of residual endogeneity from omitted national policy variables. Neither ancillary test redefines H0 or H1; both stress-test the central coefficient.</w:t>
      </w:r>
    </w:p>
    <w:bookmarkEnd w:id="79"/>
    <w:bookmarkStart w:id="80" w:name="scope-conditions"/>
    <w:p>
      <w:pPr>
        <w:pStyle w:val="Heading2"/>
        <w:spacing w:line="480" w:lineRule="auto"/>
      </w:pPr>
      <w:r>
        <w:t xml:space="preserve">3.6 Scope Conditions</w:t>
      </w:r>
    </w:p>
    <w:p>
      <w:pPr>
        <w:pStyle w:val="FirstParagraph"/>
        <w:spacing w:line="480" w:lineRule="auto"/>
      </w:pPr>
      <w:r>
        <w:t xml:space="preserve">The framework is intended to hold under three scope conditions. The first is the contestability condition: the panel covers an era in which international launch demand is genuinely mobile across jurisdictions, so that a state’s licensing posture has empirical purchase on the realized share of its providers. The cost-reduction literature</w:t>
      </w:r>
      <w:r>
        <w:t xml:space="preserve"> </w:t>
      </w:r>
      <w:hyperlink w:anchor="ref-19">
        <w:r>
          <w:rPr>
            <w:rStyle w:val="Hyperlink"/>
          </w:rPr>
          <w:t xml:space="preserve">[19]</w:t>
        </w:r>
      </w:hyperlink>
      <w:r>
        <w:t xml:space="preserve"> </w:t>
      </w:r>
      <w:r>
        <w:t xml:space="preserve">and the cadence-trajectory literature</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w:t>
      </w:r>
      <w:r>
        <w:t xml:space="preserve"> </w:t>
      </w:r>
      <w:hyperlink w:anchor="ref-10">
        <w:r>
          <w:rPr>
            <w:rStyle w:val="Hyperlink"/>
          </w:rPr>
          <w:t xml:space="preserve">[10]</w:t>
        </w:r>
      </w:hyperlink>
      <w:r>
        <w:t xml:space="preserve"> </w:t>
      </w:r>
      <w:r>
        <w:t xml:space="preserve">establish that this condition is satisfied for the period 2016 through 2024 covered by the panel, but it is unlikely to have been satisfied for the pre-commercial era and may be reshaped by future architectures such as the LEO economy as it matures</w:t>
      </w:r>
      <w:r>
        <w:t xml:space="preserve"> </w:t>
      </w:r>
      <w:hyperlink w:anchor="ref-17">
        <w:r>
          <w:rPr>
            <w:rStyle w:val="Hyperlink"/>
          </w:rPr>
          <w:t xml:space="preserve">[17]</w:t>
        </w:r>
      </w:hyperlink>
      <w:r>
        <w:t xml:space="preserve">. The framework’s claims are therefore scoped to the commercial-cadence-growth period.</w:t>
      </w:r>
    </w:p>
    <w:p>
      <w:pPr>
        <w:pStyle w:val="BodyText"/>
        <w:spacing w:line="480" w:lineRule="auto"/>
        <w:ind w:firstLine="720"/>
      </w:pPr>
      <w:r>
        <w:t xml:space="preserve">The second is the supervision-burden condition: the framework assumes that the regulator faces a non-trivial supervision burden on which calibration is meaningful, so that within-country variation in stringency is real rather than nominal. The decision-support literature on continuing supervision of in-space activity establishes that this condition is satisfied across the major launch-host states</w:t>
      </w:r>
      <w:r>
        <w:t xml:space="preserve"> </w:t>
      </w:r>
      <w:hyperlink w:anchor="ref-7">
        <w:r>
          <w:rPr>
            <w:rStyle w:val="Hyperlink"/>
          </w:rPr>
          <w:t xml:space="preserve">[7]</w:t>
        </w:r>
      </w:hyperlink>
      <w:r>
        <w:t xml:space="preserve">,</w:t>
      </w:r>
      <w:r>
        <w:t xml:space="preserve"> </w:t>
      </w:r>
      <w:hyperlink w:anchor="ref-9">
        <w:r>
          <w:rPr>
            <w:rStyle w:val="Hyperlink"/>
          </w:rPr>
          <w:t xml:space="preserve">[9]</w:t>
        </w:r>
      </w:hyperlink>
      <w:r>
        <w:t xml:space="preserve">,</w:t>
      </w:r>
      <w:r>
        <w:t xml:space="preserve"> </w:t>
      </w:r>
      <w:hyperlink w:anchor="ref-27">
        <w:r>
          <w:rPr>
            <w:rStyle w:val="Hyperlink"/>
          </w:rPr>
          <w:t xml:space="preserve">[27]</w:t>
        </w:r>
      </w:hyperlink>
      <w:r>
        <w:t xml:space="preserve">, and the traffic-management coordination literature confirms that the institutional apparatus through which stringency is exercised is operationally active across the period</w:t>
      </w:r>
      <w:r>
        <w:t xml:space="preserve"> </w:t>
      </w:r>
      <w:hyperlink w:anchor="ref-2">
        <w:r>
          <w:rPr>
            <w:rStyle w:val="Hyperlink"/>
          </w:rPr>
          <w:t xml:space="preserve">[2]</w:t>
        </w:r>
      </w:hyperlink>
      <w:r>
        <w:t xml:space="preserve">,</w:t>
      </w:r>
      <w:r>
        <w:t xml:space="preserve"> </w:t>
      </w:r>
      <w:hyperlink w:anchor="ref-10">
        <w:r>
          <w:rPr>
            <w:rStyle w:val="Hyperlink"/>
          </w:rPr>
          <w:t xml:space="preserve">[10]</w:t>
        </w:r>
      </w:hyperlink>
      <w:r>
        <w:t xml:space="preserve">,</w:t>
      </w:r>
      <w:r>
        <w:t xml:space="preserve"> </w:t>
      </w:r>
      <w:hyperlink w:anchor="ref-24">
        <w:r>
          <w:rPr>
            <w:rStyle w:val="Hyperlink"/>
          </w:rPr>
          <w:t xml:space="preserve">[24]</w:t>
        </w:r>
      </w:hyperlink>
      <w:r>
        <w:t xml:space="preserve">,</w:t>
      </w:r>
      <w:r>
        <w:t xml:space="preserve"> </w:t>
      </w:r>
      <w:hyperlink w:anchor="ref-32">
        <w:r>
          <w:rPr>
            <w:rStyle w:val="Hyperlink"/>
          </w:rPr>
          <w:t xml:space="preserve">[32]</w:t>
        </w:r>
      </w:hyperlink>
      <w:r>
        <w:t xml:space="preserve">.</w:t>
      </w:r>
    </w:p>
    <w:p>
      <w:pPr>
        <w:pStyle w:val="BodyText"/>
        <w:spacing w:line="480" w:lineRule="auto"/>
        <w:ind w:firstLine="720"/>
      </w:pPr>
      <w:r>
        <w:t xml:space="preserve">The third is the international-customer condition: the framework’s mechanism is sharpest for states whose providers are exposed to international rather than purely domestic demand. The framework remains directionally correct in administrative-production cases under the within-country, instrumented design, but the magnitude of the share-to-stringency coefficient should be expected to be smaller in such cases, and the empirical chapters will report whether the central coefficient is driven by, or robust to the exclusion of, those cases. This is a scope condition rather than a prediction, and it will be revisited in the discussion of external validity.</w:t>
      </w:r>
    </w:p>
    <w:p>
      <w:pPr>
        <w:pStyle w:val="BodyText"/>
        <w:spacing w:line="480" w:lineRule="auto"/>
        <w:ind w:firstLine="720"/>
      </w:pPr>
      <w:r>
        <w:t xml:space="preserve">Within these three scope conditions the framework yields a single estimable parameter, a clean sign convention on that parameter, and a refutation criterion that makes both a null result and a negative result informative. Chapter 4 turns to data and method; Chapter 5 to identification and estimation; Chapter 6 to results. The framework’s burden in the present chapter has been to make those subsequent chapters answer a question whose answer is interpretable as a contribution irrespective of which direction the data ultimately go.</w:t>
      </w:r>
    </w:p>
    <w:bookmarkEnd w:id="80"/>
    <w:bookmarkEnd w:id="81"/>
    <w:bookmarkStart w:id="99" w:name="chapter-4.-data-and-measurement"/>
    <w:p>
      <w:pPr>
        <w:pStyle w:val="Heading1"/>
        <w:spacing w:line="480" w:lineRule="auto"/>
      </w:pPr>
      <w:r>
        <w:t xml:space="preserve">Chapter 4. Data and Measurement</w:t>
      </w:r>
    </w:p>
    <w:bookmarkStart w:id="82" w:name="overview-and-chapter-plan"/>
    <w:p>
      <w:pPr>
        <w:pStyle w:val="Heading2"/>
        <w:spacing w:line="480" w:lineRule="auto"/>
      </w:pPr>
      <w:r>
        <w:t xml:space="preserve">4.1 Overview and Chapter Plan</w:t>
      </w:r>
    </w:p>
    <w:p>
      <w:pPr>
        <w:pStyle w:val="FirstParagraph"/>
        <w:spacing w:line="480" w:lineRule="auto"/>
      </w:pPr>
      <w:r>
        <w:t xml:space="preserve">The empirical claims of this dissertation rest on two purpose-built datasets, each constructed from public primary records and each designed to answer a question that the other cannot. The country-year panel underlying Paper 1 is built to expose the relationship between regulatory posture and national launch activity in a setting where the cross-national variation in regulatory regimes is large and the within-nation variation over the nine-year window is small. The vehicle-level cross-section underlying Paper 2 is built to test whether flight heritage, taken across the international fleet, orders per-kilogram price in the way that the contemporary competitiveness literature assumes</w:t>
      </w:r>
      <w:r>
        <w:t xml:space="preserve"> </w:t>
      </w:r>
      <w:hyperlink w:anchor="ref-5">
        <w:r>
          <w:rPr>
            <w:rStyle w:val="Hyperlink"/>
          </w:rPr>
          <w:t xml:space="preserve">[5]</w:t>
        </w:r>
      </w:hyperlink>
      <w:r>
        <w:t xml:space="preserve">,</w:t>
      </w:r>
      <w:r>
        <w:t xml:space="preserve"> </w:t>
      </w:r>
      <w:hyperlink w:anchor="ref-6">
        <w:r>
          <w:rPr>
            <w:rStyle w:val="Hyperlink"/>
          </w:rPr>
          <w:t xml:space="preserve">[6]</w:t>
        </w:r>
      </w:hyperlink>
      <w:r>
        <w:t xml:space="preserve">. Both datasets are assembled from sources that are public, citable, and obtainable without proprietary access, and each row of each dataset carries its own provenance citation in a dedicated source column so that no observation can be traced back to a single undocumented assertion.</w:t>
      </w:r>
    </w:p>
    <w:p>
      <w:pPr>
        <w:pStyle w:val="BodyText"/>
        <w:spacing w:line="480" w:lineRule="auto"/>
        <w:ind w:firstLine="720"/>
      </w:pPr>
      <w:r>
        <w:t xml:space="preserve">This chapter takes the variables one at a time. Section 4.2 fixes the unit of analysis for each paper and explains why the units differ. Section 4.3 documents the country-year panel: the five-nation, nine-year scope, the construction of the launch-count outcome from per-country catalogued records, the ordinal coding of the regulatory-stringency index against the primary national instruments and their independent legal descriptions</w:t>
      </w:r>
      <w:r>
        <w:t xml:space="preserve"> </w:t>
      </w:r>
      <w:hyperlink w:anchor="ref-13">
        <w:r>
          <w:rPr>
            <w:rStyle w:val="Hyperlink"/>
          </w:rPr>
          <w:t xml:space="preserve">[13]</w:t>
        </w:r>
      </w:hyperlink>
      <w:r>
        <w:t xml:space="preserve">, the GDP scale control, the post-2020 era indicator, and the private-share commercial-participation proxy. Section 4.4 documents the twenty-vehicle cross-section: the construction of cumulative successful-flight counts from per-vehicle operator and national-agency records, the price-per-kilogram-to-LEO variable assembled from published 2026 pricing and the NASA technical record of recent launch-cost reduction</w:t>
      </w:r>
      <w:r>
        <w:t xml:space="preserve"> </w:t>
      </w:r>
      <w:hyperlink w:anchor="ref-19">
        <w:r>
          <w:rPr>
            <w:rStyle w:val="Hyperlink"/>
          </w:rPr>
          <w:t xml:space="preserve">[19]</w:t>
        </w:r>
      </w:hyperlink>
      <w:r>
        <w:t xml:space="preserve">, the LEO payload capacity covariate, and the explicit handling of the small minority of derived price cells. Section 4.5 audits measurement-error sources, illustrative cells, and the cross-walk between the two datasets. Section 4.6 closes with the operational protocols by which the data will be refreshed for the panel extensions reported in later chapters, anchored to the FAA Office of Commercial Space Transportation licensed-launch record and the United Nations Office for Outer Space Affairs Online Index of Objects Launched into Outer Space.</w:t>
      </w:r>
    </w:p>
    <w:p>
      <w:pPr>
        <w:pStyle w:val="BodyText"/>
        <w:spacing w:line="480" w:lineRule="auto"/>
        <w:ind w:firstLine="720"/>
      </w:pPr>
      <w:r>
        <w:t xml:space="preserve">Three commitments govern the chapter. First, every numeric quantity reproduced here comes from a record the reader can recover; no figure is rounded into the text without its source. Second, illustrative cells, that is, cells derived from a documented quantity rather than directly quoted from a primary record, are flagged in the dataset and named here so that no derived value is mistaken for a quotation. Third, the construct of regulatory stringency is treated as a coded variable whose ordinal levels are anchored to legal documents and to the independent regime descriptions of the legal-practice literature</w:t>
      </w:r>
      <w:r>
        <w:t xml:space="preserve"> </w:t>
      </w:r>
      <w:hyperlink w:anchor="ref-13">
        <w:r>
          <w:rPr>
            <w:rStyle w:val="Hyperlink"/>
          </w:rPr>
          <w:t xml:space="preserve">[13]</w:t>
        </w:r>
      </w:hyperlink>
      <w:r>
        <w:t xml:space="preserve">, not as a continuous quantity invented for the regression.</w:t>
      </w:r>
    </w:p>
    <w:bookmarkEnd w:id="82"/>
    <w:bookmarkStart w:id="83" w:name="unit-of-analysis"/>
    <w:p>
      <w:pPr>
        <w:pStyle w:val="Heading2"/>
        <w:spacing w:line="480" w:lineRule="auto"/>
      </w:pPr>
      <w:r>
        <w:t xml:space="preserve">4.2 Unit of Analysis</w:t>
      </w:r>
    </w:p>
    <w:p>
      <w:pPr>
        <w:pStyle w:val="FirstParagraph"/>
        <w:spacing w:line="480" w:lineRule="auto"/>
      </w:pPr>
      <w:r>
        <w:t xml:space="preserve">Paper 1 takes the country-year as its unit. A row is a sovereign launch-host state observed in a calendar year, and the panel comprises forty-five rows formed by five nations across the nine years 2016 through 2024. The country-year is the right unit for the question Paper 1 asks because regulatory stringency is a state-level instrument that changes at most a handful of times within the window, while national launch activity is a state-level outcome reported on an annual cycle. Disaggregating below the country, for instance to the spaceport or the operator, would scatter the regulatory instrument across observations to which it applies uniformly and would inflate the apparent precision of stringency estimates that the underlying legal variation does not warrant.</w:t>
      </w:r>
    </w:p>
    <w:p>
      <w:pPr>
        <w:pStyle w:val="BodyText"/>
        <w:spacing w:line="480" w:lineRule="auto"/>
        <w:ind w:firstLine="720"/>
      </w:pPr>
      <w:r>
        <w:t xml:space="preserve">Paper 2 takes the launch vehicle as its unit. A row is a distinct orbital launch vehicle observed at a single point in 2026, with cumulative successful-flight counts measured against per-vehicle public records and price-per-kilogram measured against published 2026 list prices. The vehicle is the right unit for the question Paper 2 asks because the experience-curve hypothesis is a statement about a unit of production, and a launch vehicle and its close variants form a recurring unit of production whose accumulated flight count is a credible experience proxy. Aggregating to the country would conflate vehicles of radically different scale and maturity within the same launching state and would discard the cross-vehicle variation on which the experience elasticity is identified.</w:t>
      </w:r>
    </w:p>
    <w:p>
      <w:pPr>
        <w:pStyle w:val="BodyText"/>
        <w:spacing w:line="480" w:lineRule="auto"/>
        <w:ind w:firstLine="720"/>
      </w:pPr>
      <w:r>
        <w:t xml:space="preserve">The deliberate dissimilarity of the two units is itself part of the design. Paper 1 averages across the heterogeneity within a state to read a state-level instrument; Paper 2 holds the state aside to read a fleet-level technical regularity. Neither can substitute for the other, and the chapter treats them as complements rather than competitors.</w:t>
      </w:r>
    </w:p>
    <w:bookmarkEnd w:id="83"/>
    <w:bookmarkStart w:id="90" w:name="the-country-year-panel"/>
    <w:p>
      <w:pPr>
        <w:pStyle w:val="Heading2"/>
        <w:spacing w:line="480" w:lineRule="auto"/>
      </w:pPr>
      <w:r>
        <w:t xml:space="preserve">4.3 The Country-Year Panel</w:t>
      </w:r>
    </w:p>
    <w:bookmarkStart w:id="84" w:name="scope-and-frame"/>
    <w:p>
      <w:pPr>
        <w:pStyle w:val="Heading3"/>
        <w:spacing w:line="480" w:lineRule="auto"/>
      </w:pPr>
      <w:r>
        <w:t xml:space="preserve">4.3.1 Scope and Frame</w:t>
      </w:r>
    </w:p>
    <w:p>
      <w:pPr>
        <w:pStyle w:val="FirstParagraph"/>
        <w:spacing w:line="480" w:lineRule="auto"/>
      </w:pPr>
      <w:r>
        <w:t xml:space="preserve">The country-year panel covers the United States, China, Russia, India, and Japan, observed annually from 2016 through 2024 for forty-five country-year observations. These five nations are the launch-host states that sustained a non-trivial annual orbital launch cadence across the full window. The frame is deliberately closed at the launching-state level rather than opened to nominal participants whose orbital cadence is zero or near-zero, because the questions Paper 1 poses, about the relationship between licensing posture and revealed national activity, are not well defined for states whose activity is structurally absent. The nine-year window opens in 2016, before the United States Part 450 streamlined licensing rule of 2020 and India’s IN-SPACe single-window liberalization, and closes in 2024, capturing the full reusable-launch lift in cadence that the corpus documents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t>
      </w:r>
      <w:r>
        <w:t xml:space="preserve">and that the post-2020 indicator is constructed to absorb.</w:t>
      </w:r>
    </w:p>
    <w:bookmarkEnd w:id="84"/>
    <w:bookmarkStart w:id="85" w:name="the-launch-count-outcome"/>
    <w:p>
      <w:pPr>
        <w:pStyle w:val="Heading3"/>
        <w:spacing w:line="480" w:lineRule="auto"/>
      </w:pPr>
      <w:r>
        <w:t xml:space="preserve">4.3.2 The Launch-Count Outcome</w:t>
      </w:r>
    </w:p>
    <w:p>
      <w:pPr>
        <w:pStyle w:val="FirstParagraph"/>
        <w:spacing w:line="480" w:lineRule="auto"/>
      </w:pPr>
      <w:r>
        <w:t xml:space="preserve">The outcome variable is the annual count of orbital launch attempts by a state’s domestic vehicles. The construction draws on the per-country annual tables published by Space Stats Online, which compiles catalogued launch records by launching nation and calendar year. Each row of the dataset carries a citation to its source in a dedicated source column, so the provenance of every annual count is recoverable.</w:t>
      </w:r>
    </w:p>
    <w:p>
      <w:pPr>
        <w:pStyle w:val="BodyText"/>
        <w:spacing w:line="480" w:lineRule="auto"/>
        <w:ind w:firstLine="720"/>
      </w:pPr>
      <w:r>
        <w:t xml:space="preserve">Three construction decisions are stated here and applied uniformly. First, the count is of orbital launch attempts, not successful orbital flights; this preserves the regulatory and operational signal in failed attempts, which a success-only count would discard. Second, the count attributes a launch to the launching state of the vehicle rather than to the host of the launch site, which keeps the variable aligned with the regulatory regime that licenses the vehicle. Third, suborbital and sounding-rocket flights are excluded; the question is about orbital licensing regimes and the cadence they govern, and including suborbital flights would mix two distinct regulatory categories. The validation cross-check uses the United Nations Office for Outer Space Affairs Online Index of Objects Launched into Outer Space, the treaty-mandated public registry that records launching state and launch date for every registered object, to confirm the annual ordering of launching states across the window.</w:t>
      </w:r>
    </w:p>
    <w:bookmarkEnd w:id="85"/>
    <w:bookmarkStart w:id="86" w:name="the-regulatory-stringency-index"/>
    <w:p>
      <w:pPr>
        <w:pStyle w:val="Heading3"/>
        <w:spacing w:line="480" w:lineRule="auto"/>
      </w:pPr>
      <w:r>
        <w:t xml:space="preserve">4.3.3 The Regulatory-Stringency Index</w:t>
      </w:r>
    </w:p>
    <w:p>
      <w:pPr>
        <w:pStyle w:val="FirstParagraph"/>
        <w:spacing w:line="480" w:lineRule="auto"/>
      </w:pPr>
      <w:r>
        <w:t xml:space="preserve">The regulatory-stringency index is the central explanatory variable of Paper 1 and the variable whose construction warrants the most careful documentation. It is an ordinal coding on a one-to-five scale, where one denotes a streamlined enabling regime that admits multiple competitive private providers under a single performance-based license, and five denotes a state-monopoly regime that restricts independent private orbital launch entry. Levels two, three, and four denote intermediate regimes that admit private entry under licensing instruments of progressively greater administrative weight and progressively narrower performance margin.</w:t>
      </w:r>
    </w:p>
    <w:p>
      <w:pPr>
        <w:pStyle w:val="BodyText"/>
        <w:spacing w:line="480" w:lineRule="auto"/>
        <w:ind w:firstLine="720"/>
      </w:pPr>
      <w:r>
        <w:t xml:space="preserve">The coding is grounded in the primary national licensing instruments and their independent legal-practice descriptions. The United States receives the level corresponding to the post-2020 Part 450 streamlined licensing rule, which the legal-practice literature describes as a consolidation of the prior launch and reentry licensing apparatus into a single performance-based instrument</w:t>
      </w:r>
      <w:r>
        <w:t xml:space="preserve"> </w:t>
      </w:r>
      <w:hyperlink w:anchor="ref-13">
        <w:r>
          <w:rPr>
            <w:rStyle w:val="Hyperlink"/>
          </w:rPr>
          <w:t xml:space="preserve">[13]</w:t>
        </w:r>
      </w:hyperlink>
      <w:r>
        <w:t xml:space="preserve"> </w:t>
      </w:r>
      <w:r>
        <w:t xml:space="preserve">and whose architecture sits within the broader multi-agency structure of U.S. commercial space regulation documented in the AMOS literature</w:t>
      </w:r>
      <w:r>
        <w:t xml:space="preserve"> </w:t>
      </w:r>
      <w:hyperlink w:anchor="ref-1">
        <w:r>
          <w:rPr>
            <w:rStyle w:val="Hyperlink"/>
          </w:rPr>
          <w:t xml:space="preserve">[1]</w:t>
        </w:r>
      </w:hyperlink>
      <w:r>
        <w:t xml:space="preserve">. India receives the level corresponding to the IN-SPACe single-window authorization and the subsequent foreign-investment opening, which the same legal-practice literature treats as a deliberate liberalization of a previously state-centric regime</w:t>
      </w:r>
      <w:r>
        <w:t xml:space="preserve"> </w:t>
      </w:r>
      <w:hyperlink w:anchor="ref-13">
        <w:r>
          <w:rPr>
            <w:rStyle w:val="Hyperlink"/>
          </w:rPr>
          <w:t xml:space="preserve">[13]</w:t>
        </w:r>
      </w:hyperlink>
      <w:r>
        <w:t xml:space="preserve">. Japan receives the level corresponding to the Space Activities Act licensing regime, with its operator-licensing and continuing-supervision provisions consistent with the Acta Astronautica framework for continuing supervision of commercial space activity</w:t>
      </w:r>
      <w:r>
        <w:t xml:space="preserve"> </w:t>
      </w:r>
      <w:hyperlink w:anchor="ref-7">
        <w:r>
          <w:rPr>
            <w:rStyle w:val="Hyperlink"/>
          </w:rPr>
          <w:t xml:space="preserve">[7]</w:t>
        </w:r>
      </w:hyperlink>
      <w:r>
        <w:t xml:space="preserve">. China and Russia receive the levels corresponding to their centralized state-controlled launch regimes, in which independent private orbital entry is structurally constrained.</w:t>
      </w:r>
    </w:p>
    <w:p>
      <w:pPr>
        <w:pStyle w:val="BodyText"/>
        <w:spacing w:line="480" w:lineRule="auto"/>
        <w:ind w:firstLine="720"/>
      </w:pPr>
      <w:r>
        <w:t xml:space="preserve">Two construction decisions deserve emphasis. First, the index is ordinal, not cardinal; the gaps between adjacent levels are not asserted to be equal, and the regression interpretation is correspondingly conservative. Second, the index is coded at the regime level rather than at the licensing-action level, because the question Paper 1 asks is about the posture of the regime that confronts a potential entrant, not about the granularity of a single license. The companion dissertation chapter that develops the panel extension reports sub-indices for the entry, operations, and continuing-supervision dimensions separately, alongside a coder-reliability check; the chapter you are reading documents only the headline index that enters the main specification.</w:t>
      </w:r>
    </w:p>
    <w:bookmarkEnd w:id="86"/>
    <w:bookmarkStart w:id="87" w:name="X257ad19967bc1861dda7f6523b0e39e6cc9c04c"/>
    <w:p>
      <w:pPr>
        <w:pStyle w:val="Heading3"/>
        <w:spacing w:line="480" w:lineRule="auto"/>
      </w:pPr>
      <w:r>
        <w:t xml:space="preserve">4.3.4 The Private-Share Commercial-Participation Proxy</w:t>
      </w:r>
    </w:p>
    <w:p>
      <w:pPr>
        <w:pStyle w:val="FirstParagraph"/>
        <w:spacing w:line="480" w:lineRule="auto"/>
      </w:pPr>
      <w:r>
        <w:t xml:space="preserve">The private-share variable measures the share of a state’s annual orbital launch activity carried out by competitive private providers rather than by state-aligned or state-monopoly providers. The variable is constructed at the country-year level from the launch records used for the count outcome, with operator status coded against publicly identified ownership and procurement relationships. The variable is flagged in the dataset as illustrative wherever a directly catalogued figure is unavailable, and these illustrative cells are named in the source column so that no derived value is mistaken for a primary quotation.</w:t>
      </w:r>
    </w:p>
    <w:p>
      <w:pPr>
        <w:pStyle w:val="BodyText"/>
        <w:spacing w:line="480" w:lineRule="auto"/>
        <w:ind w:firstLine="720"/>
      </w:pPr>
      <w:r>
        <w:t xml:space="preserve">The private-share construction is the variable that does the substantive work of Paper 1, because the central market-structure hypothesis is that competitive private provision, rather than the stringency label per se, carries the cadence signal. The construct is grounded in the space-economy literature’s account of competitive provision as the channel through which scale economies are transmitted into price and volume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in the documented mechanism by which reusable architectures lower cost per kilogram when competitive providers operate under a streamlined licensing posture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 Where the catalogued operator status is ambiguous, the dataset records the ambiguity in the source column rather than resolving it silently.</w:t>
      </w:r>
    </w:p>
    <w:bookmarkEnd w:id="87"/>
    <w:bookmarkStart w:id="88" w:name="gdp-scale-control-and-era-indicator"/>
    <w:p>
      <w:pPr>
        <w:pStyle w:val="Heading3"/>
        <w:spacing w:line="480" w:lineRule="auto"/>
      </w:pPr>
      <w:r>
        <w:t xml:space="preserve">4.3.5 GDP Scale Control and Era Indicator</w:t>
      </w:r>
    </w:p>
    <w:p>
      <w:pPr>
        <w:pStyle w:val="FirstParagraph"/>
        <w:spacing w:line="480" w:lineRule="auto"/>
      </w:pPr>
      <w:r>
        <w:t xml:space="preserve">Nominal GDP, measured in trillions of current United States dollars and taken as a period-average from the World Bank, enters as a scale control. The construction averages annual nominal GDP across the nine-year window for each nation; the period-average smooths short-run macroeconomic volatility that is unrelated to launch activity. The control is included because national economic scale is a primitive determinant of the resources available to fund launch programs, and the headline coefficient on private share would be biased upward in its absence by the simple fact that larger economies host both larger commercial sectors and larger administrative launch programs.</w:t>
      </w:r>
    </w:p>
    <w:p>
      <w:pPr>
        <w:pStyle w:val="BodyText"/>
        <w:spacing w:line="480" w:lineRule="auto"/>
        <w:ind w:firstLine="720"/>
      </w:pPr>
      <w:r>
        <w:t xml:space="preserve">The post-2020 indicator marks the years 2021 through 2024 as belonging to the reusable-launch and post-Part-450 era. The construction is a simple binary; the indicator absorbs the structural lift in cadence documented in the reusable-vehicle cost-reduction literature</w:t>
      </w:r>
      <w:r>
        <w:t xml:space="preserve"> </w:t>
      </w:r>
      <w:hyperlink w:anchor="ref-9">
        <w:r>
          <w:rPr>
            <w:rStyle w:val="Hyperlink"/>
          </w:rPr>
          <w:t xml:space="preserve">[9]</w:t>
        </w:r>
      </w:hyperlink>
      <w:r>
        <w:t xml:space="preserve">,</w:t>
      </w:r>
      <w:r>
        <w:t xml:space="preserve"> </w:t>
      </w:r>
      <w:hyperlink w:anchor="ref-19">
        <w:r>
          <w:rPr>
            <w:rStyle w:val="Hyperlink"/>
          </w:rPr>
          <w:t xml:space="preserve">[19]</w:t>
        </w:r>
      </w:hyperlink>
      <w:r>
        <w:t xml:space="preserve"> </w:t>
      </w:r>
      <w:r>
        <w:t xml:space="preserve">and in the AMOS reference-scenario modeling of the future launch population</w:t>
      </w:r>
      <w:r>
        <w:t xml:space="preserve"> </w:t>
      </w:r>
      <w:hyperlink w:anchor="ref-10">
        <w:r>
          <w:rPr>
            <w:rStyle w:val="Hyperlink"/>
          </w:rPr>
          <w:t xml:space="preserve">[10]</w:t>
        </w:r>
      </w:hyperlink>
      <w:r>
        <w:t xml:space="preserve">. Without the indicator, the slope on private share would absorb the era lift and the regulatory-stringency slope would be confounded with the post-2020 structural break.</w:t>
      </w:r>
    </w:p>
    <w:bookmarkEnd w:id="88"/>
    <w:bookmarkStart w:id="89" w:name="authoritative-sources-for-the-panel"/>
    <w:p>
      <w:pPr>
        <w:pStyle w:val="Heading3"/>
        <w:spacing w:line="480" w:lineRule="auto"/>
      </w:pPr>
      <w:r>
        <w:t xml:space="preserve">4.3.6 Authoritative Sources for the Panel</w:t>
      </w:r>
    </w:p>
    <w:p>
      <w:pPr>
        <w:pStyle w:val="FirstParagraph"/>
        <w:spacing w:line="480" w:lineRule="auto"/>
      </w:pPr>
      <w:r>
        <w:t xml:space="preserve">The authoritative sources for the panel are stated in full so that the construction is reproducible. The launch-count outcome rests on Space Stats Online per-country annual tables, cross-checked against the United Nations Office for Outer Space Affairs Online Index of Objects Launched into Outer Space. The regulatory-stringency index rests on the primary national licensing instruments and on the Chambers and Partners Space Law 2025 legal-practice descriptions for India and Japan, together with the Congressional Research Service overview of United States commercial space launch and reentry regulations</w:t>
      </w:r>
      <w:r>
        <w:t xml:space="preserve"> </w:t>
      </w:r>
      <w:hyperlink w:anchor="ref-13">
        <w:r>
          <w:rPr>
            <w:rStyle w:val="Hyperlink"/>
          </w:rPr>
          <w:t xml:space="preserve">[13]</w:t>
        </w:r>
      </w:hyperlink>
      <w:r>
        <w:t xml:space="preserve">. The GDP control rests on the World Bank period-average nominal-GDP series. The private-share proxy rests on the launch records used for the outcome, with operator status coded against public ownership and procurement records. Each row of the panel carries its source in a dedicated column.</w:t>
      </w:r>
    </w:p>
    <w:bookmarkEnd w:id="89"/>
    <w:bookmarkEnd w:id="90"/>
    <w:bookmarkStart w:id="96" w:name="the-vehicle-level-cross-section"/>
    <w:p>
      <w:pPr>
        <w:pStyle w:val="Heading2"/>
        <w:spacing w:line="480" w:lineRule="auto"/>
      </w:pPr>
      <w:r>
        <w:t xml:space="preserve">4.4 The Vehicle-Level Cross-Section</w:t>
      </w:r>
    </w:p>
    <w:bookmarkStart w:id="91" w:name="scope-and-frame-1"/>
    <w:p>
      <w:pPr>
        <w:pStyle w:val="Heading3"/>
        <w:spacing w:line="480" w:lineRule="auto"/>
      </w:pPr>
      <w:r>
        <w:t xml:space="preserve">4.4.1 Scope and Frame</w:t>
      </w:r>
    </w:p>
    <w:p>
      <w:pPr>
        <w:pStyle w:val="FirstParagraph"/>
        <w:spacing w:line="480" w:lineRule="auto"/>
      </w:pPr>
      <w:r>
        <w:t xml:space="preserve">The cross-section underlying Paper 2 covers twenty orbital launch vehicles spanning the United States, France, Russia, China, India, and Japan, observed at a single point in 2026. The fleet is selected to span the full range of maturity and scale present in the contemporary international launch market, from the much-flown Falcon 9 and Soyuz families to the early-flight Vulcan, New Glenn, and Ariane 64, and from the Falcon Heavy at sixty-three thousand eight hundred kilograms of LEO payload capacity to the Electron at three hundred kilograms. The deliberate breadth of the frame is essential to the test: the experience-curve hypothesis predicts that flight heritage orders price across the fleet, and a frame that excluded either deeply experienced small launchers or early-flight heavy vehicles would foreclose the test before the data were consulted.</w:t>
      </w:r>
    </w:p>
    <w:bookmarkEnd w:id="91"/>
    <w:bookmarkStart w:id="92" w:name="the-price-per-kilogram-to-leo-variable"/>
    <w:p>
      <w:pPr>
        <w:pStyle w:val="Heading3"/>
        <w:spacing w:line="480" w:lineRule="auto"/>
      </w:pPr>
      <w:r>
        <w:t xml:space="preserve">4.4.2 The Price-per-Kilogram-to-LEO Variable</w:t>
      </w:r>
    </w:p>
    <w:p>
      <w:pPr>
        <w:pStyle w:val="FirstParagraph"/>
        <w:spacing w:line="480" w:lineRule="auto"/>
      </w:pPr>
      <w:r>
        <w:t xml:space="preserve">The outcome is the 2026 published list price per kilogram of payload delivered to low Earth orbit, in current United States dollars. The construction draws on three classes of source: the SpaceNexus 2026 launch-cost comparison, the NASA technical record of the recent large reduction in launch cost</w:t>
      </w:r>
      <w:r>
        <w:t xml:space="preserve"> </w:t>
      </w:r>
      <w:hyperlink w:anchor="ref-19">
        <w:r>
          <w:rPr>
            <w:rStyle w:val="Hyperlink"/>
          </w:rPr>
          <w:t xml:space="preserve">[19]</w:t>
        </w:r>
      </w:hyperlink>
      <w:r>
        <w:t xml:space="preserve">, and operator and national-agency service pricing. Each row of the dataset carries a citation to its primary source in a dedicated source column, so that the price for each vehicle can be traced to the document from which it was taken.</w:t>
      </w:r>
    </w:p>
    <w:p>
      <w:pPr>
        <w:pStyle w:val="BodyText"/>
        <w:spacing w:line="480" w:lineRule="auto"/>
        <w:ind w:firstLine="720"/>
      </w:pPr>
      <w:r>
        <w:t xml:space="preserve">A minority of price cells, three of twenty and therefore fifteen percent of the dataset, are derived from a documented list price divided by a documented payload capacity rather than quoted directly as a per-kilogram figure. These cells are flagged in the dataset as illustrative and are named in the source column. The construction discipline is explicit: a price is treated as primary if and only if a per-kilogram figure is quoted directly in the source; otherwise the cell is derived, flagged, and counted against the dataset’s measurement-error budget. The fifteen-percent flagged share is reported transparently in the cross-section because a reader who would prefer a primary-only sub-sample can recover it from the source column.</w:t>
      </w:r>
    </w:p>
    <w:bookmarkEnd w:id="92"/>
    <w:bookmarkStart w:id="93" w:name="Xa2c192caf09258f0e003dd1b3fad2861f192910"/>
    <w:p>
      <w:pPr>
        <w:pStyle w:val="Heading3"/>
        <w:spacing w:line="480" w:lineRule="auto"/>
      </w:pPr>
      <w:r>
        <w:t xml:space="preserve">4.4.3 The Cumulative Successful-Flight Variable</w:t>
      </w:r>
    </w:p>
    <w:p>
      <w:pPr>
        <w:pStyle w:val="FirstParagraph"/>
        <w:spacing w:line="480" w:lineRule="auto"/>
      </w:pPr>
      <w:r>
        <w:t xml:space="preserve">The experience proxy is the cumulative count of successful orbital flights of the vehicle and its close variants. The construction draws on per-vehicle public launch records published by operators and national agencies, and the dataset records the source for each vehicle’s count. The reported counts include, among others, three hundred and eighty-three of four hundred and thirty-one successful flights of the Proton family as of February 2026, two hundred and forty-eight of two hundred and sixty successful flights of the Ariane family, one hundred and ten successful Long March 3B-class flights as of December 2025, and eighty-six successful Electron flights of ninety attempts. These figures are reproduced here from the cross-section’s source column rather than restated from memory; the same provenance discipline applies to every cumulative-flight cell.</w:t>
      </w:r>
    </w:p>
    <w:p>
      <w:pPr>
        <w:pStyle w:val="BodyText"/>
        <w:spacing w:line="480" w:lineRule="auto"/>
        <w:ind w:firstLine="720"/>
      </w:pPr>
      <w:r>
        <w:t xml:space="preserve">Two construction decisions deserve emphasis. First, the experience proxy counts successful flights, not attempts, because the learning-curve mechanism is the recurring production and operation of hardware that flew, not of hardware that failed early in ascent. Second, the proxy counts the vehicle and its close variants, because the production lines, operations teams, and supplier chains that the learning curve invokes do not reset across minor block changes within a family. The discipline of treating a family as a single experience unit is consistent across the twenty vehicles and is documented in the source column for each cell.</w:t>
      </w:r>
    </w:p>
    <w:bookmarkEnd w:id="93"/>
    <w:bookmarkStart w:id="94" w:name="the-payload-capacity-covariate"/>
    <w:p>
      <w:pPr>
        <w:pStyle w:val="Heading3"/>
        <w:spacing w:line="480" w:lineRule="auto"/>
      </w:pPr>
      <w:r>
        <w:t xml:space="preserve">4.4.4 The Payload Capacity Covariate</w:t>
      </w:r>
    </w:p>
    <w:p>
      <w:pPr>
        <w:pStyle w:val="FirstParagraph"/>
        <w:spacing w:line="480" w:lineRule="auto"/>
      </w:pPr>
      <w:r>
        <w:t xml:space="preserve">The LEO payload capacity covariate, in kilograms, is the nominal mass the vehicle is rated to deliver to low Earth orbit. The variable is included as a covariate to characterize the scale confound that drives the cross-section result rather than as a regressor in the headline specification. The construction draws on the same operator and national-agency sources that supply the price and flight-count variables. The two-orders-of-magnitude variation in payload capacity, from three hundred kilograms to sixty-three thousand eight hundred kilograms, is the substantive feature that the chapter on findings exploits when it reads the null experience elasticity against the fixed-cost-over-payload account of per-kilogram price.</w:t>
      </w:r>
    </w:p>
    <w:bookmarkEnd w:id="94"/>
    <w:bookmarkStart w:id="95" w:name="Xababce45518feb7b71526a6193a01786dd6f65d"/>
    <w:p>
      <w:pPr>
        <w:pStyle w:val="Heading3"/>
        <w:spacing w:line="480" w:lineRule="auto"/>
      </w:pPr>
      <w:r>
        <w:t xml:space="preserve">4.4.5 Authoritative Sources for the Cross-Section</w:t>
      </w:r>
    </w:p>
    <w:p>
      <w:pPr>
        <w:pStyle w:val="FirstParagraph"/>
        <w:spacing w:line="480" w:lineRule="auto"/>
      </w:pPr>
      <w:r>
        <w:t xml:space="preserve">The authoritative sources for the cross-section are stated in full. Price-per-kilogram cells rest on the SpaceNexus 2026 launch-cost comparison, on the NASA technical report on the recent reduction in launch cost</w:t>
      </w:r>
      <w:r>
        <w:t xml:space="preserve"> </w:t>
      </w:r>
      <w:hyperlink w:anchor="ref-19">
        <w:r>
          <w:rPr>
            <w:rStyle w:val="Hyperlink"/>
          </w:rPr>
          <w:t xml:space="preserve">[19]</w:t>
        </w:r>
      </w:hyperlink>
      <w:r>
        <w:t xml:space="preserve">, and on operator and national-agency service pricing. Cumulative successful-flight cells rest on per-vehicle operator and national-agency launch records. Payload-capacity cells rest on operator and national-agency vehicle specifications. Illustrative cells are flagged in the source column, and the fifteen-percent flagged share is reported in the dataset documentation so that a primary-only sub-sample can be recovered.</w:t>
      </w:r>
    </w:p>
    <w:bookmarkEnd w:id="95"/>
    <w:bookmarkEnd w:id="96"/>
    <w:bookmarkStart w:id="97" w:name="Xaf38e5aabad1c2553fef83136325520d0ca41a4"/>
    <w:p>
      <w:pPr>
        <w:pStyle w:val="Heading2"/>
        <w:spacing w:line="480" w:lineRule="auto"/>
      </w:pPr>
      <w:r>
        <w:t xml:space="preserve">4.5 Measurement Error, Illustrative Cells, and the Cross-Walk Between Datasets</w:t>
      </w:r>
    </w:p>
    <w:p>
      <w:pPr>
        <w:pStyle w:val="FirstParagraph"/>
        <w:spacing w:line="480" w:lineRule="auto"/>
      </w:pPr>
      <w:r>
        <w:t xml:space="preserve">Three measurement-error sources are acknowledged and treated transparently. The first is the illustrative cells in the cross-section, three of twenty price cells flagged as derived from a documented list price over a documented payload. The induced measurement error is in the dependent variable of the log-log specification and biases the experience-elasticity estimate toward zero rather than away from it; the null result reported in Paper 2 is therefore not driven by this measurement-error source, and the chapter on findings names this directly. The second is the illustrative cells in the private-share variable of the panel, flagged in the source column wherever a directly catalogued operator status is unavailable. The induced measurement error is in a regressor and would, under classical assumptions, attenuate the private-share coefficient toward zero; the chapter on findings reports the coefficient at face value and treats the attenuation as a conservative bound. The third is the coding judgment in the ordinal stringency index. The chapter on validation reports the sub-indices and a coder-reliability check; the chapter you are reading documents only the headline construction and the legal documents to which the levels are anchored</w:t>
      </w:r>
      <w:r>
        <w:t xml:space="preserve"> </w:t>
      </w:r>
      <w:hyperlink w:anchor="ref-7">
        <w:r>
          <w:rPr>
            <w:rStyle w:val="Hyperlink"/>
          </w:rPr>
          <w:t xml:space="preserve">[7]</w:t>
        </w:r>
      </w:hyperlink>
      <w:r>
        <w:t xml:space="preserve">,</w:t>
      </w:r>
      <w:r>
        <w:t xml:space="preserve"> </w:t>
      </w:r>
      <w:hyperlink w:anchor="ref-13">
        <w:r>
          <w:rPr>
            <w:rStyle w:val="Hyperlink"/>
          </w:rPr>
          <w:t xml:space="preserve">[13]</w:t>
        </w:r>
      </w:hyperlink>
      <w:r>
        <w:t xml:space="preserve">.</w:t>
      </w:r>
    </w:p>
    <w:p>
      <w:pPr>
        <w:pStyle w:val="BodyText"/>
        <w:spacing w:line="480" w:lineRule="auto"/>
        <w:ind w:firstLine="720"/>
      </w:pPr>
      <w:r>
        <w:t xml:space="preserve">The cross-walk between the two datasets is deliberate and is documented here so that the reader can hold the two papers in a single frame. The country-year panel and the vehicle-level cross-section share no variables in common: the panel reads a state-level instrument against a state-level outcome, and the cross-section reads a vehicle-level technical regularity against a vehicle-level price. The two datasets do, however, share an underlying universe: the vehicles whose flight counts populate the cross-section are operated under the regulatory regimes whose stringency is coded in the panel, and the cadence whose annual counts populate the panel is produced by the vehicles whose price and heritage are recorded in the cross-section. The dissertation’s central question is the relationship between regulatory posture and competitive position, and the two datasets converge on that question from opposite directions. A reader who wishes to verify the convergence can take any vehicle in the cross-section, identify its launching state, and locate that state in the panel by year; the source columns in both datasets make the join immediate.</w:t>
      </w:r>
    </w:p>
    <w:bookmarkEnd w:id="97"/>
    <w:bookmarkStart w:id="98" w:name="X3abf71accd6e6654a0c74e2a04e61abced6726f"/>
    <w:p>
      <w:pPr>
        <w:pStyle w:val="Heading2"/>
        <w:spacing w:line="480" w:lineRule="auto"/>
      </w:pPr>
      <w:r>
        <w:t xml:space="preserve">4.6 Refresh Protocol and Provenance Discipline</w:t>
      </w:r>
    </w:p>
    <w:p>
      <w:pPr>
        <w:pStyle w:val="FirstParagraph"/>
        <w:spacing w:line="480" w:lineRule="auto"/>
      </w:pPr>
      <w:r>
        <w:t xml:space="preserve">The panel and the cross-section are designed to be refreshable. The refresh protocol for the panel anchors on three primary sources. The FAA Office of Commercial Space Transportation licensed-launch record, published by the United States Department of Transportation and mirrored in the FAA Office of Commercial Space Transportation annual compendia, supplies the United States rows of the launch-count outcome and is the canonical record for the United States stringency-index coding. The United Nations Office for Outer Space Affairs Online Index of Objects Launched into Outer Space, the treaty-mandated public registry, supplies the cross-check on launching state and launch date for every registered object and is the canonical record for the international rows of the launch-count outcome. The primary national licensing instruments and their independent legal-practice descriptions</w:t>
      </w:r>
      <w:r>
        <w:t xml:space="preserve"> </w:t>
      </w:r>
      <w:hyperlink w:anchor="ref-13">
        <w:r>
          <w:rPr>
            <w:rStyle w:val="Hyperlink"/>
          </w:rPr>
          <w:t xml:space="preserve">[13]</w:t>
        </w:r>
      </w:hyperlink>
      <w:r>
        <w:t xml:space="preserve"> </w:t>
      </w:r>
      <w:r>
        <w:t xml:space="preserve">supply the canonical record for the stringency-index coding outside the United States. The refresh protocol for the cross-section anchors on operator and national-agency vehicle records for cumulative successful-flight counts, on published 2026 list-price comparisons for the price-per-kilogram cells, and on the NASA technical record of recent launch-cost reduction</w:t>
      </w:r>
      <w:r>
        <w:t xml:space="preserve"> </w:t>
      </w:r>
      <w:hyperlink w:anchor="ref-19">
        <w:r>
          <w:rPr>
            <w:rStyle w:val="Hyperlink"/>
          </w:rPr>
          <w:t xml:space="preserve">[19]</w:t>
        </w:r>
      </w:hyperlink>
      <w:r>
        <w:t xml:space="preserve"> </w:t>
      </w:r>
      <w:r>
        <w:t xml:space="preserve">for the structural-cost context against which the cross-section is read.</w:t>
      </w:r>
    </w:p>
    <w:p>
      <w:pPr>
        <w:pStyle w:val="BodyText"/>
        <w:spacing w:line="480" w:lineRule="auto"/>
        <w:ind w:firstLine="720"/>
      </w:pPr>
      <w:r>
        <w:t xml:space="preserve">The provenance discipline is uniform across both datasets and is stated here so that the reader can audit any cell in either dataset. Every row carries its source in a dedicated column. Every illustrative cell is flagged. Every numeric quantity reproduced in the chapters of this dissertation is recoverable from the source column of the dataset row from which it was taken. No figure in the empirical chapters is rounded into the text without its source. The provenance discipline is the practical implementation of the dissertation’s central evidentiary commitment: the strategic-regulation thesis that animates contemporary competitiveness arguments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is to be tested against estimated parameters whose construction is transparent, whose measurement error is named, and whose sources are public.</w:t>
      </w:r>
    </w:p>
    <w:p>
      <w:pPr>
        <w:pStyle w:val="BodyText"/>
        <w:spacing w:line="480" w:lineRule="auto"/>
        <w:ind w:firstLine="720"/>
      </w:pPr>
      <w:r>
        <w:t xml:space="preserve">The chapter that follows turns from data construction to estimation. It develops the two-way fixed-effects panel specification and the instrumental-variables strategy for Paper 1, and the log-log experience-curve specification and the scale-aware robustness checks for Paper 2, using the variables this chapter has documented.</w:t>
      </w:r>
    </w:p>
    <w:bookmarkEnd w:id="98"/>
    <w:bookmarkEnd w:id="99"/>
    <w:bookmarkStart w:id="108" w:name="chapter-5.-methods-and-identification"/>
    <w:p>
      <w:pPr>
        <w:pStyle w:val="Heading1"/>
        <w:spacing w:line="480" w:lineRule="auto"/>
      </w:pPr>
      <w:r>
        <w:t xml:space="preserve">Chapter 5. Methods and Identification</w:t>
      </w:r>
    </w:p>
    <w:bookmarkStart w:id="100" w:name="overview-of-the-estimation-strategy"/>
    <w:p>
      <w:pPr>
        <w:pStyle w:val="Heading2"/>
        <w:spacing w:line="480" w:lineRule="auto"/>
      </w:pPr>
      <w:r>
        <w:t xml:space="preserve">5.1 Overview of the Estimation Strategy</w:t>
      </w:r>
    </w:p>
    <w:p>
      <w:pPr>
        <w:pStyle w:val="FirstParagraph"/>
        <w:spacing w:line="480" w:lineRule="auto"/>
      </w:pPr>
      <w:r>
        <w:t xml:space="preserve">The empirical problem that organizes this dissertation is the recovery of a single conditional moment: the within-country response of regulatory stringency to a launch-host state’s position in the international launch market. Chapter 4 set out the country-year panel, the construction of the stringency index, and the FAA Office of Commercial Space Transportation and United Nations Office for Outer Space Affairs records from which the market-share series is built. This chapter specifies the estimators, the identification strategy that gives the recovered coefficient a causal interpretation, and the threats to validity that bound the inference. The exposition proceeds from the most demanding specification to the simplest, because the simpler models are best understood as restrictions on the richer one.</w:t>
      </w:r>
    </w:p>
    <w:p>
      <w:pPr>
        <w:pStyle w:val="BodyText"/>
        <w:spacing w:line="480" w:lineRule="auto"/>
        <w:ind w:firstLine="720"/>
      </w:pPr>
      <w:r>
        <w:t xml:space="preserve">The leading specification is a two-way fixed-effects panel regression of regulatory stringency on lagged launch-market share, augmented by an instrumental-variables stage that exploits the interaction of geographic launch advantage with global launch demand. The choice of estimator follows from the structure of the question. Stringency is plausibly persistent within a state, market share is plausibly persistent within a state, and the unobserved national institutions that govern both move on a slower timescale than the nine-to-twelve-year window in which contemporary cadence grew</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Country fixed effects absorb that persistence; year fixed effects absorb the common cadence shock that the corpus documents as a population-wide phenomenon</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the lag on market share separates this year’s regulatory posture from this year’s flights; and the instrument addresses the residual reverse-causation channel through which stringency feeds back onto share. Each component is designed to close one identification gap, and the chapter argues for each in turn.</w:t>
      </w:r>
    </w:p>
    <w:p>
      <w:pPr>
        <w:pStyle w:val="BodyText"/>
        <w:spacing w:line="480" w:lineRule="auto"/>
        <w:ind w:firstLine="720"/>
      </w:pPr>
      <w:r>
        <w:t xml:space="preserve">The reader should hold two contrasts in mind throughout. First, the present design departs deliberately from the companion paper that estimated a pooled cross-national association of cadence on stringency, private share, scale, and a reusable-era indicator. That paper documented that raw stringency is not a clean signal once a state can fund cadence administratively, and it warned that pooled specifications confound between-state regulatory variation with within-state policy change. The present chapter takes that warning as a binding constraint on design and adopts a within-country lens. Second, the design departs from the fleet-level learning-curve estimate that companion work produced for the international vehicle cross-section, which found that flight heritage does not order per-kilogram price once vehicle scale is admitted. That null disciplines the present chapter by ruling out a flight-count proxy for competitive position: market share, properly scale-aware, is the construct that enters the right-hand side, and the methods below are built around it.</w:t>
      </w:r>
    </w:p>
    <w:bookmarkEnd w:id="100"/>
    <w:bookmarkStart w:id="101" w:name="the-two-way-fixed-effects-baseline"/>
    <w:p>
      <w:pPr>
        <w:pStyle w:val="Heading2"/>
        <w:spacing w:line="480" w:lineRule="auto"/>
      </w:pPr>
      <w:r>
        <w:t xml:space="preserve">5.2 The Two-Way Fixed-Effects Baseline</w:t>
      </w:r>
    </w:p>
    <w:p>
      <w:pPr>
        <w:pStyle w:val="FirstParagraph"/>
        <w:spacing w:line="480" w:lineRule="auto"/>
      </w:pPr>
      <w:r>
        <w:t xml:space="preserve">The baseline estimating equation is a two-way fixed-effects panel regression. The dependent variable is the country-year stringency score described in Chapter 4. The right-hand side carries the one-year lag of the host state’s share of the international orbital launch market, a vector of time-varying controls drawn from the FAA and UNOOSA records and from the reference-scenario covariates that characterize the population-wide launch environment</w:t>
      </w:r>
      <w:r>
        <w:t xml:space="preserve"> </w:t>
      </w:r>
      <w:hyperlink w:anchor="ref-8">
        <w:r>
          <w:rPr>
            <w:rStyle w:val="Hyperlink"/>
          </w:rPr>
          <w:t xml:space="preserve">[8]</w:t>
        </w:r>
      </w:hyperlink>
      <w:r>
        <w:t xml:space="preserve">, country fixed effects, and year fixed effects. The coefficient of interest is the slope on lagged market share. Standard errors are clustered at the country level to accommodate within-country serial correlation in the residual.</w:t>
      </w:r>
    </w:p>
    <w:p>
      <w:pPr>
        <w:pStyle w:val="BodyText"/>
        <w:spacing w:line="480" w:lineRule="auto"/>
        <w:ind w:firstLine="720"/>
      </w:pPr>
      <w:r>
        <w:t xml:space="preserve">The country fixed effect is the workhorse of the design. It absorbs every time-invariant feature of a launch-host state: the constitutional locus of executive authority over commercial space activity, the legal tradition from which the licensing statute descends, the institutional fragmentation across agencies that the documented multi-agency structure of U.S. commercial space regulation exemplifies</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 and the long-run national posture toward continuing supervision of in-space activity</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None of these features need be measured, and none can confound the estimate, because the country fixed effect demeans each variable within country and identifies the slope from deviations around the within-country mean. The substantive content of the design is therefore that a state’s regulatory posture is compared with itself across years, and not with the posture of any other state.</w:t>
      </w:r>
    </w:p>
    <w:p>
      <w:pPr>
        <w:pStyle w:val="BodyText"/>
        <w:spacing w:line="480" w:lineRule="auto"/>
        <w:ind w:firstLine="720"/>
      </w:pPr>
      <w:r>
        <w:t xml:space="preserve">The year fixed effect plays a complementary role. The corpus documents a sharp lift in launch cadence across the late 2010s and early 2020s and a corresponding pressure on the systems that coordinate launch</w:t>
      </w:r>
      <w:r>
        <w:t xml:space="preserve"> </w:t>
      </w:r>
      <w:hyperlink w:anchor="ref-2">
        <w:r>
          <w:rPr>
            <w:rStyle w:val="Hyperlink"/>
          </w:rPr>
          <w:t xml:space="preserve">[2]</w:t>
        </w:r>
      </w:hyperlink>
      <w:r>
        <w:t xml:space="preserve">, and the reference-scenario modeling that underwrites the covariate set treats this lift as a population-wide trajectory rather than a country-specific shock</w:t>
      </w:r>
      <w:r>
        <w:t xml:space="preserve"> </w:t>
      </w:r>
      <w:hyperlink w:anchor="ref-8">
        <w:r>
          <w:rPr>
            <w:rStyle w:val="Hyperlink"/>
          </w:rPr>
          <w:t xml:space="preserve">[8]</w:t>
        </w:r>
      </w:hyperlink>
      <w:r>
        <w:t xml:space="preserve">. Annual indicators absorb that common trajectory, so that the slope on lagged market share is not contaminated by the secular rise in cadence that lifted every host’s flights at once. They also absorb common demand surges, common insurance-market shifts, and the common policy attention that accompanies a salient global event such as the post-2020 reusable-era inflection</w:t>
      </w:r>
      <w:r>
        <w:t xml:space="preserve"> </w:t>
      </w:r>
      <w:hyperlink w:anchor="ref-9">
        <w:r>
          <w:rPr>
            <w:rStyle w:val="Hyperlink"/>
          </w:rPr>
          <w:t xml:space="preserve">[9]</w:t>
        </w:r>
      </w:hyperlink>
      <w:r>
        <w:t xml:space="preserve">. The year effect is therefore the second indispensable component of the design.</w:t>
      </w:r>
    </w:p>
    <w:p>
      <w:pPr>
        <w:pStyle w:val="BodyText"/>
        <w:spacing w:line="480" w:lineRule="auto"/>
        <w:ind w:firstLine="720"/>
      </w:pPr>
      <w:r>
        <w:t xml:space="preserve">The lag on market share addresses the simultaneity that any contemporaneous specification would suffer. Stringency in year t cannot be a function of share in year t without inviting a feedback loop, because rules promulgated this year affect this year’s flights. The one-year lag breaks that loop at the cost of one initial observation per country, and it locates the identifying variation in the response of this year’s rules to the prior year’s competitive position. Where appropriate the specification is reported with two-year and three-year lags, both as a substantive test of the speed of regulatory response and as a robustness check.</w:t>
      </w:r>
    </w:p>
    <w:p>
      <w:pPr>
        <w:pStyle w:val="BodyText"/>
        <w:spacing w:line="480" w:lineRule="auto"/>
        <w:ind w:firstLine="720"/>
      </w:pPr>
      <w:r>
        <w:t xml:space="preserve">The pooled-OLS specification reported by the companion paper, with a private-share proxy, scale, and a reusable-era indicator entering without country fixed effects, is presented in this dissertation only as a contrast. Its slope on stringency was positive and significant, with the China case loading heavily on the between-country variation, and its limitations were stated explicitly. The two-way fixed-effects design here is meant to recover the within-country object that the pooled specification cannot.</w:t>
      </w:r>
    </w:p>
    <w:bookmarkEnd w:id="101"/>
    <w:bookmarkStart w:id="102" w:name="the-dynamic-specification"/>
    <w:p>
      <w:pPr>
        <w:pStyle w:val="Heading2"/>
        <w:spacing w:line="480" w:lineRule="auto"/>
      </w:pPr>
      <w:r>
        <w:t xml:space="preserve">5.3 The Dynamic Specification</w:t>
      </w:r>
    </w:p>
    <w:p>
      <w:pPr>
        <w:pStyle w:val="FirstParagraph"/>
        <w:spacing w:line="480" w:lineRule="auto"/>
      </w:pPr>
      <w:r>
        <w:t xml:space="preserve">The baseline assumes that stringency adjusts within a year, but regulatory instruments are persistent, and a dynamic specification is reported alongside the static one. The dynamic equation adds a lag of the dependent variable to the right-hand side, so that the coefficient on lagged market share is identified from the residual variation in stringency after the persistence of the regime is partialled out. The substantive interpretation of the dynamic coefficient is the short-run response of stringency to a one-unit lagged change in market share, and the long-run response is recovered by dividing the short-run coefficient by one minus the autoregressive coefficient on lagged stringency.</w:t>
      </w:r>
    </w:p>
    <w:p>
      <w:pPr>
        <w:pStyle w:val="BodyText"/>
        <w:spacing w:line="480" w:lineRule="auto"/>
        <w:ind w:firstLine="720"/>
      </w:pPr>
      <w:r>
        <w:t xml:space="preserve">The standard concern with a fixed-effects dynamic panel is the Nickell bias that arises when the lagged dependent variable is correlated with the demeaned residual in a panel with a fixed time dimension. The bias is of order one over the number of time periods, and it can be material in panels with the cadence window adopted here. The dissertation addresses this in two ways. First, the dynamic specification is estimated with a bias-corrected within estimator, which removes the leading term of the Nickell bias analytically and reports a bias-adjusted slope on lagged market share. Second, the same specification is reported with a system-GMM estimator that uses internal lags as instruments for the differenced and level equations; the Hansen test on the over-identifying restrictions and the Arellano-Bond tests on residual serial correlation are reported, and the instrument count is held below the cross-sectional dimension to avoid the well-known weakness that proliferating instruments induces. The two estimates are compared, and the dissertation states the range across them rather than privileging a single point estimate.</w:t>
      </w:r>
    </w:p>
    <w:p>
      <w:pPr>
        <w:pStyle w:val="BodyText"/>
        <w:spacing w:line="480" w:lineRule="auto"/>
        <w:ind w:firstLine="720"/>
      </w:pPr>
      <w:r>
        <w:t xml:space="preserve">The dynamic specification is also the natural vehicle for examining whether the response of stringency to share is symmetric. The estimating equation is therefore reported in a second form in which lagged share is interacted with an indicator for positive change, so that the slope on share-growth episodes is separated from the slope on share-loss episodes. This asymmetric form speaks directly to the strategic-regulation thesis: if stringency rises with durable share and falls with competitive disadvantage, the two interaction terms should differ in sign or magnitude.</w:t>
      </w:r>
    </w:p>
    <w:bookmarkEnd w:id="102"/>
    <w:bookmarkStart w:id="103" w:name="the-instrumental-variables-strategy"/>
    <w:p>
      <w:pPr>
        <w:pStyle w:val="Heading2"/>
        <w:spacing w:line="480" w:lineRule="auto"/>
      </w:pPr>
      <w:r>
        <w:t xml:space="preserve">5.4 The Instrumental-Variables Strategy</w:t>
      </w:r>
    </w:p>
    <w:p>
      <w:pPr>
        <w:pStyle w:val="FirstParagraph"/>
        <w:spacing w:line="480" w:lineRule="auto"/>
      </w:pPr>
      <w:r>
        <w:t xml:space="preserve">Reverse causation is the central identification threat that the within-country and dynamic designs do not, on their own, remove. Stringency can shape share, and the policy literature is explicit that licensing posture is a deliberate instrument of market position</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The dissertation therefore reports a two-stage least-squares estimator alongside the fixed-effects baseline. The first stage projects lagged market share onto an instrument that is plausibly exogenous to a state’s own rulemaking, and the second stage estimates the stringency equation using the projected component.</w:t>
      </w:r>
    </w:p>
    <w:p>
      <w:pPr>
        <w:pStyle w:val="BodyText"/>
        <w:spacing w:line="480" w:lineRule="auto"/>
        <w:ind w:firstLine="720"/>
      </w:pPr>
      <w:r>
        <w:t xml:space="preserve">The instrument is a Bartik-style interaction between a state’s geographic launch advantage and the global launch demand it confronts. Geographic advantage is the latitude-and-coastal-access endowment that determines a state’s delta-V efficiency for equatorial and sun-synchronous orbits, treated in the economic-development literature as a tradeable endowment whose value is amplified by demand for the orbits it serves</w:t>
      </w:r>
      <w:r>
        <w:t xml:space="preserve"> </w:t>
      </w:r>
      <w:hyperlink w:anchor="ref-3">
        <w:r>
          <w:rPr>
            <w:rStyle w:val="Hyperlink"/>
          </w:rPr>
          <w:t xml:space="preserve">[3]</w:t>
        </w:r>
      </w:hyperlink>
      <w:r>
        <w:t xml:space="preserve">. Global launch demand is measured from the international payload-mass series implicit in the FAA and UNOOSA records and is consistent with the reference-scenario population trajectories that characterize the demand environment</w:t>
      </w:r>
      <w:r>
        <w:t xml:space="preserve"> </w:t>
      </w:r>
      <w:hyperlink w:anchor="ref-8">
        <w:r>
          <w:rPr>
            <w:rStyle w:val="Hyperlink"/>
          </w:rPr>
          <w:t xml:space="preserve">[8]</w:t>
        </w:r>
      </w:hyperlink>
      <w:r>
        <w:t xml:space="preserve">. The interaction shifts a state’s expected share through forces outside the state’s regulatory control: a state with high equatorial advantage gains share when demand for equatorial orbits rises, irrespective of whether its licensing posture moves. The first-stage F-statistic is reported and is the principal evidence on instrument strength; the dissertation adopts the conservative threshold associated with the Stock-Yogo critical values for weak-instrument concerns and reports the Anderson-Rubin confidence set for the second-stage coefficient as a robustness check when the first-stage F sits in the borderline range.</w:t>
      </w:r>
    </w:p>
    <w:p>
      <w:pPr>
        <w:pStyle w:val="BodyText"/>
        <w:spacing w:line="480" w:lineRule="auto"/>
        <w:ind w:firstLine="720"/>
      </w:pPr>
      <w:r>
        <w:t xml:space="preserve">The exclusion restriction is the substantive content of the instrument and is defended on three grounds. First, geographic advantage is exogenous to a state’s contemporaneous rulemaking by construction; latitude and coastal access do not respond to a licensing reform. Second, global launch demand is, by the year fixed effects, demeaned of its common annual level, so that the instrument’s identifying variation is the cross-country differential exposure of a state’s geography to year-on-year shifts in demand composition. Third, the interaction enters the stringency equation only through its effect on the state’s market share, and the over-identification test, reported for specifications in which the instrument is decomposed into multiple sub-components, probes the null that the instruments are jointly exogenous. A violation of the exclusion restriction would require that geographic advantage interacted with global demand affect stringency through a channel other than share, and the dissertation is explicit that the most plausible such channel is the common cadence pressure that the year effects already absorb</w:t>
      </w:r>
      <w:r>
        <w:t xml:space="preserve"> </w:t>
      </w:r>
      <w:hyperlink w:anchor="ref-2">
        <w:r>
          <w:rPr>
            <w:rStyle w:val="Hyperlink"/>
          </w:rPr>
          <w:t xml:space="preserve">[2]</w:t>
        </w:r>
      </w:hyperlink>
      <w:r>
        <w:t xml:space="preserve">.</w:t>
      </w:r>
    </w:p>
    <w:bookmarkEnd w:id="103"/>
    <w:bookmarkStart w:id="104" w:name="construction-of-the-stringency-index"/>
    <w:p>
      <w:pPr>
        <w:pStyle w:val="Heading2"/>
        <w:spacing w:line="480" w:lineRule="auto"/>
      </w:pPr>
      <w:r>
        <w:t xml:space="preserve">5.5 Construction of the Stringency Index</w:t>
      </w:r>
    </w:p>
    <w:p>
      <w:pPr>
        <w:pStyle w:val="FirstParagraph"/>
        <w:spacing w:line="480" w:lineRule="auto"/>
      </w:pPr>
      <w:r>
        <w:t xml:space="preserve">The dependent variable is constructed in two layers, and the chapter is explicit about both because construct validity is the first threat to which Section 5.6 returns. The base layer is an ordinal coding of national licensing instruments along five dimensions: scope of the licensable activity, depth of pre-launch safety and financial-responsibility review, breadth of continuing supervision over operations and reentry</w:t>
      </w:r>
      <w:r>
        <w:t xml:space="preserve"> </w:t>
      </w:r>
      <w:hyperlink w:anchor="ref-3">
        <w:r>
          <w:rPr>
            <w:rStyle w:val="Hyperlink"/>
          </w:rPr>
          <w:t xml:space="preserve">[3]</w:t>
        </w:r>
      </w:hyperlink>
      <w:r>
        <w:t xml:space="preserve">,</w:t>
      </w:r>
      <w:r>
        <w:t xml:space="preserve"> </w:t>
      </w:r>
      <w:hyperlink w:anchor="ref-7">
        <w:r>
          <w:rPr>
            <w:rStyle w:val="Hyperlink"/>
          </w:rPr>
          <w:t xml:space="preserve">[7]</w:t>
        </w:r>
      </w:hyperlink>
      <w:r>
        <w:t xml:space="preserve">, stringency of insurance and liability requirements, and the procedural posture of the licensing agency toward independent private entry. Each dimension is coded from the primary licensing statute and its implementing regulations, with the U.S. multi-agency structure providing the reference architecture against which other regimes are scored</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 The composite index is the simple average of the five sub-indices, and the dissertation reports specifications using each sub-index in turn so that the headline slope is not driven by a single dimension.</w:t>
      </w:r>
    </w:p>
    <w:p>
      <w:pPr>
        <w:pStyle w:val="BodyText"/>
        <w:spacing w:line="480" w:lineRule="auto"/>
        <w:ind w:firstLine="720"/>
      </w:pPr>
      <w:r>
        <w:t xml:space="preserve">The second layer is a coder-reliability check. A second coder, working independently from the same primary instruments, scores a randomly selected one-third of the country-year cells, and the intercoder agreement is reported as a Krippendorff alpha. Disagreements are reconciled by a written rule that the chapter documents, so that the index is reproducible from the underlying statutes. This procedure follows the model the dissertation argued for in its prospectus: a single ordinal scale is acknowledged to risk conflating distinct regulatory dimensions, and the sub-indices and coder check are reported precisely to bound that risk.</w:t>
      </w:r>
    </w:p>
    <w:bookmarkEnd w:id="104"/>
    <w:bookmarkStart w:id="105" w:name="X4c2589d6b6788bc770412bd1d804e4110c7be11"/>
    <w:p>
      <w:pPr>
        <w:pStyle w:val="Heading2"/>
        <w:spacing w:line="480" w:lineRule="auto"/>
      </w:pPr>
      <w:r>
        <w:t xml:space="preserve">5.6 Threats to Validity and the Bounds the Design Imposes on Each</w:t>
      </w:r>
    </w:p>
    <w:p>
      <w:pPr>
        <w:pStyle w:val="FirstParagraph"/>
        <w:spacing w:line="480" w:lineRule="auto"/>
      </w:pPr>
      <w:r>
        <w:t xml:space="preserve">The estimating strategy faces five threats, each of which the chapter binds with a specific procedure rather than a verbal reassurance.</w:t>
      </w:r>
    </w:p>
    <w:p>
      <w:pPr>
        <w:pStyle w:val="BodyText"/>
        <w:spacing w:line="480" w:lineRule="auto"/>
        <w:ind w:firstLine="720"/>
      </w:pPr>
      <w:r>
        <w:t xml:space="preserve">The first threat is construct validity of the stringency index. The risk is that a single ordinal scale collapses distinct regulatory dimensions and that the slope on share reflects movement along a dimension other than the one the strategic-regulation thesis predicts. The design bounds this risk by reporting the slope on each sub-index separately, by reporting the Krippendorff alpha for intercoder agreement, and by reporting a specification in which the composite is replaced with the first principal component of the five sub-indices. The dissertation rejects the strategic-regulation thesis only if the slope is null across these alternatives, and accepts it only if the slope is signed and significant across them. A mixed pattern is reported as a mixed result, not as evidence for either pole.</w:t>
      </w:r>
    </w:p>
    <w:p>
      <w:pPr>
        <w:pStyle w:val="BodyText"/>
        <w:spacing w:line="480" w:lineRule="auto"/>
        <w:ind w:firstLine="720"/>
      </w:pPr>
      <w:r>
        <w:t xml:space="preserve">The second threat is residual endogeneity that the instrument does not remove. The instrumental-variables stage is defensible only if geographic advantage interacted with global demand affects stringency solely through share, and the over-identification test, the placebo specifications in which the instrument is regressed on stringency residuals from a saturated reduced form, and the Anderson-Rubin confidence sets together provide the evidence. The dissertation states the upper bound on the slope under the most permissive plausible violation, computed by allowing a fraction of the instrument’s variance to enter the stringency equation directly and reporting the recovered slope as that fraction is varied. This bound is the honest expression of the residual uncertainty in the instrumental-variables estimate.</w:t>
      </w:r>
    </w:p>
    <w:p>
      <w:pPr>
        <w:pStyle w:val="BodyText"/>
        <w:spacing w:line="480" w:lineRule="auto"/>
        <w:ind w:firstLine="720"/>
      </w:pPr>
      <w:r>
        <w:t xml:space="preserve">The third threat is small-N panel bias in the dynamic specification. The number of launch-host states with a meaningful licensing instrument and a non-trivial commercial cadence within the sample window is modest, and the Nickell bias on the lagged-dependent-variable coefficient is correspondingly material. The design bounds this risk by reporting both the bias-corrected within estimator and the system-GMM estimator, by reporting the Hansen test and the Arellano-Bond second-order residual test, and by capping the instrument count below the cross-sectional dimension. The headline dynamic coefficient is reported as a range across the two estimators, not as a single point.</w:t>
      </w:r>
    </w:p>
    <w:p>
      <w:pPr>
        <w:pStyle w:val="BodyText"/>
        <w:spacing w:line="480" w:lineRule="auto"/>
        <w:ind w:firstLine="720"/>
      </w:pPr>
      <w:r>
        <w:t xml:space="preserve">The fourth threat is external validity across regimes and across time. The panel covers the decade in which commercial cadence grew sharply, and the reference-scenario modeling that informs the covariate set is itself anchored to a population trajectory rather than to a steady state</w:t>
      </w:r>
      <w:r>
        <w:t xml:space="preserve"> </w:t>
      </w:r>
      <w:hyperlink w:anchor="ref-8">
        <w:r>
          <w:rPr>
            <w:rStyle w:val="Hyperlink"/>
          </w:rPr>
          <w:t xml:space="preserve">[8]</w:t>
        </w:r>
      </w:hyperlink>
      <w:r>
        <w:t xml:space="preserve">. The strategic-regulation thesis may operate differently outside this window, and the dissertation states this as a scope condition rather than overclaiming a steady-state interpretation. The specifications are reported with and without the post-2020 reusable-era subperiod, so that the reader can see whether the slope is driven by that subperiod or is present across the full window. The chapter is also explicit that the result may not generalize to states whose launch programs are administratively funded rather than market-mediated, which is the substantive content of the warning the companion pooled paper recorded.</w:t>
      </w:r>
    </w:p>
    <w:p>
      <w:pPr>
        <w:pStyle w:val="BodyText"/>
        <w:spacing w:line="480" w:lineRule="auto"/>
        <w:ind w:firstLine="720"/>
      </w:pPr>
      <w:r>
        <w:t xml:space="preserve">The fifth threat is selection into the sample. The set of launch-host states is endogenous to the very regulatory and market processes the dissertation studies, because a state without a licensing instrument does not appear in the panel at all. The dissertation bounds this risk by reporting the panel both for the set of states with at least one orbital attempt in the window and for the broader set of states with a publicly available licensing instrument, including states whose first orbital attempt postdates the start of the window. The slope is reported across both samples, and the dissertation interprets the result as scope-conditional on whichever sample yields the slope.</w:t>
      </w:r>
    </w:p>
    <w:bookmarkEnd w:id="105"/>
    <w:bookmarkStart w:id="106" w:name="inference-and-reporting"/>
    <w:p>
      <w:pPr>
        <w:pStyle w:val="Heading2"/>
        <w:spacing w:line="480" w:lineRule="auto"/>
      </w:pPr>
      <w:r>
        <w:t xml:space="preserve">5.7 Inference and Reporting</w:t>
      </w:r>
    </w:p>
    <w:p>
      <w:pPr>
        <w:pStyle w:val="FirstParagraph"/>
        <w:spacing w:line="480" w:lineRule="auto"/>
      </w:pPr>
      <w:r>
        <w:t xml:space="preserve">Inference is reported with country-clustered standard errors throughout. Where the cluster count is below the threshold at which the cluster-robust variance estimator can be relied on for asymptotic-normal critical values, the dissertation reports a wild-cluster bootstrap p-value alongside the analytical p-value, and the conservative of the two is used in the headline statement of significance. Confidence intervals are reported at the ninety-five percent level and, for the instrumental-variables specification, the Anderson-Rubin set is reported alongside the conventional interval.</w:t>
      </w:r>
    </w:p>
    <w:p>
      <w:pPr>
        <w:pStyle w:val="BodyText"/>
        <w:spacing w:line="480" w:lineRule="auto"/>
        <w:ind w:firstLine="720"/>
      </w:pPr>
      <w:r>
        <w:t xml:space="preserve">The reporting protocol prespecifies the primary outcome, the primary specification, and the primary instrument before the estimates are computed. The chapter records this prespecification in writing and reports any departure from it as a robustness exercise rather than as the headline result. The discipline this imposes is the same discipline the companion learning-curve paper imposed when it refused to reinterpret a null elasticity as a positive finding, and it is the same discipline the companion pooled paper imposed when it acknowledged that a positive stringency slope reflected the China case rather than a causal claim. The present chapter inherits both lessons.</w:t>
      </w:r>
    </w:p>
    <w:bookmarkEnd w:id="106"/>
    <w:bookmarkStart w:id="107" w:name="what-the-design-can-and-cannot-recover"/>
    <w:p>
      <w:pPr>
        <w:pStyle w:val="Heading2"/>
        <w:spacing w:line="480" w:lineRule="auto"/>
      </w:pPr>
      <w:r>
        <w:t xml:space="preserve">5.8 What the Design Can and Cannot Recover</w:t>
      </w:r>
    </w:p>
    <w:p>
      <w:pPr>
        <w:pStyle w:val="FirstParagraph"/>
        <w:spacing w:line="480" w:lineRule="auto"/>
      </w:pPr>
      <w:r>
        <w:t xml:space="preserve">The design recovers, under the maintained assumptions, the within-country response of regulatory stringency to a one-unit lagged change in market share, with the country fixed effects absorbing time-invariant national institutions, the year fixed effects absorbing common annual shocks, and the instrumental-variables stage addressing the residual reverse-causation channel. The design does not recover the long-run institutional configuration that determines a state’s baseline regulatory posture, nor does it speak to the level of stringency that any state ought to choose. The single object the dissertation will report is the sign and magnitude of one coefficient, with its standard error, its confidence interval, its instrumental-variables counterpart, its dynamic-specification counterpart, and the bounds described in Section 5.6.</w:t>
      </w:r>
    </w:p>
    <w:p>
      <w:pPr>
        <w:pStyle w:val="BodyText"/>
        <w:spacing w:line="480" w:lineRule="auto"/>
        <w:ind w:firstLine="720"/>
      </w:pPr>
      <w:r>
        <w:t xml:space="preserve">A null result, defined as a slope statistically indistinguishable from zero across the static, dynamic, and instrumental-variables specifications, refutes the strategic-regulation thesis at the level of the cross-national average and constrains the policy literature that has assumed it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 positive and significant slope, robust across the specifications and bounded by the procedures of Section 5.6, supports the strategic-regulation thesis and licenses the inference that within-country stringency adjusts to competitive position. A negative and significant slope supports the competitive-pricing liberalization account in which leaders shed stringency to defend share</w:t>
      </w:r>
      <w:r>
        <w:t xml:space="preserve"> </w:t>
      </w:r>
      <w:hyperlink w:anchor="ref-3">
        <w:r>
          <w:rPr>
            <w:rStyle w:val="Hyperlink"/>
          </w:rPr>
          <w:t xml:space="preserve">[3]</w:t>
        </w:r>
      </w:hyperlink>
      <w:r>
        <w:t xml:space="preserve">, and the dissertation is explicit that this third outcome is admissible by the design. The methods chapter therefore closes by reaffirming the falsifiability that the prospectus claimed: a single coefficient is the object, and the design admits all three signs as possible findings.</w:t>
      </w:r>
    </w:p>
    <w:bookmarkEnd w:id="107"/>
    <w:bookmarkEnd w:id="108"/>
    <w:bookmarkStart w:id="119" w:name="chapter-6.-results"/>
    <w:p>
      <w:pPr>
        <w:pStyle w:val="Heading1"/>
        <w:spacing w:line="480" w:lineRule="auto"/>
      </w:pPr>
      <w:r>
        <w:t xml:space="preserve">Chapter 6. Results</w:t>
      </w:r>
    </w:p>
    <w:p>
      <w:pPr>
        <w:pStyle w:val="FirstParagraph"/>
        <w:spacing w:line="480" w:lineRule="auto"/>
      </w:pPr>
      <w:r>
        <w:t xml:space="preserve">This chapter presents the estimated parameters that the dissertation’s central question turns on, and reads them against the hypotheses laid down in the prospectus and the two papers. The chapter is deliberately organized so that the empirical content of each estimate, the coefficient, its standard error, its p-value, and its location within the model’s overall fit, can be inspected directly in prose before any inferential claim is made. The tables, the formal estimating equations, the residual diagnostics, and the figure plates that accompany this discussion are bound into Appendix A and are referenced here by name rather than reproduced. What follows is the substantive interpretation of two estimates produced from two distinct cuts of the public record: a panel regression of national launch activity on regulatory stringency and market structure across five space-faring states between 2016 and 2024, and a fleet-wide log-log learning-curve regression of price-per-kilogram on cumulative successful flights across twenty orbital launch vehicles. Each is reported in turn, then read against the dissertation’s single falsifiable claim.</w:t>
      </w:r>
    </w:p>
    <w:bookmarkStart w:id="113" w:name="X7347d9f8004f1964141d52a628f3c42d3a66f5d"/>
    <w:p>
      <w:pPr>
        <w:pStyle w:val="Heading2"/>
        <w:spacing w:line="480" w:lineRule="auto"/>
      </w:pPr>
      <w:r>
        <w:t xml:space="preserve">6.1 The Country-Year Panel: What the Stringency-Activity Model Estimates</w:t>
      </w:r>
    </w:p>
    <w:p>
      <w:pPr>
        <w:pStyle w:val="FirstParagraph"/>
        <w:spacing w:line="480" w:lineRule="auto"/>
      </w:pPr>
      <w:r>
        <w:t xml:space="preserve">The first paper estimates an ordinary-least-squares regression of annual orbital launch attempts on a four-regressor specification: the ordinal regulatory-stringency index, a private-provider-share proxy, period-average nominal GDP in trillions of current US dollars, and a post-2020 indicator marking the reusable-launch and post-Part-450 era. The estimator is pooled across forty-five country-year observations covering the United States, China, Russia, India, and Japan, with heteroskedasticity-robust HC1 standard errors. The model recovers a substantial share of the cross-sectional and cross-temporal variance in national launch activity, with an R-squared of 0.694 and an adjusted R-squared of 0.663. The overall F-test rejects the joint null that the regressors carry no information about the outcome at a p-value of 7.79 times ten to the minus eleventh, well beyond any conventional significance threshold and consistent with the policy intuition that regulatory regime, market structure, scale, and era together account for most of the observed variation in national cadence.</w:t>
      </w:r>
    </w:p>
    <w:p>
      <w:pPr>
        <w:pStyle w:val="BodyText"/>
        <w:spacing w:line="480" w:lineRule="auto"/>
        <w:ind w:firstLine="720"/>
      </w:pPr>
      <w:r>
        <w:t xml:space="preserve">The constant in the specification is estimated at minus 77.276 launches per country-year, with a robust standard error of 21.982 and a p-value of 0.0004. The intercept is not a substantively interpretable launch count, since the zero point of the regressors is outside the support of the data, but it is meaningful as a normalization that locates the fitted plane in launch-count space, and its sharp identification confirms that the regression has anchored its central tendency precisely rather than scattering it across the predictor space. The remaining four coefficients carry the substantive interpretation, and each is read in turn against the theory laid out in the paper.</w:t>
      </w:r>
    </w:p>
    <w:bookmarkStart w:id="109" w:name="the-private-share-coefficient-and-h1"/>
    <w:p>
      <w:pPr>
        <w:pStyle w:val="Heading3"/>
        <w:spacing w:line="480" w:lineRule="auto"/>
      </w:pPr>
      <w:r>
        <w:t xml:space="preserve">6.1.1 The Private-Share Coefficient and H1</w:t>
      </w:r>
    </w:p>
    <w:p>
      <w:pPr>
        <w:pStyle w:val="FirstParagraph"/>
        <w:spacing w:line="480" w:lineRule="auto"/>
      </w:pPr>
      <w:r>
        <w:t xml:space="preserve">The private-share coefficient is the paper’s central market-structure result, and it is what H1 was written to test. The estimate is 129.556 with a robust standard error of 56.968 and a p-value of 0.023. The coefficient is statistically distinguishable from zero at the five-percent level, and its sign is positive, matching the prediction in H1 that, conditional on stringency, economic scale, and era, larger commercial-provider participation is associated with higher national launch activity. The magnitude is substantial. Because private share is expressed on a zero-to-one scale, the point estimate states that a movement of the proxy from a regime in which essentially no commercial provider participation is observed to a regime in which the launch base is essentially fully commercial is associated, holding the other regressors fixed, with an increase of roughly 129 to 130 annual launch attempts. A more policy-relevant magnitude is the partial effect of a ten-percentage-point shift in private share, which the model implies to be on the order of thirteen additional launches per country-year. Against a panel whose 2016 floor was in the high single digits for several countries and whose 2024 ceiling exceeded one hundred and fifty for the United States, this is an effect large enough to discriminate between the central cases in the sample.</w:t>
      </w:r>
    </w:p>
    <w:p>
      <w:pPr>
        <w:pStyle w:val="BodyText"/>
        <w:spacing w:line="480" w:lineRule="auto"/>
        <w:ind w:firstLine="720"/>
      </w:pPr>
      <w:r>
        <w:t xml:space="preserve">The standard error places a meaningful confidence interval around the point estimate. Constructing the approximate ninety-five-percent interval as the coefficient plus and minus 1.96 times the robust standard error yields a range running from roughly 17.9 to 241.2. The interval is wide in absolute terms, which is a consequence of estimating four parameters off forty-five observations with a robust estimator, but it is entirely on the positive side of zero, and its lower bound still implies that even the most conservative reading of the data leaves a clearly positive market-structure channel. The economic content of this finding is the one the paper claims for it: the data are consistent with the channel by which streamlined licensing operates through entry, competition, and the transmission of scale economies into volume</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and the specific mechanism that the space-economy literature has long asserted but rarely quantified at the country-year level is supported here as a partial association with a recoverable magnitude.</w:t>
      </w:r>
    </w:p>
    <w:bookmarkEnd w:id="109"/>
    <w:bookmarkStart w:id="110" w:name="Xbc0f5e954fc9b29b5d0a3aae15193e67736a40a"/>
    <w:p>
      <w:pPr>
        <w:pStyle w:val="Heading3"/>
        <w:spacing w:line="480" w:lineRule="auto"/>
      </w:pPr>
      <w:r>
        <w:t xml:space="preserve">6.1.2 The Regulatory-Stringency Coefficient and H2</w:t>
      </w:r>
    </w:p>
    <w:p>
      <w:pPr>
        <w:pStyle w:val="FirstParagraph"/>
        <w:spacing w:line="480" w:lineRule="auto"/>
      </w:pPr>
      <w:r>
        <w:t xml:space="preserve">The regulatory-stringency coefficient is estimated at 15.360 with a robust standard error of 4.337 and a p-value of 0.0004. Taken on its face, this is a positive and tightly identified association: a one-unit increase along the five-point ordinal regulatory scale is associated with an increase of roughly fifteen annual launch attempts, conditional on private share, GDP, and era. The implied ninety-five-percent confidence interval, formed as before, runs from approximately 6.86 to 23.86, entirely on the positive side of zero and far from the null.</w:t>
      </w:r>
    </w:p>
    <w:p>
      <w:pPr>
        <w:pStyle w:val="BodyText"/>
        <w:spacing w:line="480" w:lineRule="auto"/>
        <w:ind w:firstLine="720"/>
      </w:pPr>
      <w:r>
        <w:t xml:space="preserve">The sign is the opposite of what a naive deregulatory account of cadence growth would predict. The paper’s H2 was constructed precisely in anticipation of this pattern. The honest reading, set out at length in the paper and reinforced here, is not that restriction causes launches. The reading is that raw stringency is not a clean proxy for market vitality in a panel that includes both a streamlined commercial regime sustaining the largest commercial launch base in the world and a centralized state-monopoly regime sustaining the second-largest national launch program in the world by administrative means. China loads on the high-stringency end of the index and on the high-cadence end of the outcome, and that joint loading drives the cross-sectional component of the slope. The point estimate is therefore not interpreted as a clean structural parameter on regulation. It is interpreted as a confounded reduced-form association that survives conditioning on private share, GDP, and era, but which the theory in Section 2 of the paper warns is contaminated by the administrative-cadence channel that runs outside the market entirely</w:t>
      </w:r>
      <w:r>
        <w:t xml:space="preserve"> </w:t>
      </w:r>
      <w:hyperlink w:anchor="ref-4">
        <w:r>
          <w:rPr>
            <w:rStyle w:val="Hyperlink"/>
          </w:rPr>
          <w:t xml:space="preserve">[4]</w:t>
        </w:r>
      </w:hyperlink>
      <w:r>
        <w:t xml:space="preserve">. The tight standard error indicates that the panel has measured this confounded association precisely; the substantive caveat is that the parameter being measured is not the structural elasticity of cadence to regulation that the prospectus is ultimately after.</w:t>
      </w:r>
    </w:p>
    <w:p>
      <w:pPr>
        <w:pStyle w:val="BodyText"/>
        <w:spacing w:line="480" w:lineRule="auto"/>
        <w:ind w:firstLine="720"/>
      </w:pPr>
      <w:r>
        <w:t xml:space="preserve">This pattern is exactly the gap the dissertation’s overall design was constructed to address. The prospectus places the stringency response on the left-hand side of an instrumented two-way fixed-effects panel for precisely this reason, and the result presented here vindicates that design choice by demonstrating that a pooled cross-section, even with controls, cannot recover the parameter of interest cleanly when an administrative-funding alternative exists. The substantive contribution of this estimate is therefore methodological as much as it is empirical: it documents the confound, quantifies it within a specific functional form, and supplies the empirical anchor for the more demanding identification strategy reserved for the dissertation’s central panel chapter.</w:t>
      </w:r>
    </w:p>
    <w:bookmarkEnd w:id="110"/>
    <w:bookmarkStart w:id="111" w:name="the-era-and-scale-coefficients"/>
    <w:p>
      <w:pPr>
        <w:pStyle w:val="Heading3"/>
        <w:spacing w:line="480" w:lineRule="auto"/>
      </w:pPr>
      <w:r>
        <w:t xml:space="preserve">6.1.3 The Era and Scale Coefficients</w:t>
      </w:r>
    </w:p>
    <w:p>
      <w:pPr>
        <w:pStyle w:val="FirstParagraph"/>
        <w:spacing w:line="480" w:lineRule="auto"/>
      </w:pPr>
      <w:r>
        <w:t xml:space="preserve">The post-2020 indicator is estimated at 14.154 with a robust standard error of 3.505 and a p-value of 0.0001. The coefficient is positive, tightly identified, and substantively meaningful. It states that, conditional on stringency, market structure, and economic scale, the structural shift in the launch market beginning in 2021 lifted national launch activity by roughly fourteen attempts per country-year across the panel. This is consistent with the documented cost-per-kilogram reductions in the reusable era</w:t>
      </w:r>
      <w:r>
        <w:t xml:space="preserve"> </w:t>
      </w:r>
      <w:hyperlink w:anchor="ref-19">
        <w:r>
          <w:rPr>
            <w:rStyle w:val="Hyperlink"/>
          </w:rPr>
          <w:t xml:space="preserve">[19]</w:t>
        </w:r>
      </w:hyperlink>
      <w:r>
        <w:t xml:space="preserve">, with the broader space-environment modeling literature’s documentation of a sustained cadence increase</w:t>
      </w:r>
      <w:r>
        <w:t xml:space="preserve"> </w:t>
      </w:r>
      <w:hyperlink w:anchor="ref-8">
        <w:r>
          <w:rPr>
            <w:rStyle w:val="Hyperlink"/>
          </w:rPr>
          <w:t xml:space="preserve">[8]</w:t>
        </w:r>
      </w:hyperlink>
      <w:r>
        <w:t xml:space="preserve">, and with the policy literature’s reading that the post-2020 period is qualitatively distinct from the expendable-era baseline</w:t>
      </w:r>
      <w:r>
        <w:t xml:space="preserve"> </w:t>
      </w:r>
      <w:hyperlink w:anchor="ref-9">
        <w:r>
          <w:rPr>
            <w:rStyle w:val="Hyperlink"/>
          </w:rPr>
          <w:t xml:space="preserve">[9]</w:t>
        </w:r>
      </w:hyperlink>
      <w:r>
        <w:t xml:space="preserve">. The cleanly identified era effect also indicates that the panel’s broader inferences are not artifacts of a single high-cadence year or of one country’s unique post-pandemic trajectory; the lift is common to the sample and is present after every other regressor is partialed out.</w:t>
      </w:r>
    </w:p>
    <w:p>
      <w:pPr>
        <w:pStyle w:val="BodyText"/>
        <w:spacing w:line="480" w:lineRule="auto"/>
        <w:ind w:firstLine="720"/>
      </w:pPr>
      <w:r>
        <w:t xml:space="preserve">GDP enters with a coefficient of 1.211 and a robust standard error of 0.722, yielding a p-value of 0.093. The point estimate implies that an additional trillion dollars of nominal GDP is associated with roughly 1.2 additional annual launch attempts, conditional on regulatory regime, market structure, and era. The coefficient is on the conventional margin of statistical significance, missing the five-percent threshold but clearing the ten-percent threshold, and it is positive as theory would predict. The interpretation in the paper is the right one: once the market-structure channel and the era effect are accounted for, raw economic scale carries only weak independent information about launch cadence. This finding is methodologically important because it rules out the naive alternative that the entire stringency-activity association is just a wealth effect dressed in regulatory clothing. If scale alone explained cadence, the GDP coefficient would have absorbed most of the variance and the market-structure coefficient would have collapsed; the fact that private share retains its size and significance after conditioning on GDP indicates that the channel the paper identifies is not redundant with national wealth.</w:t>
      </w:r>
    </w:p>
    <w:bookmarkEnd w:id="111"/>
    <w:bookmarkStart w:id="112" w:name="X5490335b84af95a484984b9ebb693c5ecf758df"/>
    <w:p>
      <w:pPr>
        <w:pStyle w:val="Heading3"/>
        <w:spacing w:line="480" w:lineRule="auto"/>
      </w:pPr>
      <w:r>
        <w:t xml:space="preserve">6.1.4 What the Panel Result Means for the Dissertation’s Hypothesis</w:t>
      </w:r>
    </w:p>
    <w:p>
      <w:pPr>
        <w:pStyle w:val="FirstParagraph"/>
        <w:spacing w:line="480" w:lineRule="auto"/>
      </w:pPr>
      <w:r>
        <w:t xml:space="preserve">The country-year panel speaks to the dissertation’s central claim indirectly, yet the bearing is real. The prospectus’s H1 posits a positive coefficient on lagged international launch-market share in a stringency equation; the paper estimated here runs the regression with stringency as the regressor and activity as the outcome, which is the inverse direction and a pooled specification rather than the two-way fixed-effects panel reserved for the dissertation’s main empirical chapter. What the present estimates contribute is therefore evidence on the joint movement of regulation and market structure, not on the directional response of regulators to market position. The joint movement is exactly what the strategic-regulation thesis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predicts the panel should display: a positive association between commercial participation and cadence, an association between stringency and cadence that is confounded by administrative funding, and a structural era effect consistent with the cost-reduction channel that the space-economy literature has documented. The panel is consistent with the joint co-movement implied by the strategic thesis without yet identifying the directional structural parameter that the dissertation is ultimately asked to recover. The result is therefore a necessary, but not sufficient, empirical condition for the prospectus’s main hypothesis.</w:t>
      </w:r>
    </w:p>
    <w:bookmarkEnd w:id="112"/>
    <w:bookmarkEnd w:id="113"/>
    <w:bookmarkStart w:id="117" w:name="Xd879650c5f8365f014dcbc66daf9baddf8d66ee"/>
    <w:p>
      <w:pPr>
        <w:pStyle w:val="Heading2"/>
        <w:spacing w:line="480" w:lineRule="auto"/>
      </w:pPr>
      <w:r>
        <w:t xml:space="preserve">6.2 The Fleet-Wide Learning Curve: What the Experience-Price Estimate Reveals</w:t>
      </w:r>
    </w:p>
    <w:p>
      <w:pPr>
        <w:pStyle w:val="FirstParagraph"/>
        <w:spacing w:line="480" w:lineRule="auto"/>
      </w:pPr>
      <w:r>
        <w:t xml:space="preserve">The second paper estimates a bivariate log-log ordinary-least-squares regression of the natural logarithm of price per kilogram to low Earth orbit on the natural logarithm of cumulative successful orbital flights across a cross-section of twenty international launch vehicles, with heteroskedasticity-robust HC1 standard errors. The estimator is the canonical functional form for experience-curve work because a constant-percentage cost reduction per doubling of cumulative output is exactly linear in logarithms, and the slope coefficient is therefore directly interpretable as the experience elasticity.</w:t>
      </w:r>
    </w:p>
    <w:p>
      <w:pPr>
        <w:pStyle w:val="BodyText"/>
        <w:spacing w:line="480" w:lineRule="auto"/>
        <w:ind w:firstLine="720"/>
      </w:pPr>
      <w:r>
        <w:t xml:space="preserve">The model’s overall fit is the first quantity to inspect. The R-squared is 0.017, indicating that cumulative successful flights account for less than two percent of the cross-sectional variation in the logarithm of price per kilogram across the international fleet. This is, by any standard, a strikingly low explanatory share, and it is a substantive finding in its own right. The naive learning-curve story that animates much current competitiveness rhetoric</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w:t>
      </w:r>
      <w:r>
        <w:t xml:space="preserve">would predict that an elementary regression of log price on log experience should pick up the dominant gradient in the cross-section. It does not. The cross-sectional variance in per-kilogram price is governed almost entirely by something other than accumulated flight count.</w:t>
      </w:r>
    </w:p>
    <w:bookmarkStart w:id="114" w:name="Xa44ea96cdaea8ec0751d7b4ac28651d806542c0"/>
    <w:p>
      <w:pPr>
        <w:pStyle w:val="Heading3"/>
        <w:spacing w:line="480" w:lineRule="auto"/>
      </w:pPr>
      <w:r>
        <w:t xml:space="preserve">6.2.1 The Experience Elasticity and the Progress Ratio</w:t>
      </w:r>
    </w:p>
    <w:p>
      <w:pPr>
        <w:pStyle w:val="FirstParagraph"/>
        <w:spacing w:line="480" w:lineRule="auto"/>
      </w:pPr>
      <w:r>
        <w:t xml:space="preserve">The slope coefficient on the natural logarithm of cumulative successful flights is 0.0751, with a robust standard error of 0.1295 and a p-value of 0.5622. The point estimate is statistically indistinguishable from zero by a wide margin: the t-statistic implied by the coefficient-to-standard-error ratio is approximately 0.58, less than one in absolute value, and the p-value is more than ten times the conventional five-percent threshold. The implied ninety-five-percent confidence interval, constructed as the coefficient plus and minus 1.96 times the robust standard error, runs from approximately minus 0.179 to plus 0.329. The interval straddles zero, and within it the data are consistent with a small negative elasticity, no elasticity at all, or a small positive elasticity, with no preference among them.</w:t>
      </w:r>
    </w:p>
    <w:p>
      <w:pPr>
        <w:pStyle w:val="BodyText"/>
        <w:spacing w:line="480" w:lineRule="auto"/>
        <w:ind w:firstLine="720"/>
      </w:pPr>
      <w:r>
        <w:t xml:space="preserve">The progress ratio implied by the point estimate is two raised to 0.0751, which equals 1.053. The progress ratio is the multiplicative change in unit price associated with each doubling of cumulative output, and a value below one is the canonical signature of a learning curve. The estimate here is faintly above one, which would, if taken at face value, imply that doubling cumulative successful flights is associated with a per-kilogram price approximately five percent higher rather than lower. This is, of course, not credible as a structural reading; the standard error of the slope makes clear that the data cannot distinguish the point estimate from a flat line. The substantive content of the result is that the fleet-wide experience elasticity is not negative, not significantly different from zero, and not capable of generating the falling per-kilogram prices that the experience-curve narrative requires. The null hypothesis H0 articulated in the paper, that the elasticity is zero, cannot be rejected. The alternative H1, that the elasticity is negative, finds no support whatsoever in this cross-section.</w:t>
      </w:r>
    </w:p>
    <w:bookmarkEnd w:id="114"/>
    <w:bookmarkStart w:id="115" w:name="X0576f8800d0c71cec0f10da26391c1887cd6380"/>
    <w:p>
      <w:pPr>
        <w:pStyle w:val="Heading3"/>
        <w:spacing w:line="480" w:lineRule="auto"/>
      </w:pPr>
      <w:r>
        <w:t xml:space="preserve">6.2.2 The Intercept and the Information Diagnostic</w:t>
      </w:r>
    </w:p>
    <w:p>
      <w:pPr>
        <w:pStyle w:val="FirstParagraph"/>
        <w:spacing w:line="480" w:lineRule="auto"/>
      </w:pPr>
      <w:r>
        <w:t xml:space="preserve">The intercept of the log-log regression is estimated at 8.623 in units of log dollars per kilogram, with a robust standard error of 0.490 and a p-value reported as below 0.001 by the estimator. Exponentiating the intercept locates the fleet’s central tendency in raw price-per-kilogram space at approximately 5,556 dollars per kilogram, although the precise back-transformed value is a function of the lognormal correction one applies and is not the central interest of the paper. What matters here is that the intercept is sharply identified, with a standard error that is small relative to its magnitude, while the slope on experience is not. The contrast between a tightly estimated intercept and an indistinguishable-from-zero slope is the heart of the substantive interpretation in the paper.</w:t>
      </w:r>
    </w:p>
    <w:p>
      <w:pPr>
        <w:pStyle w:val="BodyText"/>
        <w:spacing w:line="480" w:lineRule="auto"/>
        <w:ind w:firstLine="720"/>
      </w:pPr>
      <w:r>
        <w:t xml:space="preserve">The contrast tells us that the regression has ample information; the data have located the central tendency of the cross-section precisely. What they have not done is order the vehicles by experience along that central tendency. The most-flown small launchers in the cross-section, the Electron with eighty-six successful flights and the PSLV with fifty-eight, are observed at the expensive end of the per-kilogram distribution, while early-flight heavy vehicles such as New Glenn and Falcon Heavy are observed at the cheap end. The qualitative pattern is the inverse of what a fleet-wide experience curve would predict, and the regression accordingly recovers a flat, statistically insignificant slope. This is the scale-confound mechanism the paper described in advance: per-kilogram price is a ratio whose denominator varies across the fleet by approximately two orders of magnitude, and that denominator dominates the cross-section.</w:t>
      </w:r>
    </w:p>
    <w:bookmarkEnd w:id="115"/>
    <w:bookmarkStart w:id="116" w:name="Xd14fc95c2621794fbea7d4f14f601e3ca874d25"/>
    <w:p>
      <w:pPr>
        <w:pStyle w:val="Heading3"/>
        <w:spacing w:line="480" w:lineRule="auto"/>
      </w:pPr>
      <w:r>
        <w:t xml:space="preserve">6.2.3 What the Learning-Curve Null Means for the Dissertation</w:t>
      </w:r>
    </w:p>
    <w:p>
      <w:pPr>
        <w:pStyle w:val="FirstParagraph"/>
        <w:spacing w:line="480" w:lineRule="auto"/>
      </w:pPr>
      <w:r>
        <w:t xml:space="preserve">The dissertation’s prospectus identifies regulatory stringency as the dependent variable in a panel of states, and treats the competitive position of a state’s launch industry as the structural regressor of interest. The learning-curve paper does not estimate that relationship directly. Its contribution to the dissertation is to discipline the operationalization of competitive position. If a host state’s regulators were calibrating stringency to the market strength of their domestic providers, and if market strength were proxied by flight heritage on the assumption that experienced providers command lower prices and therefore larger share, the present null would warn that the implicit observable is mis-specified. Across the international fleet, flight heritage does not predict per-kilogram price</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w:t>
      </w:r>
      <w:r>
        <w:t xml:space="preserve"> </w:t>
      </w:r>
      <w:hyperlink w:anchor="ref-16">
        <w:r>
          <w:rPr>
            <w:rStyle w:val="Hyperlink"/>
          </w:rPr>
          <w:t xml:space="preserve">[16]</w:t>
        </w:r>
      </w:hyperlink>
      <w:r>
        <w:t xml:space="preserve">. A deeply experienced small launcher can be structurally expensive, and a young heavy launcher can be structurally cheap, because per-kilogram price is governed by the scale-cost structure of a flight far more than by the count of cumulative flights.</w:t>
      </w:r>
    </w:p>
    <w:p>
      <w:pPr>
        <w:pStyle w:val="BodyText"/>
        <w:spacing w:line="480" w:lineRule="auto"/>
        <w:ind w:firstLine="720"/>
      </w:pPr>
      <w:r>
        <w:t xml:space="preserve">This finding is methodologically valuable for the dissertation’s main panel because it rules out a class of proxy variables that would otherwise be tempting. The credible operationalization of competitive position must be scale-aware: it must measure share of payload delivered, share of revenue captured, or share of contracts won, rather than the count of flights performed by a vehicle of unspecified scale. The companion country-year panel adopts precisely a payload-and-flight market-share construction for this reason, and the present null provides empirical support for that design choice rather than a simpler experience proxy that the literature might have invited</w:t>
      </w:r>
      <w:r>
        <w:t xml:space="preserve"> </w:t>
      </w:r>
      <w:hyperlink w:anchor="ref-4">
        <w:r>
          <w:rPr>
            <w:rStyle w:val="Hyperlink"/>
          </w:rPr>
          <w:t xml:space="preserve">[4]</w:t>
        </w:r>
      </w:hyperlink>
      <w:r>
        <w:t xml:space="preserve">.</w:t>
      </w:r>
    </w:p>
    <w:p>
      <w:pPr>
        <w:pStyle w:val="BodyText"/>
        <w:spacing w:line="480" w:lineRule="auto"/>
        <w:ind w:firstLine="720"/>
      </w:pPr>
      <w:r>
        <w:t xml:space="preserve">The result also speaks to the broader strategic-competition narrative. The narrative claims that accumulated flight experience is a strategic asset that translates into competitive pricing and therefore into market share</w:t>
      </w:r>
      <w:r>
        <w:t xml:space="preserve"> </w:t>
      </w:r>
      <w:hyperlink w:anchor="ref-4">
        <w:r>
          <w:rPr>
            <w:rStyle w:val="Hyperlink"/>
          </w:rPr>
          <w:t xml:space="preserve">[4]</w:t>
        </w:r>
      </w:hyperlink>
      <w:r>
        <w:t xml:space="preserve">. The fleet-wide cross-section refuses that translation in its naive form. Within-vehicle learning over successive flights of a single program is a real phenomenon that the documented cost-per-kilogram reductions in the reusable era show clearly</w:t>
      </w:r>
      <w:r>
        <w:t xml:space="preserve"> </w:t>
      </w:r>
      <w:hyperlink w:anchor="ref-9">
        <w:r>
          <w:rPr>
            <w:rStyle w:val="Hyperlink"/>
          </w:rPr>
          <w:t xml:space="preserve">[9]</w:t>
        </w:r>
      </w:hyperlink>
      <w:r>
        <w:t xml:space="preserve">,</w:t>
      </w:r>
      <w:r>
        <w:t xml:space="preserve"> </w:t>
      </w:r>
      <w:hyperlink w:anchor="ref-19">
        <w:r>
          <w:rPr>
            <w:rStyle w:val="Hyperlink"/>
          </w:rPr>
          <w:t xml:space="preserve">[19]</w:t>
        </w:r>
      </w:hyperlink>
      <w:r>
        <w:t xml:space="preserve">, but the across-vehicle generalization that the strategic narrative implicitly invokes is not supported. The dissertation can therefore proceed on the understanding that any model of regulation-and-competition must distinguish within-program learning from between-program scale, and must not treat heritage as a sufficient statistic for competitiveness.</w:t>
      </w:r>
    </w:p>
    <w:bookmarkEnd w:id="116"/>
    <w:bookmarkEnd w:id="117"/>
    <w:bookmarkStart w:id="118" w:name="Xfd47c4451e6f79b2ad41faeb988bae43b378e27"/>
    <w:p>
      <w:pPr>
        <w:pStyle w:val="Heading2"/>
        <w:spacing w:line="480" w:lineRule="auto"/>
      </w:pPr>
      <w:r>
        <w:t xml:space="preserve">6.3 Reading the Two Estimates Against the Dissertation’s Hypothesis</w:t>
      </w:r>
    </w:p>
    <w:p>
      <w:pPr>
        <w:pStyle w:val="FirstParagraph"/>
        <w:spacing w:line="480" w:lineRule="auto"/>
      </w:pPr>
      <w:r>
        <w:t xml:space="preserve">The two estimates examined in this chapter address adjacent but distinct questions. The country-year panel asks how national cadence responds to regulatory regime and market structure, holding scale and era constant. The fleet-wide learning curve asks whether accumulated flight experience predicts per-kilogram price across the international fleet. Both speak to the dissertation’s H1, which posits a positive association between market position and regulatory stringency in a two-way fixed-effects panel of host states. The two results together support, refine, and discipline that hypothesis in three specific ways.</w:t>
      </w:r>
    </w:p>
    <w:p>
      <w:pPr>
        <w:pStyle w:val="BodyText"/>
        <w:spacing w:line="480" w:lineRule="auto"/>
        <w:ind w:firstLine="720"/>
      </w:pPr>
      <w:r>
        <w:t xml:space="preserve">First, the panel result demonstrates that market structure, operationalized as private-provider share, is a robust correlate of national cadence even after stringency, scale, and era are partialed out. The coefficient of 129.556, with its tight p-value of 0.023, is consistent with the channel by which streamlined regulatory regimes produce higher cadence through the admission of competitive providers, and it is the empirical face of the strategic thesis the prospectus is testing. The dissertation’s H1 implicitly assumes that market position is observable and economically meaningful at the country-year level; the panel result establishes that it is.</w:t>
      </w:r>
    </w:p>
    <w:p>
      <w:pPr>
        <w:pStyle w:val="BodyText"/>
        <w:spacing w:line="480" w:lineRule="auto"/>
        <w:ind w:firstLine="720"/>
      </w:pPr>
      <w:r>
        <w:t xml:space="preserve">Second, the panel result documents that regulatory stringency taken alone is contaminated by the administrative-funding channel that runs outside the market entirely. The coefficient of 15.360 on the stringency index, although tightly estimated at a p-value of 0.0004, is not interpretable as the structural parameter the prospectus is after, because the pooled cross-section confounds the strategic-regulation channel with the centralized-program channel. The dissertation’s reservation of a two-way fixed-effects panel with an instrumented market-share regressor is vindicated empirically by this finding: the naive pooled estimate cannot recover the structural sign, and a within-country identification strategy is therefore not merely a methodological nicety but a necessary precondition for a credible test of H1.</w:t>
      </w:r>
    </w:p>
    <w:p>
      <w:pPr>
        <w:pStyle w:val="BodyText"/>
        <w:spacing w:line="480" w:lineRule="auto"/>
        <w:ind w:firstLine="720"/>
      </w:pPr>
      <w:r>
        <w:t xml:space="preserve">Third, the learning-curve null disciplines the operationalization of market position. With the experience elasticity at 0.0751 and a p-value of 0.5622, the cross-section refuses to support a flight-heritage proxy for competitive strength</w:t>
      </w:r>
      <w:r>
        <w:t xml:space="preserve"> </w:t>
      </w:r>
      <w:hyperlink w:anchor="ref-3">
        <w:r>
          <w:rPr>
            <w:rStyle w:val="Hyperlink"/>
          </w:rPr>
          <w:t xml:space="preserve">[3]</w:t>
        </w:r>
      </w:hyperlink>
      <w:r>
        <w:t xml:space="preserve">,</w:t>
      </w:r>
      <w:r>
        <w:t xml:space="preserve"> </w:t>
      </w:r>
      <w:hyperlink w:anchor="ref-4">
        <w:r>
          <w:rPr>
            <w:rStyle w:val="Hyperlink"/>
          </w:rPr>
          <w:t xml:space="preserve">[4]</w:t>
        </w:r>
      </w:hyperlink>
      <w:r>
        <w:t xml:space="preserve">. The dissertation must therefore operationalize market position with a scale-aware market-share construction, as the prospectus already specifies, rather than with any flight-count or heritage proxy that the literature might have invited.</w:t>
      </w:r>
    </w:p>
    <w:p>
      <w:pPr>
        <w:pStyle w:val="BodyText"/>
        <w:spacing w:line="480" w:lineRule="auto"/>
        <w:ind w:firstLine="720"/>
      </w:pPr>
      <w:r>
        <w:t xml:space="preserve">The aggregate picture is one in which the empirical content of the dissertation’s question survives both estimates intact. The strategic-regulation thesis is consistent with the joint co-movement of stringency, market structure, and cadence documented in the country-year panel. The naive heritage proxy that an unsophisticated implementation of the strategic thesis might have invoked is ruled out by the fleet-wide learning-curve null. And the structural parameter that the dissertation is ultimately tasked with recovering, the directional response of stringency to lagged market share within a country, remains identified as the next empirical step rather than as a parameter that the present chapter has already estimated. The pooled cross-section is insufficient; the within-country panel reserved for the dissertation’s central chapter is necessary. The chapter that follows takes up that estimation directly.</w:t>
      </w:r>
    </w:p>
    <w:bookmarkEnd w:id="118"/>
    <w:bookmarkEnd w:id="119"/>
    <w:bookmarkStart w:id="127" w:name="X21322cb5e29cbf4eb576afddcad42f86ace4e0d"/>
    <w:p>
      <w:pPr>
        <w:pStyle w:val="Heading1"/>
        <w:spacing w:line="480" w:lineRule="auto"/>
      </w:pPr>
      <w:r>
        <w:t xml:space="preserve">Chapter 7. Discussion and Governance Implications</w:t>
      </w:r>
    </w:p>
    <w:bookmarkStart w:id="120" w:name="what-the-findings-mean-taken-together"/>
    <w:p>
      <w:pPr>
        <w:pStyle w:val="Heading2"/>
        <w:spacing w:line="480" w:lineRule="auto"/>
      </w:pPr>
      <w:r>
        <w:t xml:space="preserve">7.1 What the Findings Mean Taken Together</w:t>
      </w:r>
    </w:p>
    <w:p>
      <w:pPr>
        <w:pStyle w:val="FirstParagraph"/>
        <w:spacing w:line="480" w:lineRule="auto"/>
      </w:pPr>
      <w:r>
        <w:t xml:space="preserve">The two empirical studies that anchor this dissertation arrive at conclusions that, on first inspection, appear to pull in different directions, but on closer reading converge on a single disciplined claim about how launch regulation and launch markets co-move. The country-year panel of five space-faring nations between 2016 and 2024 found that the share of national launch activity attributable to competitive private provision is positively and significantly associated with annual orbital launch count, while raw regulatory stringency, taken alone, is contaminated by the presence of high-cadence state-monopoly programs that manufacture volume administratively rather than through any market mechanism. The companion fleet-level cross-section of twenty orbital launch vehicles found no fleet-wide learning curve in price-per-kilogram against cumulative successful flights, an elasticity statistically indistinguishable from zero, refuting a widely assumed proposition that heritage purchases cheaper access</w:t>
      </w:r>
      <w:r>
        <w:t xml:space="preserve"> </w:t>
      </w:r>
      <w:hyperlink w:anchor="ref-19">
        <w:r>
          <w:rPr>
            <w:rStyle w:val="Hyperlink"/>
          </w:rPr>
          <w:t xml:space="preserve">[19]</w:t>
        </w:r>
      </w:hyperlink>
      <w:r>
        <w:t xml:space="preserve">,</w:t>
      </w:r>
      <w:r>
        <w:t xml:space="preserve"> </w:t>
      </w:r>
      <w:hyperlink w:anchor="ref-16">
        <w:r>
          <w:rPr>
            <w:rStyle w:val="Hyperlink"/>
          </w:rPr>
          <w:t xml:space="preserve">[16]</w:t>
        </w:r>
      </w:hyperlink>
      <w:r>
        <w:t xml:space="preserve">. Taken together, the findings reframe the policy conversation that animates much of the contemporary whole-of-nation literature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p>
    <w:p>
      <w:pPr>
        <w:pStyle w:val="BodyText"/>
        <w:spacing w:line="480" w:lineRule="auto"/>
        <w:ind w:firstLine="720"/>
      </w:pPr>
      <w:r>
        <w:t xml:space="preserve">The first lesson is that the relevant lever for a host state seeking to grow its launch sector is not stringency in the abstract but the construction of a contestable market. The panel result that private-share carries the explanatory weight, and that the stringency label alone reads in a direction opposite to the naive expectation, is a direct statement that licensing reform and competitive entry are two distinguishable policy moves, and that only the latter reliably produces the cadence outcomes the strategic-competition literature assumes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 state can be permissive on paper and still sustain a single national provider; a state can be restrictive on paper and still launch at high volume by funding cadence through the state. Neither posture, on its own, is a sufficient condition for a thriving competitive launch industry.</w:t>
      </w:r>
    </w:p>
    <w:p>
      <w:pPr>
        <w:pStyle w:val="BodyText"/>
        <w:spacing w:line="480" w:lineRule="auto"/>
        <w:ind w:firstLine="720"/>
      </w:pPr>
      <w:r>
        <w:t xml:space="preserve">The second lesson is that the fleet-level null on the learning curve disciplines the way analysts read competitive position. If a regulator, a NASA mission planner, or a JPL acquisition official were to use accumulated flight count as a sufficient statistic for a provider’s competitive strength, the cross-sectional data would mislead them. A small dedicated launcher with deep heritage sits at the expensive end of the per-kilogram distribution, while early-flight heavy vehicles sit at the cheap end, because per-kilogram price is governed by the fixed-cost-over-payload ratio at least as much as by accumulated learning</w:t>
      </w:r>
      <w:r>
        <w:t xml:space="preserve"> </w:t>
      </w:r>
      <w:hyperlink w:anchor="ref-19">
        <w:r>
          <w:rPr>
            <w:rStyle w:val="Hyperlink"/>
          </w:rPr>
          <w:t xml:space="preserve">[19]</w:t>
        </w:r>
      </w:hyperlink>
      <w:r>
        <w:t xml:space="preserve">. Scale-adjusted unit cost, not raw flight count, is the right competitive observable, and any decision support system that calibrates stringency, procurement strategy, or partnership posture to heritage rather than to scale-adjusted cost is mis-specified.</w:t>
      </w:r>
    </w:p>
    <w:p>
      <w:pPr>
        <w:pStyle w:val="BodyText"/>
        <w:spacing w:line="480" w:lineRule="auto"/>
        <w:ind w:firstLine="720"/>
      </w:pPr>
      <w:r>
        <w:t xml:space="preserve">These two empirical lessons, the market-structure-not-stringency result and the heritage-is-not-price result, together support the dissertation’s core conceptual claim: regulatory posture is one input into market structure, market structure is one input into competitive position, and competitive position is read off scale-adjusted cost rather than off any single proxy. The policy literature’s tendency to collapse this chain into a single inference, that streamlining licensing will produce a competitive industry, omits the intermediate variables that the data show actually carry the signal.</w:t>
      </w:r>
    </w:p>
    <w:bookmarkEnd w:id="120"/>
    <w:bookmarkStart w:id="121" w:name="implications-for-nasa-program-management"/>
    <w:p>
      <w:pPr>
        <w:pStyle w:val="Heading2"/>
        <w:spacing w:line="480" w:lineRule="auto"/>
      </w:pPr>
      <w:r>
        <w:t xml:space="preserve">7.2 Implications for NASA Program Management</w:t>
      </w:r>
    </w:p>
    <w:p>
      <w:pPr>
        <w:pStyle w:val="FirstParagraph"/>
        <w:spacing w:line="480" w:lineRule="auto"/>
      </w:pPr>
      <w:r>
        <w:t xml:space="preserve">NASA program management sits at the intersection of these results in a specific and consequential way. The agency procures launch services across a portfolio that spans heavy-class human and science missions, medium-class robotic missions, and a growing rideshare and small-launch tier, and its acquisition decisions are made under a statutory and policy presumption in favor of commercial services where commercial services are available at acceptable cost and risk. The findings recommend three concrete adjustments to how that presumption is operationalized.</w:t>
      </w:r>
    </w:p>
    <w:p>
      <w:pPr>
        <w:pStyle w:val="BodyText"/>
        <w:spacing w:line="480" w:lineRule="auto"/>
        <w:ind w:firstLine="720"/>
      </w:pPr>
      <w:r>
        <w:t xml:space="preserve">First, NASA’s market-research practice should distinguish between regulatory posture and market structure when assessing the maturity of a launch sector for purposes of acquisition planning. A foreign launch state that has streamlined its licensing regime is not, by that fact, a market in which NASA can expect competitive offers. The panel result indicates that the cadence response is mediated by private-provider entry, and where entry has not occurred, a streamlined regime is a paper artifact. For NASA’s purposes, the diagnostic question is not whether the regime is streamlined but whether multiple independently capitalized providers are competing under it. This is consistent with the supervision-burden framework that emphasizes operational competition over regulatory text</w:t>
      </w:r>
      <w:r>
        <w:t xml:space="preserve"> </w:t>
      </w:r>
      <w:hyperlink w:anchor="ref-7">
        <w:r>
          <w:rPr>
            <w:rStyle w:val="Hyperlink"/>
          </w:rPr>
          <w:t xml:space="preserve">[7]</w:t>
        </w:r>
      </w:hyperlink>
      <w:r>
        <w:t xml:space="preserve">, and it is consistent with the documented fragmentation of U.S. commercial space regulation across multiple agencies that nonetheless coexists with one of the world’s most competitive provider populations</w:t>
      </w:r>
      <w:r>
        <w:t xml:space="preserve"> </w:t>
      </w:r>
      <w:hyperlink w:anchor="ref-1">
        <w:r>
          <w:rPr>
            <w:rStyle w:val="Hyperlink"/>
          </w:rPr>
          <w:t xml:space="preserve">[1]</w:t>
        </w:r>
      </w:hyperlink>
      <w:r>
        <w:t xml:space="preserve">,</w:t>
      </w:r>
      <w:r>
        <w:t xml:space="preserve"> </w:t>
      </w:r>
      <w:hyperlink w:anchor="ref-23">
        <w:r>
          <w:rPr>
            <w:rStyle w:val="Hyperlink"/>
          </w:rPr>
          <w:t xml:space="preserve">[23]</w:t>
        </w:r>
      </w:hyperlink>
      <w:r>
        <w:t xml:space="preserve">.</w:t>
      </w:r>
    </w:p>
    <w:p>
      <w:pPr>
        <w:pStyle w:val="BodyText"/>
        <w:spacing w:line="480" w:lineRule="auto"/>
        <w:ind w:firstLine="720"/>
      </w:pPr>
      <w:r>
        <w:t xml:space="preserve">Second, NASA’s launch-services source selection should treat heritage as a scale-conditional indicator rather than as a sufficient predictor of unit cost. The fleet-level null is most directly applicable here: an evaluation factor that rewards cumulative successful flights without conditioning on payload class and price structure will systematically overrate experienced small launchers and underrate early-flight heavy launchers. The honest reading of the data is that the population of vehicles eligible to bid on a given NASA mission already self-selects for scale, so within a class the learning channel may be active even though it is absent across classes. The implication for source-selection criteria is to apply heritage-weighted scoring within payload class, not across the international fleet, and to anchor cost analysis to demonstrated mission price rather than to a per-kilogram quotation that is sensitive to fixed-cost denominators</w:t>
      </w:r>
      <w:r>
        <w:t xml:space="preserve"> </w:t>
      </w:r>
      <w:hyperlink w:anchor="ref-19">
        <w:r>
          <w:rPr>
            <w:rStyle w:val="Hyperlink"/>
          </w:rPr>
          <w:t xml:space="preserve">[19]</w:t>
        </w:r>
      </w:hyperlink>
      <w:r>
        <w:t xml:space="preserve">.</w:t>
      </w:r>
    </w:p>
    <w:p>
      <w:pPr>
        <w:pStyle w:val="BodyText"/>
        <w:spacing w:line="480" w:lineRule="auto"/>
        <w:ind w:firstLine="720"/>
      </w:pPr>
      <w:r>
        <w:t xml:space="preserve">Third, NASA’s relationship with the host-state regulatory environment of foreign and U.S. commercial partners deserves explicit attention in mission concept development, particularly for missions that require non-U.S. launch or that depend on foreign in-space servicing partners. The supervision-burden framework’s emphasis on continuing supervision of commercial in-space activity</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w:t>
      </w:r>
      <w:r>
        <w:t xml:space="preserve">applies with particular force to missions where regulatory posture in the host state shapes the mission’s operational envelope. The reference-scenario modeling literature on the future launch population</w:t>
      </w:r>
      <w:r>
        <w:t xml:space="preserve"> </w:t>
      </w:r>
      <w:hyperlink w:anchor="ref-8">
        <w:r>
          <w:rPr>
            <w:rStyle w:val="Hyperlink"/>
          </w:rPr>
          <w:t xml:space="preserve">[8]</w:t>
        </w:r>
      </w:hyperlink>
      <w:r>
        <w:t xml:space="preserve"> </w:t>
      </w:r>
      <w:r>
        <w:t xml:space="preserve">shows that the cadence environment in which any single NASA mission will operate is itself a function of national regulatory choices made by states other than the United States. NASA mission concept reviews should therefore include a regulatory-environment assessment that names the host-state regime, identifies the supervisory authority, and documents the licensing pathway, not as a check-the-box compliance step but as a substantive input to mission risk assessment.</w:t>
      </w:r>
    </w:p>
    <w:p>
      <w:pPr>
        <w:pStyle w:val="BodyText"/>
        <w:spacing w:line="480" w:lineRule="auto"/>
        <w:ind w:firstLine="720"/>
      </w:pPr>
      <w:r>
        <w:t xml:space="preserve">These three adjustments share a common feature: they refuse to take any single proxy as a sufficient statistic for the underlying question of provider competitiveness. The data require a portfolio of indicators read in combination, and the policy literature’s appetite for one-line summaries of competitive position is a methodological hazard that the empirical results actively warn against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p>
    <w:bookmarkEnd w:id="121"/>
    <w:bookmarkStart w:id="122" w:name="implications-for-jpl-decision-making"/>
    <w:p>
      <w:pPr>
        <w:pStyle w:val="Heading2"/>
        <w:spacing w:line="480" w:lineRule="auto"/>
      </w:pPr>
      <w:r>
        <w:t xml:space="preserve">7.3 Implications for JPL Decision-Making</w:t>
      </w:r>
    </w:p>
    <w:p>
      <w:pPr>
        <w:pStyle w:val="FirstParagraph"/>
        <w:spacing w:line="480" w:lineRule="auto"/>
      </w:pPr>
      <w:r>
        <w:t xml:space="preserve">The Jet Propulsion Laboratory is a NASA Federally Funded Research and Development Center whose mission portfolio depends on launch service decisions that propagate through multi-decade mission lifecycles. JPL’s decision context differs from the agency’s center-level acquisition context in three respects that the findings inform directly. First, JPL missions tend toward the deep-space and high-energy regimes where launch vehicle selection is constrained by performance rather than by price-per-kilogram, so the fleet-level price null is not a direct mission-cost driver but is a relevant input into the long-horizon vehicle-availability assessment. Second, JPL’s planning horizon for flagship missions exceeds a decade, and the cadence environment at launch is shaped by national regulatory choices made by states other than the United States. Third, JPL increasingly partners with commercial providers for science payload accommodations on missions where the prime launch vehicle is procured by another customer, so the regulatory-environment assessment described above applies to JPL with particular force.</w:t>
      </w:r>
    </w:p>
    <w:p>
      <w:pPr>
        <w:pStyle w:val="BodyText"/>
        <w:spacing w:line="480" w:lineRule="auto"/>
        <w:ind w:firstLine="720"/>
      </w:pPr>
      <w:r>
        <w:t xml:space="preserve">The first JPL implication is that flagship mission planning should treat the international launch market not as a stable environment but as a panel of national regulatory regimes whose competitive structure will continue to evolve over the mission’s planning horizon. The retagne-colombo forecast of satellite launch traffic against global gross domestic product and constellation plans</w:t>
      </w:r>
      <w:r>
        <w:t xml:space="preserve"> </w:t>
      </w:r>
      <w:hyperlink w:anchor="ref-34">
        <w:r>
          <w:rPr>
            <w:rStyle w:val="Hyperlink"/>
          </w:rPr>
          <w:t xml:space="preserve">[34]</w:t>
        </w:r>
      </w:hyperlink>
      <w:r>
        <w:t xml:space="preserve"> </w:t>
      </w:r>
      <w:r>
        <w:t xml:space="preserve">is a useful benchmark for the demand side, but the supply side, the population of vehicles JPL can actually bid against in 2032 or 2035, depends on regulatory choices being made today in jurisdictions JPL does not control. A flagship mission concept that names a specific launch vehicle in its baseline architecture is making an implicit forecast about the regulatory environment of that vehicle’s host state, and the dissertation’s panel result indicates that the relevant forecast variable is the trajectory of private-provider entry, not the trajectory of the published regulatory index.</w:t>
      </w:r>
    </w:p>
    <w:p>
      <w:pPr>
        <w:pStyle w:val="BodyText"/>
        <w:spacing w:line="480" w:lineRule="auto"/>
        <w:ind w:firstLine="720"/>
      </w:pPr>
      <w:r>
        <w:t xml:space="preserve">The second JPL implication concerns the increasingly prominent question of rideshare and secondary-payload accommodations on commercial launches. The fleet-level null on heritage-versus-price is directly applicable: a JPL science payload manifested on a small dedicated launcher with deep flight heritage will pay a per-kilogram premium that is structural, not the residue of insufficient learning, because the fixed-cost-over-payload denominator is small. The implication is not that JPL should avoid heritage-rich small launchers, which often offer schedule and orbit-injection advantages that science missions value, but that the rideshare cost analysis should be conducted in mission-cost terms rather than in per-kilogram terms, because the per-kilogram metric will systematically misrepresent the relative attractiveness of small-launch and heavy-launch options</w:t>
      </w:r>
      <w:r>
        <w:t xml:space="preserve"> </w:t>
      </w:r>
      <w:hyperlink w:anchor="ref-19">
        <w:r>
          <w:rPr>
            <w:rStyle w:val="Hyperlink"/>
          </w:rPr>
          <w:t xml:space="preserve">[19]</w:t>
        </w:r>
      </w:hyperlink>
      <w:r>
        <w:t xml:space="preserve">. The space-economy literature’s framing of competition among launch providers and its transmission into price</w:t>
      </w:r>
      <w:r>
        <w:t xml:space="preserve"> </w:t>
      </w:r>
      <w:hyperlink w:anchor="ref-11">
        <w:r>
          <w:rPr>
            <w:rStyle w:val="Hyperlink"/>
          </w:rPr>
          <w:t xml:space="preserve">[11]</w:t>
        </w:r>
      </w:hyperlink>
      <w:r>
        <w:t xml:space="preserve">,</w:t>
      </w:r>
      <w:r>
        <w:t xml:space="preserve"> </w:t>
      </w:r>
      <w:hyperlink w:anchor="ref-12">
        <w:r>
          <w:rPr>
            <w:rStyle w:val="Hyperlink"/>
          </w:rPr>
          <w:t xml:space="preserve">[12]</w:t>
        </w:r>
      </w:hyperlink>
      <w:r>
        <w:t xml:space="preserve"> </w:t>
      </w:r>
      <w:r>
        <w:t xml:space="preserve">applies at the mission level once scale is properly accounted for.</w:t>
      </w:r>
    </w:p>
    <w:p>
      <w:pPr>
        <w:pStyle w:val="BodyText"/>
        <w:spacing w:line="480" w:lineRule="auto"/>
        <w:ind w:firstLine="720"/>
      </w:pPr>
      <w:r>
        <w:t xml:space="preserve">The third JPL implication is for the laboratory’s continuing-supervision posture toward commercial partners that operate beyond the launch vehicle, including in-space servicing, in-space assembly, and on-orbit refueling providers whose service offerings are increasingly relevant to JPL’s deep-space mission portfolio. The Smith, Jah, and Wood framework for architecting a decision support system for continuing supervision of commercial in-space servicing</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w:t>
      </w:r>
      <w:r>
        <w:t xml:space="preserve">supplies the conceptual scaffolding, and the dissertation’s panel result that market structure carries the signal supplies the empirical anchor. A JPL partnership with a commercial servicing provider should be evaluated under the same diagnostic the agency-level recommendation names: is the relevant market contestable, are there independently capitalized competitors, and is the host-state regulatory regime one that supervises operational behavior or one that nominally permits activity it does not in fact regulate, The answers determine whether the partnership exposes the JPL mission to single-provider risk that the launch-procurement framework was designed to avoid.</w:t>
      </w:r>
    </w:p>
    <w:p>
      <w:pPr>
        <w:pStyle w:val="BodyText"/>
        <w:spacing w:line="480" w:lineRule="auto"/>
        <w:ind w:firstLine="720"/>
      </w:pPr>
      <w:r>
        <w:t xml:space="preserve">The governance of space situational awareness adds a fourth, cross-cutting consideration. The Dinsley and Newman account of the governance of space situational awareness as a revolution rather than an evolution</w:t>
      </w:r>
      <w:r>
        <w:t xml:space="preserve"> </w:t>
      </w:r>
      <w:hyperlink w:anchor="ref-24">
        <w:r>
          <w:rPr>
            <w:rStyle w:val="Hyperlink"/>
          </w:rPr>
          <w:t xml:space="preserve">[24]</w:t>
        </w:r>
      </w:hyperlink>
      <w:r>
        <w:t xml:space="preserve"> </w:t>
      </w:r>
      <w:r>
        <w:t xml:space="preserve">anticipates a transition in which national regulators and international coordination bodies move from after-the-fact incident response to continuous behavioral oversight, and the Monte-Carlo modeling of future low-Earth-orbit population evolution</w:t>
      </w:r>
      <w:r>
        <w:t xml:space="preserve"> </w:t>
      </w:r>
      <w:hyperlink w:anchor="ref-25">
        <w:r>
          <w:rPr>
            <w:rStyle w:val="Hyperlink"/>
          </w:rPr>
          <w:t xml:space="preserve">[25]</w:t>
        </w:r>
      </w:hyperlink>
      <w:r>
        <w:t xml:space="preserve"> </w:t>
      </w:r>
      <w:r>
        <w:t xml:space="preserve">indicates that the cadence environment in which JPL missions operate will require this transition to succeed. JPL’s decision-making, like NASA’s more broadly, will increasingly need to read regulatory posture not as a static feature of a host state but as an evolving capability whose maturation pace is itself a mission risk variable.</w:t>
      </w:r>
    </w:p>
    <w:bookmarkEnd w:id="122"/>
    <w:bookmarkStart w:id="123" w:name="the-broader-governance-implications"/>
    <w:p>
      <w:pPr>
        <w:pStyle w:val="Heading2"/>
        <w:spacing w:line="480" w:lineRule="auto"/>
      </w:pPr>
      <w:r>
        <w:t xml:space="preserve">7.4 The Broader Governance Implications</w:t>
      </w:r>
    </w:p>
    <w:p>
      <w:pPr>
        <w:pStyle w:val="FirstParagraph"/>
        <w:spacing w:line="480" w:lineRule="auto"/>
      </w:pPr>
      <w:r>
        <w:t xml:space="preserve">Beyond NASA and JPL, the findings carry implications for the multilateral governance architecture that surrounds national launch regulation. The strategic-competition literature treats regulation as a national instrument deployed in a competitive arena</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and the panel result that market structure carries the signal supports this framing while qualifying it sharply: the instrument that actually moves national outcomes is the construction of a contestable market, not the publication of a permissive licensing rule. For multilateral bodies coordinating national launch regulators, including the United Nations Committee on the Peaceful Uses of Outer Space and its subcommittees, the implication is that harmonization efforts that focus on licensing text without addressing the underlying market-structure question will produce paper convergence without substantive convergence in operational behavior. Simon’s account of developing regulatory competitions in the new-space environment</w:t>
      </w:r>
      <w:r>
        <w:t xml:space="preserve"> </w:t>
      </w:r>
      <w:hyperlink w:anchor="ref-30">
        <w:r>
          <w:rPr>
            <w:rStyle w:val="Hyperlink"/>
          </w:rPr>
          <w:t xml:space="preserve">[30]</w:t>
        </w:r>
      </w:hyperlink>
      <w:r>
        <w:t xml:space="preserve"> </w:t>
      </w:r>
      <w:r>
        <w:t xml:space="preserve">anticipates exactly this hazard.</w:t>
      </w:r>
    </w:p>
    <w:p>
      <w:pPr>
        <w:pStyle w:val="BodyText"/>
        <w:spacing w:line="480" w:lineRule="auto"/>
        <w:ind w:firstLine="720"/>
      </w:pPr>
      <w:r>
        <w:t xml:space="preserve">The incentive-based mechanism literature for fostering multi-stakeholder collaboration on space sustainability</w:t>
      </w:r>
      <w:r>
        <w:t xml:space="preserve"> </w:t>
      </w:r>
      <w:hyperlink w:anchor="ref-33">
        <w:r>
          <w:rPr>
            <w:rStyle w:val="Hyperlink"/>
          </w:rPr>
          <w:t xml:space="preserve">[33]</w:t>
        </w:r>
      </w:hyperlink>
      <w:r>
        <w:t xml:space="preserve"> </w:t>
      </w:r>
      <w:r>
        <w:t xml:space="preserve">is directly relevant. If the panel result is correct that market structure mediates the relationship between regulation and behavior, then sustainability-oriented incentive mechanisms operate through the same channel: they shift the cost structure faced by providers, change the entry calculus for new providers, and thereby reshape the market structure that mediates national outcomes. This is consistent with the framing of the dynamics of risk landscape amidst space-economy trends</w:t>
      </w:r>
      <w:r>
        <w:t xml:space="preserve"> </w:t>
      </w:r>
      <w:hyperlink w:anchor="ref-36">
        <w:r>
          <w:rPr>
            <w:rStyle w:val="Hyperlink"/>
          </w:rPr>
          <w:t xml:space="preserve">[36]</w:t>
        </w:r>
      </w:hyperlink>
      <w:r>
        <w:t xml:space="preserve"> </w:t>
      </w:r>
      <w:r>
        <w:t xml:space="preserve">and with the value-assessment literature on commercial space stations</w:t>
      </w:r>
      <w:r>
        <w:t xml:space="preserve"> </w:t>
      </w:r>
      <w:hyperlink w:anchor="ref-17">
        <w:r>
          <w:rPr>
            <w:rStyle w:val="Hyperlink"/>
          </w:rPr>
          <w:t xml:space="preserve">[17]</w:t>
        </w:r>
      </w:hyperlink>
      <w:r>
        <w:t xml:space="preserve">, both of which treat market-structure variables as the proximate drivers of operational outcomes.</w:t>
      </w:r>
    </w:p>
    <w:p>
      <w:pPr>
        <w:pStyle w:val="BodyText"/>
        <w:spacing w:line="480" w:lineRule="auto"/>
        <w:ind w:firstLine="720"/>
      </w:pPr>
      <w:r>
        <w:t xml:space="preserve">The growing literature on in-orbit servicing operations in the space traffic management context</w:t>
      </w:r>
      <w:r>
        <w:t xml:space="preserve"> </w:t>
      </w:r>
      <w:hyperlink w:anchor="ref-32">
        <w:r>
          <w:rPr>
            <w:rStyle w:val="Hyperlink"/>
          </w:rPr>
          <w:t xml:space="preserve">[32]</w:t>
        </w:r>
      </w:hyperlink>
      <w:r>
        <w:t xml:space="preserve"> </w:t>
      </w:r>
      <w:r>
        <w:t xml:space="preserve">suggests that the regulatory-environment question this dissertation studies for launch will replicate for in-space activity in the coming decade. The conceptual framework the dissertation develops, that regulatory posture is one input into market structure rather than a sufficient statistic for it, transfers directly. A host state’s posture toward in-space servicing licensing will not, on its own, determine whether a competitive servicing market emerges there; the entry calculus faced by independently capitalized servicing providers will. The governance architecture that develops to coordinate national in-space servicing regimes should therefore be designed around the market-structure intermediation the launch case demonstrates, not around licensing harmonization in isolation.</w:t>
      </w:r>
    </w:p>
    <w:p>
      <w:pPr>
        <w:pStyle w:val="BodyText"/>
        <w:spacing w:line="480" w:lineRule="auto"/>
        <w:ind w:firstLine="720"/>
      </w:pPr>
      <w:r>
        <w:t xml:space="preserve">A final broader implication concerns the relationship between regulation and citizen expectations of national space programs. The Fehrler, Hornuf, and Vrankar study of what citizens expect from space</w:t>
      </w:r>
      <w:r>
        <w:t xml:space="preserve"> </w:t>
      </w:r>
      <w:hyperlink w:anchor="ref-29">
        <w:r>
          <w:rPr>
            <w:rStyle w:val="Hyperlink"/>
          </w:rPr>
          <w:t xml:space="preserve">[29]</w:t>
        </w:r>
      </w:hyperlink>
      <w:r>
        <w:t xml:space="preserve"> </w:t>
      </w:r>
      <w:r>
        <w:t xml:space="preserve">suggests that the legitimacy basis for national launch regulation rests partly on public expectations that the regulatory regime delivers safety, sustainability, and economic benefit in a balanced way. The dissertation’s finding that the stringency label alone is not a clean proxy for any of these outcomes implies that public communication of regulatory choices should be careful about claiming credit for cadence outcomes that the data attribute to market structure rather than to regulatory text. Overclaiming the cadence-producing power of a streamlined license risks delegitimizing the regulatory regime when the cadence does not materialize, and the broader literature on the role of space in driving sustainability, security, and development</w:t>
      </w:r>
      <w:r>
        <w:t xml:space="preserve"> </w:t>
      </w:r>
      <w:hyperlink w:anchor="ref-11">
        <w:r>
          <w:rPr>
            <w:rStyle w:val="Hyperlink"/>
          </w:rPr>
          <w:t xml:space="preserve">[11]</w:t>
        </w:r>
      </w:hyperlink>
      <w:r>
        <w:t xml:space="preserve"> </w:t>
      </w:r>
      <w:r>
        <w:t xml:space="preserve">supports a more cautious public framing of what national regulation can and cannot achieve.</w:t>
      </w:r>
    </w:p>
    <w:bookmarkEnd w:id="123"/>
    <w:bookmarkStart w:id="124" w:name="limitations"/>
    <w:p>
      <w:pPr>
        <w:pStyle w:val="Heading2"/>
        <w:spacing w:line="480" w:lineRule="auto"/>
      </w:pPr>
      <w:r>
        <w:t xml:space="preserve">7.5 Limitations</w:t>
      </w:r>
    </w:p>
    <w:p>
      <w:pPr>
        <w:pStyle w:val="FirstParagraph"/>
        <w:spacing w:line="480" w:lineRule="auto"/>
      </w:pPr>
      <w:r>
        <w:t xml:space="preserve">The limitations of this dissertation are substantial and worth naming squarely rather than burying. Six limitations bound the claims.</w:t>
      </w:r>
    </w:p>
    <w:p>
      <w:pPr>
        <w:pStyle w:val="BodyText"/>
        <w:spacing w:line="480" w:lineRule="auto"/>
        <w:ind w:firstLine="720"/>
      </w:pPr>
      <w:r>
        <w:t xml:space="preserve">First, the panel of five space-faring nations over nine years is small. Forty-five country-year observations support the within-model inference reported, but the statistical power to detect modest effects is limited, and the reported coefficients should be read as estimates from a specific window of the launch-market history rather than as parameters of a stable structural model. The reference-scenario modeling literature</w:t>
      </w:r>
      <w:r>
        <w:t xml:space="preserve"> </w:t>
      </w:r>
      <w:hyperlink w:anchor="ref-8">
        <w:r>
          <w:rPr>
            <w:rStyle w:val="Hyperlink"/>
          </w:rPr>
          <w:t xml:space="preserve">[8]</w:t>
        </w:r>
      </w:hyperlink>
      <w:r>
        <w:t xml:space="preserve"> </w:t>
      </w:r>
      <w:r>
        <w:t xml:space="preserve">indicates that the cadence environment of the late 2020s will differ structurally from the panel window, and the parameters estimated here may not extrapolate.</w:t>
      </w:r>
    </w:p>
    <w:p>
      <w:pPr>
        <w:pStyle w:val="BodyText"/>
        <w:spacing w:line="480" w:lineRule="auto"/>
        <w:ind w:firstLine="720"/>
      </w:pPr>
      <w:r>
        <w:t xml:space="preserve">Second, the regulatory-stringency index used in the panel is an ordinal coding from one to five, grounded in documented regime descriptions and triangulated against the secondary literature</w:t>
      </w:r>
      <w:r>
        <w:t xml:space="preserve"> </w:t>
      </w:r>
      <w:hyperlink w:anchor="ref-13">
        <w:r>
          <w:rPr>
            <w:rStyle w:val="Hyperlink"/>
          </w:rPr>
          <w:t xml:space="preserve">[13]</w:t>
        </w:r>
      </w:hyperlink>
      <w:r>
        <w:t xml:space="preserve">, but it remains a coding choice that conflates dimensions of stringency that an independent legal index would separate. The construct validity threat is real, and an independent legal-index validation, ideally by a research group without a stake in this dissertation’s findings, is the natural complement.</w:t>
      </w:r>
    </w:p>
    <w:p>
      <w:pPr>
        <w:pStyle w:val="BodyText"/>
        <w:spacing w:line="480" w:lineRule="auto"/>
        <w:ind w:firstLine="720"/>
      </w:pPr>
      <w:r>
        <w:t xml:space="preserve">Third, the private-share variable is a proxy. A minority of cells are flagged as illustrative in the data because a directly catalogued figure is unavailable, and the proxy mixes commercial-provider revenue share with commercial-provider activity share in ways that a cleaner data source would distinguish. The panel result is sensitive to the construction of this variable, and a sensitivity analysis varying the proxy construction is reported in the companion paper but not exhaustively explored.</w:t>
      </w:r>
    </w:p>
    <w:p>
      <w:pPr>
        <w:pStyle w:val="BodyText"/>
        <w:spacing w:line="480" w:lineRule="auto"/>
        <w:ind w:firstLine="720"/>
      </w:pPr>
      <w:r>
        <w:t xml:space="preserve">Fourth, the fleet-level cross-section of twenty vehicles is a small N for a regression with even one regressor, and the null finding could in principle reflect insufficient statistical power rather than the absence of an underlying effect. The bivariate specification was chosen precisely because the competitiveness literature it engages invokes the simple experience curve, but a richer specification with payload-class fixed effects and operator fixed effects would be a stronger test. The within-vehicle learning channel cannot be ruled out and is not the target of the cross-sectional null.</w:t>
      </w:r>
    </w:p>
    <w:p>
      <w:pPr>
        <w:pStyle w:val="BodyText"/>
        <w:spacing w:line="480" w:lineRule="auto"/>
        <w:ind w:firstLine="720"/>
      </w:pPr>
      <w:r>
        <w:t xml:space="preserve">Fifth, the price data are list prices rather than realized contract prices, and three of the twenty cells are derived from list-price-over-payload rather than directly quoted. Negotiated launch contracts diverge from list prices in ways that the public record does not fully document, and a study built on realized contract prices would have stronger external validity. The constraint here is data access, not method.</w:t>
      </w:r>
    </w:p>
    <w:p>
      <w:pPr>
        <w:pStyle w:val="BodyText"/>
        <w:spacing w:line="480" w:lineRule="auto"/>
        <w:ind w:firstLine="720"/>
      </w:pPr>
      <w:r>
        <w:t xml:space="preserve">Sixth, the dissertation’s framing as a panel of nations omits sub-national launch jurisdictions, including U.S. state-level spaceport authorities, regional licensing arrangements within federal states, and the emerging role of port authorities in coordinating launch infrastructure. The unit of analysis is appropriate for the question asked, but the finding that market structure carries the signal applies at sub-national scales too, and the analytical extension to sub-national jurisdictions is left for future work.</w:t>
      </w:r>
    </w:p>
    <w:bookmarkEnd w:id="124"/>
    <w:bookmarkStart w:id="125" w:name="future-research"/>
    <w:p>
      <w:pPr>
        <w:pStyle w:val="Heading2"/>
        <w:spacing w:line="480" w:lineRule="auto"/>
      </w:pPr>
      <w:r>
        <w:t xml:space="preserve">7.6 Future Research</w:t>
      </w:r>
    </w:p>
    <w:p>
      <w:pPr>
        <w:pStyle w:val="FirstParagraph"/>
        <w:spacing w:line="480" w:lineRule="auto"/>
      </w:pPr>
      <w:r>
        <w:t xml:space="preserve">Five lines of future research follow from the findings and limitations.</w:t>
      </w:r>
    </w:p>
    <w:p>
      <w:pPr>
        <w:pStyle w:val="BodyText"/>
        <w:spacing w:line="480" w:lineRule="auto"/>
        <w:ind w:firstLine="720"/>
      </w:pPr>
      <w:r>
        <w:t xml:space="preserve">First, a longer and broader panel. Extending the panel forward through 2030 and backward to the early 2010s, and broadening it to include emerging launch host states beyond the five anchor nations, would substantially strengthen the within-country inference and would permit a more rigorous test of the lagged-market-share specification proposed in the prospectus. The instrument-variable identification strategy using geographic launch advantage as a Bartik-style shifter</w:t>
      </w:r>
      <w:r>
        <w:t xml:space="preserve"> </w:t>
      </w:r>
      <w:hyperlink w:anchor="ref-3">
        <w:r>
          <w:rPr>
            <w:rStyle w:val="Hyperlink"/>
          </w:rPr>
          <w:t xml:space="preserve">[3]</w:t>
        </w:r>
      </w:hyperlink>
      <w:r>
        <w:t xml:space="preserve"> </w:t>
      </w:r>
      <w:r>
        <w:t xml:space="preserve">becomes more credible in a larger panel.</w:t>
      </w:r>
    </w:p>
    <w:p>
      <w:pPr>
        <w:pStyle w:val="BodyText"/>
        <w:spacing w:line="480" w:lineRule="auto"/>
        <w:ind w:firstLine="720"/>
      </w:pPr>
      <w:r>
        <w:t xml:space="preserve">Second, an independently validated legal-stringency index. The construct validity threat to the panel result is best addressed by an independent legal-index validation, ideally coordinated through an international research network with the institutional standing to assemble cross-national coders and to publish a public index that subsequent researchers can reuse. The McKeown, Dempster, Saydam, and Coulton evaluation framework for potential space resources markets</w:t>
      </w:r>
      <w:r>
        <w:t xml:space="preserve"> </w:t>
      </w:r>
      <w:hyperlink w:anchor="ref-31">
        <w:r>
          <w:rPr>
            <w:rStyle w:val="Hyperlink"/>
          </w:rPr>
          <w:t xml:space="preserve">[31]</w:t>
        </w:r>
      </w:hyperlink>
      <w:r>
        <w:t xml:space="preserve"> </w:t>
      </w:r>
      <w:r>
        <w:t xml:space="preserve">suggests a methodological template for such a validation exercise.</w:t>
      </w:r>
    </w:p>
    <w:p>
      <w:pPr>
        <w:pStyle w:val="BodyText"/>
        <w:spacing w:line="480" w:lineRule="auto"/>
        <w:ind w:firstLine="720"/>
      </w:pPr>
      <w:r>
        <w:t xml:space="preserve">Third, a within-vehicle learning-curve study. The fleet-level null on price-versus-heritage does not exclude within-vehicle learning, and a study that traces price-by-flight-number within each program over time would isolate the within-vehicle channel that the cross-section cannot identify. Data access is the binding constraint, but for vehicles whose prices are published over their flight histories, the analysis is feasible and the natural complement to the cross-sectional null.</w:t>
      </w:r>
    </w:p>
    <w:p>
      <w:pPr>
        <w:pStyle w:val="BodyText"/>
        <w:spacing w:line="480" w:lineRule="auto"/>
        <w:ind w:firstLine="720"/>
      </w:pPr>
      <w:r>
        <w:t xml:space="preserve">Fourth, an in-space-servicing analog. The conceptual framework this dissertation develops for launch transfers directly to in-space servicing, in-orbit assembly, and on-orbit refueling. The Opromolla and colleagues’ account of future in-orbit servicing operations</w:t>
      </w:r>
      <w:r>
        <w:t xml:space="preserve"> </w:t>
      </w:r>
      <w:hyperlink w:anchor="ref-32">
        <w:r>
          <w:rPr>
            <w:rStyle w:val="Hyperlink"/>
          </w:rPr>
          <w:t xml:space="preserve">[32]</w:t>
        </w:r>
      </w:hyperlink>
      <w:r>
        <w:t xml:space="preserve"> </w:t>
      </w:r>
      <w:r>
        <w:t xml:space="preserve">and the Smith, Jah, and Wood decision support system framework</w:t>
      </w:r>
      <w:r>
        <w:t xml:space="preserve"> </w:t>
      </w:r>
      <w:hyperlink w:anchor="ref-7">
        <w:r>
          <w:rPr>
            <w:rStyle w:val="Hyperlink"/>
          </w:rPr>
          <w:t xml:space="preserve">[7]</w:t>
        </w:r>
      </w:hyperlink>
      <w:r>
        <w:t xml:space="preserve">,</w:t>
      </w:r>
      <w:r>
        <w:t xml:space="preserve"> </w:t>
      </w:r>
      <w:hyperlink w:anchor="ref-27">
        <w:r>
          <w:rPr>
            <w:rStyle w:val="Hyperlink"/>
          </w:rPr>
          <w:t xml:space="preserve">[27]</w:t>
        </w:r>
      </w:hyperlink>
      <w:r>
        <w:t xml:space="preserve"> </w:t>
      </w:r>
      <w:r>
        <w:t xml:space="preserve">together identify the policy questions that an in-space-servicing analog would address. The empirical strategy would need to adapt to a smaller and less mature population of providers, but the conceptual transfer is straightforward.</w:t>
      </w:r>
    </w:p>
    <w:p>
      <w:pPr>
        <w:pStyle w:val="BodyText"/>
        <w:spacing w:line="480" w:lineRule="auto"/>
        <w:ind w:firstLine="720"/>
      </w:pPr>
      <w:r>
        <w:t xml:space="preserve">Fifth, a coupled regulation-and-Earth-observation study. The Denis and colleagues’ account of disruptions in Earth observation markets</w:t>
      </w:r>
      <w:r>
        <w:t xml:space="preserve"> </w:t>
      </w:r>
      <w:hyperlink w:anchor="ref-35">
        <w:r>
          <w:rPr>
            <w:rStyle w:val="Hyperlink"/>
          </w:rPr>
          <w:t xml:space="preserve">[35]</w:t>
        </w:r>
      </w:hyperlink>
      <w:r>
        <w:t xml:space="preserve"> </w:t>
      </w:r>
      <w:r>
        <w:t xml:space="preserve">and the Trucco, Paravano, and Locatelli account of the dynamics of risk landscape amidst space-economy trends</w:t>
      </w:r>
      <w:r>
        <w:t xml:space="preserve"> </w:t>
      </w:r>
      <w:hyperlink w:anchor="ref-36">
        <w:r>
          <w:rPr>
            <w:rStyle w:val="Hyperlink"/>
          </w:rPr>
          <w:t xml:space="preserve">[36]</w:t>
        </w:r>
      </w:hyperlink>
      <w:r>
        <w:t xml:space="preserve"> </w:t>
      </w:r>
      <w:r>
        <w:t xml:space="preserve">both indicate that the regulation-and-market-structure question this dissertation studies for launch will replicate in the Earth observation downstream sector, where data-licensing posture rather than launch-licensing posture is the regulatory variable. A parallel panel design for Earth observation data licensing would test whether the market-structure intermediation result generalizes beyond launch to downstream space-economy sectors.</w:t>
      </w:r>
    </w:p>
    <w:p>
      <w:pPr>
        <w:pStyle w:val="BodyText"/>
        <w:spacing w:line="480" w:lineRule="auto"/>
        <w:ind w:firstLine="720"/>
      </w:pPr>
      <w:r>
        <w:t xml:space="preserve">These five lines of future research share a common methodological commitment: they treat regulation not as a sufficient statistic for outcomes but as one input into a market-structure intermediation that itself drives observed behavior. The dissertation’s central empirical finding, that the stringency label alone is not where the signal lies, organizes the future research agenda around the structural questions the findings expose rather than around the regulatory text the literature has tended to foreground.</w:t>
      </w:r>
    </w:p>
    <w:bookmarkEnd w:id="125"/>
    <w:bookmarkStart w:id="126" w:name="closing"/>
    <w:p>
      <w:pPr>
        <w:pStyle w:val="Heading2"/>
        <w:spacing w:line="480" w:lineRule="auto"/>
      </w:pPr>
      <w:r>
        <w:t xml:space="preserve">7.7 Closing</w:t>
      </w:r>
    </w:p>
    <w:p>
      <w:pPr>
        <w:pStyle w:val="FirstParagraph"/>
        <w:spacing w:line="480" w:lineRule="auto"/>
      </w:pPr>
      <w:r>
        <w:t xml:space="preserve">The dissertation set out to test a single falsifiable claim about whether a host state’s regulatory stringency tracks its position in the international launch market, and the empirical work has answered that question in a qualified way. Stringency and competition do co-move, but the channel is market structure rather than regulatory text, and the observable that captures competitive position is scale-adjusted unit cost rather than accumulated flight heritage. The strategic-competition literature that animated the prospectus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is partly vindicated and partly disciplined. It is vindicated in that regulation and competition are linked at the national level, and disciplined in that the link runs through market structure in ways that the literature’s collapsed inferences had obscured. For NASA program management, for JPL decision-making, and for the multilateral governance architecture, the practical recommendation is the same: treat regulatory posture as one input into a chain of intermediate variables, and read competitive position off scale-adjusted cost in a contestable market rather than off any single proxy.</w:t>
      </w:r>
    </w:p>
    <w:p>
      <w:pPr>
        <w:pStyle w:val="BodyText"/>
        <w:spacing w:line="480" w:lineRule="auto"/>
        <w:ind w:firstLine="720"/>
      </w:pPr>
      <w:r>
        <w:t xml:space="preserve">The contribution of this dissertation is narrow and defensible. It does not overturn the prevailing policy frame; it sharpens it. The next decade of launch-market evolution, and the regulatory choices national governments will make as that evolution unfolds, will provide the data that test whether the findings reported here generalize. The dissertation will have done its work if the policy literature it engaged with begins to specify, where it has previously assumed, the intermediate variables that the empirical results show actually carry the signal.</w:t>
      </w:r>
    </w:p>
    <w:bookmarkEnd w:id="126"/>
    <w:bookmarkEnd w:id="127"/>
    <w:bookmarkStart w:id="186" w:name="chapter-8.-conclusion"/>
    <w:p>
      <w:pPr>
        <w:pStyle w:val="Heading1"/>
        <w:spacing w:line="480" w:lineRule="auto"/>
      </w:pPr>
      <w:r>
        <w:t xml:space="preserve">Chapter 8. Conclusion</w:t>
      </w:r>
    </w:p>
    <w:bookmarkStart w:id="128" w:name="the-argument-in-one-page"/>
    <w:p>
      <w:pPr>
        <w:pStyle w:val="Heading2"/>
        <w:spacing w:line="480" w:lineRule="auto"/>
      </w:pPr>
      <w:r>
        <w:t xml:space="preserve">8.1 The Argument in One Page</w:t>
      </w:r>
    </w:p>
    <w:p>
      <w:pPr>
        <w:pStyle w:val="FirstParagraph"/>
        <w:spacing w:line="480" w:lineRule="auto"/>
      </w:pPr>
      <w:r>
        <w:t xml:space="preserve">This dissertation began from a recurring assertion in the space-policy literature and ended with an estimated parameter. The assertion is that a host state’s regulatory stringency toward its launch operators co-moves with that state’s competitive position in the international launch market, tightening when domestic providers hold durable share and slackening when they face disadvantage. The assertion underwrites contemporary arguments for whole-of-nation space competitiveness</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and for liberalizing licensing as an instrument to capture launch demand</w:t>
      </w:r>
      <w:r>
        <w:t xml:space="preserve"> </w:t>
      </w:r>
      <w:hyperlink w:anchor="ref-3">
        <w:r>
          <w:rPr>
            <w:rStyle w:val="Hyperlink"/>
          </w:rPr>
          <w:t xml:space="preserve">[3]</w:t>
        </w:r>
      </w:hyperlink>
      <w:r>
        <w:t xml:space="preserve">. Yet across the corpus surveyed in Chapter 2, no source converts that intuition into a panel estimate of the stringency-share elasticity. The literature describes the institutional machinery of launch oversight</w:t>
      </w:r>
      <w:r>
        <w:t xml:space="preserve"> </w:t>
      </w:r>
      <w:hyperlink w:anchor="ref-1">
        <w:r>
          <w:rPr>
            <w:rStyle w:val="Hyperlink"/>
          </w:rPr>
          <w:t xml:space="preserve">[1]</w:t>
        </w:r>
      </w:hyperlink>
      <w:r>
        <w:t xml:space="preserve">, it documents the supervision burden that accompanies a maturing commercial sector</w:t>
      </w:r>
      <w:r>
        <w:t xml:space="preserve"> </w:t>
      </w:r>
      <w:hyperlink w:anchor="ref-7">
        <w:r>
          <w:rPr>
            <w:rStyle w:val="Hyperlink"/>
          </w:rPr>
          <w:t xml:space="preserve">[7]</w:t>
        </w:r>
      </w:hyperlink>
      <w:r>
        <w:t xml:space="preserve">, and it theorizes regulation as a deliberate policy choice across the establish-refine-temper sequence of market formation</w:t>
      </w:r>
      <w:r>
        <w:t xml:space="preserve"> </w:t>
      </w:r>
      <w:hyperlink w:anchor="ref-5">
        <w:r>
          <w:rPr>
            <w:rStyle w:val="Hyperlink"/>
          </w:rPr>
          <w:t xml:space="preserve">[5]</w:t>
        </w:r>
      </w:hyperlink>
      <w:r>
        <w:t xml:space="preserve">, but it does not test the strategic-regulation thesis on data.</w:t>
      </w:r>
    </w:p>
    <w:p>
      <w:pPr>
        <w:pStyle w:val="BodyText"/>
        <w:spacing w:line="480" w:lineRule="auto"/>
        <w:ind w:firstLine="720"/>
      </w:pPr>
      <w:r>
        <w:t xml:space="preserve">The dissertation closed that gap with a three-cut research design whose pieces were deliberately complementary rather than confirmatory. The core panel, developed in Chapters 4 through 6, regressed an ordinal stringency index on lagged international launch-market share across a country-year panel of major launch-host states, with two-way fixed effects absorbing time-invariant national legal traditions and the common cadence shock of the reusable-launch era</w:t>
      </w:r>
      <w:r>
        <w:t xml:space="preserve"> </w:t>
      </w:r>
      <w:hyperlink w:anchor="ref-2">
        <w:r>
          <w:rPr>
            <w:rStyle w:val="Hyperlink"/>
          </w:rPr>
          <w:t xml:space="preserve">[2]</w:t>
        </w:r>
      </w:hyperlink>
      <w:r>
        <w:t xml:space="preserve">,</w:t>
      </w:r>
      <w:r>
        <w:t xml:space="preserve"> </w:t>
      </w:r>
      <w:hyperlink w:anchor="ref-8">
        <w:r>
          <w:rPr>
            <w:rStyle w:val="Hyperlink"/>
          </w:rPr>
          <w:t xml:space="preserve">[8]</w:t>
        </w:r>
      </w:hyperlink>
      <w:r>
        <w:t xml:space="preserve">. A Bartik-style instrument constructed from latitude-based geographic launch advantage</w:t>
      </w:r>
      <w:r>
        <w:t xml:space="preserve"> </w:t>
      </w:r>
      <w:hyperlink w:anchor="ref-3">
        <w:r>
          <w:rPr>
            <w:rStyle w:val="Hyperlink"/>
          </w:rPr>
          <w:t xml:space="preserve">[3]</w:t>
        </w:r>
      </w:hyperlink>
      <w:r>
        <w:t xml:space="preserve"> </w:t>
      </w:r>
      <w:r>
        <w:t xml:space="preserve">interacted with global demand provided identification against the reverse-causation threat that stringency itself shapes share. The first companion study (research paper p1) examined a pooled cross-national panel of orbital launch attempts and asked whether a coded stringency score and a private-provider share separately predict national cadence once economic scale and era are held constant. The second companion study (research paper p2) estimated a log-log experience curve on price per kilogram across the international launch fleet to test whether flight heritage, the observable on which competitive position is often assumed to rest, in fact buys cheaper access to orbit.</w:t>
      </w:r>
    </w:p>
    <w:p>
      <w:pPr>
        <w:pStyle w:val="BodyText"/>
        <w:spacing w:line="480" w:lineRule="auto"/>
        <w:ind w:firstLine="720"/>
      </w:pPr>
      <w:r>
        <w:t xml:space="preserve">The three estimates, taken together, support a single integrated finding. The strategic-regulation thesis survives in a chastened form: stringency does respond to market position, but the operative construct is contestable market structure rather than raw national stringency, and the observables on which practitioner intuition rests, in particular flight heritage and unconditional cadence, are not the clean proxies the policy literature treats them as.</w:t>
      </w:r>
    </w:p>
    <w:bookmarkEnd w:id="128"/>
    <w:bookmarkStart w:id="129" w:name="contribution-to-knowledge"/>
    <w:p>
      <w:pPr>
        <w:pStyle w:val="Heading2"/>
        <w:spacing w:line="480" w:lineRule="auto"/>
      </w:pPr>
      <w:r>
        <w:t xml:space="preserve">8.2 Contribution to Knowledge</w:t>
      </w:r>
    </w:p>
    <w:p>
      <w:pPr>
        <w:pStyle w:val="FirstParagraph"/>
        <w:spacing w:line="480" w:lineRule="auto"/>
      </w:pPr>
      <w:r>
        <w:t xml:space="preserve">The dissertation makes four contributions, each calibrated to the boundary the data will defensibly bear.</w:t>
      </w:r>
    </w:p>
    <w:p>
      <w:pPr>
        <w:pStyle w:val="BodyText"/>
        <w:spacing w:line="480" w:lineRule="auto"/>
        <w:ind w:firstLine="720"/>
      </w:pPr>
      <w:r>
        <w:rPr>
          <w:b/>
          <w:bCs/>
        </w:rPr>
        <w:t xml:space="preserve">First, a directly estimated stringency-share parameter.</w:t>
      </w:r>
      <w:r>
        <w:t xml:space="preserve"> </w:t>
      </w:r>
      <w:r>
        <w:t xml:space="preserve">The core panel converts the strategic-regulation thesis from a rhetorical commitment into a refutable number. Where prior work asserted that regulation and competition co-move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and where the supervision-burden literature treated stringency as exogenously imposed by the maturation of commercial activity</w:t>
      </w:r>
      <w:r>
        <w:t xml:space="preserve"> </w:t>
      </w:r>
      <w:hyperlink w:anchor="ref-7">
        <w:r>
          <w:rPr>
            <w:rStyle w:val="Hyperlink"/>
          </w:rPr>
          <w:t xml:space="preserve">[7]</w:t>
        </w:r>
      </w:hyperlink>
      <w:r>
        <w:t xml:space="preserve">, the panel reports the sign, magnitude, and confidence interval of the stringency response to lagged market share, with within-country variation and an exogenous shifter pinning identification. The parameter is the principal empirical artifact of the project. Whether subsequent studies retain its sign or overturn it, the field now has a coefficient to argue about rather than an intuition to repeat.</w:t>
      </w:r>
    </w:p>
    <w:p>
      <w:pPr>
        <w:pStyle w:val="BodyText"/>
        <w:spacing w:line="480" w:lineRule="auto"/>
        <w:ind w:firstLine="720"/>
      </w:pPr>
      <w:r>
        <w:rPr>
          <w:b/>
          <w:bCs/>
        </w:rPr>
        <w:t xml:space="preserve">Second, a disentanglement of stringency from market structure.</w:t>
      </w:r>
      <w:r>
        <w:t xml:space="preserve"> </w:t>
      </w:r>
      <w:r>
        <w:t xml:space="preserve">The companion panel in p1 demonstrated, on a pooled cross-national specification, that the unconditional association between stringency and launch activity is positive in the data because the highest-cadence regimes include centrally administered programs whose stringency and volume both load on state capacity rather than on market dynamics. Once a private-provider share enters the specification, the structural channel carries the cadence signal and the stringency label loses its naive interpretation. The substantive lesson, made explicit in p1 and reinforced here, is that licensing stringency considered in isolation is not a sufficient statistic for market vitality; the contestability of the launch market, the count and competitive posture of independent providers, mediates whatever effect stringency exerts on observed cadence. This refines the strategic-competition account</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 </w:t>
      </w:r>
      <w:r>
        <w:t xml:space="preserve">in a way the source literature did not pursue.</w:t>
      </w:r>
    </w:p>
    <w:p>
      <w:pPr>
        <w:pStyle w:val="BodyText"/>
        <w:spacing w:line="480" w:lineRule="auto"/>
        <w:ind w:firstLine="720"/>
      </w:pPr>
      <w:r>
        <w:rPr>
          <w:b/>
          <w:bCs/>
        </w:rPr>
        <w:t xml:space="preserve">Third, a negative result on the fleet-wide learning curve.</w:t>
      </w:r>
      <w:r>
        <w:t xml:space="preserve"> </w:t>
      </w:r>
      <w:r>
        <w:t xml:space="preserve">The p2 estimate placed the experience-curve intuition under a hard test by regressing the natural logarithm of price per kilogram to low Earth orbit on the natural logarithm of cumulative successful flights across a cross-section of twenty orbital vehicles. The estimated elasticity was indistinguishable from zero, with an implied progress ratio above unity rather than below. The finding does not deny within-vehicle learning, which is real and well attested in reusable-architecture cost trajectories</w:t>
      </w:r>
      <w:r>
        <w:t xml:space="preserve"> </w:t>
      </w:r>
      <w:hyperlink w:anchor="ref-9">
        <w:r>
          <w:rPr>
            <w:rStyle w:val="Hyperlink"/>
          </w:rPr>
          <w:t xml:space="preserve">[9]</w:t>
        </w:r>
      </w:hyperlink>
      <w:r>
        <w:t xml:space="preserve">,</w:t>
      </w:r>
      <w:r>
        <w:t xml:space="preserve"> </w:t>
      </w:r>
      <w:hyperlink w:anchor="ref-10">
        <w:r>
          <w:rPr>
            <w:rStyle w:val="Hyperlink"/>
          </w:rPr>
          <w:t xml:space="preserve">[10]</w:t>
        </w:r>
      </w:hyperlink>
      <w:r>
        <w:t xml:space="preserve">,</w:t>
      </w:r>
      <w:r>
        <w:t xml:space="preserve"> </w:t>
      </w:r>
      <w:hyperlink w:anchor="ref-19">
        <w:r>
          <w:rPr>
            <w:rStyle w:val="Hyperlink"/>
          </w:rPr>
          <w:t xml:space="preserve">[19]</w:t>
        </w:r>
      </w:hyperlink>
      <w:r>
        <w:t xml:space="preserve">. It denies that flight heritage, read across the international fleet, orders per-kilogram price, because per-kilogram price is governed by the payload denominator and the fixed-cost structure of a flight, and the most-flown small launchers in the contemporary fleet sit at the expensive end of the price scale despite deep flight histories. The contribution to the wider dissertation is methodological as much as substantive: it rules out flight heritage as the observable on which a regulator could be conditioning stringency, and it forces the strategic-regulation account onto a scale-adjusted market-share construct of the kind the core panel adopts.</w:t>
      </w:r>
    </w:p>
    <w:p>
      <w:pPr>
        <w:pStyle w:val="BodyText"/>
        <w:spacing w:line="480" w:lineRule="auto"/>
        <w:ind w:firstLine="720"/>
      </w:pPr>
      <w:r>
        <w:rPr>
          <w:b/>
          <w:bCs/>
        </w:rPr>
        <w:t xml:space="preserve">Fourth, a triangulated method for a question the literature has treated rhetorically.</w:t>
      </w:r>
      <w:r>
        <w:t xml:space="preserve"> </w:t>
      </w:r>
      <w:r>
        <w:t xml:space="preserve">The pairing of a fixed-effects panel with an instrumented within-country specification (core), a pooled cross-national OLS with a market-structure proxy (p1), and a vehicle-level log-log experience curve (p2) is itself a contribution. Each cut isolates a confound the other two cannot. The fixed-effects panel cannot distinguish stringency from administrative capacity using only cross-national variation; the pooled specification shows why that distinction matters and where it loads. The pooled specification cannot recover a clean within-country elasticity; the fixed-effects panel does. Neither country-level estimate can adjudicate whether the underlying competitive observable, flight heritage, in fact carries the signal that policy rhetoric assigns to it; the vehicle-level cross-section does. The triangulation discipline is itself a template for subsequent work on regulation-and-competition questions in space governance, including the in-space servicing supervision problem</w:t>
      </w:r>
      <w:r>
        <w:t xml:space="preserve"> </w:t>
      </w:r>
      <w:hyperlink w:anchor="ref-7">
        <w:r>
          <w:rPr>
            <w:rStyle w:val="Hyperlink"/>
          </w:rPr>
          <w:t xml:space="preserve">[7]</w:t>
        </w:r>
      </w:hyperlink>
      <w:r>
        <w:t xml:space="preserve">, the satellite-constellation forecast literature</w:t>
      </w:r>
      <w:r>
        <w:t xml:space="preserve"> </w:t>
      </w:r>
      <w:hyperlink w:anchor="ref-34">
        <w:r>
          <w:rPr>
            <w:rStyle w:val="Hyperlink"/>
          </w:rPr>
          <w:t xml:space="preserve">[34]</w:t>
        </w:r>
      </w:hyperlink>
      <w:r>
        <w:t xml:space="preserve">, and the broader emergent risk-landscape work on the space economy</w:t>
      </w:r>
      <w:r>
        <w:t xml:space="preserve"> </w:t>
      </w:r>
      <w:hyperlink w:anchor="ref-36">
        <w:r>
          <w:rPr>
            <w:rStyle w:val="Hyperlink"/>
          </w:rPr>
          <w:t xml:space="preserve">[36]</w:t>
        </w:r>
      </w:hyperlink>
      <w:r>
        <w:t xml:space="preserve">.</w:t>
      </w:r>
    </w:p>
    <w:bookmarkEnd w:id="129"/>
    <w:bookmarkStart w:id="130" w:name="X3cb317ea6bdaf41b4def092489779ba9ce84566"/>
    <w:p>
      <w:pPr>
        <w:pStyle w:val="Heading2"/>
        <w:spacing w:line="480" w:lineRule="auto"/>
      </w:pPr>
      <w:r>
        <w:t xml:space="preserve">8.3 What the Findings Imply for Practice and for the Literature</w:t>
      </w:r>
    </w:p>
    <w:p>
      <w:pPr>
        <w:pStyle w:val="FirstParagraph"/>
        <w:spacing w:line="480" w:lineRule="auto"/>
      </w:pPr>
      <w:r>
        <w:t xml:space="preserve">For the policy practitioner, three implications follow without overclaim. The first is that licensing reform is not equivalent to deregulation. The cadence signal in the data attaches to the construction of a contestable market, the admission of multiple competitive providers under transparent rules, rather than to a permissive posture sustaining a single national provider. A regulator who treats stringency as the lever, without examining whether the regime in fact admits competition, is calibrating the wrong instrument. The second is that flight heritage is not a sufficient observable of competitive position. A much-flown small launcher can be both deeply experienced and structurally expensive on a per-kilogram basis, and a regulator who reads competitive strength off cumulative successes will mis-rank the field. The third is that the strategic-regulation thesis, once converted to an estimated parameter, becomes amenable to ordinary policy contestation. Successor administrations, allied regulators, and the international forums in which launch-state behavior is discussed can now argue over the sign and magnitude of an estimated coefficient rather than over the rhetorical priors with which the field has so far operated.</w:t>
      </w:r>
    </w:p>
    <w:p>
      <w:pPr>
        <w:pStyle w:val="BodyText"/>
        <w:spacing w:line="480" w:lineRule="auto"/>
        <w:ind w:firstLine="720"/>
      </w:pPr>
      <w:r>
        <w:t xml:space="preserve">For the literature, the principal implication is a reorientation of the empirical agenda. The supervision-burden line of work that grew out of in-space servicing oversight</w:t>
      </w:r>
      <w:r>
        <w:t xml:space="preserve"> </w:t>
      </w:r>
      <w:hyperlink w:anchor="ref-7">
        <w:r>
          <w:rPr>
            <w:rStyle w:val="Hyperlink"/>
          </w:rPr>
          <w:t xml:space="preserve">[7]</w:t>
        </w:r>
      </w:hyperlink>
      <w:r>
        <w:t xml:space="preserve"> </w:t>
      </w:r>
      <w:r>
        <w:t xml:space="preserve">has documented the administrative weight of stringency without conditioning it on competitive position; the present panel offers the conditioning. The economic-framework line associated with the Weinzierl establish-refine-temper sequence</w:t>
      </w:r>
      <w:r>
        <w:t xml:space="preserve"> </w:t>
      </w:r>
      <w:hyperlink w:anchor="ref-5">
        <w:r>
          <w:rPr>
            <w:rStyle w:val="Hyperlink"/>
          </w:rPr>
          <w:t xml:space="preserve">[5]</w:t>
        </w:r>
      </w:hyperlink>
      <w:r>
        <w:t xml:space="preserve">,</w:t>
      </w:r>
      <w:r>
        <w:t xml:space="preserve"> </w:t>
      </w:r>
      <w:hyperlink w:anchor="ref-10">
        <w:r>
          <w:rPr>
            <w:rStyle w:val="Hyperlink"/>
          </w:rPr>
          <w:t xml:space="preserve">[10]</w:t>
        </w:r>
      </w:hyperlink>
      <w:r>
        <w:t xml:space="preserve">,</w:t>
      </w:r>
      <w:r>
        <w:t xml:space="preserve"> </w:t>
      </w:r>
      <w:hyperlink w:anchor="ref-16">
        <w:r>
          <w:rPr>
            <w:rStyle w:val="Hyperlink"/>
          </w:rPr>
          <w:t xml:space="preserve">[16]</w:t>
        </w:r>
      </w:hyperlink>
      <w:r>
        <w:t xml:space="preserve"> </w:t>
      </w:r>
      <w:r>
        <w:t xml:space="preserve">supplies the theoretical case for regulation as a deliberate policy choice, and the present panel offers the within-country variation against which that theory can be falsified. The strategic-competition line</w:t>
      </w:r>
      <w:r>
        <w:t xml:space="preserve"> </w:t>
      </w:r>
      <w:hyperlink w:anchor="ref-4">
        <w:r>
          <w:rPr>
            <w:rStyle w:val="Hyperlink"/>
          </w:rPr>
          <w:t xml:space="preserve">[4]</w:t>
        </w:r>
      </w:hyperlink>
      <w:r>
        <w:t xml:space="preserve">,</w:t>
      </w:r>
      <w:r>
        <w:t xml:space="preserve"> </w:t>
      </w:r>
      <w:hyperlink w:anchor="ref-6">
        <w:r>
          <w:rPr>
            <w:rStyle w:val="Hyperlink"/>
          </w:rPr>
          <w:t xml:space="preserve">[6]</w:t>
        </w:r>
      </w:hyperlink>
      <w:r>
        <w:t xml:space="preserve">,</w:t>
      </w:r>
      <w:r>
        <w:t xml:space="preserve"> </w:t>
      </w:r>
      <w:hyperlink w:anchor="ref-20">
        <w:r>
          <w:rPr>
            <w:rStyle w:val="Hyperlink"/>
          </w:rPr>
          <w:t xml:space="preserve">[20]</w:t>
        </w:r>
      </w:hyperlink>
      <w:r>
        <w:t xml:space="preserve"> </w:t>
      </w:r>
      <w:r>
        <w:t xml:space="preserve">supplies the political case that stringency and competitiveness are linked, and the present panel converts that case into a refutable number. The dissertation does not displace any of these lines; it embeds them in a common estimator and reports what the data say when they are forced to speak together.</w:t>
      </w:r>
    </w:p>
    <w:p>
      <w:pPr>
        <w:pStyle w:val="BodyText"/>
        <w:spacing w:line="480" w:lineRule="auto"/>
        <w:ind w:firstLine="720"/>
      </w:pPr>
      <w:r>
        <w:t xml:space="preserve">A secondary implication concerns the adjacent literatures the dissertation has not directly tested but on which its conclusions bear. The constellation-forecasting work that models satellite launch traffic against global GDP and announced constellation plans</w:t>
      </w:r>
      <w:r>
        <w:t xml:space="preserve"> </w:t>
      </w:r>
      <w:hyperlink w:anchor="ref-34">
        <w:r>
          <w:rPr>
            <w:rStyle w:val="Hyperlink"/>
          </w:rPr>
          <w:t xml:space="preserve">[34]</w:t>
        </w:r>
      </w:hyperlink>
      <w:r>
        <w:t xml:space="preserve"> </w:t>
      </w:r>
      <w:r>
        <w:t xml:space="preserve">presumes a stable price-per-kilogram supply curve; the p2 null on the fleet-wide learning curve suggests that the constellation-driven demand shock will encounter a price structure governed by vehicle scale rather than by accumulated heritage, and forecasters should adopt scale-adjusted price inputs. The space-resources-market evaluation literature</w:t>
      </w:r>
      <w:r>
        <w:t xml:space="preserve"> </w:t>
      </w:r>
      <w:hyperlink w:anchor="ref-31">
        <w:r>
          <w:rPr>
            <w:rStyle w:val="Hyperlink"/>
          </w:rPr>
          <w:t xml:space="preserve">[31]</w:t>
        </w:r>
      </w:hyperlink>
      <w:r>
        <w:t xml:space="preserve"> </w:t>
      </w:r>
      <w:r>
        <w:t xml:space="preserve">and the in-orbit-servicing traffic-management line</w:t>
      </w:r>
      <w:r>
        <w:t xml:space="preserve"> </w:t>
      </w:r>
      <w:hyperlink w:anchor="ref-32">
        <w:r>
          <w:rPr>
            <w:rStyle w:val="Hyperlink"/>
          </w:rPr>
          <w:t xml:space="preserve">[32]</w:t>
        </w:r>
      </w:hyperlink>
      <w:r>
        <w:t xml:space="preserve"> </w:t>
      </w:r>
      <w:r>
        <w:t xml:space="preserve">both presume that competitive entry will be governed by licensing posture; the conditioning result in p1 implies that licensing posture without contestability does not produce competitive entry, and the relevant policy variable is regime architecture rather than headline stringency. The regulatory-competition concern raised in the NewSpace literature</w:t>
      </w:r>
      <w:r>
        <w:t xml:space="preserve"> </w:t>
      </w:r>
      <w:hyperlink w:anchor="ref-30">
        <w:r>
          <w:rPr>
            <w:rStyle w:val="Hyperlink"/>
          </w:rPr>
          <w:t xml:space="preserve">[30]</w:t>
        </w:r>
      </w:hyperlink>
      <w:r>
        <w:t xml:space="preserve"> </w:t>
      </w:r>
      <w:r>
        <w:t xml:space="preserve">is sharpened by the present results: a regulatory race to the bottom is observable in the data only if one mis-measures the market-structure channel, and the corrective is a panel with the conditioning structure adopted here.</w:t>
      </w:r>
    </w:p>
    <w:bookmarkEnd w:id="130"/>
    <w:bookmarkStart w:id="131" w:name="limitations-restated"/>
    <w:p>
      <w:pPr>
        <w:pStyle w:val="Heading2"/>
        <w:spacing w:line="480" w:lineRule="auto"/>
      </w:pPr>
      <w:r>
        <w:t xml:space="preserve">8.4 Limitations Restated</w:t>
      </w:r>
    </w:p>
    <w:p>
      <w:pPr>
        <w:pStyle w:val="FirstParagraph"/>
        <w:spacing w:line="480" w:lineRule="auto"/>
      </w:pPr>
      <w:r>
        <w:t xml:space="preserve">Three limitations bound the contribution and deserve a final restatement so that subsequent work can address them rather than inherit them.</w:t>
      </w:r>
    </w:p>
    <w:p>
      <w:pPr>
        <w:pStyle w:val="BodyText"/>
        <w:spacing w:line="480" w:lineRule="auto"/>
        <w:ind w:firstLine="720"/>
      </w:pPr>
      <w:r>
        <w:t xml:space="preserve">First, the stringency index is ordinal and coded from primary licensing instruments anchored to the U.S. multi-agency baseline</w:t>
      </w:r>
      <w:r>
        <w:t xml:space="preserve"> </w:t>
      </w:r>
      <w:hyperlink w:anchor="ref-1">
        <w:r>
          <w:rPr>
            <w:rStyle w:val="Hyperlink"/>
          </w:rPr>
          <w:t xml:space="preserve">[1]</w:t>
        </w:r>
      </w:hyperlink>
      <w:r>
        <w:t xml:space="preserve"> </w:t>
      </w:r>
      <w:r>
        <w:t xml:space="preserve">and to the supervision framework for commercial space activity</w:t>
      </w:r>
      <w:r>
        <w:t xml:space="preserve"> </w:t>
      </w:r>
      <w:hyperlink w:anchor="ref-7">
        <w:r>
          <w:rPr>
            <w:rStyle w:val="Hyperlink"/>
          </w:rPr>
          <w:t xml:space="preserve">[7]</w:t>
        </w:r>
      </w:hyperlink>
      <w:r>
        <w:t xml:space="preserve">. Sub-index reporting and a coder-reliability check buffer the construct-validity concern, but a single ordinal scale cannot capture all dimensions of regulatory posture, and independent legal-index validation remains an open task.</w:t>
      </w:r>
    </w:p>
    <w:p>
      <w:pPr>
        <w:pStyle w:val="BodyText"/>
        <w:spacing w:line="480" w:lineRule="auto"/>
        <w:ind w:firstLine="720"/>
      </w:pPr>
      <w:r>
        <w:t xml:space="preserve">Second, the launch-host panel is modest by macro-econometric standards. The Bartik instrument constructed from geographic launch advantage</w:t>
      </w:r>
      <w:r>
        <w:t xml:space="preserve"> </w:t>
      </w:r>
      <w:hyperlink w:anchor="ref-3">
        <w:r>
          <w:rPr>
            <w:rStyle w:val="Hyperlink"/>
          </w:rPr>
          <w:t xml:space="preserve">[3]</w:t>
        </w:r>
      </w:hyperlink>
      <w:r>
        <w:t xml:space="preserve"> </w:t>
      </w:r>
      <w:r>
        <w:t xml:space="preserve">is defensible only insofar as latitude affects stringency solely through share, and the over-identification and placebo specifications reported in Chapter 6 probe but do not eliminate that maintained assumption.</w:t>
      </w:r>
    </w:p>
    <w:p>
      <w:pPr>
        <w:pStyle w:val="BodyText"/>
        <w:spacing w:line="480" w:lineRule="auto"/>
        <w:ind w:firstLine="720"/>
      </w:pPr>
      <w:r>
        <w:t xml:space="preserve">Third, the external validity of all three studies is bounded by the decade of rapid cadence growth that the reference-scenario modeling treats as a structural break</w:t>
      </w:r>
      <w:r>
        <w:t xml:space="preserve"> </w:t>
      </w:r>
      <w:hyperlink w:anchor="ref-8">
        <w:r>
          <w:rPr>
            <w:rStyle w:val="Hyperlink"/>
          </w:rPr>
          <w:t xml:space="preserve">[8]</w:t>
        </w:r>
      </w:hyperlink>
      <w:r>
        <w:t xml:space="preserve">. A regime in which cadence saturates, or in which the constellation-driven demand pulse described in the satellite-traffic-forecast literature</w:t>
      </w:r>
      <w:r>
        <w:t xml:space="preserve"> </w:t>
      </w:r>
      <w:hyperlink w:anchor="ref-34">
        <w:r>
          <w:rPr>
            <w:rStyle w:val="Hyperlink"/>
          </w:rPr>
          <w:t xml:space="preserve">[34]</w:t>
        </w:r>
      </w:hyperlink>
      <w:r>
        <w:t xml:space="preserve"> </w:t>
      </w:r>
      <w:r>
        <w:t xml:space="preserve">inverts, may exhibit a different stringency-share elasticity. The dissertation states this scope condition rather than overclaiming generality.</w:t>
      </w:r>
    </w:p>
    <w:p>
      <w:pPr>
        <w:pStyle w:val="BodyText"/>
        <w:spacing w:line="480" w:lineRule="auto"/>
        <w:ind w:firstLine="720"/>
      </w:pPr>
      <w:r>
        <w:t xml:space="preserve">None of these limitations overturns the central finding. They mark where the next panel, the next instrument, and the next decade of data will need to take the question.</w:t>
      </w:r>
    </w:p>
    <w:bookmarkEnd w:id="131"/>
    <w:bookmarkStart w:id="132" w:name="closing-statement"/>
    <w:p>
      <w:pPr>
        <w:pStyle w:val="Heading2"/>
        <w:spacing w:line="480" w:lineRule="auto"/>
      </w:pPr>
      <w:r>
        <w:t xml:space="preserve">8.5 Closing Statement</w:t>
      </w:r>
    </w:p>
    <w:p>
      <w:pPr>
        <w:pStyle w:val="FirstParagraph"/>
        <w:spacing w:line="480" w:lineRule="auto"/>
      </w:pPr>
      <w:r>
        <w:t xml:space="preserve">The international launch market has produced, in the span of a decade, a regulatory landscape in which licensing has become an instrument of industrial policy rather than a sovereign formality. The literature that grew up around that transformation has been articulate about its political stakes and rhetorically committed to a strategic-regulation thesis whose empirical content remained unestimated. The contribution of this dissertation is to estimate it. The stringency response to market share is not zero, but it is not the unconditional positive coefficient that the strategic-competition narrative implicitly assumes; it loads through the contestability of the launch market and not through the headline stringency of the licensing regime, and the heritage proxy on which practitioner intuition often rests does not order per-kilogram price across the fleet. These findings discipline rather than dismiss the strategic-regulation thesis. They redirect it onto a market-structure observable that the data can support, they place the supervision-burden literature on a footing of within-country variation, and they hand the policy debate a parameter to argue over rather than an assumption to repeat.</w:t>
      </w:r>
    </w:p>
    <w:p>
      <w:pPr>
        <w:pStyle w:val="BodyText"/>
        <w:spacing w:line="480" w:lineRule="auto"/>
        <w:ind w:firstLine="720"/>
      </w:pPr>
      <w:r>
        <w:t xml:space="preserve">The wider point is that the governance of orbital access is now sufficiently consequential, and sufficiently data-rich, to be debated in the same empirical register as any other regulated industry. The launch-host states whose behavior this dissertation has examined are not the only actors whose rulemaking will be tested against market position in the coming decade; the in-space servicing regulators</w:t>
      </w:r>
      <w:r>
        <w:t xml:space="preserve"> </w:t>
      </w:r>
      <w:hyperlink w:anchor="ref-7">
        <w:r>
          <w:rPr>
            <w:rStyle w:val="Hyperlink"/>
          </w:rPr>
          <w:t xml:space="preserve">[7]</w:t>
        </w:r>
      </w:hyperlink>
      <w:r>
        <w:t xml:space="preserve">,</w:t>
      </w:r>
      <w:r>
        <w:t xml:space="preserve"> </w:t>
      </w:r>
      <w:hyperlink w:anchor="ref-32">
        <w:r>
          <w:rPr>
            <w:rStyle w:val="Hyperlink"/>
          </w:rPr>
          <w:t xml:space="preserve">[32]</w:t>
        </w:r>
      </w:hyperlink>
      <w:r>
        <w:t xml:space="preserve">, the constellation licensing authorities</w:t>
      </w:r>
      <w:r>
        <w:t xml:space="preserve"> </w:t>
      </w:r>
      <w:hyperlink w:anchor="ref-34">
        <w:r>
          <w:rPr>
            <w:rStyle w:val="Hyperlink"/>
          </w:rPr>
          <w:t xml:space="preserve">[34]</w:t>
        </w:r>
      </w:hyperlink>
      <w:r>
        <w:t xml:space="preserve">, and the resource-market governance bodies</w:t>
      </w:r>
      <w:r>
        <w:t xml:space="preserve"> </w:t>
      </w:r>
      <w:hyperlink w:anchor="ref-31">
        <w:r>
          <w:rPr>
            <w:rStyle w:val="Hyperlink"/>
          </w:rPr>
          <w:t xml:space="preserve">[31]</w:t>
        </w:r>
      </w:hyperlink>
      <w:r>
        <w:t xml:space="preserve"> </w:t>
      </w:r>
      <w:r>
        <w:t xml:space="preserve">will all confront the same identification problem this study has tried to solve on the launch case. The estimator, the instrument, and the triangulation discipline developed here are portable, and the closing claim of the dissertation is that the field is now ready to portage them.</w:t>
      </w:r>
    </w:p>
    <w:bookmarkEnd w:id="132"/>
    <w:bookmarkStart w:id="185" w:name="references"/>
    <w:p>
      <w:pPr>
        <w:pStyle w:val="Heading2"/>
        <w:spacing w:line="480" w:lineRule="auto"/>
      </w:pPr>
      <w:r>
        <w:t xml:space="preserve">References</w:t>
      </w:r>
    </w:p>
    <w:p>
      <w:pPr>
        <w:pStyle w:val="FirstParagraph"/>
        <w:spacing w:line="480" w:lineRule="auto"/>
      </w:pPr>
      <w:bookmarkStart w:id="133" w:name="ref-1"/>
      <w:bookmarkEnd w:id="133"/>
      <w:r>
        <w:t xml:space="preserve">1. J. Goehring,</w:t>
      </w:r>
      <w:r>
        <w:t xml:space="preserve"> </w:t>
      </w:r>
      <w:r>
        <w:t xml:space="preserve">“U.S. Commercial Space Regulation: The Rule of Three,”</w:t>
      </w:r>
      <w:r>
        <w:t xml:space="preserve"> </w:t>
      </w:r>
      <w:r>
        <w:t xml:space="preserve">in Proc. Advanced Maui Optical and Space Surveillance Technologies (AMOS) Conference, 2022.</w:t>
      </w:r>
    </w:p>
    <w:p>
      <w:pPr>
        <w:pStyle w:val="BodyText"/>
        <w:spacing w:line="480" w:lineRule="auto"/>
        <w:ind w:firstLine="720"/>
      </w:pPr>
      <w:bookmarkStart w:id="134" w:name="ref-2"/>
      <w:bookmarkEnd w:id="134"/>
      <w:r>
        <w:t xml:space="preserve">2. J. Reilly, M. Blackford, and J. Mueller,</w:t>
      </w:r>
      <w:r>
        <w:t xml:space="preserve"> </w:t>
      </w:r>
      <w:r>
        <w:t xml:space="preserve">“Challenges in Space Traffic Management,”</w:t>
      </w:r>
      <w:r>
        <w:t xml:space="preserve"> </w:t>
      </w:r>
      <w:r>
        <w:t xml:space="preserve">in Proc. Advanced Maui Optical and Space Surveillance Technologies (AMOS) Conference, 2023. doi:</w:t>
      </w:r>
      <w:r>
        <w:t xml:space="preserve"> </w:t>
      </w:r>
      <w:hyperlink r:id="rId135">
        <w:r>
          <w:rPr>
            <w:rStyle w:val="Hyperlink"/>
          </w:rPr>
          <w:t xml:space="preserve">10.64861/UCTN1793</w:t>
        </w:r>
      </w:hyperlink>
    </w:p>
    <w:p>
      <w:pPr>
        <w:pStyle w:val="BodyText"/>
        <w:spacing w:line="480" w:lineRule="auto"/>
        <w:ind w:firstLine="720"/>
      </w:pPr>
      <w:bookmarkStart w:id="136" w:name="ref-3"/>
      <w:bookmarkEnd w:id="136"/>
      <w:r>
        <w:t xml:space="preserve">3.</w:t>
      </w:r>
      <w:r>
        <w:t xml:space="preserve"> </w:t>
      </w:r>
      <w:r>
        <w:t xml:space="preserve">“Roadmap: Australia Economic-Technological Renaissance in Space,”</w:t>
      </w:r>
      <w:r>
        <w:t xml:space="preserve"> </w:t>
      </w:r>
      <w:r>
        <w:t xml:space="preserve">Space Economy Papers corpus, source SD16.</w:t>
      </w:r>
    </w:p>
    <w:p>
      <w:pPr>
        <w:pStyle w:val="BodyText"/>
        <w:spacing w:line="480" w:lineRule="auto"/>
        <w:ind w:firstLine="720"/>
      </w:pPr>
      <w:bookmarkStart w:id="137" w:name="ref-4"/>
      <w:bookmarkEnd w:id="137"/>
      <w:r>
        <w:t xml:space="preserve">4.</w:t>
      </w:r>
      <w:r>
        <w:t xml:space="preserve"> </w:t>
      </w:r>
      <w:r>
        <w:t xml:space="preserve">“SFA Space DIME Campaign Plan v3.0,”</w:t>
      </w:r>
      <w:r>
        <w:t xml:space="preserve"> </w:t>
      </w:r>
      <w:r>
        <w:t xml:space="preserve">Space Force Association, Space Economy Papers corpus, source SD11.</w:t>
      </w:r>
    </w:p>
    <w:p>
      <w:pPr>
        <w:pStyle w:val="BodyText"/>
        <w:spacing w:line="480" w:lineRule="auto"/>
        <w:ind w:firstLine="720"/>
      </w:pPr>
      <w:bookmarkStart w:id="138" w:name="ref-5"/>
      <w:bookmarkEnd w:id="138"/>
      <w:r>
        <w:t xml:space="preserve">5. M. Weinzierl,</w:t>
      </w:r>
      <w:r>
        <w:t xml:space="preserve"> </w:t>
      </w:r>
      <w:r>
        <w:t xml:space="preserve">“Space, the Final Economic Frontier,”</w:t>
      </w:r>
      <w:r>
        <w:t xml:space="preserve"> </w:t>
      </w:r>
      <w:r>
        <w:t xml:space="preserve">Journal of Economic Perspectives, 2018, as digested in Space Economy Papers corpus, source SD18.</w:t>
      </w:r>
    </w:p>
    <w:p>
      <w:pPr>
        <w:pStyle w:val="BodyText"/>
        <w:spacing w:line="480" w:lineRule="auto"/>
        <w:ind w:firstLine="720"/>
      </w:pPr>
      <w:bookmarkStart w:id="139" w:name="ref-6"/>
      <w:bookmarkEnd w:id="139"/>
      <w:r>
        <w:t xml:space="preserve">6.</w:t>
      </w:r>
      <w:r>
        <w:t xml:space="preserve"> </w:t>
      </w:r>
      <w:r>
        <w:t xml:space="preserve">“The Space Imperative (Whole-of-Nation),”</w:t>
      </w:r>
      <w:r>
        <w:t xml:space="preserve"> </w:t>
      </w:r>
      <w:r>
        <w:t xml:space="preserve">Space Economy Papers corpus, source SD14.</w:t>
      </w:r>
    </w:p>
    <w:p>
      <w:pPr>
        <w:pStyle w:val="BodyText"/>
        <w:spacing w:line="480" w:lineRule="auto"/>
        <w:ind w:firstLine="720"/>
      </w:pPr>
      <w:bookmarkStart w:id="140" w:name="ref-7"/>
      <w:bookmarkEnd w:id="140"/>
      <w:r>
        <w:t xml:space="preserve">7. J. H. Smith, M. Jah, and D. Wood,</w:t>
      </w:r>
      <w:r>
        <w:t xml:space="preserve"> </w:t>
      </w:r>
      <w:r>
        <w:t xml:space="preserve">“Architecting a decision support system for continuing supervision of commercial in-space servicing,”</w:t>
      </w:r>
      <w:r>
        <w:t xml:space="preserve"> </w:t>
      </w:r>
      <w:r>
        <w:t xml:space="preserve">Acta Astronautica, vol. 235, 2025. doi:</w:t>
      </w:r>
      <w:r>
        <w:t xml:space="preserve"> </w:t>
      </w:r>
      <w:hyperlink r:id="rId141">
        <w:r>
          <w:rPr>
            <w:rStyle w:val="Hyperlink"/>
          </w:rPr>
          <w:t xml:space="preserve">10.1016/j.actaastro.2025.05.036</w:t>
        </w:r>
      </w:hyperlink>
    </w:p>
    <w:p>
      <w:pPr>
        <w:pStyle w:val="BodyText"/>
        <w:spacing w:line="480" w:lineRule="auto"/>
        <w:ind w:firstLine="720"/>
      </w:pPr>
      <w:bookmarkStart w:id="142" w:name="ref-8"/>
      <w:bookmarkEnd w:id="142"/>
      <w:r>
        <w:t xml:space="preserve">8. M. Lifson et al.,</w:t>
      </w:r>
      <w:r>
        <w:t xml:space="preserve"> </w:t>
      </w:r>
      <w:r>
        <w:t xml:space="preserve">“Development of Reference Scenarios and Supporting Inputs for Space Environment Modeling,”</w:t>
      </w:r>
      <w:r>
        <w:t xml:space="preserve"> </w:t>
      </w:r>
      <w:r>
        <w:t xml:space="preserve">in Proc. Advanced Maui Optical and Space Surveillance Technologies (AMOS) Conference, 2024. doi:</w:t>
      </w:r>
      <w:r>
        <w:t xml:space="preserve"> </w:t>
      </w:r>
      <w:hyperlink r:id="rId143">
        <w:r>
          <w:rPr>
            <w:rStyle w:val="Hyperlink"/>
          </w:rPr>
          <w:t xml:space="preserve">10.64861/QBNC8763</w:t>
        </w:r>
      </w:hyperlink>
    </w:p>
    <w:p>
      <w:pPr>
        <w:pStyle w:val="BodyText"/>
        <w:spacing w:line="480" w:lineRule="auto"/>
        <w:ind w:firstLine="720"/>
      </w:pPr>
      <w:bookmarkStart w:id="144" w:name="ref-9"/>
      <w:bookmarkEnd w:id="144"/>
      <w:r>
        <w:t xml:space="preserve">9. OCEA,</w:t>
      </w:r>
      <w:r>
        <w:t xml:space="preserve"> </w:t>
      </w:r>
      <w:r>
        <w:t xml:space="preserve">“Forecasting the Space Economy,”</w:t>
      </w:r>
      <w:r>
        <w:t xml:space="preserve"> </w:t>
      </w:r>
      <w:r>
        <w:t xml:space="preserve">in Space Economy Papers corpus (SD08). Documents reusable-launch cost-per-kilogram scenarios and economies of scale in launch operations.</w:t>
      </w:r>
    </w:p>
    <w:p>
      <w:pPr>
        <w:pStyle w:val="BodyText"/>
        <w:spacing w:line="480" w:lineRule="auto"/>
        <w:ind w:firstLine="720"/>
      </w:pPr>
      <w:bookmarkStart w:id="145" w:name="ref-10"/>
      <w:bookmarkEnd w:id="145"/>
      <w:r>
        <w:t xml:space="preserve">10. M. Weinzierl,</w:t>
      </w:r>
      <w:r>
        <w:t xml:space="preserve"> </w:t>
      </w:r>
      <w:r>
        <w:t xml:space="preserve">“Space, the Final Economic Frontier,”</w:t>
      </w:r>
      <w:r>
        <w:t xml:space="preserve"> </w:t>
      </w:r>
      <w:r>
        <w:t xml:space="preserve">2018, in Space Economy Papers corpus (SD18). Cost-per-kilogram reductions and competitive launch-market structure.</w:t>
      </w:r>
    </w:p>
    <w:p>
      <w:pPr>
        <w:pStyle w:val="BodyText"/>
        <w:spacing w:line="480" w:lineRule="auto"/>
        <w:ind w:firstLine="720"/>
      </w:pPr>
      <w:bookmarkStart w:id="146" w:name="ref-11"/>
      <w:bookmarkEnd w:id="146"/>
      <w:r>
        <w:t xml:space="preserve">11.</w:t>
      </w:r>
      <w:r>
        <w:t xml:space="preserve"> </w:t>
      </w:r>
      <w:r>
        <w:t xml:space="preserve">“The Role of Space in Driving Sustainability, Security, and Development,”</w:t>
      </w:r>
      <w:r>
        <w:t xml:space="preserve"> </w:t>
      </w:r>
      <w:r>
        <w:t xml:space="preserve">in Space Economy Papers corpus (SD13). Competition among launch providers and the reduction of launch prices.</w:t>
      </w:r>
    </w:p>
    <w:p>
      <w:pPr>
        <w:pStyle w:val="BodyText"/>
        <w:spacing w:line="480" w:lineRule="auto"/>
        <w:ind w:firstLine="720"/>
      </w:pPr>
      <w:bookmarkStart w:id="147" w:name="ref-12"/>
      <w:bookmarkEnd w:id="147"/>
      <w:r>
        <w:t xml:space="preserve">12. N. Dailey et al.,</w:t>
      </w:r>
      <w:r>
        <w:t xml:space="preserve"> </w:t>
      </w:r>
      <w:r>
        <w:t xml:space="preserve">“Architectural Socio-Technological Transformative Change of Space-Use Norms,”</w:t>
      </w:r>
      <w:r>
        <w:t xml:space="preserve"> </w:t>
      </w:r>
      <w:r>
        <w:t xml:space="preserve">in Space Economy Papers corpus (SD03). Economies of scale and market expansion.</w:t>
      </w:r>
    </w:p>
    <w:p>
      <w:pPr>
        <w:pStyle w:val="BodyText"/>
        <w:spacing w:line="480" w:lineRule="auto"/>
        <w:ind w:firstLine="720"/>
      </w:pPr>
      <w:bookmarkStart w:id="148" w:name="ref-13"/>
      <w:bookmarkEnd w:id="148"/>
      <w:r>
        <w:t xml:space="preserve">13. Chambers and Partners,</w:t>
      </w:r>
      <w:r>
        <w:t xml:space="preserve"> </w:t>
      </w:r>
      <w:r>
        <w:t xml:space="preserve">“Space Law 2025: India”</w:t>
      </w:r>
      <w:r>
        <w:t xml:space="preserve"> </w:t>
      </w:r>
      <w:r>
        <w:t xml:space="preserve">and</w:t>
      </w:r>
      <w:r>
        <w:t xml:space="preserve"> </w:t>
      </w:r>
      <w:r>
        <w:t xml:space="preserve">“Space Law 2025: Japan,”</w:t>
      </w:r>
      <w:r>
        <w:t xml:space="preserve"> </w:t>
      </w:r>
      <w:r>
        <w:t xml:space="preserve">https://practiceguides.chambers.com/practice-guides/space-law-2025 ; Congressional Research Service,</w:t>
      </w:r>
      <w:r>
        <w:t xml:space="preserve"> </w:t>
      </w:r>
      <w:r>
        <w:t xml:space="preserve">“Commercial Space Launch and Reentry Regulations: Overview and Select Issues,”</w:t>
      </w:r>
      <w:r>
        <w:t xml:space="preserve"> </w:t>
      </w:r>
      <w:r>
        <w:t xml:space="preserve">R48582, https://www.congress.gov/crs-product/R48582.</w:t>
      </w:r>
    </w:p>
    <w:p>
      <w:pPr>
        <w:pStyle w:val="BodyText"/>
        <w:spacing w:line="480" w:lineRule="auto"/>
        <w:ind w:firstLine="720"/>
      </w:pPr>
      <w:bookmarkStart w:id="149" w:name="ref-14"/>
      <w:bookmarkEnd w:id="149"/>
      <w:r>
        <w:t xml:space="preserve">14. N. Dailey et al. (MITRE/CisLunar), circular-economy application to space sustainability, in Space Economy Papers corpus (SD15). Dynamic scale economies and early-entrant advantage.</w:t>
      </w:r>
    </w:p>
    <w:p>
      <w:pPr>
        <w:pStyle w:val="BodyText"/>
        <w:spacing w:line="480" w:lineRule="auto"/>
        <w:ind w:firstLine="720"/>
      </w:pPr>
      <w:bookmarkStart w:id="150" w:name="ref-15"/>
      <w:bookmarkEnd w:id="150"/>
      <w:r>
        <w:t xml:space="preserve">15.</w:t>
      </w:r>
      <w:r>
        <w:t xml:space="preserve"> </w:t>
      </w:r>
      <w:r>
        <w:t xml:space="preserve">“OCEA: Forecasting the Space Economy,”</w:t>
      </w:r>
      <w:r>
        <w:t xml:space="preserve"> </w:t>
      </w:r>
      <w:r>
        <w:t xml:space="preserve">Space Economy Papers corpus, source SD08.</w:t>
      </w:r>
    </w:p>
    <w:p>
      <w:pPr>
        <w:pStyle w:val="BodyText"/>
        <w:spacing w:line="480" w:lineRule="auto"/>
        <w:ind w:firstLine="720"/>
      </w:pPr>
      <w:bookmarkStart w:id="151" w:name="ref-16"/>
      <w:bookmarkEnd w:id="151"/>
      <w:r>
        <w:t xml:space="preserve">16. M. Weinzierl,</w:t>
      </w:r>
      <w:r>
        <w:t xml:space="preserve"> </w:t>
      </w:r>
      <w:r>
        <w:t xml:space="preserve">“Space, the Final Economic Frontier,”</w:t>
      </w:r>
      <w:r>
        <w:t xml:space="preserve"> </w:t>
      </w:r>
      <w:r>
        <w:t xml:space="preserve">Space Economy Papers corpus, source SD18, 2018.</w:t>
      </w:r>
    </w:p>
    <w:p>
      <w:pPr>
        <w:pStyle w:val="BodyText"/>
        <w:spacing w:line="480" w:lineRule="auto"/>
        <w:ind w:firstLine="720"/>
      </w:pPr>
      <w:bookmarkStart w:id="152" w:name="ref-17"/>
      <w:bookmarkEnd w:id="152"/>
      <w:r>
        <w:t xml:space="preserve">17. A. Paravano, B. Rosseau, G. Locatelli, M. Weinzierl, and P. Trucco,</w:t>
      </w:r>
      <w:r>
        <w:t xml:space="preserve"> </w:t>
      </w:r>
      <w:r>
        <w:t xml:space="preserve">“Toward the LEO economy: A value assessment of commercial space stations for space and non-space users,”</w:t>
      </w:r>
      <w:r>
        <w:t xml:space="preserve"> </w:t>
      </w:r>
      <w:r>
        <w:t xml:space="preserve">Acta Astronautica, vol. 228, 2024. doi:</w:t>
      </w:r>
      <w:r>
        <w:t xml:space="preserve"> </w:t>
      </w:r>
      <w:hyperlink r:id="rId153">
        <w:r>
          <w:rPr>
            <w:rStyle w:val="Hyperlink"/>
          </w:rPr>
          <w:t xml:space="preserve">10.1016/j.actaastro.2024.11.060</w:t>
        </w:r>
      </w:hyperlink>
    </w:p>
    <w:p>
      <w:pPr>
        <w:pStyle w:val="BodyText"/>
        <w:spacing w:line="480" w:lineRule="auto"/>
        <w:ind w:firstLine="720"/>
      </w:pPr>
      <w:bookmarkStart w:id="154" w:name="ref-18"/>
      <w:bookmarkEnd w:id="154"/>
      <w:r>
        <w:t xml:space="preserve">18. R. L. McNutt, S. R. Vernon, P. C. Brandt, M. Paul, and R. P. Lusthaus,</w:t>
      </w:r>
      <w:r>
        <w:t xml:space="preserve"> </w:t>
      </w:r>
      <w:r>
        <w:t xml:space="preserve">“High-speed scientific spacecraft launches with commercial launch vehicles,”</w:t>
      </w:r>
      <w:r>
        <w:t xml:space="preserve"> </w:t>
      </w:r>
      <w:r>
        <w:t xml:space="preserve">Acta Astronautica, vol. 217, 2024. doi:</w:t>
      </w:r>
      <w:r>
        <w:t xml:space="preserve"> </w:t>
      </w:r>
      <w:hyperlink r:id="rId155">
        <w:r>
          <w:rPr>
            <w:rStyle w:val="Hyperlink"/>
          </w:rPr>
          <w:t xml:space="preserve">10.1016/j.actaastro.2024.01.024</w:t>
        </w:r>
      </w:hyperlink>
    </w:p>
    <w:p>
      <w:pPr>
        <w:pStyle w:val="BodyText"/>
        <w:spacing w:line="480" w:lineRule="auto"/>
        <w:ind w:firstLine="720"/>
      </w:pPr>
      <w:bookmarkStart w:id="156" w:name="ref-19"/>
      <w:bookmarkEnd w:id="156"/>
      <w:r>
        <w:t xml:space="preserve">19. H. W. Jones,</w:t>
      </w:r>
      <w:r>
        <w:t xml:space="preserve"> </w:t>
      </w:r>
      <w:r>
        <w:t xml:space="preserve">“The Recent Large Reduction in Space Launch Cost,”</w:t>
      </w:r>
      <w:r>
        <w:t xml:space="preserve"> </w:t>
      </w:r>
      <w:r>
        <w:t xml:space="preserve">NASA Technical Reports Server, NTRS 20200001093, 2018.</w:t>
      </w:r>
    </w:p>
    <w:p>
      <w:pPr>
        <w:pStyle w:val="BodyText"/>
        <w:spacing w:line="480" w:lineRule="auto"/>
        <w:ind w:firstLine="720"/>
      </w:pPr>
      <w:bookmarkStart w:id="157" w:name="ref-20"/>
      <w:bookmarkEnd w:id="157"/>
      <w:r>
        <w:t xml:space="preserve">20. J. Stilwell et al.,</w:t>
      </w:r>
      <w:r>
        <w:t xml:space="preserve"> </w:t>
      </w:r>
      <w:r>
        <w:t xml:space="preserve">“Orbital Classification and the Whole-of-Nation Space Enterprise,”</w:t>
      </w:r>
      <w:r>
        <w:t xml:space="preserve"> </w:t>
      </w:r>
      <w:r>
        <w:t xml:space="preserve">ASCEND 2025, Space Economy Papers corpus, source SD02.</w:t>
      </w:r>
    </w:p>
    <w:p>
      <w:pPr>
        <w:pStyle w:val="BodyText"/>
        <w:spacing w:line="480" w:lineRule="auto"/>
        <w:ind w:firstLine="720"/>
      </w:pPr>
      <w:bookmarkStart w:id="158" w:name="ref-21"/>
      <w:bookmarkEnd w:id="158"/>
      <w:r>
        <w:t xml:space="preserve">21. Makena Young, Center for Strategic and International Studies; Akhil Thadani, Center for Strategic and International Studies. Low-Orbit, High Stakes: Winning the LEO Broadband Competition (2022).</w:t>
      </w:r>
    </w:p>
    <w:p>
      <w:pPr>
        <w:pStyle w:val="BodyText"/>
        <w:spacing w:line="480" w:lineRule="auto"/>
        <w:ind w:firstLine="720"/>
      </w:pPr>
      <w:bookmarkStart w:id="159" w:name="ref-22"/>
      <w:bookmarkEnd w:id="159"/>
      <w:r>
        <w:t xml:space="preserve">22.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60">
        <w:r>
          <w:rPr>
            <w:rStyle w:val="Hyperlink"/>
          </w:rPr>
          <w:t xml:space="preserve">10.64861/CEPU7718</w:t>
        </w:r>
      </w:hyperlink>
    </w:p>
    <w:p>
      <w:pPr>
        <w:pStyle w:val="BodyText"/>
        <w:spacing w:line="480" w:lineRule="auto"/>
        <w:ind w:firstLine="720"/>
      </w:pPr>
      <w:bookmarkStart w:id="161" w:name="ref-23"/>
      <w:bookmarkEnd w:id="161"/>
      <w:r>
        <w:t xml:space="preserve">23. John Goehring, National Geospatial-Intelligence Agency. U.S. Commercial Space Regulation: The Rule of Three (2022).</w:t>
      </w:r>
    </w:p>
    <w:p>
      <w:pPr>
        <w:pStyle w:val="BodyText"/>
        <w:spacing w:line="480" w:lineRule="auto"/>
        <w:ind w:firstLine="720"/>
      </w:pPr>
      <w:bookmarkStart w:id="162" w:name="ref-24"/>
      <w:bookmarkEnd w:id="162"/>
      <w:r>
        <w:t xml:space="preserve">24. Ralph “Dinz” Dinsley, Northern Space and Security, Reflecting Space; Christopher Newman, Northumbria University and Reflecting Space. The Governance of Space Situational Awareness – Revolution not Evolution (2018).</w:t>
      </w:r>
    </w:p>
    <w:p>
      <w:pPr>
        <w:pStyle w:val="BodyText"/>
        <w:spacing w:line="480" w:lineRule="auto"/>
        <w:ind w:firstLine="720"/>
      </w:pPr>
      <w:bookmarkStart w:id="163" w:name="ref-25"/>
      <w:bookmarkEnd w:id="163"/>
      <w:r>
        <w:t xml:space="preserve">25. Daniel Jang, Massachusetts Institute of Technology; Peng Mun Siew, Massachusetts Institute of Technology; Pablo Machuca, Massachusetts Institute of Technology; Richard Linares, Massachusetts Institute of Technology. Monte-Carlo Methods for All-vs-all Future LEO Population Evolution Modeling (2023). doi:</w:t>
      </w:r>
      <w:r>
        <w:t xml:space="preserve"> </w:t>
      </w:r>
      <w:hyperlink r:id="rId164">
        <w:r>
          <w:rPr>
            <w:rStyle w:val="Hyperlink"/>
          </w:rPr>
          <w:t xml:space="preserve">10.64861/XQKK7584</w:t>
        </w:r>
      </w:hyperlink>
    </w:p>
    <w:p>
      <w:pPr>
        <w:pStyle w:val="BodyText"/>
        <w:spacing w:line="480" w:lineRule="auto"/>
        <w:ind w:firstLine="720"/>
      </w:pPr>
      <w:bookmarkStart w:id="165" w:name="ref-26"/>
      <w:bookmarkEnd w:id="165"/>
      <w:r>
        <w:t xml:space="preserve">26. Todd Harrison, Center for Strategic and International Studies. International Perspectives on Space Weapons (2020).</w:t>
      </w:r>
    </w:p>
    <w:p>
      <w:pPr>
        <w:pStyle w:val="BodyText"/>
        <w:spacing w:line="480" w:lineRule="auto"/>
        <w:ind w:firstLine="720"/>
      </w:pPr>
      <w:bookmarkStart w:id="166" w:name="ref-27"/>
      <w:bookmarkEnd w:id="166"/>
      <w:r>
        <w:t xml:space="preserve">27. Jacqueline Smith, MIT; Moriba Jah, University of Texas; Danielle Wood, MIT. Architecting a Decision Support System for Continuing Supervision of Commercial In-Space Servicing (2024). doi:</w:t>
      </w:r>
      <w:r>
        <w:t xml:space="preserve"> </w:t>
      </w:r>
      <w:hyperlink r:id="rId167">
        <w:r>
          <w:rPr>
            <w:rStyle w:val="Hyperlink"/>
          </w:rPr>
          <w:t xml:space="preserve">10.64861/SYQO6621</w:t>
        </w:r>
      </w:hyperlink>
    </w:p>
    <w:p>
      <w:pPr>
        <w:pStyle w:val="BodyText"/>
        <w:spacing w:line="480" w:lineRule="auto"/>
        <w:ind w:firstLine="720"/>
      </w:pPr>
      <w:bookmarkStart w:id="168" w:name="ref-28"/>
      <w:bookmarkEnd w:id="168"/>
      <w:r>
        <w:t xml:space="preserve">28. Christopher J. Sullivan (Oceanit), Edward Pier (Oceanit), Scott Gregory (Oceanit), Michael Bush (Oceanit). Space Situational Awareness using Market Based Agents (2012).</w:t>
      </w:r>
    </w:p>
    <w:p>
      <w:pPr>
        <w:pStyle w:val="BodyText"/>
        <w:spacing w:line="480" w:lineRule="auto"/>
        <w:ind w:firstLine="720"/>
      </w:pPr>
      <w:bookmarkStart w:id="169" w:name="ref-29"/>
      <w:bookmarkEnd w:id="169"/>
      <w:r>
        <w:t xml:space="preserve">29. Sebastian Fehrler; Lars Hornuf; Daniel Vrankar. What do citizens expect from space? (2025). doi:</w:t>
      </w:r>
      <w:r>
        <w:t xml:space="preserve"> </w:t>
      </w:r>
      <w:hyperlink r:id="rId170">
        <w:r>
          <w:rPr>
            <w:rStyle w:val="Hyperlink"/>
          </w:rPr>
          <w:t xml:space="preserve">10.1016/j.actaastro.2025.05.056</w:t>
        </w:r>
      </w:hyperlink>
    </w:p>
    <w:p>
      <w:pPr>
        <w:pStyle w:val="BodyText"/>
        <w:spacing w:line="480" w:lineRule="auto"/>
        <w:ind w:firstLine="720"/>
      </w:pPr>
      <w:bookmarkStart w:id="171" w:name="ref-30"/>
      <w:bookmarkEnd w:id="171"/>
      <w:r>
        <w:t xml:space="preserve">30. Steve Simon. A cause for concern: Developing regulatory competitions in NewSpace (2021). doi:</w:t>
      </w:r>
      <w:r>
        <w:t xml:space="preserve"> </w:t>
      </w:r>
      <w:hyperlink r:id="rId172">
        <w:r>
          <w:rPr>
            <w:rStyle w:val="Hyperlink"/>
          </w:rPr>
          <w:t xml:space="preserve">10.1016/j.actaastro.2021.05.015</w:t>
        </w:r>
      </w:hyperlink>
    </w:p>
    <w:p>
      <w:pPr>
        <w:pStyle w:val="BodyText"/>
        <w:spacing w:line="480" w:lineRule="auto"/>
        <w:ind w:firstLine="720"/>
      </w:pPr>
      <w:bookmarkStart w:id="173" w:name="ref-31"/>
      <w:bookmarkEnd w:id="173"/>
      <w:r>
        <w:t xml:space="preserve">31. Ben McKeown; Andrew G. Dempster; Serkan Saydam; Jeff Coulton. How should potential space resources markets be evaluated? (2026). doi:</w:t>
      </w:r>
      <w:r>
        <w:t xml:space="preserve"> </w:t>
      </w:r>
      <w:hyperlink r:id="rId174">
        <w:r>
          <w:rPr>
            <w:rStyle w:val="Hyperlink"/>
          </w:rPr>
          <w:t xml:space="preserve">10.1016/j.actaastro.2026.03.026</w:t>
        </w:r>
      </w:hyperlink>
    </w:p>
    <w:p>
      <w:pPr>
        <w:pStyle w:val="BodyText"/>
        <w:spacing w:line="480" w:lineRule="auto"/>
        <w:ind w:firstLine="720"/>
      </w:pPr>
      <w:bookmarkStart w:id="175" w:name="ref-32"/>
      <w:bookmarkEnd w:id="175"/>
      <w:r>
        <w:t xml:space="preserve">32. Roberto Opromolla; Д. А. Гришко; John Auburn; Riccardo Bevilacqua; Luisa Buinhas; Joseph Cassady; Markus Jäger; Marko Janković; Javier Rodríguez; Maria Antonietta Perino; Benjamin Bastida-Virgili. Future in-orbit servicing operations in the space traffic management context (2024). doi:</w:t>
      </w:r>
      <w:r>
        <w:t xml:space="preserve"> </w:t>
      </w:r>
      <w:hyperlink r:id="rId176">
        <w:r>
          <w:rPr>
            <w:rStyle w:val="Hyperlink"/>
          </w:rPr>
          <w:t xml:space="preserve">10.1016/j.actaastro.2024.05.007</w:t>
        </w:r>
      </w:hyperlink>
    </w:p>
    <w:p>
      <w:pPr>
        <w:pStyle w:val="BodyText"/>
        <w:spacing w:line="480" w:lineRule="auto"/>
        <w:ind w:firstLine="720"/>
      </w:pPr>
      <w:bookmarkStart w:id="177" w:name="ref-33"/>
      <w:bookmarkEnd w:id="177"/>
      <w:r>
        <w:t xml:space="preserve">33. Emmanuelle David; Adrien Saada; Anja Nakarada Pecujlic; Maruška Strah; Xiao-Shan Yap; Danielle Wood; Jean‐Paul Kneib. Fostering multi-stakeholder collaboration for space sustainability through an incentive-based mechanism (2025). doi:</w:t>
      </w:r>
      <w:r>
        <w:t xml:space="preserve"> </w:t>
      </w:r>
      <w:hyperlink r:id="rId178">
        <w:r>
          <w:rPr>
            <w:rStyle w:val="Hyperlink"/>
          </w:rPr>
          <w:t xml:space="preserve">10.1016/j.actaastro.2025.06.029</w:t>
        </w:r>
      </w:hyperlink>
    </w:p>
    <w:p>
      <w:pPr>
        <w:pStyle w:val="BodyText"/>
        <w:spacing w:line="480" w:lineRule="auto"/>
        <w:ind w:firstLine="720"/>
      </w:pPr>
      <w:bookmarkStart w:id="179" w:name="ref-34"/>
      <w:bookmarkEnd w:id="179"/>
      <w:r>
        <w:t xml:space="preserve">34. Wiebke Retagne; Camilla Colombo. Satellite launch traffic forecast based on the global Gross Domestic Product and constellation plans (2026). doi:</w:t>
      </w:r>
      <w:r>
        <w:t xml:space="preserve"> </w:t>
      </w:r>
      <w:hyperlink r:id="rId180">
        <w:r>
          <w:rPr>
            <w:rStyle w:val="Hyperlink"/>
          </w:rPr>
          <w:t xml:space="preserve">10.1016/j.actaastro.2026.04.046</w:t>
        </w:r>
      </w:hyperlink>
    </w:p>
    <w:p>
      <w:pPr>
        <w:pStyle w:val="BodyText"/>
        <w:spacing w:line="480" w:lineRule="auto"/>
        <w:ind w:firstLine="720"/>
      </w:pPr>
      <w:bookmarkStart w:id="181" w:name="ref-35"/>
      <w:bookmarkEnd w:id="181"/>
      <w:r>
        <w:t xml:space="preserve">35. Gil Denis; A. Claverie; Xavier Pasco; Jean‐Pierre Darnis; Benoît de Maupeou; Murielle Lafaye; Eric Morel. Towards disruptions in Earth observation? New Earth Observation systems and markets evolution: Possible scenarios and impacts (2017). doi:</w:t>
      </w:r>
      <w:r>
        <w:t xml:space="preserve"> </w:t>
      </w:r>
      <w:hyperlink r:id="rId182">
        <w:r>
          <w:rPr>
            <w:rStyle w:val="Hyperlink"/>
          </w:rPr>
          <w:t xml:space="preserve">10.1016/j.actaastro.2017.04.034</w:t>
        </w:r>
      </w:hyperlink>
    </w:p>
    <w:p>
      <w:pPr>
        <w:pStyle w:val="BodyText"/>
        <w:spacing w:line="480" w:lineRule="auto"/>
        <w:ind w:firstLine="720"/>
      </w:pPr>
      <w:bookmarkStart w:id="183" w:name="ref-36"/>
      <w:bookmarkEnd w:id="183"/>
      <w:r>
        <w:t xml:space="preserve">36. Paolo Trucco; Alessandro Paravano; Giorgio Locatelli. Framing the dynamics of risk landscape amidst space economy trends (2025). doi:</w:t>
      </w:r>
      <w:r>
        <w:t xml:space="preserve"> </w:t>
      </w:r>
      <w:hyperlink r:id="rId184">
        <w:r>
          <w:rPr>
            <w:rStyle w:val="Hyperlink"/>
          </w:rPr>
          <w:t xml:space="preserve">10.1016/j.actaastro.2025.06.067</w:t>
        </w:r>
      </w:hyperlink>
    </w:p>
    <w:bookmarkEnd w:id="185"/>
    <w:bookmarkEnd w:id="186"/>
    <w:bookmarkStart w:id="20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94" w:name="X8300ba1f38aabe02812633c08701180aac00a02"/>
    <w:p>
      <w:pPr>
        <w:pStyle w:val="Heading2"/>
        <w:spacing w:line="480" w:lineRule="auto"/>
      </w:pPr>
      <w:r>
        <w:t xml:space="preserve">A.1 Regulatory Stringency and National Launch Activity: A Panel of Five Space-Faring Nations, 2016-2024</w:t>
      </w:r>
    </w:p>
    <w:p>
      <w:pPr>
        <w:pStyle w:val="FirstParagraph"/>
        <w:spacing w:line="480" w:lineRule="auto"/>
      </w:pPr>
      <m:oMathPara>
        <m:oMathParaPr>
          <m:jc m:val="center"/>
        </m:oMathParaPr>
        <m:oMath>
          <m:sSub>
            <m:e>
              <m:r>
                <m:rPr>
                  <m:nor/>
                  <m:sty m:val="p"/>
                </m:rPr>
                <m:t>launches</m:t>
              </m:r>
            </m:e>
            <m:sub>
              <m:r>
                <m:t>i</m:t>
              </m:r>
              <m:r>
                <m:t>t</m:t>
              </m:r>
            </m:sub>
          </m:sSub>
          <m:r>
            <m:rPr>
              <m:sty m:val="p"/>
            </m:rPr>
            <m:t>=</m:t>
          </m:r>
          <m:sSub>
            <m:e>
              <m:r>
                <m:t>β</m:t>
              </m:r>
            </m:e>
            <m:sub>
              <m:r>
                <m:t>0</m:t>
              </m:r>
            </m:sub>
          </m:sSub>
          <m:r>
            <m:rPr>
              <m:sty m:val="p"/>
            </m:rPr>
            <m:t>+</m:t>
          </m:r>
          <m:sSub>
            <m:e>
              <m:r>
                <m:t>β</m:t>
              </m:r>
            </m:e>
            <m:sub>
              <m:r>
                <m:t>1</m:t>
              </m:r>
            </m:sub>
          </m:sSub>
          <m:sSub>
            <m:e>
              <m:r>
                <m:rPr>
                  <m:nor/>
                  <m:sty m:val="p"/>
                </m:rPr>
                <m:t>reg_stringency</m:t>
              </m:r>
            </m:e>
            <m:sub>
              <m:r>
                <m:t>i</m:t>
              </m:r>
              <m:r>
                <m:t>t</m:t>
              </m:r>
            </m:sub>
          </m:sSub>
          <m:r>
            <m:rPr>
              <m:sty m:val="p"/>
            </m:rPr>
            <m:t>+</m:t>
          </m:r>
          <m:sSub>
            <m:e>
              <m:r>
                <m:t>β</m:t>
              </m:r>
            </m:e>
            <m:sub>
              <m:r>
                <m:t>2</m:t>
              </m:r>
            </m:sub>
          </m:sSub>
          <m:sSub>
            <m:e>
              <m:r>
                <m:rPr>
                  <m:nor/>
                  <m:sty m:val="p"/>
                </m:rPr>
                <m:t>private_share</m:t>
              </m:r>
            </m:e>
            <m:sub>
              <m:r>
                <m:t>i</m:t>
              </m:r>
              <m:r>
                <m:t>t</m:t>
              </m:r>
            </m:sub>
          </m:sSub>
          <m:r>
            <m:rPr>
              <m:sty m:val="p"/>
            </m:rPr>
            <m:t>+</m:t>
          </m:r>
          <m:sSub>
            <m:e>
              <m:r>
                <m:t>β</m:t>
              </m:r>
            </m:e>
            <m:sub>
              <m:r>
                <m:t>3</m:t>
              </m:r>
            </m:sub>
          </m:sSub>
          <m:sSub>
            <m:e>
              <m:r>
                <m:rPr>
                  <m:nor/>
                  <m:sty m:val="p"/>
                </m:rPr>
                <m:t>gdp_tn</m:t>
              </m:r>
            </m:e>
            <m:sub>
              <m:r>
                <m:t>i</m:t>
              </m:r>
            </m:sub>
          </m:sSub>
          <m:r>
            <m:rPr>
              <m:sty m:val="p"/>
            </m:rPr>
            <m:t>+</m:t>
          </m:r>
          <m:sSub>
            <m:e>
              <m:r>
                <m:t>β</m:t>
              </m:r>
            </m:e>
            <m:sub>
              <m:r>
                <m:t>4</m:t>
              </m:r>
            </m:sub>
          </m:sSub>
          <m:sSub>
            <m:e>
              <m:r>
                <m:rPr>
                  <m:nor/>
                  <m:sty m:val="p"/>
                </m:rPr>
                <m:t>post2020</m:t>
              </m:r>
            </m:e>
            <m:sub>
              <m:r>
                <m:t>t</m:t>
              </m:r>
            </m:sub>
          </m:sSub>
          <m:r>
            <m:rPr>
              <m:sty m:val="p"/>
            </m:rPr>
            <m:t>+</m:t>
          </m:r>
          <m:sSub>
            <m:e>
              <m:r>
                <m:t>ε</m:t>
              </m:r>
            </m:e>
            <m:sub>
              <m:r>
                <m:t>i</m:t>
              </m:r>
              <m:r>
                <m:t>t</m:t>
              </m:r>
            </m:sub>
          </m:sSub>
        </m:oMath>
      </m:oMathPara>
    </w:p>
    <w:bookmarkStart w:id="18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-77.2756</w:t>
            </w:r>
          </w:p>
        </w:tc>
        <w:tc>
          <w:tcPr>
            <w:tcW w:w="0" w:type="auto"/>
          </w:tcPr>
          <w:p>
            <w:pPr>
              <w:spacing w:line="240" w:lineRule="auto" w:before="0" w:after="0"/>
              <w:pStyle w:val="Compact"/>
            </w:pPr>
            <w:r>
              <w:rPr>
                <w:sz w:val="20"/>
                <w:szCs w:val="20"/>
              </w:rPr>
              <w:t xml:space="preserve">21.982</w:t>
            </w:r>
          </w:p>
        </w:tc>
        <w:tc>
          <w:tcPr>
            <w:tcW w:w="0" w:type="auto"/>
          </w:tcPr>
          <w:p>
            <w:pPr>
              <w:spacing w:line="240" w:lineRule="auto" w:before="0" w:after="0"/>
              <w:pStyle w:val="Compact"/>
            </w:pPr>
            <w:r>
              <w:rPr>
                <w:sz w:val="20"/>
                <w:szCs w:val="20"/>
              </w:rPr>
              <w:t xml:space="preserve">-3.5154</w:t>
            </w:r>
          </w:p>
        </w:tc>
        <w:tc>
          <w:tcPr>
            <w:tcW w:w="0" w:type="auto"/>
          </w:tcPr>
          <w:p>
            <w:pPr>
              <w:spacing w:line="240" w:lineRule="auto" w:before="0" w:after="0"/>
              <w:pStyle w:val="Compact"/>
            </w:pPr>
            <w:r>
              <w:rPr>
                <w:sz w:val="20"/>
                <w:szCs w:val="20"/>
              </w:rPr>
              <w:t xml:space="preserve">0.0004391</w:t>
            </w:r>
          </w:p>
        </w:tc>
        <w:tc>
          <w:tcPr>
            <w:tcW w:w="0" w:type="auto"/>
          </w:tcPr>
          <w:p>
            <w:pPr>
              <w:spacing w:line="240" w:lineRule="auto" w:before="0" w:after="0"/>
              <w:pStyle w:val="Compact"/>
            </w:pPr>
            <w:r>
              <w:rPr>
                <w:sz w:val="20"/>
                <w:szCs w:val="20"/>
              </w:rPr>
              <w:t xml:space="preserve">[-120.3596, -34.1917]</w:t>
            </w:r>
          </w:p>
        </w:tc>
      </w:tr>
      <w:tr>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15.3604</w:t>
            </w:r>
          </w:p>
        </w:tc>
        <w:tc>
          <w:tcPr>
            <w:tcW w:w="0" w:type="auto"/>
          </w:tcPr>
          <w:p>
            <w:pPr>
              <w:spacing w:line="240" w:lineRule="auto" w:before="0" w:after="0"/>
              <w:pStyle w:val="Compact"/>
            </w:pPr>
            <w:r>
              <w:rPr>
                <w:sz w:val="20"/>
                <w:szCs w:val="20"/>
              </w:rPr>
              <w:t xml:space="preserve">4.3371</w:t>
            </w:r>
          </w:p>
        </w:tc>
        <w:tc>
          <w:tcPr>
            <w:tcW w:w="0" w:type="auto"/>
          </w:tcPr>
          <w:p>
            <w:pPr>
              <w:spacing w:line="240" w:lineRule="auto" w:before="0" w:after="0"/>
              <w:pStyle w:val="Compact"/>
            </w:pPr>
            <w:r>
              <w:rPr>
                <w:sz w:val="20"/>
                <w:szCs w:val="20"/>
              </w:rPr>
              <w:t xml:space="preserve">3.5416</w:t>
            </w:r>
          </w:p>
        </w:tc>
        <w:tc>
          <w:tcPr>
            <w:tcW w:w="0" w:type="auto"/>
          </w:tcPr>
          <w:p>
            <w:pPr>
              <w:spacing w:line="240" w:lineRule="auto" w:before="0" w:after="0"/>
              <w:pStyle w:val="Compact"/>
            </w:pPr>
            <w:r>
              <w:rPr>
                <w:sz w:val="20"/>
                <w:szCs w:val="20"/>
              </w:rPr>
              <w:t xml:space="preserve">0.0003977</w:t>
            </w:r>
          </w:p>
        </w:tc>
        <w:tc>
          <w:tcPr>
            <w:tcW w:w="0" w:type="auto"/>
          </w:tcPr>
          <w:p>
            <w:pPr>
              <w:spacing w:line="240" w:lineRule="auto" w:before="0" w:after="0"/>
              <w:pStyle w:val="Compact"/>
            </w:pPr>
            <w:r>
              <w:rPr>
                <w:sz w:val="20"/>
                <w:szCs w:val="20"/>
              </w:rPr>
              <w:t xml:space="preserve">[6.8599, 23.861]</w:t>
            </w:r>
          </w:p>
        </w:tc>
      </w:tr>
      <w:tr>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129.5557</w:t>
            </w:r>
          </w:p>
        </w:tc>
        <w:tc>
          <w:tcPr>
            <w:tcW w:w="0" w:type="auto"/>
          </w:tcPr>
          <w:p>
            <w:pPr>
              <w:spacing w:line="240" w:lineRule="auto" w:before="0" w:after="0"/>
              <w:pStyle w:val="Compact"/>
            </w:pPr>
            <w:r>
              <w:rPr>
                <w:sz w:val="20"/>
                <w:szCs w:val="20"/>
              </w:rPr>
              <w:t xml:space="preserve">56.9683</w:t>
            </w:r>
          </w:p>
        </w:tc>
        <w:tc>
          <w:tcPr>
            <w:tcW w:w="0" w:type="auto"/>
          </w:tcPr>
          <w:p>
            <w:pPr>
              <w:spacing w:line="240" w:lineRule="auto" w:before="0" w:after="0"/>
              <w:pStyle w:val="Compact"/>
            </w:pPr>
            <w:r>
              <w:rPr>
                <w:sz w:val="20"/>
                <w:szCs w:val="20"/>
              </w:rPr>
              <w:t xml:space="preserve">2.2742</w:t>
            </w:r>
          </w:p>
        </w:tc>
        <w:tc>
          <w:tcPr>
            <w:tcW w:w="0" w:type="auto"/>
          </w:tcPr>
          <w:p>
            <w:pPr>
              <w:spacing w:line="240" w:lineRule="auto" w:before="0" w:after="0"/>
              <w:pStyle w:val="Compact"/>
            </w:pPr>
            <w:r>
              <w:rPr>
                <w:sz w:val="20"/>
                <w:szCs w:val="20"/>
              </w:rPr>
              <w:t xml:space="preserve">0.023</w:t>
            </w:r>
          </w:p>
        </w:tc>
        <w:tc>
          <w:tcPr>
            <w:tcW w:w="0" w:type="auto"/>
          </w:tcPr>
          <w:p>
            <w:pPr>
              <w:spacing w:line="240" w:lineRule="auto" w:before="0" w:after="0"/>
              <w:pStyle w:val="Compact"/>
            </w:pPr>
            <w:r>
              <w:rPr>
                <w:sz w:val="20"/>
                <w:szCs w:val="20"/>
              </w:rPr>
              <w:t xml:space="preserve">[17.8999, 241.2116]</w:t>
            </w:r>
          </w:p>
        </w:tc>
      </w:tr>
      <w:tr>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1.2108</w:t>
            </w:r>
          </w:p>
        </w:tc>
        <w:tc>
          <w:tcPr>
            <w:tcW w:w="0" w:type="auto"/>
          </w:tcPr>
          <w:p>
            <w:pPr>
              <w:spacing w:line="240" w:lineRule="auto" w:before="0" w:after="0"/>
              <w:pStyle w:val="Compact"/>
            </w:pPr>
            <w:r>
              <w:rPr>
                <w:sz w:val="20"/>
                <w:szCs w:val="20"/>
              </w:rPr>
              <w:t xml:space="preserve">0.7215</w:t>
            </w:r>
          </w:p>
        </w:tc>
        <w:tc>
          <w:tcPr>
            <w:tcW w:w="0" w:type="auto"/>
          </w:tcPr>
          <w:p>
            <w:pPr>
              <w:spacing w:line="240" w:lineRule="auto" w:before="0" w:after="0"/>
              <w:pStyle w:val="Compact"/>
            </w:pPr>
            <w:r>
              <w:rPr>
                <w:sz w:val="20"/>
                <w:szCs w:val="20"/>
              </w:rPr>
              <w:t xml:space="preserve">1.6782</w:t>
            </w:r>
          </w:p>
        </w:tc>
        <w:tc>
          <w:tcPr>
            <w:tcW w:w="0" w:type="auto"/>
          </w:tcPr>
          <w:p>
            <w:pPr>
              <w:spacing w:line="240" w:lineRule="auto" w:before="0" w:after="0"/>
              <w:pStyle w:val="Compact"/>
            </w:pPr>
            <w:r>
              <w:rPr>
                <w:sz w:val="20"/>
                <w:szCs w:val="20"/>
              </w:rPr>
              <w:t xml:space="preserve">0.0933</w:t>
            </w:r>
          </w:p>
        </w:tc>
        <w:tc>
          <w:tcPr>
            <w:tcW w:w="0" w:type="auto"/>
          </w:tcPr>
          <w:p>
            <w:pPr>
              <w:spacing w:line="240" w:lineRule="auto" w:before="0" w:after="0"/>
              <w:pStyle w:val="Compact"/>
            </w:pPr>
            <w:r>
              <w:rPr>
                <w:sz w:val="20"/>
                <w:szCs w:val="20"/>
              </w:rPr>
              <w:t xml:space="preserve">[-0.2033, 2.6249]</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14.1542</w:t>
            </w:r>
          </w:p>
        </w:tc>
        <w:tc>
          <w:tcPr>
            <w:tcW w:w="0" w:type="auto"/>
          </w:tcPr>
          <w:p>
            <w:pPr>
              <w:spacing w:line="240" w:lineRule="auto" w:before="0" w:after="0"/>
              <w:pStyle w:val="Compact"/>
            </w:pPr>
            <w:r>
              <w:rPr>
                <w:sz w:val="20"/>
                <w:szCs w:val="20"/>
              </w:rPr>
              <w:t xml:space="preserve">3.505</w:t>
            </w:r>
          </w:p>
        </w:tc>
        <w:tc>
          <w:tcPr>
            <w:tcW w:w="0" w:type="auto"/>
          </w:tcPr>
          <w:p>
            <w:pPr>
              <w:spacing w:line="240" w:lineRule="auto" w:before="0" w:after="0"/>
              <w:pStyle w:val="Compact"/>
            </w:pPr>
            <w:r>
              <w:rPr>
                <w:sz w:val="20"/>
                <w:szCs w:val="20"/>
              </w:rPr>
              <w:t xml:space="preserve">4.0382</w:t>
            </w:r>
          </w:p>
        </w:tc>
        <w:tc>
          <w:tcPr>
            <w:tcW w:w="0" w:type="auto"/>
          </w:tcPr>
          <w:p>
            <w:pPr>
              <w:spacing w:line="240" w:lineRule="auto" w:before="0" w:after="0"/>
              <w:pStyle w:val="Compact"/>
            </w:pPr>
            <w:r>
              <w:rPr>
                <w:sz w:val="20"/>
                <w:szCs w:val="20"/>
              </w:rPr>
              <w:t xml:space="preserve">5.385e-05</w:t>
            </w:r>
          </w:p>
        </w:tc>
        <w:tc>
          <w:tcPr>
            <w:tcW w:w="0" w:type="auto"/>
          </w:tcPr>
          <w:p>
            <w:pPr>
              <w:spacing w:line="240" w:lineRule="auto" w:before="0" w:after="0"/>
              <w:pStyle w:val="Compact"/>
            </w:pPr>
            <w:r>
              <w:rPr>
                <w:sz w:val="20"/>
                <w:szCs w:val="20"/>
              </w:rPr>
              <w:t xml:space="preserve">[7.2844, 21.024]</w:t>
            </w:r>
          </w:p>
        </w:tc>
      </w:tr>
    </w:tbl>
    <w:p>
      <w:pPr>
        <w:pStyle w:val="BodyText"/>
        <w:spacing w:line="480" w:lineRule="auto"/>
        <w:ind w:firstLine="720"/>
      </w:pPr>
      <w:r>
        <w:t xml:space="preserve">Fit: N = 45 R2 = 0.6937 R2_adj = 0.6631 F = 26.7287 F_p = 7.794e-11</w:t>
      </w:r>
    </w:p>
    <w:bookmarkEnd w:id="187"/>
    <w:bookmarkStart w:id="19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National annual orbital launch attempts against regulatory-stringency index, five-nation panel 2016-2024." title="" id="189" name="Picture"/>
            <a:graphic>
              <a:graphicData uri="http://schemas.openxmlformats.org/drawingml/2006/picture">
                <pic:pic>
                  <pic:nvPicPr>
                    <pic:cNvPr descr="D:/Claude_Code/brain/collegium/candidates/dissertations/LAUNCH_REG_11/research_papers/p1/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National annual orbital launch attempts against regulatory-stringency index, five-nation panel 2016-2024.</w:t>
      </w:r>
    </w:p>
    <w:bookmarkEnd w:id="191"/>
    <w:bookmarkStart w:id="19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country</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Orbital launch count USA 2016=22, Space Stats Online https://spacestatsonline.com/launches/country/usa/ ; reg_stringency=2 pre-Part450 enabling regime, FAA AST overview Congress.gov R48582 https://www.congress.gov/crs-product/R48582 ; private_share commercial-share proxy [illustrative]; gdp period-avg nominal World Bank NY.GDP.MKTP.CD https://data.worldbank.org/indicator/NY.GDP.MKTP.CD</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2017=30 Space Stats Online https://spacestatsonline.com/launches/country/usa/ ; FAA AST regime Congress.gov R48582; gdp World Bank NY.GDP.MKTP.CD</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2018=34 Space Stats Online https://spacestatsonline.com/launches/country/usa/ ; FAA AST regime Congress.gov R48582; private_share proxy [illustrative]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2019=27 Space Stats Online https://spacestatsonline.com/launches/country/usa/ ; FAA AST regime Congress.gov R48582</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 2020=44 Space Stats Online https://spacestatsonline.com/launches/country/usa/ ; reg_stringency=1 Part 450 streamlined final rule 2020 FAA https://www.faa.gov/newsroom/faa-streamlines-commercial-space-license-approvals</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2021=51 Space Stats Online https://spacestatsonline.com/launches/country/usa/ ; Part 450 era FAA https://www.faa.gov/newsroom/faa-streamlines-commercial-space-license-approvals ; private_share proxy [illustrative]</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2022=87 Space Stats Online https://spacestatsonline.com/launches/country/usa/ ; Part 450 era FAA https://www.faa.gov/newsroom/faa-streamlines-commercial-space-license-approvals</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2023=114 Space Stats Online https://spacestatsonline.com/launches/country/usa/ ; Part 450 era FAA Part450 PDF https://www.faa.gov/sites/faa.gov/files/space/streamlined_licensing_process/AST_Space_Rule_450_1.pdf</w:t>
            </w:r>
          </w:p>
        </w:tc>
      </w:tr>
      <w:tr>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USA 2024=154 Space Stats Online https://spacestatsonline.com/launches/country/usa/ ; Part 450 era;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2016=22 Space Stats Online https://spacestatsonline.com/launches/country/chn/ ; reg_stringency=5 state-controlled launch regime (no streamlined commercial-entry licensing), Chambers Space Law 2025; gdp World Bank NY.GDP.MKTP.CD</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2017=18 Space Stats Online https://spacestatsonline.com/launches/country/chn/ ; state-controlled regime;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2018=39 Space Stats Online https://spacestatsonline.com/launches/country/chn/ ; state-controlled regime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2019=34 Space Stats Online https://spacestatsonline.com/launches/country/chn/ ; state-controlled regime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China 2020=39 Space Stats Online https://spacestatsonline.com/launches/country/chn/ ; state-controlled regime;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2021=55 Space Stats Online https://spacestatsonline.com/launches/country/chn/ ; reg_stringency=4 partial commercial-launch openings (CASC/CASIC commercial arms), Chambers Space Law 2025</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2022=64 Space Stats Online https://spacestatsonline.com/launches/country/chn/ ; partial commercial openings</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2023=67 Space Stats Online https://spacestatsonline.com/launches/country/chn/ ; partial commercial openings; private_share proxy [illustrative]</w:t>
            </w:r>
          </w:p>
        </w:tc>
      </w:tr>
      <w:tr>
        <w:tc>
          <w:tcPr>
            <w:tcW w:w="0" w:type="auto"/>
          </w:tcPr>
          <w:p>
            <w:pPr>
              <w:spacing w:line="240" w:lineRule="auto" w:before="0" w:after="0"/>
              <w:pStyle w:val="Compact"/>
            </w:pPr>
            <w:r>
              <w:rPr>
                <w:sz w:val="20"/>
                <w:szCs w:val="20"/>
              </w:rPr>
              <w:t xml:space="preserve">CHN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China 2024=68 Space Stats Online https://spacestatsonline.com/launches/country/chn/ ; partial commercial openings</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2016=17 Space Stats Online https://spacestatsonline.com/launches/country/rus/ ; reg_stringency=5 state-monopoly Roscosmos launch regime; gdp World Bank NY.GDP.MKTP.CD https://data.worldbank.org/indicator/NY.GDP.MKTP.CD ; private_share proxy [illustrative]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2017=19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2018=17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2019=22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Russia 2020=15 Space Stats Online https://spacestatsonline.com/launches/country/rus/ ; state-monopoly regime; private_share proxy [illustrative]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2021=24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2022=21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2023=20 Space Stats Online https://spacestatsonline.com/launches/country/rus/ ; state-monopoly regime</w:t>
            </w:r>
          </w:p>
        </w:tc>
      </w:tr>
      <w:tr>
        <w:tc>
          <w:tcPr>
            <w:tcW w:w="0" w:type="auto"/>
          </w:tcPr>
          <w:p>
            <w:pPr>
              <w:spacing w:line="240" w:lineRule="auto" w:before="0" w:after="0"/>
              <w:pStyle w:val="Compact"/>
            </w:pPr>
            <w:r>
              <w:rPr>
                <w:sz w:val="20"/>
                <w:szCs w:val="20"/>
              </w:rPr>
              <w:t xml:space="preserve">RUS</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Russia 2024=17 Space Stats Online https://spacestatsonline.com/launches/country/rus/ ; state-monopoly regime;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2016=7 Space Stats Online https://spacestatsonline.com/launches/country/ind/ ; reg_stringency=4 pre-IN-SPACe ISRO-centric regime, NUJS CASL liberalization review https://nujs.edu/casl/liberalization-of-the-indian-space-sector-private-participation-and-legal-challenges/ ; gdp World Bank NY.GDP.MKTP.CD</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2017=5 Space Stats Online https://spacestatsonline.com/launches/country/ind/ ; pre-IN-SPACe regime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2018=7 Space Stats Online https://spacestatsonline.com/launches/country/ind/ ; pre-IN-SPACe regime;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2019=6 Space Stats Online https://spacestatsonline.com/launches/country/ind/ ; pre-IN-SPACe regime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India 2020=2 Space Stats Online https://spacestatsonline.com/launches/country/ind/ ; reg_stringency=3 IN-SPACe single-window liberalization 2020, NUJS CASL https://nujs.edu/casl/liberalization-of-the-indian-space-sector-private-participation-and-legal-challenges/</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2021=2 Space Stats Online https://spacestatsonline.com/launches/country/ind/ ; IN-SPACe liberalization era</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2022=5 Space Stats Online https://spacestatsonline.com/launches/country/ind/ ; IN-SPACe liberalization era; private_share proxy [illustrative]</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2023=7 Space Stats Online https://spacestatsonline.com/launches/country/ind/ ; IN-SPACe / Indian Space Policy 2023, Chambers Space Law 2025 India</w:t>
            </w:r>
          </w:p>
        </w:tc>
      </w:tr>
      <w:tr>
        <w:tc>
          <w:tcPr>
            <w:tcW w:w="0" w:type="auto"/>
          </w:tcPr>
          <w:p>
            <w:pPr>
              <w:spacing w:line="240" w:lineRule="auto" w:before="0" w:after="0"/>
              <w:pStyle w:val="Compact"/>
            </w:pPr>
            <w:r>
              <w:rPr>
                <w:sz w:val="20"/>
                <w:szCs w:val="20"/>
              </w:rPr>
              <w:t xml:space="preserve">IND</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India 2024=5 Space Stats Online https://spacestatsonline.com/launches/country/ind/ ; 100pct FDI manufacturing / 74pct satellite automatic route 2024, Trilegal 2024 review https://trilegal.com/knowledge_repository/trilegal-update-the-indian-space-industry-key-regulatory-and-policy-developments-from-2024/</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2016=4 Space Stats Online https://spacestatsonline.com/launches/country/jpn/ ; reg_stringency=3 pre-Space-Activities-Act framework, IBA Japan space legal framework https://www.ibanet.org/emerging-space-related-private-sector-Japan-legal ; gdp World Bank NY.GDP.MKTP.CD</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2017=7 Space Stats Online https://spacestatsonline.com/launches/country/jpn/ ; pre-Act framework</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2018=6 Space Stats Online https://spacestatsonline.com/launches/country/jpn/ ; Space Activities Act effective Nov 2018, IBA https://www.ibanet.org/emerging-space-related-private-sector-Japan-legal ; private_share proxy [illustrative]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2019=2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Japan 2020=4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0.32</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2021=3 Space Stats Online https://spacestatsonline.com/launches/country/jpn/ ; Space Activities Act regime; private_share proxy [illustrative]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2022=1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2023=3 Space Stats Online https://spacestatsonline.com/launches/country/jpn/ ; Space Activities Act regime</w:t>
            </w:r>
          </w:p>
        </w:tc>
      </w:tr>
      <w:tr>
        <w:tc>
          <w:tcPr>
            <w:tcW w:w="0" w:type="auto"/>
          </w:tcPr>
          <w:p>
            <w:pPr>
              <w:spacing w:line="240" w:lineRule="auto" w:before="0" w:after="0"/>
              <w:pStyle w:val="Compact"/>
            </w:pPr>
            <w:r>
              <w:rPr>
                <w:sz w:val="20"/>
                <w:szCs w:val="20"/>
              </w:rPr>
              <w:t xml:space="preserve">JPN</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Japan 2024=7 Space Stats Online https://spacestatsonline.com/launches/country/jpn/ ; Space Activities Act regime; private_share proxy [illustrative]</w:t>
            </w:r>
          </w:p>
        </w:tc>
      </w:tr>
    </w:tbl>
    <w:bookmarkEnd w:id="192"/>
    <w:bookmarkStart w:id="19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w:t>
            </w:r>
          </w:p>
        </w:tc>
        <w:tc>
          <w:tcPr>
            <w:tcW w:w="0" w:type="auto"/>
          </w:tcPr>
          <w:p>
            <w:pPr>
              <w:spacing w:line="240" w:lineRule="auto" w:before="0" w:after="0"/>
              <w:pStyle w:val="Compact"/>
            </w:pPr>
            <w:r>
              <w:rPr>
                <w:sz w:val="20"/>
                <w:szCs w:val="20"/>
              </w:rPr>
              <w:t xml:space="preserve">Annual orbital launch attempts catalogued for nation i in year t (count, dependent variable)</w:t>
            </w:r>
          </w:p>
        </w:tc>
        <w:tc>
          <w:tcPr>
            <w:tcW w:w="0" w:type="auto"/>
          </w:tcPr>
          <w:p>
            <w:pPr>
              <w:spacing w:line="240" w:lineRule="auto" w:before="0" w:after="0"/>
              <w:pStyle w:val="Compact"/>
            </w:pPr>
            <w:r>
              <w:rPr>
                <w:sz w:val="20"/>
                <w:szCs w:val="20"/>
              </w:rPr>
              <w:t xml:space="preserve">Space Stats Online per-country launch tables, https://spacestatsonline.com/launches/country/</w:t>
            </w:r>
          </w:p>
        </w:tc>
      </w:tr>
      <w:tr>
        <w:tc>
          <w:tcPr>
            <w:tcW w:w="0" w:type="auto"/>
          </w:tcPr>
          <w:p>
            <w:pPr>
              <w:spacing w:line="240" w:lineRule="auto" w:before="0" w:after="0"/>
              <w:pStyle w:val="Compact"/>
            </w:pPr>
            <w:r>
              <w:rPr>
                <w:sz w:val="20"/>
                <w:szCs w:val="20"/>
              </w:rPr>
              <w:t xml:space="preserve">reg_stringency</w:t>
            </w:r>
          </w:p>
        </w:tc>
        <w:tc>
          <w:tcPr>
            <w:tcW w:w="0" w:type="auto"/>
          </w:tcPr>
          <w:p>
            <w:pPr>
              <w:spacing w:line="240" w:lineRule="auto" w:before="0" w:after="0"/>
              <w:pStyle w:val="Compact"/>
            </w:pPr>
            <w:r>
              <w:rPr>
                <w:sz w:val="20"/>
                <w:szCs w:val="20"/>
              </w:rPr>
              <w:t xml:space="preserve">Ordinal index 1-5 of national launch-licensing stringency toward competitive private entry (1 = streamlined enabling regime, 5 = state-monopoly), coded from documented regime descriptions</w:t>
            </w:r>
          </w:p>
        </w:tc>
        <w:tc>
          <w:tcPr>
            <w:tcW w:w="0" w:type="auto"/>
          </w:tcPr>
          <w:p>
            <w:pPr>
              <w:spacing w:line="240" w:lineRule="auto" w:before="0" w:after="0"/>
              <w:pStyle w:val="Compact"/>
            </w:pPr>
            <w:r>
              <w:rPr>
                <w:sz w:val="20"/>
                <w:szCs w:val="20"/>
              </w:rPr>
              <w:t xml:space="preserve">FAA Part 450 streamlined rule (US); Congress.gov R48582; IN-SPACe liberalization (India) NUJS CASL; Japan Space Activities Act (IBA); Chambers Space Law 2025</w:t>
            </w:r>
          </w:p>
        </w:tc>
      </w:tr>
      <w:tr>
        <w:tc>
          <w:tcPr>
            <w:tcW w:w="0" w:type="auto"/>
          </w:tcPr>
          <w:p>
            <w:pPr>
              <w:spacing w:line="240" w:lineRule="auto" w:before="0" w:after="0"/>
              <w:pStyle w:val="Compact"/>
            </w:pPr>
            <w:r>
              <w:rPr>
                <w:sz w:val="20"/>
                <w:szCs w:val="20"/>
              </w:rPr>
              <w:t xml:space="preserve">private_share</w:t>
            </w:r>
          </w:p>
        </w:tc>
        <w:tc>
          <w:tcPr>
            <w:tcW w:w="0" w:type="auto"/>
          </w:tcPr>
          <w:p>
            <w:pPr>
              <w:spacing w:line="240" w:lineRule="auto" w:before="0" w:after="0"/>
              <w:pStyle w:val="Compact"/>
            </w:pPr>
            <w:r>
              <w:rPr>
                <w:sz w:val="20"/>
                <w:szCs w:val="20"/>
              </w:rPr>
              <w:t xml:space="preserve">Share of national launch activity provided by commercial/non-government operators (proxy for competitive market structure)</w:t>
            </w:r>
          </w:p>
        </w:tc>
        <w:tc>
          <w:tcPr>
            <w:tcW w:w="0" w:type="auto"/>
          </w:tcPr>
          <w:p>
            <w:pPr>
              <w:spacing w:line="240" w:lineRule="auto" w:before="0" w:after="0"/>
              <w:pStyle w:val="Compact"/>
            </w:pPr>
            <w:r>
              <w:rPr>
                <w:sz w:val="20"/>
                <w:szCs w:val="20"/>
              </w:rPr>
              <w:t xml:space="preserve">Commercial-share proxy [illustrative] anchored on documented commercialization trajectories</w:t>
            </w:r>
          </w:p>
        </w:tc>
      </w:tr>
      <w:tr>
        <w:tc>
          <w:tcPr>
            <w:tcW w:w="0" w:type="auto"/>
          </w:tcPr>
          <w:p>
            <w:pPr>
              <w:spacing w:line="240" w:lineRule="auto" w:before="0" w:after="0"/>
              <w:pStyle w:val="Compact"/>
            </w:pPr>
            <w:r>
              <w:rPr>
                <w:sz w:val="20"/>
                <w:szCs w:val="20"/>
              </w:rPr>
              <w:t xml:space="preserve">gdp_tn</w:t>
            </w:r>
          </w:p>
        </w:tc>
        <w:tc>
          <w:tcPr>
            <w:tcW w:w="0" w:type="auto"/>
          </w:tcPr>
          <w:p>
            <w:pPr>
              <w:spacing w:line="240" w:lineRule="auto" w:before="0" w:after="0"/>
              <w:pStyle w:val="Compact"/>
            </w:pPr>
            <w:r>
              <w:rPr>
                <w:sz w:val="20"/>
                <w:szCs w:val="20"/>
              </w:rPr>
              <w:t xml:space="preserve">Nominal GDP, period-average over 2016-2024, trillions of current US dollars (scale control)</w:t>
            </w:r>
          </w:p>
        </w:tc>
        <w:tc>
          <w:tcPr>
            <w:tcW w:w="0" w:type="auto"/>
          </w:tcPr>
          <w:p>
            <w:pPr>
              <w:spacing w:line="240" w:lineRule="auto" w:before="0" w:after="0"/>
              <w:pStyle w:val="Compact"/>
            </w:pPr>
            <w:r>
              <w:rPr>
                <w:sz w:val="20"/>
                <w:szCs w:val="20"/>
              </w:rPr>
              <w:t xml:space="preserve">World Bank GDP current US$ NY.GDP.MKTP.CD, https://data.worldbank.org/indicator/NY.GDP.MKTP.CD</w:t>
            </w:r>
          </w:p>
        </w:tc>
      </w:tr>
      <w:tr>
        <w:tc>
          <w:tcPr>
            <w:tcW w:w="0" w:type="auto"/>
          </w:tcPr>
          <w:p>
            <w:pPr>
              <w:spacing w:line="240" w:lineRule="auto" w:before="0" w:after="0"/>
              <w:pStyle w:val="Compact"/>
            </w:pPr>
            <w:r>
              <w:rPr>
                <w:sz w:val="20"/>
                <w:szCs w:val="20"/>
              </w:rPr>
              <w:t xml:space="preserve">post2020</w:t>
            </w:r>
          </w:p>
        </w:tc>
        <w:tc>
          <w:tcPr>
            <w:tcW w:w="0" w:type="auto"/>
          </w:tcPr>
          <w:p>
            <w:pPr>
              <w:spacing w:line="240" w:lineRule="auto" w:before="0" w:after="0"/>
              <w:pStyle w:val="Compact"/>
            </w:pPr>
            <w:r>
              <w:rPr>
                <w:sz w:val="20"/>
                <w:szCs w:val="20"/>
              </w:rPr>
              <w:t xml:space="preserve">Indicator = 1 for years 2021-2024 (reusable-launch scale-up and post-Part-450 era), else 0</w:t>
            </w:r>
          </w:p>
        </w:tc>
        <w:tc>
          <w:tcPr>
            <w:tcW w:w="0" w:type="auto"/>
          </w:tcPr>
          <w:p>
            <w:pPr>
              <w:spacing w:line="240" w:lineRule="auto" w:before="0" w:after="0"/>
              <w:pStyle w:val="Compact"/>
            </w:pPr>
            <w:r>
              <w:rPr>
                <w:sz w:val="20"/>
                <w:szCs w:val="20"/>
              </w:rPr>
              <w:t xml:space="preserve">Author construction from FAA Part 450 effective period, https://www.faa.gov/newsroom/faa-streamlines-commercial-space-license-approvals</w:t>
            </w:r>
          </w:p>
        </w:tc>
      </w:tr>
    </w:tbl>
    <w:bookmarkEnd w:id="193"/>
    <w:bookmarkEnd w:id="194"/>
    <w:bookmarkStart w:id="202" w:name="Xadde7730cb1a46f8bb7a24962f7c28a4806d7c0"/>
    <w:p>
      <w:pPr>
        <w:pStyle w:val="Heading2"/>
        <w:spacing w:line="480" w:lineRule="auto"/>
      </w:pPr>
      <w:r>
        <w:t xml:space="preserve">A.2 Does Flight Heritage Buy Cheaper Access? A Log-Log Learning-Curve Estimate of Launch Price Against Cumulative Successful Flights Across the International Fleet</w:t>
      </w:r>
    </w:p>
    <w:p>
      <w:pPr>
        <w:pStyle w:val="FirstParagraph"/>
        <w:spacing w:line="480" w:lineRule="auto"/>
      </w:pPr>
      <m:oMathPara>
        <m:oMathParaPr>
          <m:jc m:val="center"/>
        </m:oMathParaPr>
        <m:oMath>
          <m:r>
            <m:rPr>
              <m:sty m:val="p"/>
            </m:rPr>
            <m:t>ln</m:t>
          </m:r>
          <m:r>
            <m:rPr>
              <m:sty m:val="p"/>
            </m:rPr>
            <m:t>(</m:t>
          </m:r>
          <m:sSub>
            <m:e>
              <m:r>
                <m:rPr>
                  <m:nor/>
                  <m:sty m:val="p"/>
                </m:rPr>
                <m:t>price_per_kg_leo</m:t>
              </m:r>
            </m:e>
            <m:sub>
              <m:r>
                <m:t>i</m:t>
              </m:r>
            </m:sub>
          </m:sSub>
          <m:r>
            <m:rPr>
              <m:sty m:val="p"/>
            </m:rPr>
            <m:t>)</m:t>
          </m:r>
          <m:r>
            <m:rPr>
              <m:sty m:val="p"/>
            </m:rPr>
            <m:t>=</m:t>
          </m:r>
          <m:r>
            <m:t>α</m:t>
          </m:r>
          <m:r>
            <m:rPr>
              <m:sty m:val="p"/>
            </m:rPr>
            <m:t>+</m:t>
          </m:r>
          <m:r>
            <m:t>β</m:t>
          </m:r>
          <m:r>
            <m:t> </m:t>
          </m:r>
          <m:r>
            <m:rPr>
              <m:sty m:val="p"/>
            </m:rPr>
            <m:t>ln</m:t>
          </m:r>
          <m:r>
            <m:rPr>
              <m:sty m:val="p"/>
            </m:rPr>
            <m:t>(</m:t>
          </m:r>
          <m:sSub>
            <m:e>
              <m:r>
                <m:rPr>
                  <m:nor/>
                  <m:sty m:val="p"/>
                </m:rPr>
                <m:t>cum_success_flights</m:t>
              </m:r>
            </m:e>
            <m:sub>
              <m:r>
                <m:t>i</m:t>
              </m:r>
            </m:sub>
          </m:sSub>
          <m:r>
            <m:rPr>
              <m:sty m:val="p"/>
            </m:rPr>
            <m:t>)</m:t>
          </m:r>
          <m:r>
            <m:rPr>
              <m:sty m:val="p"/>
            </m:rPr>
            <m:t>+</m:t>
          </m:r>
          <m:sSub>
            <m:e>
              <m:r>
                <m:t>ε</m:t>
              </m:r>
            </m:e>
            <m:sub>
              <m:r>
                <m:t>i</m:t>
              </m:r>
            </m:sub>
          </m:sSub>
        </m:oMath>
      </m:oMathPara>
    </w:p>
    <w:bookmarkStart w:id="19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8.6228</w:t>
            </w:r>
          </w:p>
        </w:tc>
        <w:tc>
          <w:tcPr>
            <w:tcW w:w="0" w:type="auto"/>
          </w:tcPr>
          <w:p>
            <w:pPr>
              <w:spacing w:line="240" w:lineRule="auto" w:before="0" w:after="0"/>
              <w:pStyle w:val="Compact"/>
            </w:pPr>
            <w:r>
              <w:rPr>
                <w:sz w:val="20"/>
                <w:szCs w:val="20"/>
              </w:rPr>
              <w:t xml:space="preserve">0.4899</w:t>
            </w:r>
          </w:p>
        </w:tc>
        <w:tc>
          <w:tcPr>
            <w:tcW w:w="0" w:type="auto"/>
          </w:tcPr>
          <w:p>
            <w:pPr>
              <w:spacing w:line="240" w:lineRule="auto" w:before="0" w:after="0"/>
              <w:pStyle w:val="Compact"/>
            </w:pPr>
            <w:r>
              <w:rPr>
                <w:sz w:val="20"/>
                <w:szCs w:val="20"/>
              </w:rPr>
              <w:t xml:space="preserve">17.6015</w:t>
            </w:r>
          </w:p>
        </w:tc>
        <w:tc>
          <w:tcPr>
            <w:tcW w:w="0" w:type="auto"/>
          </w:tcPr>
          <w:p>
            <w:pPr>
              <w:spacing w:line="240" w:lineRule="auto" w:before="0" w:after="0"/>
              <w:pStyle w:val="Compact"/>
            </w:pPr>
            <w:r>
              <w:rPr>
                <w:sz w:val="20"/>
                <w:szCs w:val="20"/>
              </w:rPr>
              <w:t xml:space="preserve">2.397e-69</w:t>
            </w:r>
          </w:p>
        </w:tc>
        <w:tc>
          <w:tcPr>
            <w:tcW w:w="0" w:type="auto"/>
          </w:tcPr>
          <w:p>
            <w:pPr>
              <w:spacing w:line="240" w:lineRule="auto" w:before="0" w:after="0"/>
              <w:pStyle w:val="Compact"/>
            </w:pPr>
            <w:r>
              <w:rPr>
                <w:sz w:val="20"/>
                <w:szCs w:val="20"/>
              </w:rPr>
              <w:t xml:space="preserve">[7.6627, 9.583]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0.0751</w:t>
            </w:r>
          </w:p>
        </w:tc>
        <w:tc>
          <w:tcPr>
            <w:tcW w:w="0" w:type="auto"/>
          </w:tcPr>
          <w:p>
            <w:pPr>
              <w:spacing w:line="240" w:lineRule="auto" w:before="0" w:after="0"/>
              <w:pStyle w:val="Compact"/>
            </w:pPr>
            <w:r>
              <w:rPr>
                <w:sz w:val="20"/>
                <w:szCs w:val="20"/>
              </w:rPr>
              <w:t xml:space="preserve">0.1295</w:t>
            </w:r>
          </w:p>
        </w:tc>
        <w:tc>
          <w:tcPr>
            <w:tcW w:w="0" w:type="auto"/>
          </w:tcPr>
          <w:p>
            <w:pPr>
              <w:spacing w:line="240" w:lineRule="auto" w:before="0" w:after="0"/>
              <w:pStyle w:val="Compact"/>
            </w:pPr>
            <w:r>
              <w:rPr>
                <w:sz w:val="20"/>
                <w:szCs w:val="20"/>
              </w:rPr>
              <w:t xml:space="preserve">0.5795</w:t>
            </w:r>
          </w:p>
        </w:tc>
        <w:tc>
          <w:tcPr>
            <w:tcW w:w="0" w:type="auto"/>
          </w:tcPr>
          <w:p>
            <w:pPr>
              <w:spacing w:line="240" w:lineRule="auto" w:before="0" w:after="0"/>
              <w:pStyle w:val="Compact"/>
            </w:pPr>
            <w:r>
              <w:rPr>
                <w:sz w:val="20"/>
                <w:szCs w:val="20"/>
              </w:rPr>
              <w:t xml:space="preserve">0.5622</w:t>
            </w:r>
          </w:p>
        </w:tc>
        <w:tc>
          <w:tcPr>
            <w:tcW w:w="0" w:type="auto"/>
          </w:tcPr>
          <w:p>
            <w:pPr>
              <w:spacing w:line="240" w:lineRule="auto" w:before="0" w:after="0"/>
              <w:pStyle w:val="Compact"/>
            </w:pPr>
            <w:r>
              <w:rPr>
                <w:sz w:val="20"/>
                <w:szCs w:val="20"/>
              </w:rPr>
              <w:t xml:space="preserve">[-0.1788, 0.3289]</w:t>
            </w:r>
          </w:p>
        </w:tc>
      </w:tr>
    </w:tbl>
    <w:p>
      <w:pPr>
        <w:pStyle w:val="BodyText"/>
        <w:spacing w:line="480" w:lineRule="auto"/>
        <w:ind w:firstLine="720"/>
      </w:pPr>
      <w:r>
        <w:t xml:space="preserve">Fit: N = 20 R2 = 0.0172 elasticity_b = 0.0751 progress_ratio_2^b = 1.0534</w:t>
      </w:r>
    </w:p>
    <w:bookmarkEnd w:id="195"/>
    <w:bookmarkStart w:id="19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Log-log learning curve of 2026 list price per kilogram to LEO against cumulative successful flights across the international launch fleet; the fitted slope is the experience elasticity and 2 raised to the slope is the progress ratio." title="" id="197" name="Picture"/>
            <a:graphic>
              <a:graphicData uri="http://schemas.openxmlformats.org/drawingml/2006/picture">
                <pic:pic>
                  <pic:nvPicPr>
                    <pic:cNvPr descr="D:/Claude_Code/brain/collegium/candidates/dissertations/LAUNCH_REG_11/research_papers/p2/paper_fig1.png" id="198" name="Picture"/>
                    <pic:cNvPicPr>
                      <a:picLocks noChangeArrowheads="1" noChangeAspect="1"/>
                    </pic:cNvPicPr>
                  </pic:nvPicPr>
                  <pic:blipFill>
                    <a:blip r:embed="rId19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Log-log learning curve of 2026 list price per kilogram to LEO against cumulative successful flights across the international launch fleet; the fitted slope is the experience elasticity and 2 raised to the slope is the progress ratio.</w:t>
      </w:r>
    </w:p>
    <w:bookmarkEnd w:id="199"/>
    <w:bookmarkStart w:id="20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vehicle</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host_state</w:t>
            </w:r>
          </w:p>
        </w:tc>
        <w:tc>
          <w:tcPr>
            <w:tcW w:w="0" w:type="auto"/>
          </w:tcPr>
          <w:p>
            <w:pPr>
              <w:spacing w:line="240" w:lineRule="auto" w:before="0" w:after="0"/>
              <w:pStyle w:val="Compact"/>
            </w:pPr>
            <w:r>
              <w:rPr>
                <w:sz w:val="20"/>
                <w:szCs w:val="20"/>
              </w:rPr>
              <w:t xml:space="preserve">cum_success_flights</w:t>
            </w:r>
          </w:p>
        </w:tc>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price_per_kg_leo</w:t>
            </w:r>
          </w:p>
        </w:tc>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Falcon 9 Block 5</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400</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2940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Cumulative successful Falcon 9 flights per SpaceX/Wikipedia List of Falcon 9 launches (&gt;400 by 2026); price/kg from SpaceNexus Space Launch Cost Comparison 2026 (https://spacenexus.us/guide/space-launch-cost-comparison)</w:t>
            </w:r>
          </w:p>
        </w:tc>
      </w:tr>
      <w:tr>
        <w:tc>
          <w:tcPr>
            <w:tcW w:w="0" w:type="auto"/>
          </w:tcPr>
          <w:p>
            <w:pPr>
              <w:spacing w:line="240" w:lineRule="auto" w:before="0" w:after="0"/>
              <w:pStyle w:val="Compact"/>
            </w:pPr>
            <w:r>
              <w:rPr>
                <w:sz w:val="20"/>
                <w:szCs w:val="20"/>
              </w:rPr>
              <w:t xml:space="preserve">Falcon Heavy</w:t>
            </w:r>
          </w:p>
        </w:tc>
        <w:tc>
          <w:tcPr>
            <w:tcW w:w="0" w:type="auto"/>
          </w:tcPr>
          <w:p>
            <w:pPr>
              <w:spacing w:line="240" w:lineRule="auto" w:before="0" w:after="0"/>
              <w:pStyle w:val="Compact"/>
            </w:pPr>
            <w:r>
              <w:rPr>
                <w:sz w:val="20"/>
                <w:szCs w:val="20"/>
              </w:rPr>
              <w:t xml:space="preserve">SpaceX</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63800</w:t>
            </w:r>
          </w:p>
        </w:tc>
        <w:tc>
          <w:tcPr>
            <w:tcW w:w="0" w:type="auto"/>
          </w:tcPr>
          <w:p>
            <w:pPr>
              <w:spacing w:line="240" w:lineRule="auto" w:before="0" w:after="0"/>
              <w:pStyle w:val="Compact"/>
            </w:pPr>
            <w:r>
              <w:rPr>
                <w:sz w:val="20"/>
                <w:szCs w:val="20"/>
              </w:rPr>
              <w:t xml:space="preserve">1520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Falcon Heavy successful flights per Wikipedia List of Falcon Heavy launches; price/kg from SpaceNexus 2026 comparison (https://spacenexus.us/guide/space-launch-cost-comparison)</w:t>
            </w:r>
          </w:p>
        </w:tc>
      </w:tr>
      <w:tr>
        <w:tc>
          <w:tcPr>
            <w:tcW w:w="0" w:type="auto"/>
          </w:tcPr>
          <w:p>
            <w:pPr>
              <w:spacing w:line="240" w:lineRule="auto" w:before="0" w:after="0"/>
              <w:pStyle w:val="Compact"/>
            </w:pPr>
            <w:r>
              <w:rPr>
                <w:sz w:val="20"/>
                <w:szCs w:val="20"/>
              </w:rPr>
              <w:t xml:space="preserve">Atlas V 551</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92</w:t>
            </w:r>
          </w:p>
        </w:tc>
        <w:tc>
          <w:tcPr>
            <w:tcW w:w="0" w:type="auto"/>
          </w:tcPr>
          <w:p>
            <w:pPr>
              <w:spacing w:line="240" w:lineRule="auto" w:before="0" w:after="0"/>
              <w:pStyle w:val="Compact"/>
            </w:pPr>
            <w:r>
              <w:rPr>
                <w:sz w:val="20"/>
                <w:szCs w:val="20"/>
              </w:rPr>
              <w:t xml:space="preserve">18850</w:t>
            </w:r>
          </w:p>
        </w:tc>
        <w:tc>
          <w:tcPr>
            <w:tcW w:w="0" w:type="auto"/>
          </w:tcPr>
          <w:p>
            <w:pPr>
              <w:spacing w:line="240" w:lineRule="auto" w:before="0" w:after="0"/>
              <w:pStyle w:val="Compact"/>
            </w:pPr>
            <w:r>
              <w:rPr>
                <w:sz w:val="20"/>
                <w:szCs w:val="20"/>
              </w:rPr>
              <w:t xml:space="preserve">10000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92 consecutive successful Atlas V missions Oct 2007-Apr 2025 per Wikipedia Atlas V; Atlas V 551 ~$10,000/kg per SpaceNexus 2026 comparison historical reference (https://spacenexus.us/guide/space-launch-cost-comparison)</w:t>
            </w:r>
          </w:p>
        </w:tc>
      </w:tr>
      <w:tr>
        <w:tc>
          <w:tcPr>
            <w:tcW w:w="0" w:type="auto"/>
          </w:tcPr>
          <w:p>
            <w:pPr>
              <w:spacing w:line="240" w:lineRule="auto" w:before="0" w:after="0"/>
              <w:pStyle w:val="Compact"/>
            </w:pPr>
            <w:r>
              <w:rPr>
                <w:sz w:val="20"/>
                <w:szCs w:val="20"/>
              </w:rPr>
              <w:t xml:space="preserve">Delta IV Heavy</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28790</w:t>
            </w:r>
          </w:p>
        </w:tc>
        <w:tc>
          <w:tcPr>
            <w:tcW w:w="0" w:type="auto"/>
          </w:tcPr>
          <w:p>
            <w:pPr>
              <w:spacing w:line="240" w:lineRule="auto" w:before="0" w:after="0"/>
              <w:pStyle w:val="Compact"/>
            </w:pPr>
            <w:r>
              <w:rPr>
                <w:sz w:val="20"/>
                <w:szCs w:val="20"/>
              </w:rPr>
              <w:t xml:space="preserve">12150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Delta IV family 43 of 44 successful per Wikipedia Delta IV; ~$12,150/kg from ~$350M list over 28,790 kg LEO per ULA pricing and NASA NTRS 20200001093 Jones (https://ntrs.nasa.gov/citations/20200001093)</w:t>
            </w:r>
          </w:p>
        </w:tc>
      </w:tr>
      <w:tr>
        <w:tc>
          <w:tcPr>
            <w:tcW w:w="0" w:type="auto"/>
          </w:tcPr>
          <w:p>
            <w:pPr>
              <w:spacing w:line="240" w:lineRule="auto" w:before="0" w:after="0"/>
              <w:pStyle w:val="Compact"/>
            </w:pPr>
            <w:r>
              <w:rPr>
                <w:sz w:val="20"/>
                <w:szCs w:val="20"/>
              </w:rPr>
              <w:t xml:space="preserve">Ariane 5 ECA</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21000</w:t>
            </w:r>
          </w:p>
        </w:tc>
        <w:tc>
          <w:tcPr>
            <w:tcW w:w="0" w:type="auto"/>
          </w:tcPr>
          <w:p>
            <w:pPr>
              <w:spacing w:line="240" w:lineRule="auto" w:before="0" w:after="0"/>
              <w:pStyle w:val="Compact"/>
            </w:pPr>
            <w:r>
              <w:rPr>
                <w:sz w:val="20"/>
                <w:szCs w:val="20"/>
              </w:rPr>
              <w:t xml:space="preserve">8476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 5 248 of 260 Ariane-family successful per Wikipedia List of Ariane launches; $178M list over 21t LEO = $8,476/kg per published launch-cost comparison tables</w:t>
            </w:r>
          </w:p>
        </w:tc>
      </w:tr>
      <w:tr>
        <w:tc>
          <w:tcPr>
            <w:tcW w:w="0" w:type="auto"/>
          </w:tcPr>
          <w:p>
            <w:pPr>
              <w:spacing w:line="240" w:lineRule="auto" w:before="0" w:after="0"/>
              <w:pStyle w:val="Compact"/>
            </w:pPr>
            <w:r>
              <w:rPr>
                <w:sz w:val="20"/>
                <w:szCs w:val="20"/>
              </w:rPr>
              <w:t xml:space="preserve">Ariane 64</w:t>
            </w:r>
          </w:p>
        </w:tc>
        <w:tc>
          <w:tcPr>
            <w:tcW w:w="0" w:type="auto"/>
          </w:tcPr>
          <w:p>
            <w:pPr>
              <w:spacing w:line="240" w:lineRule="auto" w:before="0" w:after="0"/>
              <w:pStyle w:val="Compact"/>
            </w:pPr>
            <w:r>
              <w:rPr>
                <w:sz w:val="20"/>
                <w:szCs w:val="20"/>
              </w:rPr>
              <w:t xml:space="preserve">Arianespace</w:t>
            </w:r>
          </w:p>
        </w:tc>
        <w:tc>
          <w:tcPr>
            <w:tcW w:w="0" w:type="auto"/>
          </w:tcPr>
          <w:p>
            <w:pPr>
              <w:spacing w:line="240" w:lineRule="auto" w:before="0" w:after="0"/>
              <w:pStyle w:val="Compact"/>
            </w:pPr>
            <w:r>
              <w:rPr>
                <w:sz w:val="20"/>
                <w:szCs w:val="20"/>
              </w:rPr>
              <w:t xml:space="preserve">France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21650</w:t>
            </w:r>
          </w:p>
        </w:tc>
        <w:tc>
          <w:tcPr>
            <w:tcW w:w="0" w:type="auto"/>
          </w:tcPr>
          <w:p>
            <w:pPr>
              <w:spacing w:line="240" w:lineRule="auto" w:before="0" w:after="0"/>
              <w:pStyle w:val="Compact"/>
            </w:pPr>
            <w:r>
              <w:rPr>
                <w:sz w:val="20"/>
                <w:szCs w:val="20"/>
              </w:rPr>
              <w:t xml:space="preserve">5310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Ariane 6 early successful flights per Arianespace/Wikipedia 2024-2026; ~$5,310/kg per SpaceNexus 2026 comparison (https://spacenexus.us/guide/space-launch-cost-comparison)</w:t>
            </w:r>
          </w:p>
        </w:tc>
      </w:tr>
      <w:tr>
        <w:tc>
          <w:tcPr>
            <w:tcW w:w="0" w:type="auto"/>
          </w:tcPr>
          <w:p>
            <w:pPr>
              <w:spacing w:line="240" w:lineRule="auto" w:before="0" w:after="0"/>
              <w:pStyle w:val="Compact"/>
            </w:pPr>
            <w:r>
              <w:rPr>
                <w:sz w:val="20"/>
                <w:szCs w:val="20"/>
              </w:rPr>
              <w:t xml:space="preserve">Soyuz-2.1b</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8200</w:t>
            </w:r>
          </w:p>
        </w:tc>
        <w:tc>
          <w:tcPr>
            <w:tcW w:w="0" w:type="auto"/>
          </w:tcPr>
          <w:p>
            <w:pPr>
              <w:spacing w:line="240" w:lineRule="auto" w:before="0" w:after="0"/>
              <w:pStyle w:val="Compact"/>
            </w:pPr>
            <w:r>
              <w:rPr>
                <w:sz w:val="20"/>
                <w:szCs w:val="20"/>
              </w:rPr>
              <w:t xml:space="preserve">3804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Soyuz-2 family successful flights per Wikipedia Soyuz-2; ~$3,804/kg from ~$35M over 9,200 kg LEO per published comparison tables (Soyuz-2 ~$3,804/kg)</w:t>
            </w:r>
          </w:p>
        </w:tc>
      </w:tr>
      <w:tr>
        <w:tc>
          <w:tcPr>
            <w:tcW w:w="0" w:type="auto"/>
          </w:tcPr>
          <w:p>
            <w:pPr>
              <w:spacing w:line="240" w:lineRule="auto" w:before="0" w:after="0"/>
              <w:pStyle w:val="Compact"/>
            </w:pPr>
            <w:r>
              <w:rPr>
                <w:sz w:val="20"/>
                <w:szCs w:val="20"/>
              </w:rPr>
              <w:t xml:space="preserve">Proton-M</w:t>
            </w:r>
          </w:p>
        </w:tc>
        <w:tc>
          <w:tcPr>
            <w:tcW w:w="0" w:type="auto"/>
          </w:tcPr>
          <w:p>
            <w:pPr>
              <w:spacing w:line="240" w:lineRule="auto" w:before="0" w:after="0"/>
              <w:pStyle w:val="Compact"/>
            </w:pPr>
            <w:r>
              <w:rPr>
                <w:sz w:val="20"/>
                <w:szCs w:val="20"/>
              </w:rPr>
              <w:t xml:space="preserve">Khrunichev/ILS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383</w:t>
            </w:r>
          </w:p>
        </w:tc>
        <w:tc>
          <w:tcPr>
            <w:tcW w:w="0" w:type="auto"/>
          </w:tcPr>
          <w:p>
            <w:pPr>
              <w:spacing w:line="240" w:lineRule="auto" w:before="0" w:after="0"/>
              <w:pStyle w:val="Compact"/>
            </w:pPr>
            <w:r>
              <w:rPr>
                <w:sz w:val="20"/>
                <w:szCs w:val="20"/>
              </w:rPr>
              <w:t xml:space="preserve">23000</w:t>
            </w:r>
          </w:p>
        </w:tc>
        <w:tc>
          <w:tcPr>
            <w:tcW w:w="0" w:type="auto"/>
          </w:tcPr>
          <w:p>
            <w:pPr>
              <w:spacing w:line="240" w:lineRule="auto" w:before="0" w:after="0"/>
              <w:pStyle w:val="Compact"/>
            </w:pPr>
            <w:r>
              <w:rPr>
                <w:sz w:val="20"/>
                <w:szCs w:val="20"/>
              </w:rPr>
              <w:t xml:space="preserve">4900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Proton/UR-500 family 383 of 431 successful as of Feb 2026 per Wikipedia List of Proton launches; ~$4,900/kg per ILS commercial pricing and NASA NTRS 20200001093 Jones (https://ntrs.nasa.gov/citations/20200001093)</w:t>
            </w:r>
          </w:p>
        </w:tc>
      </w:tr>
      <w:tr>
        <w:tc>
          <w:tcPr>
            <w:tcW w:w="0" w:type="auto"/>
          </w:tcPr>
          <w:p>
            <w:pPr>
              <w:spacing w:line="240" w:lineRule="auto" w:before="0" w:after="0"/>
              <w:pStyle w:val="Compact"/>
            </w:pPr>
            <w:r>
              <w:rPr>
                <w:sz w:val="20"/>
                <w:szCs w:val="20"/>
              </w:rPr>
              <w:t xml:space="preserve">Long March 3B/E</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11500</w:t>
            </w:r>
          </w:p>
        </w:tc>
        <w:tc>
          <w:tcPr>
            <w:tcW w:w="0" w:type="auto"/>
          </w:tcPr>
          <w:p>
            <w:pPr>
              <w:spacing w:line="240" w:lineRule="auto" w:before="0" w:after="0"/>
              <w:pStyle w:val="Compact"/>
            </w:pPr>
            <w:r>
              <w:rPr>
                <w:sz w:val="20"/>
                <w:szCs w:val="20"/>
              </w:rPr>
              <w:t xml:space="preserve">4412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March 3B/3B-E/3B-G5 110 successful as of Dec 2025 per Wikipedia List of Long March launches; ~$4,412/kg from ~$70M over ~12,000 kg per China-in-Space published estimate (https://www.china-in-space.com/p/what-is-the-cost-of-a-long-march)</w:t>
            </w:r>
          </w:p>
        </w:tc>
      </w:tr>
      <w:tr>
        <w:tc>
          <w:tcPr>
            <w:tcW w:w="0" w:type="auto"/>
          </w:tcPr>
          <w:p>
            <w:pPr>
              <w:spacing w:line="240" w:lineRule="auto" w:before="0" w:after="0"/>
              <w:pStyle w:val="Compact"/>
            </w:pPr>
            <w:r>
              <w:rPr>
                <w:sz w:val="20"/>
                <w:szCs w:val="20"/>
              </w:rPr>
              <w:t xml:space="preserve">PSLV-XL</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3800</w:t>
            </w:r>
          </w:p>
        </w:tc>
        <w:tc>
          <w:tcPr>
            <w:tcW w:w="0" w:type="auto"/>
          </w:tcPr>
          <w:p>
            <w:pPr>
              <w:spacing w:line="240" w:lineRule="auto" w:before="0" w:after="0"/>
              <w:pStyle w:val="Compact"/>
            </w:pPr>
            <w:r>
              <w:rPr>
                <w:sz w:val="20"/>
                <w:szCs w:val="20"/>
              </w:rPr>
              <w:t xml:space="preserve">15000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PSLV 58 of 63 successful as of Jan 2026 per Wikipedia List of PSLV launches; ~$15,000/kg from ~$30M over ~3,000 kg effective LEO per ISRO/NSIL published service pricing</w:t>
            </w:r>
          </w:p>
        </w:tc>
      </w:tr>
      <w:tr>
        <w:tc>
          <w:tcPr>
            <w:tcW w:w="0" w:type="auto"/>
          </w:tcPr>
          <w:p>
            <w:pPr>
              <w:spacing w:line="240" w:lineRule="auto" w:before="0" w:after="0"/>
              <w:pStyle w:val="Compact"/>
            </w:pPr>
            <w:r>
              <w:rPr>
                <w:sz w:val="20"/>
                <w:szCs w:val="20"/>
              </w:rPr>
              <w:t xml:space="preserve">Electron</w:t>
            </w:r>
          </w:p>
        </w:tc>
        <w:tc>
          <w:tcPr>
            <w:tcW w:w="0" w:type="auto"/>
          </w:tcPr>
          <w:p>
            <w:pPr>
              <w:spacing w:line="240" w:lineRule="auto" w:before="0" w:after="0"/>
              <w:pStyle w:val="Compact"/>
            </w:pPr>
            <w:r>
              <w:rPr>
                <w:sz w:val="20"/>
                <w:szCs w:val="20"/>
              </w:rPr>
              <w:t xml:space="preserve">Rocket Lab</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25000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Electron 86 successful of 90 launches per Wikipedia List of Electron launches and Rocket Lab 2025 reporting; $25,000/kg per SpaceNexus 2026 comparison (https://spacenexus.us/guide/space-launch-cost-comparison)</w:t>
            </w:r>
          </w:p>
        </w:tc>
      </w:tr>
      <w:tr>
        <w:tc>
          <w:tcPr>
            <w:tcW w:w="0" w:type="auto"/>
          </w:tcPr>
          <w:p>
            <w:pPr>
              <w:spacing w:line="240" w:lineRule="auto" w:before="0" w:after="0"/>
              <w:pStyle w:val="Compact"/>
            </w:pPr>
            <w:r>
              <w:rPr>
                <w:sz w:val="20"/>
                <w:szCs w:val="20"/>
              </w:rPr>
              <w:t xml:space="preserve">Vulcan Centaur</w:t>
            </w:r>
          </w:p>
        </w:tc>
        <w:tc>
          <w:tcPr>
            <w:tcW w:w="0" w:type="auto"/>
          </w:tcPr>
          <w:p>
            <w:pPr>
              <w:spacing w:line="240" w:lineRule="auto" w:before="0" w:after="0"/>
              <w:pStyle w:val="Compact"/>
            </w:pPr>
            <w:r>
              <w:rPr>
                <w:sz w:val="20"/>
                <w:szCs w:val="20"/>
              </w:rPr>
              <w:t xml:space="preserve">ULA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27200</w:t>
            </w:r>
          </w:p>
        </w:tc>
        <w:tc>
          <w:tcPr>
            <w:tcW w:w="0" w:type="auto"/>
          </w:tcPr>
          <w:p>
            <w:pPr>
              <w:spacing w:line="240" w:lineRule="auto" w:before="0" w:after="0"/>
              <w:pStyle w:val="Compact"/>
            </w:pPr>
            <w:r>
              <w:rPr>
                <w:sz w:val="20"/>
                <w:szCs w:val="20"/>
              </w:rPr>
              <w:t xml:space="preserve">4410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Vulcan Centaur early successful flights 2024-2026 per ULA/Wikipedia; ~$4,410/kg per SpaceNexus 2026 comparison (https://spacenexus.us/guide/space-launch-cost-comparison)</w:t>
            </w:r>
          </w:p>
        </w:tc>
      </w:tr>
      <w:tr>
        <w:tc>
          <w:tcPr>
            <w:tcW w:w="0" w:type="auto"/>
          </w:tcPr>
          <w:p>
            <w:pPr>
              <w:spacing w:line="240" w:lineRule="auto" w:before="0" w:after="0"/>
              <w:pStyle w:val="Compact"/>
            </w:pPr>
            <w:r>
              <w:rPr>
                <w:sz w:val="20"/>
                <w:szCs w:val="20"/>
              </w:rPr>
              <w:t xml:space="preserve">New Glenn</w:t>
            </w:r>
          </w:p>
        </w:tc>
        <w:tc>
          <w:tcPr>
            <w:tcW w:w="0" w:type="auto"/>
          </w:tcPr>
          <w:p>
            <w:pPr>
              <w:spacing w:line="240" w:lineRule="auto" w:before="0" w:after="0"/>
              <w:pStyle w:val="Compact"/>
            </w:pPr>
            <w:r>
              <w:rPr>
                <w:sz w:val="20"/>
                <w:szCs w:val="20"/>
              </w:rPr>
              <w:t xml:space="preserve">Blue Origin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45000</w:t>
            </w:r>
          </w:p>
        </w:tc>
        <w:tc>
          <w:tcPr>
            <w:tcW w:w="0" w:type="auto"/>
          </w:tcPr>
          <w:p>
            <w:pPr>
              <w:spacing w:line="240" w:lineRule="auto" w:before="0" w:after="0"/>
              <w:pStyle w:val="Compact"/>
            </w:pPr>
            <w:r>
              <w:rPr>
                <w:sz w:val="20"/>
                <w:szCs w:val="20"/>
              </w:rPr>
              <w:t xml:space="preserve">1900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New Glenn early successful flights per Blue Origin/Wikipedia 2025-2026; ~$1,900/kg per SpaceNexus 2026 comparison (https://spacenexus.us/guide/space-launch-cost-comparison)</w:t>
            </w:r>
          </w:p>
        </w:tc>
      </w:tr>
      <w:tr>
        <w:tc>
          <w:tcPr>
            <w:tcW w:w="0" w:type="auto"/>
          </w:tcPr>
          <w:p>
            <w:pPr>
              <w:spacing w:line="240" w:lineRule="auto" w:before="0" w:after="0"/>
              <w:pStyle w:val="Compact"/>
            </w:pPr>
            <w:r>
              <w:rPr>
                <w:sz w:val="20"/>
                <w:szCs w:val="20"/>
              </w:rPr>
              <w:t xml:space="preserve">H3</w:t>
            </w:r>
          </w:p>
        </w:tc>
        <w:tc>
          <w:tcPr>
            <w:tcW w:w="0" w:type="auto"/>
          </w:tcPr>
          <w:p>
            <w:pPr>
              <w:spacing w:line="240" w:lineRule="auto" w:before="0" w:after="0"/>
              <w:pStyle w:val="Compact"/>
            </w:pPr>
            <w:r>
              <w:rPr>
                <w:sz w:val="20"/>
                <w:szCs w:val="20"/>
              </w:rPr>
              <w:t xml:space="preserve">JAXA/MHI</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7690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H3 successful flights per JAXA/Wikipedia 2023-2026; ~$7,690/kg per SpaceNexus 2026 comparison (https://spacenexus.us/guide/space-launch-cost-comparison)</w:t>
            </w:r>
          </w:p>
        </w:tc>
      </w:tr>
      <w:tr>
        <w:tc>
          <w:tcPr>
            <w:tcW w:w="0" w:type="auto"/>
          </w:tcPr>
          <w:p>
            <w:pPr>
              <w:spacing w:line="240" w:lineRule="auto" w:before="0" w:after="0"/>
              <w:pStyle w:val="Compact"/>
            </w:pPr>
            <w:r>
              <w:rPr>
                <w:sz w:val="20"/>
                <w:szCs w:val="20"/>
              </w:rPr>
              <w:t xml:space="preserve">Antares 230</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Antares 230/230+ successful flights per Wikipedia Antares; ~$17,500/kg from ~$140M over 8,000 kg LEO per NASA NTRS 20200001093 Jones (https://ntrs.nasa.gov/citations/20200001093) [illustrative price]</w:t>
            </w:r>
          </w:p>
        </w:tc>
      </w:tr>
      <w:tr>
        <w:tc>
          <w:tcPr>
            <w:tcW w:w="0" w:type="auto"/>
          </w:tcPr>
          <w:p>
            <w:pPr>
              <w:spacing w:line="240" w:lineRule="auto" w:before="0" w:after="0"/>
              <w:pStyle w:val="Compact"/>
            </w:pPr>
            <w:r>
              <w:rPr>
                <w:sz w:val="20"/>
                <w:szCs w:val="20"/>
              </w:rPr>
              <w:t xml:space="preserve">Minotaur IV</w:t>
            </w:r>
          </w:p>
        </w:tc>
        <w:tc>
          <w:tcPr>
            <w:tcW w:w="0" w:type="auto"/>
          </w:tcPr>
          <w:p>
            <w:pPr>
              <w:spacing w:line="240" w:lineRule="auto" w:before="0" w:after="0"/>
              <w:pStyle w:val="Compact"/>
            </w:pPr>
            <w:r>
              <w:rPr>
                <w:sz w:val="20"/>
                <w:szCs w:val="20"/>
              </w:rPr>
              <w:t xml:space="preserve">Northrop Grumman</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1730</w:t>
            </w:r>
          </w:p>
        </w:tc>
        <w:tc>
          <w:tcPr>
            <w:tcW w:w="0" w:type="auto"/>
          </w:tcPr>
          <w:p>
            <w:pPr>
              <w:spacing w:line="240" w:lineRule="auto" w:before="0" w:after="0"/>
              <w:pStyle w:val="Compact"/>
            </w:pPr>
            <w:r>
              <w:rPr>
                <w:sz w:val="20"/>
                <w:szCs w:val="20"/>
              </w:rPr>
              <w:t xml:space="preserve">28900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Minotaur IV successful flights per Wikipedia Minotaur; ~$28,900/kg from ~$50M over 1,730 kg LEO per published small-launch comparison [illustrative price]</w:t>
            </w:r>
          </w:p>
        </w:tc>
      </w:tr>
      <w:tr>
        <w:tc>
          <w:tcPr>
            <w:tcW w:w="0" w:type="auto"/>
          </w:tcPr>
          <w:p>
            <w:pPr>
              <w:spacing w:line="240" w:lineRule="auto" w:before="0" w:after="0"/>
              <w:pStyle w:val="Compact"/>
            </w:pPr>
            <w:r>
              <w:rPr>
                <w:sz w:val="20"/>
                <w:szCs w:val="20"/>
              </w:rPr>
              <w:t xml:space="preserve">GSLV Mk III/LVM3</w:t>
            </w:r>
          </w:p>
        </w:tc>
        <w:tc>
          <w:tcPr>
            <w:tcW w:w="0" w:type="auto"/>
          </w:tcPr>
          <w:p>
            <w:pPr>
              <w:spacing w:line="240" w:lineRule="auto" w:before="0" w:after="0"/>
              <w:pStyle w:val="Compact"/>
            </w:pPr>
            <w:r>
              <w:rPr>
                <w:sz w:val="20"/>
                <w:szCs w:val="20"/>
              </w:rPr>
              <w:t xml:space="preserve">ISRO</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8000</w:t>
            </w:r>
          </w:p>
        </w:tc>
        <w:tc>
          <w:tcPr>
            <w:tcW w:w="0" w:type="auto"/>
          </w:tcPr>
          <w:p>
            <w:pPr>
              <w:spacing w:line="240" w:lineRule="auto" w:before="0" w:after="0"/>
              <w:pStyle w:val="Compact"/>
            </w:pPr>
            <w:r>
              <w:rPr>
                <w:sz w:val="20"/>
                <w:szCs w:val="20"/>
              </w:rPr>
              <w:t xml:space="preserve">6500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LVM3 successful flights per Wikipedia LVM3/ISRO; ~$6,500/kg from ~$52M over 8,000 kg LEO per ISRO/NSIL published service pricing</w:t>
            </w:r>
          </w:p>
        </w:tc>
      </w:tr>
      <w:tr>
        <w:tc>
          <w:tcPr>
            <w:tcW w:w="0" w:type="auto"/>
          </w:tcPr>
          <w:p>
            <w:pPr>
              <w:spacing w:line="240" w:lineRule="auto" w:before="0" w:after="0"/>
              <w:pStyle w:val="Compact"/>
            </w:pPr>
            <w:r>
              <w:rPr>
                <w:sz w:val="20"/>
                <w:szCs w:val="20"/>
              </w:rPr>
              <w:t xml:space="preserve">Soyuz-2.1a</w:t>
            </w:r>
          </w:p>
        </w:tc>
        <w:tc>
          <w:tcPr>
            <w:tcW w:w="0" w:type="auto"/>
          </w:tcPr>
          <w:p>
            <w:pPr>
              <w:spacing w:line="240" w:lineRule="auto" w:before="0" w:after="0"/>
              <w:pStyle w:val="Compact"/>
            </w:pPr>
            <w:r>
              <w:rPr>
                <w:sz w:val="20"/>
                <w:szCs w:val="20"/>
              </w:rPr>
              <w:t xml:space="preserve">Roscosmos</w:t>
            </w:r>
          </w:p>
        </w:tc>
        <w:tc>
          <w:tcPr>
            <w:tcW w:w="0" w:type="auto"/>
          </w:tcPr>
          <w:p>
            <w:pPr>
              <w:spacing w:line="240" w:lineRule="auto" w:before="0" w:after="0"/>
              <w:pStyle w:val="Compact"/>
            </w:pPr>
            <w:r>
              <w:rPr>
                <w:sz w:val="20"/>
                <w:szCs w:val="20"/>
              </w:rPr>
              <w:t xml:space="preserve">Russia</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7020</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Soyuz-2.1a successful flights per Wikipedia Soyuz-2; ~$4,200/kg from ~$30M over ~7,000 kg LEO per published comparison tables [illustrative midpoint]</w:t>
            </w:r>
          </w:p>
        </w:tc>
      </w:tr>
      <w:tr>
        <w:tc>
          <w:tcPr>
            <w:tcW w:w="0" w:type="auto"/>
          </w:tcPr>
          <w:p>
            <w:pPr>
              <w:spacing w:line="240" w:lineRule="auto" w:before="0" w:after="0"/>
              <w:pStyle w:val="Compact"/>
            </w:pPr>
            <w:r>
              <w:rPr>
                <w:sz w:val="20"/>
                <w:szCs w:val="20"/>
              </w:rPr>
              <w:t xml:space="preserve">Long March 3B/G5</w:t>
            </w:r>
          </w:p>
        </w:tc>
        <w:tc>
          <w:tcPr>
            <w:tcW w:w="0" w:type="auto"/>
          </w:tcPr>
          <w:p>
            <w:pPr>
              <w:spacing w:line="240" w:lineRule="auto" w:before="0" w:after="0"/>
              <w:pStyle w:val="Compact"/>
            </w:pPr>
            <w:r>
              <w:rPr>
                <w:sz w:val="20"/>
                <w:szCs w:val="20"/>
              </w:rPr>
              <w:t xml:space="preserve">CASC</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12000</w:t>
            </w:r>
          </w:p>
        </w:tc>
        <w:tc>
          <w:tcPr>
            <w:tcW w:w="0" w:type="auto"/>
          </w:tcPr>
          <w:p>
            <w:pPr>
              <w:spacing w:line="240" w:lineRule="auto" w:before="0" w:after="0"/>
              <w:pStyle w:val="Compact"/>
            </w:pPr>
            <w:r>
              <w:rPr>
                <w:sz w:val="20"/>
                <w:szCs w:val="20"/>
              </w:rPr>
              <w:t xml:space="preserve">4600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March 3B/G5 variant successful flights per Wikipedia List of Long March launches; ~$4,600/kg per China-in-Space published estimate (https://www.china-in-space.com/p/what-is-the-cost-of-a-long-march)</w:t>
            </w:r>
          </w:p>
        </w:tc>
      </w:tr>
      <w:tr>
        <w:tc>
          <w:tcPr>
            <w:tcW w:w="0" w:type="auto"/>
          </w:tcPr>
          <w:p>
            <w:pPr>
              <w:spacing w:line="240" w:lineRule="auto" w:before="0" w:after="0"/>
              <w:pStyle w:val="Compact"/>
            </w:pPr>
            <w:r>
              <w:rPr>
                <w:sz w:val="20"/>
                <w:szCs w:val="20"/>
              </w:rPr>
              <w:t xml:space="preserve">Space Shuttle</w:t>
            </w:r>
          </w:p>
        </w:tc>
        <w:tc>
          <w:tcPr>
            <w:tcW w:w="0" w:type="auto"/>
          </w:tcPr>
          <w:p>
            <w:pPr>
              <w:spacing w:line="240" w:lineRule="auto" w:before="0" w:after="0"/>
              <w:pStyle w:val="Compact"/>
            </w:pPr>
            <w:r>
              <w:rPr>
                <w:sz w:val="20"/>
                <w:szCs w:val="20"/>
              </w:rPr>
              <w:t xml:space="preserve">NASA</w:t>
            </w:r>
          </w:p>
        </w:tc>
        <w:tc>
          <w:tcPr>
            <w:tcW w:w="0" w:type="auto"/>
          </w:tcPr>
          <w:p>
            <w:pPr>
              <w:spacing w:line="240" w:lineRule="auto" w:before="0" w:after="0"/>
              <w:pStyle w:val="Compact"/>
            </w:pPr>
            <w:r>
              <w:rPr>
                <w:sz w:val="20"/>
                <w:szCs w:val="20"/>
              </w:rPr>
              <w:t xml:space="preserve">USA</w:t>
            </w:r>
          </w:p>
        </w:tc>
        <w:tc>
          <w:tcPr>
            <w:tcW w:w="0" w:type="auto"/>
          </w:tcPr>
          <w:p>
            <w:pPr>
              <w:spacing w:line="240" w:lineRule="auto" w:before="0" w:after="0"/>
              <w:pStyle w:val="Compact"/>
            </w:pPr>
            <w:r>
              <w:rPr>
                <w:sz w:val="20"/>
                <w:szCs w:val="20"/>
              </w:rPr>
              <w:t xml:space="preserve">133</w:t>
            </w:r>
          </w:p>
        </w:tc>
        <w:tc>
          <w:tcPr>
            <w:tcW w:w="0" w:type="auto"/>
          </w:tcPr>
          <w:p>
            <w:pPr>
              <w:spacing w:line="240" w:lineRule="auto" w:before="0" w:after="0"/>
              <w:pStyle w:val="Compact"/>
            </w:pPr>
            <w:r>
              <w:rPr>
                <w:sz w:val="20"/>
                <w:szCs w:val="20"/>
              </w:rPr>
              <w:t xml:space="preserve">27500</w:t>
            </w:r>
          </w:p>
        </w:tc>
        <w:tc>
          <w:tcPr>
            <w:tcW w:w="0" w:type="auto"/>
          </w:tcPr>
          <w:p>
            <w:pPr>
              <w:spacing w:line="240" w:lineRule="auto" w:before="0" w:after="0"/>
              <w:pStyle w:val="Compact"/>
            </w:pPr>
            <w:r>
              <w:rPr>
                <w:sz w:val="20"/>
                <w:szCs w:val="20"/>
              </w:rPr>
              <w:t xml:space="preserve">54500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135 Shuttle flights, 133 successful, per NASA records; $54,500/kg to LEO per NASA NTRS 20200001093 Jones, The Recent Large Reduction in Space Launch Cost (https://ntrs.nasa.gov/citations/20200001093)</w:t>
            </w:r>
          </w:p>
        </w:tc>
      </w:tr>
    </w:tbl>
    <w:bookmarkEnd w:id="200"/>
    <w:bookmarkStart w:id="20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price_per_kg_leo</w:t>
            </w:r>
          </w:p>
        </w:tc>
        <w:tc>
          <w:tcPr>
            <w:tcW w:w="0" w:type="auto"/>
          </w:tcPr>
          <w:p>
            <w:pPr>
              <w:spacing w:line="240" w:lineRule="auto" w:before="0" w:after="0"/>
              <w:pStyle w:val="Compact"/>
            </w:pPr>
            <w:r>
              <w:rPr>
                <w:sz w:val="20"/>
                <w:szCs w:val="20"/>
              </w:rPr>
              <w:t xml:space="preserve">Published list price to deliver one kilogram of payload to low Earth orbit, in U.S. dollars, for each launch vehicle as of 2026; the dependent variable.</w:t>
            </w:r>
          </w:p>
        </w:tc>
        <w:tc>
          <w:tcPr>
            <w:tcW w:w="0" w:type="auto"/>
          </w:tcPr>
          <w:p>
            <w:pPr>
              <w:spacing w:line="240" w:lineRule="auto" w:before="0" w:after="0"/>
              <w:pStyle w:val="Compact"/>
            </w:pPr>
            <w:r>
              <w:rPr>
                <w:sz w:val="20"/>
                <w:szCs w:val="20"/>
              </w:rPr>
              <w:t xml:space="preserve">SpaceNexus Space Launch Cost Comparison 2026, NASA NTRS 20200001093 (Jones), ISRO/NSIL and operator price disclosures per row source.</w:t>
            </w:r>
          </w:p>
        </w:tc>
      </w:tr>
      <w:tr>
        <w:tc>
          <w:tcPr>
            <w:tcW w:w="0" w:type="auto"/>
          </w:tcPr>
          <w:p>
            <w:pPr>
              <w:spacing w:line="240" w:lineRule="auto" w:before="0" w:after="0"/>
              <w:pStyle w:val="Compact"/>
            </w:pPr>
            <w:r>
              <w:rPr>
                <w:sz w:val="20"/>
                <w:szCs w:val="20"/>
              </w:rPr>
              <w:t xml:space="preserve">cum_success_flights</w:t>
            </w:r>
          </w:p>
        </w:tc>
        <w:tc>
          <w:tcPr>
            <w:tcW w:w="0" w:type="auto"/>
          </w:tcPr>
          <w:p>
            <w:pPr>
              <w:spacing w:line="240" w:lineRule="auto" w:before="0" w:after="0"/>
              <w:pStyle w:val="Compact"/>
            </w:pPr>
            <w:r>
              <w:rPr>
                <w:sz w:val="20"/>
                <w:szCs w:val="20"/>
              </w:rPr>
              <w:t xml:space="preserve">Cumulative count of successful orbital flights of the vehicle (and its close variants) from first flight through the 2026 observation window; the experience/maturity proxy whose elasticity is estimated.</w:t>
            </w:r>
          </w:p>
        </w:tc>
        <w:tc>
          <w:tcPr>
            <w:tcW w:w="0" w:type="auto"/>
          </w:tcPr>
          <w:p>
            <w:pPr>
              <w:spacing w:line="240" w:lineRule="auto" w:before="0" w:after="0"/>
              <w:pStyle w:val="Compact"/>
            </w:pPr>
            <w:r>
              <w:rPr>
                <w:sz w:val="20"/>
                <w:szCs w:val="20"/>
              </w:rPr>
              <w:t xml:space="preserve">Wikipedia per-vehicle launch lists and operator records per row source.</w:t>
            </w:r>
          </w:p>
        </w:tc>
      </w:tr>
      <w:tr>
        <w:tc>
          <w:tcPr>
            <w:tcW w:w="0" w:type="auto"/>
          </w:tcPr>
          <w:p>
            <w:pPr>
              <w:spacing w:line="240" w:lineRule="auto" w:before="0" w:after="0"/>
              <w:pStyle w:val="Compact"/>
            </w:pPr>
            <w:r>
              <w:rPr>
                <w:sz w:val="20"/>
                <w:szCs w:val="20"/>
              </w:rPr>
              <w:t xml:space="preserve">leo_payload_kg</w:t>
            </w:r>
          </w:p>
        </w:tc>
        <w:tc>
          <w:tcPr>
            <w:tcW w:w="0" w:type="auto"/>
          </w:tcPr>
          <w:p>
            <w:pPr>
              <w:spacing w:line="240" w:lineRule="auto" w:before="0" w:after="0"/>
              <w:pStyle w:val="Compact"/>
            </w:pPr>
            <w:r>
              <w:rPr>
                <w:sz w:val="20"/>
                <w:szCs w:val="20"/>
              </w:rPr>
              <w:t xml:space="preserve">Nominal payload capacity to low Earth orbit in kilograms; reported as a covariate and not entered in the bivariate learning-curve specification.</w:t>
            </w:r>
          </w:p>
        </w:tc>
        <w:tc>
          <w:tcPr>
            <w:tcW w:w="0" w:type="auto"/>
          </w:tcPr>
          <w:p>
            <w:pPr>
              <w:spacing w:line="240" w:lineRule="auto" w:before="0" w:after="0"/>
              <w:pStyle w:val="Compact"/>
            </w:pPr>
            <w:r>
              <w:rPr>
                <w:sz w:val="20"/>
                <w:szCs w:val="20"/>
              </w:rPr>
              <w:t xml:space="preserve">Wikipedia Comparison of orbital launch systems and operator specifications per row source.</w:t>
            </w:r>
          </w:p>
        </w:tc>
      </w:tr>
      <w:tr>
        <w:tc>
          <w:tcPr>
            <w:tcW w:w="0" w:type="auto"/>
          </w:tcPr>
          <w:p>
            <w:pPr>
              <w:spacing w:line="240" w:lineRule="auto" w:before="0" w:after="0"/>
              <w:pStyle w:val="Compact"/>
            </w:pPr>
            <w:r>
              <w:rPr>
                <w:sz w:val="20"/>
                <w:szCs w:val="20"/>
              </w:rPr>
              <w:t xml:space="preserve">reusable</w:t>
            </w:r>
          </w:p>
        </w:tc>
        <w:tc>
          <w:tcPr>
            <w:tcW w:w="0" w:type="auto"/>
          </w:tcPr>
          <w:p>
            <w:pPr>
              <w:spacing w:line="240" w:lineRule="auto" w:before="0" w:after="0"/>
              <w:pStyle w:val="Compact"/>
            </w:pPr>
            <w:r>
              <w:rPr>
                <w:sz w:val="20"/>
                <w:szCs w:val="20"/>
              </w:rPr>
              <w:t xml:space="preserve">Binary indicator: 1 if the vehicle recovers and reflies at least its first stage; 0 if fully expendable.</w:t>
            </w:r>
          </w:p>
        </w:tc>
        <w:tc>
          <w:tcPr>
            <w:tcW w:w="0" w:type="auto"/>
          </w:tcPr>
          <w:p>
            <w:pPr>
              <w:spacing w:line="240" w:lineRule="auto" w:before="0" w:after="0"/>
              <w:pStyle w:val="Compact"/>
            </w:pPr>
            <w:r>
              <w:rPr>
                <w:sz w:val="20"/>
                <w:szCs w:val="20"/>
              </w:rPr>
              <w:t xml:space="preserve">Operator design disclosures per row source.</w:t>
            </w:r>
          </w:p>
        </w:tc>
      </w:tr>
    </w:tbl>
    <w:bookmarkEnd w:id="201"/>
    <w:bookmarkEnd w:id="202"/>
    <w:bookmarkEnd w:id="20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8" Type="http://schemas.openxmlformats.org/officeDocument/2006/relationships/image" Target="media/rId188.png"/><Relationship Id="rId196" Type="http://schemas.openxmlformats.org/officeDocument/2006/relationships/image" Target="media/rId196.png"/><Relationship Id="rId182" Type="http://schemas.openxmlformats.org/officeDocument/2006/relationships/hyperlink" Target="https://doi.org/10.1016/j.actaastro.2017.04.034" TargetMode="External"/><Relationship Id="rId172" Type="http://schemas.openxmlformats.org/officeDocument/2006/relationships/hyperlink" Target="https://doi.org/10.1016/j.actaastro.2021.05.015" TargetMode="External"/><Relationship Id="rId155" Type="http://schemas.openxmlformats.org/officeDocument/2006/relationships/hyperlink" Target="https://doi.org/10.1016/j.actaastro.2024.01.024" TargetMode="External"/><Relationship Id="rId176" Type="http://schemas.openxmlformats.org/officeDocument/2006/relationships/hyperlink" Target="https://doi.org/10.1016/j.actaastro.2024.05.007" TargetMode="External"/><Relationship Id="rId153" Type="http://schemas.openxmlformats.org/officeDocument/2006/relationships/hyperlink" Target="https://doi.org/10.1016/j.actaastro.2024.11.060" TargetMode="External"/><Relationship Id="rId141" Type="http://schemas.openxmlformats.org/officeDocument/2006/relationships/hyperlink" Target="https://doi.org/10.1016/j.actaastro.2025.05.036" TargetMode="External"/><Relationship Id="rId170" Type="http://schemas.openxmlformats.org/officeDocument/2006/relationships/hyperlink" Target="https://doi.org/10.1016/j.actaastro.2025.05.056" TargetMode="External"/><Relationship Id="rId178" Type="http://schemas.openxmlformats.org/officeDocument/2006/relationships/hyperlink" Target="https://doi.org/10.1016/j.actaastro.2025.06.029" TargetMode="External"/><Relationship Id="rId184" Type="http://schemas.openxmlformats.org/officeDocument/2006/relationships/hyperlink" Target="https://doi.org/10.1016/j.actaastro.2025.06.067" TargetMode="External"/><Relationship Id="rId174" Type="http://schemas.openxmlformats.org/officeDocument/2006/relationships/hyperlink" Target="https://doi.org/10.1016/j.actaastro.2026.03.026" TargetMode="External"/><Relationship Id="rId180" Type="http://schemas.openxmlformats.org/officeDocument/2006/relationships/hyperlink" Target="https://doi.org/10.1016/j.actaastro.2026.04.046" TargetMode="External"/><Relationship Id="rId160" Type="http://schemas.openxmlformats.org/officeDocument/2006/relationships/hyperlink" Target="https://doi.org/10.64861/CEPU7718" TargetMode="External"/><Relationship Id="rId143" Type="http://schemas.openxmlformats.org/officeDocument/2006/relationships/hyperlink" Target="https://doi.org/10.64861/QBNC8763" TargetMode="External"/><Relationship Id="rId167" Type="http://schemas.openxmlformats.org/officeDocument/2006/relationships/hyperlink" Target="https://doi.org/10.64861/SYQO6621" TargetMode="External"/><Relationship Id="rId135" Type="http://schemas.openxmlformats.org/officeDocument/2006/relationships/hyperlink" Target="https://doi.org/10.64861/UCTN1793" TargetMode="External"/><Relationship Id="rId164" Type="http://schemas.openxmlformats.org/officeDocument/2006/relationships/hyperlink" Target="https://doi.org/10.64861/XQKK7584" TargetMode="External"/></Relationships>
</file>

<file path=word/_rels/footnotes.xml.rels><?xml version='1.0' encoding='UTF-8' standalone='yes'?>
<Relationships xmlns="http://schemas.openxmlformats.org/package/2006/relationships"><Relationship Id="rId182" Type="http://schemas.openxmlformats.org/officeDocument/2006/relationships/hyperlink" Target="https://doi.org/10.1016/j.actaastro.2017.04.034" TargetMode="External"/><Relationship Id="rId172" Type="http://schemas.openxmlformats.org/officeDocument/2006/relationships/hyperlink" Target="https://doi.org/10.1016/j.actaastro.2021.05.015" TargetMode="External"/><Relationship Id="rId155" Type="http://schemas.openxmlformats.org/officeDocument/2006/relationships/hyperlink" Target="https://doi.org/10.1016/j.actaastro.2024.01.024" TargetMode="External"/><Relationship Id="rId176" Type="http://schemas.openxmlformats.org/officeDocument/2006/relationships/hyperlink" Target="https://doi.org/10.1016/j.actaastro.2024.05.007" TargetMode="External"/><Relationship Id="rId153" Type="http://schemas.openxmlformats.org/officeDocument/2006/relationships/hyperlink" Target="https://doi.org/10.1016/j.actaastro.2024.11.060" TargetMode="External"/><Relationship Id="rId141" Type="http://schemas.openxmlformats.org/officeDocument/2006/relationships/hyperlink" Target="https://doi.org/10.1016/j.actaastro.2025.05.036" TargetMode="External"/><Relationship Id="rId170" Type="http://schemas.openxmlformats.org/officeDocument/2006/relationships/hyperlink" Target="https://doi.org/10.1016/j.actaastro.2025.05.056" TargetMode="External"/><Relationship Id="rId178" Type="http://schemas.openxmlformats.org/officeDocument/2006/relationships/hyperlink" Target="https://doi.org/10.1016/j.actaastro.2025.06.029" TargetMode="External"/><Relationship Id="rId184" Type="http://schemas.openxmlformats.org/officeDocument/2006/relationships/hyperlink" Target="https://doi.org/10.1016/j.actaastro.2025.06.067" TargetMode="External"/><Relationship Id="rId174" Type="http://schemas.openxmlformats.org/officeDocument/2006/relationships/hyperlink" Target="https://doi.org/10.1016/j.actaastro.2026.03.026" TargetMode="External"/><Relationship Id="rId180" Type="http://schemas.openxmlformats.org/officeDocument/2006/relationships/hyperlink" Target="https://doi.org/10.1016/j.actaastro.2026.04.046" TargetMode="External"/><Relationship Id="rId160" Type="http://schemas.openxmlformats.org/officeDocument/2006/relationships/hyperlink" Target="https://doi.org/10.64861/CEPU7718" TargetMode="External"/><Relationship Id="rId143" Type="http://schemas.openxmlformats.org/officeDocument/2006/relationships/hyperlink" Target="https://doi.org/10.64861/QBNC8763" TargetMode="External"/><Relationship Id="rId167" Type="http://schemas.openxmlformats.org/officeDocument/2006/relationships/hyperlink" Target="https://doi.org/10.64861/SYQO6621" TargetMode="External"/><Relationship Id="rId135" Type="http://schemas.openxmlformats.org/officeDocument/2006/relationships/hyperlink" Target="https://doi.org/10.64861/UCTN1793" TargetMode="External"/><Relationship Id="rId164" Type="http://schemas.openxmlformats.org/officeDocument/2006/relationships/hyperlink" Target="https://doi.org/10.64861/XQKK75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Launch-Market Competition and Regulatory Stringency: A Panel of Nations</dc:title>
  <dc:creator>Cyrus Sandoval (1B-INF-076)</dc:creator>
  <cp:keywords/>
  <dcterms:created xsi:type="dcterms:W3CDTF">2026-07-02T16:41:45Z</dcterms:created>
  <dcterms:modified xsi:type="dcterms:W3CDTF">2026-07-02T16:41:45Z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