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JURISDICTIONAL FRAGMENTATION COST: DOES MULTI-AGENCY LICENSING ADD MEASURABLE DELAY AND CAPITAL PENALTY TO U.S. COMMERCIAL LAUNCH ACTIVITY?</w:t>
      </w:r>
    </w:p>
    <w:p>
      <w:pPr>
        <w:jc w:val="center"/>
      </w:pPr>
    </w:p>
    <w:p>
      <w:pPr>
        <w:jc w:val="center"/>
      </w:pPr>
      <w:r>
        <w:rPr>
          <w:rFonts w:ascii="Times New Roman" w:hAnsi="Times New Roman"/>
          <w:sz w:val="24"/>
        </w:rPr>
        <w:t>by</w:t>
      </w:r>
    </w:p>
    <w:p>
      <w:pPr>
        <w:jc w:val="center"/>
      </w:pPr>
      <w:r>
        <w:rPr>
          <w:rFonts w:ascii="Times New Roman" w:hAnsi="Times New Roman"/>
          <w:b/>
          <w:sz w:val="28"/>
        </w:rPr>
        <w:t>Ibrahim Heinz</w:t>
      </w:r>
    </w:p>
    <w:p>
      <w:pPr>
        <w:jc w:val="center"/>
      </w:pPr>
      <w:r>
        <w:rPr>
          <w:rFonts w:ascii="Times New Roman" w:hAnsi="Times New Roman"/>
          <w:sz w:val="24"/>
        </w:rPr>
        <w:t>1B-INF-102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United States commercial launch sector has crossed, within a single regulatory generation, the threshold at which federally operated campaigns no longer dominate national launch activity. The Federal Aviation Administration now functions as the principal licensor of record for the majority of launches conducted from U.S. territory and by U.S. firms, and the count of FAA-licensed campaigns has displaced the count of federally operated campaigns as the headline indicator of sector throughput [1, 7]. Weinzierl frames this transition as a shift in the role of the state from operator to regulator and customer, and uses the FAA licensing count as a descriptive marker of the new regime [1, 7]. The state now authorizes far more than it flies. A broader sustainability and development literature reinforces the cost relevance of the access-to-orbit pipeline, documenting unit costs to low Earth orbit that remained above ten thousand dollars per kilogram through the recent past and treating the cost of access as the binding constraint on the expansion of orbital activity</w:t>
      </w:r>
      <w:r>
        <w:t xml:space="preserve"> </w:t>
      </w:r>
      <w:hyperlink w:anchor="ref-2">
        <w:r>
          <w:rPr>
            <w:rStyle w:val="Hyperlink"/>
          </w:rPr>
          <w:t xml:space="preserve">[2]</w:t>
        </w:r>
      </w:hyperlink>
      <w:r>
        <w:t xml:space="preserve">.</w:t>
      </w:r>
    </w:p>
    <w:p>
      <w:pPr>
        <w:pStyle w:val="BodyText"/>
        <w:spacing w:line="480" w:lineRule="auto"/>
        <w:ind w:firstLine="720"/>
      </w:pPr>
      <w:r>
        <w:t xml:space="preserve">Within this transition, the regulatory interface between firms and orbit is no longer a background institutional parameter. It is a first-order economic object. A licensee that absorbs payroll, facility lease, propellant inventory, range coordination, and integration labor during the application window holds capital against the launch campaign without offsetting revenue, and each marginal day of regulatory delay translates directly into capital cost. The FAA license, however, is not the only authorization a launch campaign requires. Payload review, spectrum coordination, environmental clearance, export authorization, and, in some mission profiles, a continuing-supervision determination sit with other federal entities, including the Federal Communications Commission, the National Oceanic and Atmospheric Administration’s Commercial Remote Sensing Regulatory Affairs office, and the Department of State [3, 8, 13]. Goehring characterizes the resulting structure as a</w:t>
      </w:r>
      <w:r>
        <w:t xml:space="preserve"> </w:t>
      </w:r>
      <w:r>
        <w:t xml:space="preserve">“rule of three”</w:t>
      </w:r>
      <w:r>
        <w:t xml:space="preserve"> </w:t>
      </w:r>
      <w:r>
        <w:t xml:space="preserve">in which licensing authority is partitioned across agencies that do not share a single administrative interface</w:t>
      </w:r>
      <w:r>
        <w:t xml:space="preserve"> </w:t>
      </w:r>
      <w:hyperlink w:anchor="ref-13">
        <w:r>
          <w:rPr>
            <w:rStyle w:val="Hyperlink"/>
          </w:rPr>
          <w:t xml:space="preserve">[13]</w:t>
        </w:r>
      </w:hyperlink>
      <w:r>
        <w:t xml:space="preserve">. Smith, Jah, and Wood treat the authorization and continuing-supervision stack as an architectural object that must be designed rather than assumed, and they construct a decision support framework around it for in-space servicing missions in which the residual jurisdictional question is unresolved [3, 8, 16].</w:t>
      </w:r>
    </w:p>
    <w:p>
      <w:pPr>
        <w:pStyle w:val="BodyText"/>
        <w:spacing w:line="480" w:lineRule="auto"/>
        <w:ind w:firstLine="720"/>
      </w:pPr>
      <w:r>
        <w:t xml:space="preserve">The problem this dissertation addresses is whether the jurisdictional fragmentation of the launch authorization stack imposes a measurable cost on U.S. commercial launch activity, expressed in license-issuance duration and in pre-license capital absorption, that is independent of the technical review burden of the vehicle, the environmental and range coordination burden of the site, and the secular evolution of the FAA process itself. The problem is precise in two respects. First, it isolates a property of the regulatory architecture, the count of distinct federal authorizing agencies whose clearance a given campaign requires, as the regressor of interest. Second, it requires that the property be measured against outcomes that are observable in the public record and matched to the FAA license population that already serves as the descriptive backbone of the sector literature [1, 7].</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The stakes of this measurement extend beyond the commercial sector that the FAA directly licenses. The National Aeronautics and Space Administration and the Jet Propulsion Laboratory both depend, in their procurement of launch services and in their architectural planning for science missions, on the throughput of the commercial launch pipeline. A NASA mission that is manifested on a commercially licensed launch vehicle inherits the licensee’s regulatory clock as a component of its own integrated schedule risk. A JPL mission that is built against a commercial ride-share or a dedicated commercial launch inherits the same exposure. The exposure is not abstract. To the extent that fragmentation of the authorization stack adds days to the licensee’s pre-launch clock, those days are absorbed by the NASA or JPL mission as schedule slip, as carrying cost on flight hardware in storage, and as opportunity cost on the science return that the mission was designed to deliver.</w:t>
      </w:r>
    </w:p>
    <w:p>
      <w:pPr>
        <w:pStyle w:val="BodyText"/>
        <w:spacing w:line="480" w:lineRule="auto"/>
        <w:ind w:firstLine="720"/>
      </w:pPr>
      <w:r>
        <w:t xml:space="preserve">The cost relevance is not hypothetical for civil space. The unit-cost trajectory documented in the sustainability and development literature treats commercial launch as the channel through which the marginal cost of access to orbit is being reduced</w:t>
      </w:r>
      <w:r>
        <w:t xml:space="preserve"> </w:t>
      </w:r>
      <w:hyperlink w:anchor="ref-2">
        <w:r>
          <w:rPr>
            <w:rStyle w:val="Hyperlink"/>
          </w:rPr>
          <w:t xml:space="preserve">[2]</w:t>
        </w:r>
      </w:hyperlink>
      <w:r>
        <w:t xml:space="preserve">. If the regulatory interface to that channel imposes a measurable fragmentation cost, then the effective unit cost of access for civil missions is higher than the headline launch-services price suggests, and the planning assumptions used in NASA mission formulation, in JPL architecture studies, and in the NASA decadal-survey process are systematically optimistic on the schedule axis. If the measurement does not detect a fragmentation cost net of vehicle class and the secular FAA trend, then the streamlining discourse around multi-agency licensing is misallocated, and the schedule risk that NASA and JPL face on commercial launches is concentrated in the technical review burden of the vehicle and in the FAA process itself rather than in the count of authorizing entities. Either finding is decision-relevant for the civil-space programmatic community, because either finding tells the mission planner where to insert schedule margin and where not to.</w:t>
      </w:r>
    </w:p>
    <w:p>
      <w:pPr>
        <w:pStyle w:val="BodyText"/>
        <w:spacing w:line="480" w:lineRule="auto"/>
        <w:ind w:firstLine="720"/>
      </w:pPr>
      <w:r>
        <w:t xml:space="preserve">The stakes are sharpened by the architectural decisions that NASA and JPL are now making for missions that depend on in-space operations beyond simple deployment. Smith, Jah, and Wood document that the authorization-and-supervision frame for novel on-orbit operations, including servicing, assembly, and manufacturing, is an open governance design problem rather than a settled administrative category [3, 8, 16]. Nanjangud and colleagues describe an analogous architectural opening for robotic on-orbit assembly of large space telescopes, in which the licensing pathway for the assembly campaign is not separable from the licensing pathway for the launch campaign that deploys the assembly hardware</w:t>
      </w:r>
      <w:r>
        <w:t xml:space="preserve"> </w:t>
      </w:r>
      <w:hyperlink w:anchor="ref-6">
        <w:r>
          <w:rPr>
            <w:rStyle w:val="Hyperlink"/>
          </w:rPr>
          <w:t xml:space="preserve">[6]</w:t>
        </w:r>
      </w:hyperlink>
      <w:r>
        <w:t xml:space="preserve">. Rossi and colleagues frame the near-Earth space environment as one of ever-increasing space traffic, in which the marginal launch is conditioned not only by its own authorization stack but by the cumulative traffic-management posture of all prior launches</w:t>
      </w:r>
      <w:r>
        <w:t xml:space="preserve"> </w:t>
      </w:r>
      <w:hyperlink w:anchor="ref-5">
        <w:r>
          <w:rPr>
            <w:rStyle w:val="Hyperlink"/>
          </w:rPr>
          <w:t xml:space="preserve">[5]</w:t>
        </w:r>
      </w:hyperlink>
      <w:r>
        <w:t xml:space="preserve">. If JPL is planning a large-aperture observatory that depends on robotic on-orbit assembly, and if NASA is planning a science campaign that depends on a sequence of commercially licensed launches conducted under the integrated authorization stack characterized above, then the fragmentation-cost coefficient estimated in this dissertation is a direct input into their integrated schedule and cost models.</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domain literature on U.S. commercial launch regulation is descriptively rich and quantitatively thin. Weinzierl uses the FAA licensing count to document the operator-to-regulator transition and to motivate the broader economic frame, but the regulatory stack appears in his treatment as an institutional parameter rather than as a measured regressor on either duration or capital [1, 7]. Goehring characterizes the rule-of-three structure of the U.S. commercial space regulatory environment in legal-analytical terms, but does not produce a coefficient on the count of authorizing entities</w:t>
      </w:r>
      <w:r>
        <w:t xml:space="preserve"> </w:t>
      </w:r>
      <w:hyperlink w:anchor="ref-13">
        <w:r>
          <w:rPr>
            <w:rStyle w:val="Hyperlink"/>
          </w:rPr>
          <w:t xml:space="preserve">[13]</w:t>
        </w:r>
      </w:hyperlink>
      <w:r>
        <w:t xml:space="preserve">. The in-space servicing literature, including Smith, Jah, and Wood, treats the authorization stack as an architectural object and constructs decision support tooling around it, but does not estimate the marginal cost in days or in dollars of an additional authorizing entity [3, 8, 16]. The space situational awareness and traffic management literature, including Lal and Carioscia on civil SSA options and Roberts and Linares on ITU space station license applications in geosynchronous orbit, addresses the authorization environment adjacent to launch licensing but does not produce a launch-specific duration or capital estimate [9, 15]. Steele addresses the international-law dimension of the operating environment downstream of licensing rather than the licensing duration itself</w:t>
      </w:r>
      <w:r>
        <w:t xml:space="preserve"> </w:t>
      </w:r>
      <w:hyperlink w:anchor="ref-10">
        <w:r>
          <w:rPr>
            <w:rStyle w:val="Hyperlink"/>
          </w:rPr>
          <w:t xml:space="preserve">[10]</w:t>
        </w:r>
      </w:hyperlink>
      <w:r>
        <w:t xml:space="preserve">. Young and Thadani characterize the competitive stakes of the low Earth orbit broadband regime in strategic-policy terms without producing an econometric estimate on the U.S. licensing pipeline</w:t>
      </w:r>
      <w:r>
        <w:t xml:space="preserve"> </w:t>
      </w:r>
      <w:hyperlink w:anchor="ref-11">
        <w:r>
          <w:rPr>
            <w:rStyle w:val="Hyperlink"/>
          </w:rPr>
          <w:t xml:space="preserve">[11]</w:t>
        </w:r>
      </w:hyperlink>
      <w:r>
        <w:t xml:space="preserve">. Shahady characterizes the cost structure of the geosynchronous slot regime under a debris-and-contested-environments frame, again without an econometric estimate on the U.S. launch licensing window</w:t>
      </w:r>
      <w:r>
        <w:t xml:space="preserve"> </w:t>
      </w:r>
      <w:hyperlink w:anchor="ref-12">
        <w:r>
          <w:rPr>
            <w:rStyle w:val="Hyperlink"/>
          </w:rPr>
          <w:t xml:space="preserve">[12]</w:t>
        </w:r>
      </w:hyperlink>
      <w:r>
        <w:t xml:space="preserve">.</w:t>
      </w:r>
    </w:p>
    <w:p>
      <w:pPr>
        <w:pStyle w:val="BodyText"/>
        <w:spacing w:line="480" w:lineRule="auto"/>
        <w:ind w:firstLine="720"/>
      </w:pPr>
      <w:r>
        <w:t xml:space="preserve">By contrast, the econometric method literature settled this apparatus long ago. Fixed-effects linear models for duration outcomes, Cox proportional hazards models for time-to-event outcomes, and accelerated-failure-time alternatives are mature tools whose finite-sample behavior, identification assumptions, and robustness diagnostics are documented in standard treatments. The within-class, within-site, within-year identification strategy that this dissertation pursues is a textbook application of the two-way fixed-effects estimator. The hazard-ratio interpretation of the Cox coefficient on an ordinal regressor is similarly textbook, and the proportional-hazards assumption is testable on the assembled data. The gap is therefore not in the method, and it is not in the domain narrative. It sits at the interface between the two. No retrieved source in the domain literature has run the textbook estimator on the matched FAA license population with the count of authorizing entities as the regressor of interest, and no retrieved source in the method literature has been applied to this specific outcome on this specific population. The descriptive infrastructure exists in the FAA public record [1, 7, 13], the governance concern is named in the in-space servicing literature [3, 8, 16], the cost relevance is established in the sustainability and development literature</w:t>
      </w:r>
      <w:r>
        <w:t xml:space="preserve"> </w:t>
      </w:r>
      <w:hyperlink w:anchor="ref-2">
        <w:r>
          <w:rPr>
            <w:rStyle w:val="Hyperlink"/>
          </w:rPr>
          <w:t xml:space="preserve">[2]</w:t>
        </w:r>
      </w:hyperlink>
      <w:r>
        <w:t xml:space="preserve">, and the methodological apparatus is settled. What has not happened is the estimation.</w:t>
      </w:r>
    </w:p>
    <w:p>
      <w:pPr>
        <w:pStyle w:val="BodyText"/>
        <w:spacing w:line="480" w:lineRule="auto"/>
        <w:ind w:firstLine="720"/>
      </w:pPr>
      <w:r>
        <w:t xml:space="preserve">The companion research papers prepared for this dissertation begin to close that interface gap. Paper one estimates a fixed-effects linear duration model on a thirty-campaign assembled population of FAA-licensed U.S. commercial launches across the pre- and post-Part 450 cohorts, and reports the coefficient on the agency-count regressor with its standard error and its sign</w:t>
      </w:r>
      <w:r>
        <w:t xml:space="preserve"> </w:t>
      </w:r>
      <w:hyperlink w:anchor="ref-4">
        <w:r>
          <w:rPr>
            <w:rStyle w:val="Hyperlink"/>
          </w:rPr>
          <w:t xml:space="preserve">[4]</w:t>
        </w:r>
      </w:hyperlink>
      <w:r>
        <w:t xml:space="preserve">. The companion Cox proportional hazards estimate on the same assembled population reports a coefficient of positive 0.8231 on agency_count with a Wald p-value of 0.140, which fails to reject the null and is inconsistent in sign with a directional fragmentation-cost hypothesis, while locating a statistically reliable negative coefficient on heavy-class vehicles and a statistically reliable negative coefficient on the calendar-year trend that absorbs the consolidated Part 450 transition. The present chapter introduces the framing within which those companion estimates will be extended, replicated under alternative specifications, and read against the threats to validity that the prospectus enumerates.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reports a single primary coefficient. The coefficient is estimated on the population of FAA-licensed U.S. commercial launch campaigns for which application-initiation dates and license-issuance dates can be recovered from public records, augmented for the capital specification by the subset of campaigns for which the licensee is a publicly reporting issuer whose quarterly operating expenditure is matched to the application-to-issuance window. The regressor of interest is the count of distinct federal authorizing agencies whose clearance was required for the campaign, coded as the sum of indicators for FAA license, FCC spectrum authorization, NOAA Commercial Remote Sensing Regulatory Affairs license where the payload includes a covered sensor, State Department export authorization where a foreign payload or foreign participant is involved, and a documented continuing-supervision determination of the kind characterized in the in-space servicing literature [3, 8, 16]. The conditioning set is launch vehicle class, launch site, and calendar year, entered as fixed effects.</w:t>
      </w:r>
    </w:p>
    <w:p>
      <w:pPr>
        <w:pStyle w:val="BodyText"/>
        <w:spacing w:line="480" w:lineRule="auto"/>
        <w:ind w:firstLine="720"/>
      </w:pPr>
      <w:r>
        <w:t xml:space="preserve">The contribution is stated as follows. Conditional on launch vehicle class, launch site, and calendar year fixed effects, the dissertation will report a single primary coefficient, with its standard error and its ninety-five percent confidence interval, on the count of distinct federal authorizing agencies, in a two-way fixed-effects linear model of license-issuance duration in days. A secondary specification reports the analogous coefficient on logged pre-license capital absorption, defined as the cumulative reported operating expenditure of the licensee between campaign initiation and license issuance, for the subset of campaigns for which the licensee is a publicly reporting issuer. A Cox proportional hazards specification with launch issuance as the event reports the hazard-ratio analogue as a methodological independent check.</w:t>
      </w:r>
    </w:p>
    <w:p>
      <w:pPr>
        <w:pStyle w:val="BodyText"/>
        <w:spacing w:line="480" w:lineRule="auto"/>
        <w:ind w:firstLine="720"/>
      </w:pPr>
      <w:r>
        <w:t xml:space="preserve">The null hypothesis is simple. It holds that the coefficient is statistically indistinguishable from zero at conventional significance levels. The alternative hypothesis is that the coefficient is strictly positive in the duration and capital specifications, equivalently a hazard ratio strictly less than one in the Cox specification, indicating that each additional required authorizing entity is associated with a strictly positive increment in license-issuance duration and in pre-license capital absorption. The contribution is the coefficient itself, reported with its confidence interval regardless of sign, and reported alongside the heavy-class vehicle coefficient and the calendar-year trend coefficient against which it must be read</w:t>
      </w:r>
      <w:r>
        <w:t xml:space="preserve"> </w:t>
      </w:r>
      <w:hyperlink w:anchor="ref-4">
        <w:r>
          <w:rPr>
            <w:rStyle w:val="Hyperlink"/>
          </w:rPr>
          <w:t xml:space="preserve">[4]</w:t>
        </w:r>
      </w:hyperlink>
      <w:r>
        <w:t xml:space="preserve">. A null result is a publishable contribution under this framing, because it disciplines the streamlining discourse with measurement and reallocates the schedule-risk attribution that NASA and JPL apply to commercial launches from the agency-count axis to the vehicle-class and process-evolution axes. A non-null positive result is a publishable contribution under the same framing, because it quantifies the fragmentation tax that the streamlining discourse has so far asserted without measurement.</w:t>
      </w:r>
    </w:p>
    <w:p>
      <w:pPr>
        <w:pStyle w:val="BodyText"/>
        <w:spacing w:line="480" w:lineRule="auto"/>
        <w:ind w:firstLine="720"/>
      </w:pPr>
      <w:r>
        <w:t xml:space="preserve">The contribution is falsifiable in the strict sense. Every input is public. The estimator is a textbook fixed-effects linear model, the population is the FAA license enumeration, the regressor is the public-record agency count, and the outcome is the public-record duration. Any analyst with access to the same public records can re-estimate the coefficient and either reproduce the reported sign and magnitude or refute them. The accompanying Cox estimate provides a parallel falsifiability path through the hazard-ratio interpretation. The coding ledger for the agency-count construction is retained alongside the data, so that the construction of the regressor is itself open to inspection and to alternative coding under transparent assumptions.</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 Chapter 2 develops the conceptual framework in which the count of distinct federal authorizing agencies is treated as an ordinal property of the campaign rather than as a rhetorical claim about the regulatory environment, and locates that framework against the descriptive infrastructure that the FAA license enumeration provides [1, 7, 13] and against the governance-as-architecture frame that the in-space servicing literature develops [3, 8, 16]. The conceptual framework is anchored to the access-to-orbit pipeline that the sustainability and development literature treats as the binding constraint on orbital activity</w:t>
      </w:r>
      <w:r>
        <w:t xml:space="preserve"> </w:t>
      </w:r>
      <w:hyperlink w:anchor="ref-2">
        <w:r>
          <w:rPr>
            <w:rStyle w:val="Hyperlink"/>
          </w:rPr>
          <w:t xml:space="preserve">[2]</w:t>
        </w:r>
      </w:hyperlink>
      <w:r>
        <w:t xml:space="preserve">, and it is read against the adjacent licensing literatures on space station applications in geosynchronous orbit</w:t>
      </w:r>
      <w:r>
        <w:t xml:space="preserve"> </w:t>
      </w:r>
      <w:hyperlink w:anchor="ref-15">
        <w:r>
          <w:rPr>
            <w:rStyle w:val="Hyperlink"/>
          </w:rPr>
          <w:t xml:space="preserve">[15]</w:t>
        </w:r>
      </w:hyperlink>
      <w:r>
        <w:t xml:space="preserve"> </w:t>
      </w:r>
      <w:r>
        <w:t xml:space="preserve">and on civil space situational awareness</w:t>
      </w:r>
      <w:r>
        <w:t xml:space="preserve"> </w:t>
      </w:r>
      <w:hyperlink w:anchor="ref-9">
        <w:r>
          <w:rPr>
            <w:rStyle w:val="Hyperlink"/>
          </w:rPr>
          <w:t xml:space="preserve">[9]</w:t>
        </w:r>
      </w:hyperlink>
      <w:r>
        <w:t xml:space="preserve"> </w:t>
      </w:r>
      <w:r>
        <w:t xml:space="preserve">in order to delimit the perimeter of the inferential claim.</w:t>
      </w:r>
    </w:p>
    <w:p>
      <w:pPr>
        <w:pStyle w:val="BodyText"/>
        <w:spacing w:line="480" w:lineRule="auto"/>
        <w:ind w:firstLine="720"/>
      </w:pPr>
      <w:r>
        <w:t xml:space="preserve">Chapter 3 specifies the data. The chapter documents the construction of the campaign-level dataset from the FAA Office of Commercial Space Transportation public license enumeration, the recovery of application-initiation dates from Federal Register environmental notices, FCC International Bureau Filing System records, NOAA Commercial Remote Sensing Regulatory Affairs records, and licensee securities disclosures, and the construction of the agency-count regressor with explicit source citations per coding. The chapter also documents the construction of the capital-absorption variable from quarterly operating expenditure reported in SEC filings for the publicly reporting subset of licensees, and it documents the criteria under which a campaign is included in the duration specification but excluded from the capital specification.</w:t>
      </w:r>
    </w:p>
    <w:p>
      <w:pPr>
        <w:pStyle w:val="BodyText"/>
        <w:spacing w:line="480" w:lineRule="auto"/>
        <w:ind w:firstLine="720"/>
      </w:pPr>
      <w:r>
        <w:t xml:space="preserve">Chapter 4 specifies the identification strategy and the estimator. The primary specification is a two-way fixed-effects linear model on license-issuance duration. The secondary specification is the same estimator on logged pre-license capital absorption for the publicly reporting subset. The robustness specification is a Cox proportional hazards model on the same population, with the agency-count regressor entered as a time-invariant covariate per campaign and with the same fixed effects</w:t>
      </w:r>
      <w:r>
        <w:t xml:space="preserve"> </w:t>
      </w:r>
      <w:hyperlink w:anchor="ref-4">
        <w:r>
          <w:rPr>
            <w:rStyle w:val="Hyperlink"/>
          </w:rPr>
          <w:t xml:space="preserve">[4]</w:t>
        </w:r>
      </w:hyperlink>
      <w:r>
        <w:t xml:space="preserve">. The chapter develops the within-class, within-site, within-year identification argument and addresses the threats to validity that the prospectus enumerates, including reverse selection on internal readiness, composition on mission ambition, the post-Part 450 structural break, and the open governance status of the continuing-supervision construct for novel on-orbit operations [3, 8, 16].</w:t>
      </w:r>
    </w:p>
    <w:p>
      <w:pPr>
        <w:pStyle w:val="BodyText"/>
        <w:spacing w:line="480" w:lineRule="auto"/>
        <w:ind w:firstLine="720"/>
      </w:pPr>
      <w:r>
        <w:t xml:space="preserve">Chapter 5 reports the primary estimate on the duration outcome with its confidence interval, the secondary estimate on the capital outcome with its confidence interval, and the hazard-ratio analogue from the Cox specification, in the form set out in Section 1.4 above. The chapter reports the coefficient on the agency-count regressor alongside the heavy-class vehicle coefficient and the calendar-year trend coefficient, in order to locate the fragmentation-cost coefficient against the technical-review-burden and process-evolution coefficients that the companion paper finds to dominate the issuance hazard in the assembled thirty-campaign population</w:t>
      </w:r>
      <w:r>
        <w:t xml:space="preserve"> </w:t>
      </w:r>
      <w:hyperlink w:anchor="ref-4">
        <w:r>
          <w:rPr>
            <w:rStyle w:val="Hyperlink"/>
          </w:rPr>
          <w:t xml:space="preserve">[4]</w:t>
        </w:r>
      </w:hyperlink>
      <w:r>
        <w:t xml:space="preserve">.</w:t>
      </w:r>
    </w:p>
    <w:p>
      <w:pPr>
        <w:pStyle w:val="BodyText"/>
        <w:spacing w:line="480" w:lineRule="auto"/>
        <w:ind w:firstLine="720"/>
      </w:pPr>
      <w:r>
        <w:t xml:space="preserve">Chapter 6 reports the robustness exercises. These include the post-2021 interaction that tests whether the fragmentation coefficient itself changed under the consolidated Part 450 regime, the LEO commercial cargo and communications restriction that tests the composition threat, the pre-application consultation covariate that tests the reverse-selection threat, and the inclusion-exclusion contrast on the continuing-supervision cohort that tests the sensitivity of the primary coefficient to the open governance status of that construct [3, 8, 16]. The chapter also reports the proportional-hazards diagnostic for the Cox specification and reports the sensitivity of the primary linear estimate to alternative codings of the agency-count regressor.</w:t>
      </w:r>
    </w:p>
    <w:p>
      <w:pPr>
        <w:pStyle w:val="BodyText"/>
        <w:spacing w:line="480" w:lineRule="auto"/>
        <w:ind w:firstLine="720"/>
      </w:pPr>
      <w:r>
        <w:t xml:space="preserve">Chapter 7 discusses the implications for NASA and JPL. The chapter reads the primary coefficient against the integrated schedule and cost models that civil-space mission planners apply to commercially licensed launches, and it locates the fragmentation-cost finding against the architectural decisions that NASA and JPL are now making for missions that depend on in-space operations beyond simple deployment, including robotic on-orbit assembly of large space telescopes</w:t>
      </w:r>
      <w:r>
        <w:t xml:space="preserve"> </w:t>
      </w:r>
      <w:hyperlink w:anchor="ref-6">
        <w:r>
          <w:rPr>
            <w:rStyle w:val="Hyperlink"/>
          </w:rPr>
          <w:t xml:space="preserve">[6]</w:t>
        </w:r>
      </w:hyperlink>
      <w:r>
        <w:t xml:space="preserve"> </w:t>
      </w:r>
      <w:r>
        <w:t xml:space="preserve">and operations conducted in an environment of ever-increasing near-Earth space traffic</w:t>
      </w:r>
      <w:r>
        <w:t xml:space="preserve"> </w:t>
      </w:r>
      <w:hyperlink w:anchor="ref-5">
        <w:r>
          <w:rPr>
            <w:rStyle w:val="Hyperlink"/>
          </w:rPr>
          <w:t xml:space="preserve">[5]</w:t>
        </w:r>
      </w:hyperlink>
      <w:r>
        <w:t xml:space="preserve">. The chapter draws the implications of the finding for the streamlining discourse that surrounds U.S. commercial launch licensing and for the schedule-risk attribution that civil-space programs apply to the regulatory interface. Chapter 8 concludes, restates the single falsifiable contribution and its empirical disposition, and identifies the extensions that the assembled dataset and the reported coefficient open to further work.</w:t>
      </w:r>
    </w:p>
    <w:p>
      <w:pPr>
        <w:pStyle w:val="BodyText"/>
        <w:spacing w:line="480" w:lineRule="auto"/>
        <w:ind w:firstLine="720"/>
      </w:pPr>
      <w:r>
        <w:t xml:space="preserve">The structure is deliberately conservative. The contribution is a single coefficient with a confidence interval, on a textbook estimator, applied to a public-record population, against an explicit null. The chapters that follow are organized around that coefficient, and the methodological apparatus is exposed at each step so that the contribution remains falsifiable by any analyst with access to the same public records. The framing throughout is that jurisdictional fragmentation is an observable, ordinally measured property of each campaign rather than a rhetorical claim, and that its cost, if it exists, is recoverable from the matched FAA license population using the conditioning set this chapter has specified.</w:t>
      </w:r>
    </w:p>
    <w:bookmarkEnd w:id="65"/>
    <w:bookmarkEnd w:id="66"/>
    <w:bookmarkStart w:id="89"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This chapter surveys the two bodies of work that the dissertation must join: the domain technical and policy literature on U.S. commercial launch and adjacent space operations, and the cliometric and econometric methodology literature whose hazard, panel, and fixed-effects estimators the empirical chapters use to obtain a coefficient on jurisdictional fragmentation. The survey is organized so that each literature is first reconstructed on its own terms, with particular attention to the propositions it advances about regulation, cost, and operational architecture, before the two are placed alongside one another. The chapter then identifies the precise location of the gap that the dissertation closes. The diagnosis advanced here is that the domain literature contains a rich qualitative theory of multi-agency authorization and its cost consequences, while the methodology literature provides the apparatus to convert that theory into a falsifiable coefficient, and that the two have not been joined for the U.S. commercial launch case at the level of an estimate with a standard error.</w:t>
      </w:r>
    </w:p>
    <w:p>
      <w:pPr>
        <w:pStyle w:val="BodyText"/>
        <w:spacing w:line="480" w:lineRule="auto"/>
        <w:ind w:firstLine="720"/>
      </w:pPr>
      <w:r>
        <w:t xml:space="preserve">The reference pool circumscribes what may be cited. The domain pool [1, 2, 3, 5, 6, 7, 8, 9, 10, 11, 12, 13, 14, 15, 16, 17, 18, 19, 20, 21, 22, 23] covers commercial space economics, sustainability and development framing, in-space servicing and continuing supervision, near-earth traffic and debris, on-orbit assembly, civil space situational awareness, debris removal law, broadband competition in low earth orbit, GEO slot economics, the rule-of-three U.S. commercial space regulatory structure, citizen-science surveillance contributions, ITU GEO licensing patterns, laser crosslink architectures, fragmentation and hypervelocity-impact physics, vision-based debris tracking, retroreflective satellite-trail mitigation, on-orbit fragmentation characterization, cislunar monitoring constellations, and fragment-size distribution from picosatellite experiments. The methodology pool, as it appears within the reference set, is contained in the prior dissertation paper</w:t>
      </w:r>
      <w:r>
        <w:t xml:space="preserve"> </w:t>
      </w:r>
      <w:hyperlink w:anchor="ref-4">
        <w:r>
          <w:rPr>
            <w:rStyle w:val="Hyperlink"/>
          </w:rPr>
          <w:t xml:space="preserve">[4]</w:t>
        </w:r>
      </w:hyperlink>
      <w:r>
        <w:t xml:space="preserve"> </w:t>
      </w:r>
      <w:r>
        <w:t xml:space="preserve">which exercises the fixed-effects linear duration estimator on the same population and which the present chapter treats as the proximate methodological exemplar against which the survival apparatus of the companion paper is positioned. The chapter cites only by these numbers.</w:t>
      </w:r>
    </w:p>
    <w:bookmarkEnd w:id="67"/>
    <w:bookmarkStart w:id="76" w:name="X99543fbf60d5ce101ed4368375f354e37da0a89"/>
    <w:p>
      <w:pPr>
        <w:pStyle w:val="Heading2"/>
        <w:spacing w:line="480" w:lineRule="auto"/>
      </w:pPr>
      <w:r>
        <w:t xml:space="preserve">2.2 The Domain Literature: U.S. Commercial Launch and the Regulatory Stack</w:t>
      </w:r>
    </w:p>
    <w:bookmarkStart w:id="68" w:name="Xee9ea647aaaf99a7732c06cafe071d96256eba0"/>
    <w:p>
      <w:pPr>
        <w:pStyle w:val="Heading3"/>
        <w:spacing w:line="480" w:lineRule="auto"/>
      </w:pPr>
      <w:r>
        <w:t xml:space="preserve">2.2.1 The Weinzierl framing of the sector as an economic object</w:t>
      </w:r>
    </w:p>
    <w:p>
      <w:pPr>
        <w:pStyle w:val="FirstParagraph"/>
        <w:spacing w:line="480" w:lineRule="auto"/>
      </w:pPr>
      <w:r>
        <w:t xml:space="preserve">The point of departure for the domain literature is Weinzierl, who treats the U.S. commercial launch sector as a transition from a regime of federally operated launches to one in which FAA-licensed commercial campaigns constitute the bulk of national launch activity [1, 7]. The descriptive contribution of that work is the use of FAA license counts as a public indicator of sectoral health and as an entry point to a broader normative claim that the state’s role is shifting from operator to regulator and customer</w:t>
      </w:r>
      <w:r>
        <w:t xml:space="preserve"> </w:t>
      </w:r>
      <w:hyperlink w:anchor="ref-1">
        <w:r>
          <w:rPr>
            <w:rStyle w:val="Hyperlink"/>
          </w:rPr>
          <w:t xml:space="preserve">[1]</w:t>
        </w:r>
      </w:hyperlink>
      <w:r>
        <w:t xml:space="preserve">. For the present dissertation, the salient feature of this framing is that it places the regulator at the analytical center: if the federal government no longer launches but instead authorizes, then the structure of that authorization is the first-order economic object through which the sector interacts with the state. Weinzierl does not, however, take the next analytical step. The license count is treated as a descriptive indicator rather than as a dependent or independent variable in a model of cost. The implicit econometric apparatus is absent, and the question of whether the structure of the regulatory stack adds delay or absorbs capital is left as a framing observation rather than as an estimated quantity [1, 7].</w:t>
      </w:r>
    </w:p>
    <w:bookmarkEnd w:id="68"/>
    <w:bookmarkStart w:id="69" w:name="Xf7d09fd507742dde3e26808141d1da9512f9e96"/>
    <w:p>
      <w:pPr>
        <w:pStyle w:val="Heading3"/>
        <w:spacing w:line="480" w:lineRule="auto"/>
      </w:pPr>
      <w:r>
        <w:t xml:space="preserve">2.2.2 The sustainability and development pipeline</w:t>
      </w:r>
    </w:p>
    <w:p>
      <w:pPr>
        <w:pStyle w:val="FirstParagraph"/>
        <w:spacing w:line="480" w:lineRule="auto"/>
      </w:pPr>
      <w:r>
        <w:t xml:space="preserve">The sustainability and development literature</w:t>
      </w:r>
      <w:r>
        <w:t xml:space="preserve"> </w:t>
      </w:r>
      <w:hyperlink w:anchor="ref-2">
        <w:r>
          <w:rPr>
            <w:rStyle w:val="Hyperlink"/>
          </w:rPr>
          <w:t xml:space="preserve">[2]</w:t>
        </w:r>
      </w:hyperlink>
      <w:r>
        <w:t xml:space="preserve"> </w:t>
      </w:r>
      <w:r>
        <w:t xml:space="preserve">reinforces the cost relevance of access to orbit by documenting unit costs of LEO insertion above ten thousand dollars per kilogram in the recent past and by treating these costs as the binding constraint on broader sectoral expansion. The argumentative structure is that environmental, developmental, and security benefits of space activity are contingent on a continuing decline in access cost, and that the policy environment around access is therefore not separable from the policy environment around sustainability outcomes. This literature does not attempt an isolation of the regulatory contribution to that cost; rather, it absorbs regulation into a broader pipeline view of the access-to-orbit problem</w:t>
      </w:r>
      <w:r>
        <w:t xml:space="preserve"> </w:t>
      </w:r>
      <w:hyperlink w:anchor="ref-2">
        <w:r>
          <w:rPr>
            <w:rStyle w:val="Hyperlink"/>
          </w:rPr>
          <w:t xml:space="preserve">[2]</w:t>
        </w:r>
      </w:hyperlink>
      <w:r>
        <w:t xml:space="preserve">. The implicit assumption is that improvements in launch vehicle technology dominate the cost trajectory and that the regulatory environment, while present, is a second-order parameter. The present dissertation treats that implicit ordering as itself an empirical question, and notes that without an estimate of the regulatory component, the ordering cannot be defended on the merits.</w:t>
      </w:r>
    </w:p>
    <w:bookmarkEnd w:id="69"/>
    <w:bookmarkStart w:id="70" w:name="Xa66538de9ceb8b6743758397c2fc037d7e693ae"/>
    <w:p>
      <w:pPr>
        <w:pStyle w:val="Heading3"/>
        <w:spacing w:line="480" w:lineRule="auto"/>
      </w:pPr>
      <w:r>
        <w:t xml:space="preserve">2.2.3 In-space servicing and continuing supervision</w:t>
      </w:r>
    </w:p>
    <w:p>
      <w:pPr>
        <w:pStyle w:val="FirstParagraph"/>
        <w:spacing w:line="480" w:lineRule="auto"/>
      </w:pPr>
      <w:r>
        <w:t xml:space="preserve">Smith, Jah, and Wood [3, 8, 16] formalize a proposition that adjacent governance literatures have been circling for a decade: that authorization and continuing supervision of novel on-orbit operations are not administrative footnotes but architectural choices with cost consequences. Their decision support framework for continuing supervision of commercial in-space servicing makes the point that the United States, in particular, faces a constructed governance problem under Article VI of the Outer Space Treaty, in which the question of which agency holds continuing supervision authority for a given mission profile is unresolved and must be assigned through inter-agency mechanism rather than read off an existing statute [3, 16]. The contribution of that work for the present dissertation is twofold. First, it names the multi-agency authorization stack as a system that must be architected, which is the conceptual precondition for treating the count of authorizing agencies as a measurable property of a campaign rather than as a rhetorical flourish. Second, by reasoning at the level of mission profile and operational supervision, it identifies the mechanism by which an additional agency enters the licensing path: a covered payload, sensor, propellant, or operational mode triggers a supervisory referral to a body other than the FAA. Smith, Jah, and Wood do not, however, produce an econometric estimate of the cost of that referral. Their framework is decision-support oriented, and the cost language is general rather than coefficient-specific [3, 8, 16].</w:t>
      </w:r>
    </w:p>
    <w:bookmarkEnd w:id="70"/>
    <w:bookmarkStart w:id="71" w:name="X8e90c7c3ba59e7a0f89a95ce8a03609c1313599"/>
    <w:p>
      <w:pPr>
        <w:pStyle w:val="Heading3"/>
        <w:spacing w:line="480" w:lineRule="auto"/>
      </w:pPr>
      <w:r>
        <w:t xml:space="preserve">2.2.4 The rule of three and the U.S. regulatory architecture</w:t>
      </w:r>
    </w:p>
    <w:p>
      <w:pPr>
        <w:pStyle w:val="FirstParagraph"/>
        <w:spacing w:line="480" w:lineRule="auto"/>
      </w:pPr>
      <w:r>
        <w:t xml:space="preserve">Goehring provides the most explicit U.S.-specific characterization of the multi-agency licensing surface as a structural property of the regulatory environment, framing it as a rule of three under which the FAA, the FCC, and NOAA constitute the principal authorizing entities for commercial space activity, with additional bodies entering for export-controlled hardware and federal range operations</w:t>
      </w:r>
      <w:r>
        <w:t xml:space="preserve"> </w:t>
      </w:r>
      <w:hyperlink w:anchor="ref-13">
        <w:r>
          <w:rPr>
            <w:rStyle w:val="Hyperlink"/>
          </w:rPr>
          <w:t xml:space="preserve">[13]</w:t>
        </w:r>
      </w:hyperlink>
      <w:r>
        <w:t xml:space="preserve">. The Goehring account is doctrinal and descriptive rather than empirical; it documents the structure of the rule of three without estimating its cost. For the dissertation, the importance of</w:t>
      </w:r>
      <w:r>
        <w:t xml:space="preserve"> </w:t>
      </w:r>
      <w:hyperlink w:anchor="ref-13">
        <w:r>
          <w:rPr>
            <w:rStyle w:val="Hyperlink"/>
          </w:rPr>
          <w:t xml:space="preserve">[13]</w:t>
        </w:r>
      </w:hyperlink>
      <w:r>
        <w:t xml:space="preserve"> </w:t>
      </w:r>
      <w:r>
        <w:t xml:space="preserve">is that it provides domain-internal corroboration that the regulatory architecture has the structural property the empirical chapters measure. The agency-count regressor is therefore not an analyst’s construct imposed on a smooth administrative surface; it is the operational shape of the licensing environment as practitioners and regulators themselves describe it</w:t>
      </w:r>
      <w:r>
        <w:t xml:space="preserve"> </w:t>
      </w:r>
      <w:hyperlink w:anchor="ref-13">
        <w:r>
          <w:rPr>
            <w:rStyle w:val="Hyperlink"/>
          </w:rPr>
          <w:t xml:space="preserve">[13]</w:t>
        </w:r>
      </w:hyperlink>
      <w:r>
        <w:t xml:space="preserve">. The Goehring framing also clarifies the locus of the post-2021 Part 450 consolidation: that reform compressed the FAA-internal review structure without consolidating the external authorizing surface, which is consistent with what the empirical chapters of the dissertation find and discuss</w:t>
      </w:r>
      <w:r>
        <w:t xml:space="preserve"> </w:t>
      </w:r>
      <w:hyperlink w:anchor="ref-4">
        <w:r>
          <w:rPr>
            <w:rStyle w:val="Hyperlink"/>
          </w:rPr>
          <w:t xml:space="preserve">[4]</w:t>
        </w:r>
      </w:hyperlink>
      <w:r>
        <w:t xml:space="preserve">.</w:t>
      </w:r>
    </w:p>
    <w:bookmarkEnd w:id="71"/>
    <w:bookmarkStart w:id="72" w:name="Xd1771f5ae969c7ec58cf0ddb62d6197e763607e"/>
    <w:p>
      <w:pPr>
        <w:pStyle w:val="Heading3"/>
        <w:spacing w:line="480" w:lineRule="auto"/>
      </w:pPr>
      <w:r>
        <w:t xml:space="preserve">2.2.5 The traffic environment and the demand-side argument</w:t>
      </w:r>
    </w:p>
    <w:p>
      <w:pPr>
        <w:pStyle w:val="FirstParagraph"/>
        <w:spacing w:line="480" w:lineRule="auto"/>
      </w:pPr>
      <w:r>
        <w:t xml:space="preserve">Rossi and colleagues</w:t>
      </w:r>
      <w:r>
        <w:t xml:space="preserve"> </w:t>
      </w:r>
      <w:hyperlink w:anchor="ref-5">
        <w:r>
          <w:rPr>
            <w:rStyle w:val="Hyperlink"/>
          </w:rPr>
          <w:t xml:space="preserve">[5]</w:t>
        </w:r>
      </w:hyperlink>
      <w:r>
        <w:t xml:space="preserve"> </w:t>
      </w:r>
      <w:r>
        <w:t xml:space="preserve">situate the regulatory question within the demand environment that the next decade is likely to present. Their review of future activities in near-earth space documents the trajectory of growth in tracked objects, the operational implications for conjunction assessment, and the policy environment that will need to accommodate the projected traffic. Their argument is that licensing-time growth in the host state, if not addressed, becomes a soft brake on the cadence the traffic environment will demand</w:t>
      </w:r>
      <w:r>
        <w:t xml:space="preserve"> </w:t>
      </w:r>
      <w:hyperlink w:anchor="ref-5">
        <w:r>
          <w:rPr>
            <w:rStyle w:val="Hyperlink"/>
          </w:rPr>
          <w:t xml:space="preserve">[5]</w:t>
        </w:r>
      </w:hyperlink>
      <w:r>
        <w:t xml:space="preserve">. Nanjangud and colleagues advance an adjacent argument from the on-orbit assembly side, showing that the mission architectures that justify the next generation of large telescopes presume a national licensing framework that can accommodate robotic on-orbit assembly within a multi-launch campaign</w:t>
      </w:r>
      <w:r>
        <w:t xml:space="preserve"> </w:t>
      </w:r>
      <w:hyperlink w:anchor="ref-6">
        <w:r>
          <w:rPr>
            <w:rStyle w:val="Hyperlink"/>
          </w:rPr>
          <w:t xml:space="preserve">[6]</w:t>
        </w:r>
      </w:hyperlink>
      <w:r>
        <w:t xml:space="preserve">. The implication for the dissertation is that the cost of multi-agency licensing is not bounded by the historical FAA queue; it scales with the operational ambition of the missions that the licensees seek to fly. The agency-count regressor is therefore a forward-looking object, not merely a retrospective one [5, 6].</w:t>
      </w:r>
    </w:p>
    <w:bookmarkEnd w:id="72"/>
    <w:bookmarkStart w:id="73" w:name="X6f3753535b245d45f75b26bee6089e58707b1ec"/>
    <w:p>
      <w:pPr>
        <w:pStyle w:val="Heading3"/>
        <w:spacing w:line="480" w:lineRule="auto"/>
      </w:pPr>
      <w:r>
        <w:t xml:space="preserve">2.2.6 The space situational awareness and debris literatures</w:t>
      </w:r>
    </w:p>
    <w:p>
      <w:pPr>
        <w:pStyle w:val="FirstParagraph"/>
        <w:spacing w:line="480" w:lineRule="auto"/>
      </w:pPr>
      <w:r>
        <w:t xml:space="preserve">A substantial body of work in the reference pool addresses space situational awareness, debris monitoring, and traffic management as the operational complements of licensing. Lal and Carioscia</w:t>
      </w:r>
      <w:r>
        <w:t xml:space="preserve"> </w:t>
      </w:r>
      <w:hyperlink w:anchor="ref-9">
        <w:r>
          <w:rPr>
            <w:rStyle w:val="Hyperlink"/>
          </w:rPr>
          <w:t xml:space="preserve">[9]</w:t>
        </w:r>
      </w:hyperlink>
      <w:r>
        <w:t xml:space="preserve"> </w:t>
      </w:r>
      <w:r>
        <w:t xml:space="preserve">evaluate civil space situational awareness options for the United States, identifying the institutional fragmentation between defense, civil, and commercial SSA providers as a structural feature of the policy environment. Feline and colleagues</w:t>
      </w:r>
      <w:r>
        <w:t xml:space="preserve"> </w:t>
      </w:r>
      <w:hyperlink w:anchor="ref-14">
        <w:r>
          <w:rPr>
            <w:rStyle w:val="Hyperlink"/>
          </w:rPr>
          <w:t xml:space="preserve">[14]</w:t>
        </w:r>
      </w:hyperlink>
      <w:r>
        <w:t xml:space="preserve"> </w:t>
      </w:r>
      <w:r>
        <w:t xml:space="preserve">document the contribution of citizen-science observers to the surveillance of space, an architecture that distributes observational capacity beyond the federal apparatus. Hussain and colleagues</w:t>
      </w:r>
      <w:r>
        <w:t xml:space="preserve"> </w:t>
      </w:r>
      <w:hyperlink w:anchor="ref-19">
        <w:r>
          <w:rPr>
            <w:rStyle w:val="Hyperlink"/>
          </w:rPr>
          <w:t xml:space="preserve">[19]</w:t>
        </w:r>
      </w:hyperlink>
      <w:r>
        <w:t xml:space="preserve"> </w:t>
      </w:r>
      <w:r>
        <w:t xml:space="preserve">develop space-based debris trajectory estimation using vision sensors and track-based data fusion, advancing the technical apparatus that supports the supervisory functions on which licensing decisions ultimately rest. Grattagliano and colleagues</w:t>
      </w:r>
      <w:r>
        <w:t xml:space="preserve"> </w:t>
      </w:r>
      <w:hyperlink w:anchor="ref-21">
        <w:r>
          <w:rPr>
            <w:rStyle w:val="Hyperlink"/>
          </w:rPr>
          <w:t xml:space="preserve">[21]</w:t>
        </w:r>
      </w:hyperlink>
      <w:r>
        <w:t xml:space="preserve"> </w:t>
      </w:r>
      <w:r>
        <w:t xml:space="preserve">and Gambarotto and colleagues</w:t>
      </w:r>
      <w:r>
        <w:t xml:space="preserve"> </w:t>
      </w:r>
      <w:hyperlink w:anchor="ref-22">
        <w:r>
          <w:rPr>
            <w:rStyle w:val="Hyperlink"/>
          </w:rPr>
          <w:t xml:space="preserve">[22]</w:t>
        </w:r>
      </w:hyperlink>
      <w:r>
        <w:t xml:space="preserve"> </w:t>
      </w:r>
      <w:r>
        <w:t xml:space="preserve">characterize on-orbit fragmentation events and the constellation observational architectures that monitor them, including in the cislunar domain. Fabri and Olivieri</w:t>
      </w:r>
      <w:r>
        <w:t xml:space="preserve"> </w:t>
      </w:r>
      <w:hyperlink w:anchor="ref-18">
        <w:r>
          <w:rPr>
            <w:rStyle w:val="Hyperlink"/>
          </w:rPr>
          <w:t xml:space="preserve">[18]</w:t>
        </w:r>
      </w:hyperlink>
      <w:r>
        <w:t xml:space="preserve"> </w:t>
      </w:r>
      <w:r>
        <w:t xml:space="preserve">and Olivieri, Giacomuzzo, and Francesconi</w:t>
      </w:r>
      <w:r>
        <w:t xml:space="preserve"> </w:t>
      </w:r>
      <w:hyperlink w:anchor="ref-23">
        <w:r>
          <w:rPr>
            <w:rStyle w:val="Hyperlink"/>
          </w:rPr>
          <w:t xml:space="preserve">[23]</w:t>
        </w:r>
      </w:hyperlink>
      <w:r>
        <w:t xml:space="preserve"> </w:t>
      </w:r>
      <w:r>
        <w:t xml:space="preserve">characterize the size, mass, and area-to-mass distributions of fragments generated by hypervelocity impacts and picosatellite fragmentation experiments, providing the empirical inputs that downstream debris models require. Steele</w:t>
      </w:r>
      <w:r>
        <w:t xml:space="preserve"> </w:t>
      </w:r>
      <w:hyperlink w:anchor="ref-10">
        <w:r>
          <w:rPr>
            <w:rStyle w:val="Hyperlink"/>
          </w:rPr>
          <w:t xml:space="preserve">[10]</w:t>
        </w:r>
      </w:hyperlink>
      <w:r>
        <w:t xml:space="preserve"> </w:t>
      </w:r>
      <w:r>
        <w:t xml:space="preserve">addresses the international legal apparatus for actively removing space debris, a body of law that conditions the supervisory referral decisions that bear on the licensing path. Degen and colleagues</w:t>
      </w:r>
      <w:r>
        <w:t xml:space="preserve"> </w:t>
      </w:r>
      <w:hyperlink w:anchor="ref-20">
        <w:r>
          <w:rPr>
            <w:rStyle w:val="Hyperlink"/>
          </w:rPr>
          <w:t xml:space="preserve">[20]</w:t>
        </w:r>
      </w:hyperlink>
      <w:r>
        <w:t xml:space="preserve"> </w:t>
      </w:r>
      <w:r>
        <w:t xml:space="preserve">develop the retroreflective-coating mitigation argument for satellite trails, which intersects the licensing path through the environmental and astronomical communities whose comments enter Federal Register processes. Shahady</w:t>
      </w:r>
      <w:r>
        <w:t xml:space="preserve"> </w:t>
      </w:r>
      <w:hyperlink w:anchor="ref-12">
        <w:r>
          <w:rPr>
            <w:rStyle w:val="Hyperlink"/>
          </w:rPr>
          <w:t xml:space="preserve">[12]</w:t>
        </w:r>
      </w:hyperlink>
      <w:r>
        <w:t xml:space="preserve"> </w:t>
      </w:r>
      <w:r>
        <w:t xml:space="preserve">argues that the future risk of space debris and contested environments raises the intrinsic and actual cost of GEO slots, which is a cost-side claim about the orbital regime within which the licensing decisions are made.</w:t>
      </w:r>
    </w:p>
    <w:p>
      <w:pPr>
        <w:pStyle w:val="BodyText"/>
        <w:spacing w:line="480" w:lineRule="auto"/>
        <w:ind w:firstLine="720"/>
      </w:pPr>
      <w:r>
        <w:t xml:space="preserve">These debris and SSA literatures contribute context rather than direct econometrics. They establish that the supervisory environment within which licenses are issued is not a static administrative surface; it is an evolving technical and operational object whose features condition the supervisory choices that bear on the count of authorizing agencies for a given campaign. The Smith, Jah, and Wood [3, 8, 16] formulation of continuing supervision reads as the licensing-side translation of the SSA and debris-monitoring agenda that the [9, 14, 19, 20, 21, 22, 23] cluster develops on the technical side. The two agendas track one another closely.</w:t>
      </w:r>
    </w:p>
    <w:bookmarkEnd w:id="73"/>
    <w:bookmarkStart w:id="74" w:name="Xf46311d92e6e7ce35d7090d844f17b7d1389808"/>
    <w:p>
      <w:pPr>
        <w:pStyle w:val="Heading3"/>
        <w:spacing w:line="480" w:lineRule="auto"/>
      </w:pPr>
      <w:r>
        <w:t xml:space="preserve">2.2.7 The orbital regime and the spectrum-licensing literature</w:t>
      </w:r>
    </w:p>
    <w:p>
      <w:pPr>
        <w:pStyle w:val="FirstParagraph"/>
        <w:spacing w:line="480" w:lineRule="auto"/>
      </w:pPr>
      <w:r>
        <w:t xml:space="preserve">Young and Thadani</w:t>
      </w:r>
      <w:r>
        <w:t xml:space="preserve"> </w:t>
      </w:r>
      <w:hyperlink w:anchor="ref-11">
        <w:r>
          <w:rPr>
            <w:rStyle w:val="Hyperlink"/>
          </w:rPr>
          <w:t xml:space="preserve">[11]</w:t>
        </w:r>
      </w:hyperlink>
      <w:r>
        <w:t xml:space="preserve"> </w:t>
      </w:r>
      <w:r>
        <w:t xml:space="preserve">document the low earth orbit broadband competition, locating the strategic stakes of the LEO regime in the commercial and national-security domain and reinforcing the proposition that licensing throughput is a strategic variable rather than an administrative one. Roberts and Linares</w:t>
      </w:r>
      <w:r>
        <w:t xml:space="preserve"> </w:t>
      </w:r>
      <w:hyperlink w:anchor="ref-15">
        <w:r>
          <w:rPr>
            <w:rStyle w:val="Hyperlink"/>
          </w:rPr>
          <w:t xml:space="preserve">[15]</w:t>
        </w:r>
      </w:hyperlink>
      <w:r>
        <w:t xml:space="preserve"> </w:t>
      </w:r>
      <w:r>
        <w:t xml:space="preserve">survey International Telecommunication Union space station license applications in the geosynchronous orbital regime, providing the international counterpart to the U.S. domestic licensing surface and showing that the structure of regulatory queueing is an internationally observable feature of the sector. Kim and colleagues</w:t>
      </w:r>
      <w:r>
        <w:t xml:space="preserve"> </w:t>
      </w:r>
      <w:hyperlink w:anchor="ref-17">
        <w:r>
          <w:rPr>
            <w:rStyle w:val="Hyperlink"/>
          </w:rPr>
          <w:t xml:space="preserve">[17]</w:t>
        </w:r>
      </w:hyperlink>
      <w:r>
        <w:t xml:space="preserve"> </w:t>
      </w:r>
      <w:r>
        <w:t xml:space="preserve">develop the laser crosslink concept for nanosatellite formation flying, which is one of the technologies whose licensing path crosses spectrum, export, and continuing-supervision authorities and therefore plausibly raises the agency-count regressor for campaigns that include it. The cumulative point of these works is that the regulatory architecture interacts with the technological frontier in ways that the agency-count regressor is structured to capture: the more novel the mission profile, the larger the set of authorizing entities the campaign is expected to traverse [11, 15, 17].</w:t>
      </w:r>
    </w:p>
    <w:bookmarkEnd w:id="74"/>
    <w:bookmarkStart w:id="75" w:name="Xdb04dbbdc745151f4ba292390e4f6bb75cb57a2"/>
    <w:p>
      <w:pPr>
        <w:pStyle w:val="Heading3"/>
        <w:spacing w:line="480" w:lineRule="auto"/>
      </w:pPr>
      <w:r>
        <w:t xml:space="preserve">2.2.8 What the domain literature establishes and what it does not</w:t>
      </w:r>
    </w:p>
    <w:p>
      <w:pPr>
        <w:pStyle w:val="FirstParagraph"/>
        <w:spacing w:line="480" w:lineRule="auto"/>
      </w:pPr>
      <w:r>
        <w:t xml:space="preserve">Taken together, the domain literature establishes four propositions on which the empirical chapters of the dissertation depend. First, the regulator is the principal interface between the firm and orbit, and the licensing path is therefore an economically first-order object [1, 7]. Second, the U.S. licensing architecture is structurally multi-agency, with the FAA, FCC, NOAA, the State Department, and continuing-supervision determinations entering as a function of mission profile [3, 8, 13, 16]. Third, access cost is a binding constraint on sectoral activity and is plausibly composed of a vehicle component and a regulatory component, though the literature does not isolate them</w:t>
      </w:r>
      <w:r>
        <w:t xml:space="preserve"> </w:t>
      </w:r>
      <w:hyperlink w:anchor="ref-2">
        <w:r>
          <w:rPr>
            <w:rStyle w:val="Hyperlink"/>
          </w:rPr>
          <w:t xml:space="preserve">[2]</w:t>
        </w:r>
      </w:hyperlink>
      <w:r>
        <w:t xml:space="preserve">. Fourth, the technical and operational environment within which licensing decisions are made is evolving in ways that will increase rather than decrease the supervisory load over the next decade [5, 6, 9, 11, 17, 19, 21, 22].</w:t>
      </w:r>
    </w:p>
    <w:p>
      <w:pPr>
        <w:pStyle w:val="BodyText"/>
        <w:spacing w:line="480" w:lineRule="auto"/>
        <w:ind w:firstLine="720"/>
      </w:pPr>
      <w:r>
        <w:t xml:space="preserve">What the domain literature does not establish is a coefficient. No retrieved source produces a measured estimate, with standard error, of the marginal effect of an additional authorizing agency on license-issuance duration or on pre-license capital absorption for U.S. commercial launch campaigns. The qualitative theory is in place, the structural description is in place, and the cost relevance is named, but the quantitative test has not been run within the domain literature itself [1, 2, 3, 5, 6, 7, 8, 13, 16].</w:t>
      </w:r>
    </w:p>
    <w:bookmarkEnd w:id="75"/>
    <w:bookmarkEnd w:id="76"/>
    <w:bookmarkStart w:id="83" w:name="X07fe73e594277fc276c6392b9242153367417e1"/>
    <w:p>
      <w:pPr>
        <w:pStyle w:val="Heading2"/>
        <w:spacing w:line="480" w:lineRule="auto"/>
      </w:pPr>
      <w:r>
        <w:t xml:space="preserve">2.3 The Cliometric and Econometric Methodology Literature</w:t>
      </w:r>
    </w:p>
    <w:bookmarkStart w:id="77" w:name="X7862c6ed06e40f493d27d57a37625819d1edd26"/>
    <w:p>
      <w:pPr>
        <w:pStyle w:val="Heading3"/>
        <w:spacing w:line="480" w:lineRule="auto"/>
      </w:pPr>
      <w:r>
        <w:t xml:space="preserve">2.3.1 The methodological problem the dissertation must solve</w:t>
      </w:r>
    </w:p>
    <w:p>
      <w:pPr>
        <w:pStyle w:val="FirstParagraph"/>
        <w:spacing w:line="480" w:lineRule="auto"/>
      </w:pPr>
      <w:r>
        <w:t xml:space="preserve">The methodological literature relevant to the dissertation is, in the structure of the reference pool, anchored in the prior dissertation paper</w:t>
      </w:r>
      <w:r>
        <w:t xml:space="preserve"> </w:t>
      </w:r>
      <w:hyperlink w:anchor="ref-4">
        <w:r>
          <w:rPr>
            <w:rStyle w:val="Hyperlink"/>
          </w:rPr>
          <w:t xml:space="preserve">[4]</w:t>
        </w:r>
      </w:hyperlink>
      <w:r>
        <w:t xml:space="preserve">, which exercises the fixed-effects linear duration estimator on the same population of FAA-licensed campaigns. That paper functions in two registers simultaneously: as a substantive contribution to the domain literature and as a methodological exemplar that the companion survival-analysis paper extends. The present chapter treats</w:t>
      </w:r>
      <w:r>
        <w:t xml:space="preserve"> </w:t>
      </w:r>
      <w:hyperlink w:anchor="ref-4">
        <w:r>
          <w:rPr>
            <w:rStyle w:val="Hyperlink"/>
          </w:rPr>
          <w:t xml:space="preserve">[4]</w:t>
        </w:r>
      </w:hyperlink>
      <w:r>
        <w:t xml:space="preserve"> </w:t>
      </w:r>
      <w:r>
        <w:t xml:space="preserve">as the proximate methodological precedent and reconstructs the broader cliometric logic to which it belongs, while noting that the reference pool itself is more domain-rich than method-rich. The methodological reconstruction below therefore proceeds by reading the apparatus through the prism of</w:t>
      </w:r>
      <w:r>
        <w:t xml:space="preserve"> </w:t>
      </w:r>
      <w:hyperlink w:anchor="ref-4">
        <w:r>
          <w:rPr>
            <w:rStyle w:val="Hyperlink"/>
          </w:rPr>
          <w:t xml:space="preserve">[4]</w:t>
        </w:r>
      </w:hyperlink>
      <w:r>
        <w:t xml:space="preserve"> </w:t>
      </w:r>
      <w:r>
        <w:t xml:space="preserve">and through the apparatus that the companion paper invokes when it transitions from a linear duration model to a Cox proportional-hazards model on the same data.</w:t>
      </w:r>
    </w:p>
    <w:bookmarkEnd w:id="77"/>
    <w:bookmarkStart w:id="78" w:name="the-fixed-effects-linear-duration-model"/>
    <w:p>
      <w:pPr>
        <w:pStyle w:val="Heading3"/>
        <w:spacing w:line="480" w:lineRule="auto"/>
      </w:pPr>
      <w:r>
        <w:t xml:space="preserve">2.3.2 The fixed-effects linear duration model</w:t>
      </w:r>
    </w:p>
    <w:p>
      <w:pPr>
        <w:pStyle w:val="FirstParagraph"/>
        <w:spacing w:line="480" w:lineRule="auto"/>
      </w:pPr>
      <w:r>
        <w:t xml:space="preserve">The fixed-effects linear duration model, as applied in</w:t>
      </w:r>
      <w:r>
        <w:t xml:space="preserve"> </w:t>
      </w:r>
      <w:hyperlink w:anchor="ref-4">
        <w:r>
          <w:rPr>
            <w:rStyle w:val="Hyperlink"/>
          </w:rPr>
          <w:t xml:space="preserve">[4]</w:t>
        </w:r>
      </w:hyperlink>
      <w:r>
        <w:t xml:space="preserve">, regresses license-issuance duration in days on the count of distinct federal authorizing agencies, conditional on launch vehicle class, launch site, and calendar year fixed effects. The methodological logic is that the agency-count regressor is identified by within-class, within-site, within-year variation, which is generated by mission-profile heterogeneity rather than by firm identity. This identification strategy is the standard apparatus by which cliometric work isolates an institutional regressor whose variation is not randomly assigned but is conditionally exogenous given the absorbed fixed effects. The threats to validity that this apparatus addresses are precisely the threats that the domain literature has named but not formalized: reverse selection through pre-application readiness, compositional differences between mission classes, the post-2021 structural break, and the evolving status of the continuing-supervision construct [3, 4, 16]. The fixed-effects apparatus does not eliminate these threats, but it absorbs the level shifts they generate and isolates the within-cell variation on which the coefficient is identified</w:t>
      </w:r>
      <w:r>
        <w:t xml:space="preserve"> </w:t>
      </w:r>
      <w:hyperlink w:anchor="ref-4">
        <w:r>
          <w:rPr>
            <w:rStyle w:val="Hyperlink"/>
          </w:rPr>
          <w:t xml:space="preserve">[4]</w:t>
        </w:r>
      </w:hyperlink>
      <w:r>
        <w:t xml:space="preserve">.</w:t>
      </w:r>
    </w:p>
    <w:bookmarkEnd w:id="78"/>
    <w:bookmarkStart w:id="79" w:name="X3d5043cc11bc3e047c8d5f1f58cda752ca4465a"/>
    <w:p>
      <w:pPr>
        <w:pStyle w:val="Heading3"/>
        <w:spacing w:line="480" w:lineRule="auto"/>
      </w:pPr>
      <w:r>
        <w:t xml:space="preserve">2.3.3 The survival apparatus and the proportional-hazards extension</w:t>
      </w:r>
    </w:p>
    <w:p>
      <w:pPr>
        <w:pStyle w:val="FirstParagraph"/>
        <w:spacing w:line="480" w:lineRule="auto"/>
      </w:pPr>
      <w:r>
        <w:t xml:space="preserve">The companion paper</w:t>
      </w:r>
      <w:r>
        <w:t xml:space="preserve"> </w:t>
      </w:r>
      <w:hyperlink w:anchor="ref-4">
        <w:r>
          <w:rPr>
            <w:rStyle w:val="Hyperlink"/>
          </w:rPr>
          <w:t xml:space="preserve">[4]</w:t>
        </w:r>
      </w:hyperlink>
      <w:r>
        <w:t xml:space="preserve"> </w:t>
      </w:r>
      <w:r>
        <w:t xml:space="preserve">and the prior dissertation paper jointly establish that a survival model is the natural complement to the fixed-effects linear specification, because the dependent variable is a duration and because the analysis admits the possibility of right-censoring as future campaigns enter the dataset before issuance. The Cox proportional-hazards model characterizes the instantaneous probability of license issuance as a baseline hazard multiplied by an exponential function of the covariates, so that the coefficient on the agency-count regressor is the natural logarithm of the hazard ratio. The methodological advantage of the Cox specification over the linear duration specification is that it does not impose a parametric distribution on the baseline waiting time and that it handles right-censored observations through the risk-set logic of the partial likelihood. The methodological cost is that the hazard-ratio interpretation requires the proportional-hazards assumption to hold over the observed range of the regressor, which in the assembled population of thirty to thirty-five campaigns is a substantive assumption rather than a free one. The reading that the two specifications support one another when they agree, and that disagreement between them is informative about the proportional-hazards assumption, is the standard cliometric posture and is the posture that the empirical chapters of the dissertation adopt</w:t>
      </w:r>
      <w:r>
        <w:t xml:space="preserve"> </w:t>
      </w:r>
      <w:hyperlink w:anchor="ref-4">
        <w:r>
          <w:rPr>
            <w:rStyle w:val="Hyperlink"/>
          </w:rPr>
          <w:t xml:space="preserve">[4]</w:t>
        </w:r>
      </w:hyperlink>
      <w:r>
        <w:t xml:space="preserve">.</w:t>
      </w:r>
    </w:p>
    <w:bookmarkEnd w:id="79"/>
    <w:bookmarkStart w:id="80" w:name="X96a54cb3ff778fa0ec20bf16907703a5d032f6a"/>
    <w:p>
      <w:pPr>
        <w:pStyle w:val="Heading3"/>
        <w:spacing w:line="480" w:lineRule="auto"/>
      </w:pPr>
      <w:r>
        <w:t xml:space="preserve">2.3.4 The role of fixed effects and the within-cell identification logic</w:t>
      </w:r>
    </w:p>
    <w:p>
      <w:pPr>
        <w:pStyle w:val="FirstParagraph"/>
        <w:spacing w:line="480" w:lineRule="auto"/>
      </w:pPr>
      <w:r>
        <w:t xml:space="preserve">The cliometric identification logic on which the dissertation rests treats the agency-count regressor as conditionally exogenous within cells defined by vehicle class, site, and year. The logic is not that the agency-count regressor is randomly assigned, which it is not, but that the variation that remains after the absorbing effects of vehicle class, site, and year is generated by mission-profile features whose correlation with unobserved determinants of license duration is plausibly small. The vehicle-class fixed effect absorbs heterogeneity in technical review burden, including the heavy-class effect that the companion paper identifies as a large and statistically reliable negative coefficient on the issuance hazard</w:t>
      </w:r>
      <w:r>
        <w:t xml:space="preserve"> </w:t>
      </w:r>
      <w:hyperlink w:anchor="ref-4">
        <w:r>
          <w:rPr>
            <w:rStyle w:val="Hyperlink"/>
          </w:rPr>
          <w:t xml:space="preserve">[4]</w:t>
        </w:r>
      </w:hyperlink>
      <w:r>
        <w:t xml:space="preserve">. The site fixed effect absorbs heterogeneity in environmental and range coordination, including the differences between east-range and west-range federal sites and between federal and non-federal launch sites. The calendar-year fixed effect absorbs the secular evolution of the FAA process, including the level shift associated with the Part 450 consolidation that the companion paper identifies as a statistically reliable negative coefficient on the issuance hazard over the post-2021 cohort</w:t>
      </w:r>
      <w:r>
        <w:t xml:space="preserve"> </w:t>
      </w:r>
      <w:hyperlink w:anchor="ref-4">
        <w:r>
          <w:rPr>
            <w:rStyle w:val="Hyperlink"/>
          </w:rPr>
          <w:t xml:space="preserve">[4]</w:t>
        </w:r>
      </w:hyperlink>
      <w:r>
        <w:t xml:space="preserve">.</w:t>
      </w:r>
    </w:p>
    <w:p>
      <w:pPr>
        <w:pStyle w:val="BodyText"/>
        <w:spacing w:line="480" w:lineRule="auto"/>
        <w:ind w:firstLine="720"/>
      </w:pPr>
      <w:r>
        <w:t xml:space="preserve">The methodological caveat that the dissertation must carry forward is that the fixed-effects apparatus consumes degrees of freedom in a thirty- to thirty-five-campaign population, and that the coefficient on the agency-count regressor is therefore identified from a small number of within-cell comparisons. The cliometric posture is to report the coefficient with its standard error, to report robustness specifications that restrict the cohort or relax the fixed-effects structure, and to accept that a null result in this apparatus is a publishable contribution because it disciplines the streamlining discourse with measurement</w:t>
      </w:r>
      <w:r>
        <w:t xml:space="preserve"> </w:t>
      </w:r>
      <w:hyperlink w:anchor="ref-4">
        <w:r>
          <w:rPr>
            <w:rStyle w:val="Hyperlink"/>
          </w:rPr>
          <w:t xml:space="preserve">[4]</w:t>
        </w:r>
      </w:hyperlink>
      <w:r>
        <w:t xml:space="preserve">.</w:t>
      </w:r>
    </w:p>
    <w:bookmarkEnd w:id="80"/>
    <w:bookmarkStart w:id="81" w:name="X1ad17de83e9c675bed8ad6ed48ff7c80eb79ba5"/>
    <w:p>
      <w:pPr>
        <w:pStyle w:val="Heading3"/>
        <w:spacing w:line="480" w:lineRule="auto"/>
      </w:pPr>
      <w:r>
        <w:t xml:space="preserve">2.3.5 The treatment of capital absorption as a secondary outcome</w:t>
      </w:r>
    </w:p>
    <w:p>
      <w:pPr>
        <w:pStyle w:val="FirstParagraph"/>
        <w:spacing w:line="480" w:lineRule="auto"/>
      </w:pPr>
      <w:r>
        <w:t xml:space="preserve">The dissertation extends the cliometric apparatus to a secondary outcome: logged pre-license capital absorption, defined as cumulative reported operating expenditure between campaign initiation and license issuance for publicly reporting licensees. The methodological logic is that the duration outcome and the capital outcome are not independent: a longer duration mechanically increases the window over which operating expenditure is absorbed, but the proportionality between duration and capital absorption is itself a function of the licensee’s burn rate, which varies across firms in ways that are not absorbed by vehicle-class and site fixed effects. The cliometric posture is to report the capital specification as a complement to the duration specification, to restrict the sample to publicly reporting licensees so that the dependent variable is measured rather than imputed, and to interpret the coefficient on the agency-count regressor in the capital specification as a lower bound on the cost of fragmentation if private licensees are systematically more capital-intensive than public ones</w:t>
      </w:r>
      <w:r>
        <w:t xml:space="preserve"> </w:t>
      </w:r>
      <w:hyperlink w:anchor="ref-4">
        <w:r>
          <w:rPr>
            <w:rStyle w:val="Hyperlink"/>
          </w:rPr>
          <w:t xml:space="preserve">[4]</w:t>
        </w:r>
      </w:hyperlink>
      <w:r>
        <w:t xml:space="preserve">.</w:t>
      </w:r>
    </w:p>
    <w:bookmarkEnd w:id="81"/>
    <w:bookmarkStart w:id="82" w:name="X3d9748d8a89eec819bd3c5c1913b2d49dd7d780"/>
    <w:p>
      <w:pPr>
        <w:pStyle w:val="Heading3"/>
        <w:spacing w:line="480" w:lineRule="auto"/>
      </w:pPr>
      <w:r>
        <w:t xml:space="preserve">2.3.6 The methodological joint and the agreement test</w:t>
      </w:r>
    </w:p>
    <w:p>
      <w:pPr>
        <w:pStyle w:val="FirstParagraph"/>
        <w:spacing w:line="480" w:lineRule="auto"/>
      </w:pPr>
      <w:r>
        <w:t xml:space="preserve">The methodological joint that the dissertation exploits is that the same agency-count regressor enters the duration specification, the capital specification, and the Cox specification, and that the signs and magnitudes of the coefficients can be read against one another as a coherence test on the underlying theory. If the agency-count regressor moves the mean of duration, the mean of logged capital absorption, and the instantaneous hazard of issuance in the predicted directions, then the cliometric apparatus has produced a triangulated estimate of the fragmentation cost. If the three specifications disagree in sign or in statistical reliability, then the cliometric apparatus has produced a diagnostic about which of the three outcomes is most sensitive to the absorbing effects of vehicle class, site, and year. The companion paper</w:t>
      </w:r>
      <w:r>
        <w:t xml:space="preserve"> </w:t>
      </w:r>
      <w:hyperlink w:anchor="ref-4">
        <w:r>
          <w:rPr>
            <w:rStyle w:val="Hyperlink"/>
          </w:rPr>
          <w:t xml:space="preserve">[4]</w:t>
        </w:r>
      </w:hyperlink>
      <w:r>
        <w:t xml:space="preserve"> </w:t>
      </w:r>
      <w:r>
        <w:t xml:space="preserve">reports precisely this kind of triangulation, and the empirical chapters of the dissertation extend it.</w:t>
      </w:r>
    </w:p>
    <w:bookmarkEnd w:id="82"/>
    <w:bookmarkEnd w:id="83"/>
    <w:bookmarkStart w:id="88" w:name="the-gap-and-the-synthesis"/>
    <w:p>
      <w:pPr>
        <w:pStyle w:val="Heading2"/>
        <w:spacing w:line="480" w:lineRule="auto"/>
      </w:pPr>
      <w:r>
        <w:t xml:space="preserve">2.4 The Gap and the Synthesis</w:t>
      </w:r>
    </w:p>
    <w:bookmarkStart w:id="84" w:name="the-two-literatures-are-unjoined"/>
    <w:p>
      <w:pPr>
        <w:pStyle w:val="Heading3"/>
        <w:spacing w:line="480" w:lineRule="auto"/>
      </w:pPr>
      <w:r>
        <w:t xml:space="preserve">2.4.1 The two literatures are unjoined</w:t>
      </w:r>
    </w:p>
    <w:p>
      <w:pPr>
        <w:pStyle w:val="FirstParagraph"/>
        <w:spacing w:line="480" w:lineRule="auto"/>
      </w:pPr>
      <w:r>
        <w:t xml:space="preserve">The diagnosis the chapter advances is that the domain literature and the methodology literature are unjoined for the U.S. commercial launch case. The domain literature [1, 2, 3, 5, 6, 7, 8, 9, 10, 11, 12, 13, 14, 15, 16, 17] possesses a rich qualitative theory of multi-agency authorization and its cost consequences. It treats the regulator as the principal economic interface [1, 7], describes the rule-of-three U.S. structure</w:t>
      </w:r>
      <w:r>
        <w:t xml:space="preserve"> </w:t>
      </w:r>
      <w:hyperlink w:anchor="ref-13">
        <w:r>
          <w:rPr>
            <w:rStyle w:val="Hyperlink"/>
          </w:rPr>
          <w:t xml:space="preserve">[13]</w:t>
        </w:r>
      </w:hyperlink>
      <w:r>
        <w:t xml:space="preserve">, formalizes the continuing-supervision construct [3, 8, 16], situates the regulatory environment within the demand trajectory of the next decade [5, 6, 11, 15, 17], and contextualizes it within the SSA and debris environments that condition the supervisory choices [9, 14, 19, 20, 21, 22, 23]. What it does not possess is a coefficient, with a standard error, on the count of authorizing agencies as a determinant of license duration or pre-license capital absorption.</w:t>
      </w:r>
    </w:p>
    <w:p>
      <w:pPr>
        <w:pStyle w:val="BodyText"/>
        <w:spacing w:line="480" w:lineRule="auto"/>
        <w:ind w:firstLine="720"/>
      </w:pPr>
      <w:r>
        <w:t xml:space="preserve">The methodology literature, as represented through the prior dissertation paper</w:t>
      </w:r>
      <w:r>
        <w:t xml:space="preserve"> </w:t>
      </w:r>
      <w:hyperlink w:anchor="ref-4">
        <w:r>
          <w:rPr>
            <w:rStyle w:val="Hyperlink"/>
          </w:rPr>
          <w:t xml:space="preserve">[4]</w:t>
        </w:r>
      </w:hyperlink>
      <w:r>
        <w:t xml:space="preserve"> </w:t>
      </w:r>
      <w:r>
        <w:t xml:space="preserve">and the apparatus it invokes, possesses the means to produce that coefficient. The fixed-effects linear duration model isolates the within-cell variation in the agency-count regressor that is conditionally exogenous to the absorbed fixed effects, and the Cox proportional-hazards model provides a methodologically independent test that admits right-censoring. The methodology literature does not, however, supply a domain theory of why the agency-count regressor should be expected to matter; that theory comes from the domain literature.</w:t>
      </w:r>
    </w:p>
    <w:bookmarkEnd w:id="84"/>
    <w:bookmarkStart w:id="85" w:name="the-joint-that-the-dissertation-makes"/>
    <w:p>
      <w:pPr>
        <w:pStyle w:val="Heading3"/>
        <w:spacing w:line="480" w:lineRule="auto"/>
      </w:pPr>
      <w:r>
        <w:t xml:space="preserve">2.4.2 The joint that the dissertation makes</w:t>
      </w:r>
    </w:p>
    <w:p>
      <w:pPr>
        <w:pStyle w:val="FirstParagraph"/>
        <w:spacing w:line="480" w:lineRule="auto"/>
      </w:pPr>
      <w:r>
        <w:t xml:space="preserve">The dissertation makes the joint at the level of a single, falsifiable coefficient. The agency-count regressor, constructed from public records of FAA, FCC, NOAA, State Department, and continuing-supervision determinations on a per-campaign basis [3, 8, 13, 16], enters the fixed-effects linear duration specification and the Cox proportional-hazards specification on the same population. The coefficient is reported with its standard error in both specifications, and the agreement or disagreement between the two specifications is read as a coherence test on the theory of fragmentation cost. The capital-absorption specification is reported as a secondary outcome on the publicly reporting subcohort. The headline reading is the coefficient itself, regardless of sign, and the dissertation commits in advance to reporting a null result as a publishable contribution that disciplines the streamlining discourse with measurement</w:t>
      </w:r>
      <w:r>
        <w:t xml:space="preserve"> </w:t>
      </w:r>
      <w:hyperlink w:anchor="ref-4">
        <w:r>
          <w:rPr>
            <w:rStyle w:val="Hyperlink"/>
          </w:rPr>
          <w:t xml:space="preserve">[4]</w:t>
        </w:r>
      </w:hyperlink>
      <w:r>
        <w:t xml:space="preserve">.</w:t>
      </w:r>
    </w:p>
    <w:bookmarkEnd w:id="85"/>
    <w:bookmarkStart w:id="86" w:name="Xc8fc7a5248cd936960b40a7d6f4aca4d14fe164"/>
    <w:p>
      <w:pPr>
        <w:pStyle w:val="Heading3"/>
        <w:spacing w:line="480" w:lineRule="auto"/>
      </w:pPr>
      <w:r>
        <w:t xml:space="preserve">2.4.3 What the synthesis implies for the empirical chapters</w:t>
      </w:r>
    </w:p>
    <w:p>
      <w:pPr>
        <w:pStyle w:val="FirstParagraph"/>
        <w:spacing w:line="480" w:lineRule="auto"/>
      </w:pPr>
      <w:r>
        <w:t xml:space="preserve">The synthesis implies three commitments that the empirical chapters of the dissertation honor. First, the agency-count regressor is constructed from public agency records on a per-campaign basis, with a coding ledger that retains the source citation for each coding decision [3, 4, 13, 16]. The regressor is not imputed and is not constructed from secondary summaries; it is the operational shape of the licensing path as the agencies themselves document it. Second, the fixed-effects apparatus is exercised on a population that the FAA itself publishes and that the companion paper</w:t>
      </w:r>
      <w:r>
        <w:t xml:space="preserve"> </w:t>
      </w:r>
      <w:hyperlink w:anchor="ref-4">
        <w:r>
          <w:rPr>
            <w:rStyle w:val="Hyperlink"/>
          </w:rPr>
          <w:t xml:space="preserve">[4]</w:t>
        </w:r>
      </w:hyperlink>
      <w:r>
        <w:t xml:space="preserve"> </w:t>
      </w:r>
      <w:r>
        <w:t xml:space="preserve">has assembled, with application-initiation dates recovered from Federal Register notices, FCC IBFS filings, NOAA CRSRA records, and licensee mission press kits. The data are real, obtainable without subscription, and updated by the licensor. Third, the Cox specification is exercised on the same population, with the methodological caveat that the proportional-hazards assumption is substantive in a thirty- to thirty-five-campaign sample and that the headline reading is the agreement, or disagreement, between the linear and survival specifications</w:t>
      </w:r>
      <w:r>
        <w:t xml:space="preserve"> </w:t>
      </w:r>
      <w:hyperlink w:anchor="ref-4">
        <w:r>
          <w:rPr>
            <w:rStyle w:val="Hyperlink"/>
          </w:rPr>
          <w:t xml:space="preserve">[4]</w:t>
        </w:r>
      </w:hyperlink>
      <w:r>
        <w:t xml:space="preserve">.</w:t>
      </w:r>
    </w:p>
    <w:bookmarkEnd w:id="86"/>
    <w:bookmarkStart w:id="87" w:name="X8880d81bb50c15471dc2fdaa99910d5e71ffd5a"/>
    <w:p>
      <w:pPr>
        <w:pStyle w:val="Heading3"/>
        <w:spacing w:line="480" w:lineRule="auto"/>
      </w:pPr>
      <w:r>
        <w:t xml:space="preserve">2.4.4 Position relative to the streamlining discourse</w:t>
      </w:r>
    </w:p>
    <w:p>
      <w:pPr>
        <w:pStyle w:val="FirstParagraph"/>
        <w:spacing w:line="480" w:lineRule="auto"/>
      </w:pPr>
      <w:r>
        <w:t xml:space="preserve">A final element of the synthesis is the dissertation’s position relative to the policy discourse on streamlining U.S. commercial launch licensing. The domain literature contains a directional presumption that multi-agency licensing imposes a measurable cost and that consolidation would compress that cost [3, 5, 6, 8, 11, 13, 16]. The methodology apparatus admits the possibility that the directional presumption is correct, that it is wrong, or that the cost is concentrated in vehicle-class technical review burden and in the secular evolution of the FAA process rather than in the agency-count regressor net of those factors. The companion paper</w:t>
      </w:r>
      <w:r>
        <w:t xml:space="preserve"> </w:t>
      </w:r>
      <w:hyperlink w:anchor="ref-4">
        <w:r>
          <w:rPr>
            <w:rStyle w:val="Hyperlink"/>
          </w:rPr>
          <w:t xml:space="preserve">[4]</w:t>
        </w:r>
      </w:hyperlink>
      <w:r>
        <w:t xml:space="preserve"> </w:t>
      </w:r>
      <w:r>
        <w:t xml:space="preserve">reports a Cox estimate on which the agency-count coefficient is not statistically distinguishable from zero in the post-2021 cohort once vehicle class and a calendar-year trend are absorbed, while the prior dissertation paper reports a fixed-effects estimate on which the agency-count coefficient is positive and statistically reliable. The disagreement between the two estimates is itself a finding that the dissertation must adjudicate in the empirical chapters, and the apparatus by which that adjudication proceeds is the joint of the domain theory and the methodology that this chapter has reconstructed</w:t>
      </w:r>
      <w:r>
        <w:t xml:space="preserve"> </w:t>
      </w:r>
      <w:hyperlink w:anchor="ref-4">
        <w:r>
          <w:rPr>
            <w:rStyle w:val="Hyperlink"/>
          </w:rPr>
          <w:t xml:space="preserve">[4]</w:t>
        </w:r>
      </w:hyperlink>
      <w:r>
        <w:t xml:space="preserve">.</w:t>
      </w:r>
    </w:p>
    <w:p>
      <w:pPr>
        <w:pStyle w:val="BodyText"/>
        <w:spacing w:line="480" w:lineRule="auto"/>
        <w:ind w:firstLine="720"/>
      </w:pPr>
      <w:r>
        <w:t xml:space="preserve">The dissertation therefore neither endorses nor rejects the streamlining presumption in advance. It commits to producing the coefficient, to reporting its standard error, to reporting the agreement or disagreement of the linear and survival specifications, and to letting the policy reading follow the estimate. That commitment is, in the cliometric tradition that the methodology literature represents, the form a contribution takes when the qualitative theory of an institutional regressor has been in place for a generation and the measurement has not been performed. The remainder of the dissertation performs the measurement.</w:t>
      </w:r>
    </w:p>
    <w:bookmarkEnd w:id="87"/>
    <w:bookmarkEnd w:id="88"/>
    <w:bookmarkEnd w:id="89"/>
    <w:bookmarkStart w:id="109" w:name="Xcfcc00a3ded59aed0c781c16bfc121f2a509603"/>
    <w:p>
      <w:pPr>
        <w:pStyle w:val="Heading1"/>
        <w:spacing w:line="480" w:lineRule="auto"/>
      </w:pPr>
      <w:r>
        <w:t xml:space="preserve">Chapter 3. Theoretical Framework and Hypotheses</w:t>
      </w:r>
    </w:p>
    <w:bookmarkStart w:id="90" w:name="orientation-1"/>
    <w:p>
      <w:pPr>
        <w:pStyle w:val="Heading2"/>
        <w:spacing w:line="480" w:lineRule="auto"/>
      </w:pPr>
      <w:r>
        <w:t xml:space="preserve">3.1 Orientation</w:t>
      </w:r>
    </w:p>
    <w:p>
      <w:pPr>
        <w:pStyle w:val="FirstParagraph"/>
        <w:spacing w:line="480" w:lineRule="auto"/>
      </w:pPr>
      <w:r>
        <w:t xml:space="preserve">This chapter specifies the theoretical apparatus that the dissertation will subject to falsification. The preceding chapters have established the descriptive transition of the United States commercial launch sector from a regime of federally operated campaigns to a regime in which licensees of the Federal Aviation Administration (FAA) account for the majority of orbital and suborbital activity, and have placed the regulator at the principal interface between firms and the launch environment [1, 7]. They have also established that the cost of access to orbit is treated, across the sustainability and development literature, as the binding constraint on sector expansion</w:t>
      </w:r>
      <w:r>
        <w:t xml:space="preserve"> </w:t>
      </w:r>
      <w:hyperlink w:anchor="ref-2">
        <w:r>
          <w:rPr>
            <w:rStyle w:val="Hyperlink"/>
          </w:rPr>
          <w:t xml:space="preserve">[2]</w:t>
        </w:r>
      </w:hyperlink>
      <w:r>
        <w:t xml:space="preserve">. The present chapter takes the next analytical step. It articulates a theoretical mechanism that links the architecture of the federal authorizing surface to two measurable economic outcomes, namely license-issuance duration and pre-license capital absorption, and it states two formal hypotheses, denoted H0 and H1, that the empirical chapters will test on the population of FAA-licensed campaigns.</w:t>
      </w:r>
    </w:p>
    <w:p>
      <w:pPr>
        <w:pStyle w:val="BodyText"/>
        <w:spacing w:line="480" w:lineRule="auto"/>
        <w:ind w:firstLine="720"/>
      </w:pPr>
      <w:r>
        <w:t xml:space="preserve">The framework is deliberately spare. It does not propose a general theory of administrative delay, nor does it model the political economy of agency behavior. It identifies a single observable property of each launch campaign, namely the count of distinct federal authorizing entities whose clearance is required, and asserts a directional causal relation between that count and the time and capital absorbed before a license issues. The spareness is methodological. A single primary coefficient with an explicit null and alternative, estimated on a transparent population, is the contribution the dissertation undertakes to produce</w:t>
      </w:r>
      <w:r>
        <w:t xml:space="preserve"> </w:t>
      </w:r>
      <w:hyperlink w:anchor="ref-4">
        <w:r>
          <w:rPr>
            <w:rStyle w:val="Hyperlink"/>
          </w:rPr>
          <w:t xml:space="preserve">[4]</w:t>
        </w:r>
      </w:hyperlink>
      <w:r>
        <w:t xml:space="preserve">. A baroque theoretical apparatus would not improve identification and would invite confirmation reasoning at the interpretive stage.</w:t>
      </w:r>
    </w:p>
    <w:p>
      <w:pPr>
        <w:pStyle w:val="BodyText"/>
        <w:spacing w:line="480" w:lineRule="auto"/>
        <w:ind w:firstLine="720"/>
      </w:pPr>
      <w:r>
        <w:t xml:space="preserve">The chapter proceeds in four parts. Section 3.2 builds the theoretical mechanism, treating the federal authorizing surface as a serial-review system whose throughput is a function of its constituent stations. Section 3.3 develops the causal logic, identifying the channels through which an additional station translates into measurable duration and capital cost, and discriminating the proposed mechanism from competing explanations rooted in vehicle complexity, range coordination, and the secular evolution of the FAA process. Section 3.4 formalizes the hypotheses H0 and H1 in the language of the estimating equations that Chapter 4 will specify, and articulates the auxiliary hypotheses that govern the robustness specifications. Section 3.5 closes by stating the scope conditions under which the framework applies and by clarifying the epistemic status of a null finding, which the dissertation treats as a publishable contribution rather than as a failure of theory.</w:t>
      </w:r>
    </w:p>
    <w:bookmarkEnd w:id="90"/>
    <w:bookmarkStart w:id="94" w:name="Xa32dd6890613d421e259ec1aed7585e50bfbe3f"/>
    <w:p>
      <w:pPr>
        <w:pStyle w:val="Heading2"/>
        <w:spacing w:line="480" w:lineRule="auto"/>
      </w:pPr>
      <w:r>
        <w:t xml:space="preserve">3.2 The Theoretical Mechanism: Federal Authorization as a Serial-Review System</w:t>
      </w:r>
    </w:p>
    <w:bookmarkStart w:id="91" w:name="X788ce1bcaeb1aa79e45289ae43e0bab4e3032f9"/>
    <w:p>
      <w:pPr>
        <w:pStyle w:val="Heading3"/>
        <w:spacing w:line="480" w:lineRule="auto"/>
      </w:pPr>
      <w:r>
        <w:t xml:space="preserve">3.2.1 The licensing surface as an architectural object</w:t>
      </w:r>
    </w:p>
    <w:p>
      <w:pPr>
        <w:pStyle w:val="FirstParagraph"/>
        <w:spacing w:line="480" w:lineRule="auto"/>
      </w:pPr>
      <w:r>
        <w:t xml:space="preserve">The framework treats the federal authorizing surface for a commercial launch campaign as an architectural object rather than as a single agency interaction. This treatment is anticipated, but not formalized as a measurement target, in the in-space servicing literature, where Smith, Jah, and Wood characterize the authorization and continuing-supervision stack as a system that must be designed rather than presumed, and propose a decision-support framework around it [3, 16]. The present framework extends that posture to launch licensing proper. It treats the FAA license not as a sufficient statistic for federal authorization, but as one station within a larger surface that, depending on mission profile, may also include Federal Communications Commission (FCC) spectrum authorization for downlink, uplink, or telemetry; National Oceanic and Atmospheric Administration (NOAA) Commercial Remote Sensing Regulatory Affairs (CRSRA) licensing for covered sensors; State Department export and technology transfer authorization where foreign payloads or foreign launch participants are involved; and an emerging continuing-supervision determination for novel on-orbit operations of the kind the in-space servicing literature anticipates [3, 16].</w:t>
      </w:r>
    </w:p>
    <w:p>
      <w:pPr>
        <w:pStyle w:val="BodyText"/>
        <w:spacing w:line="480" w:lineRule="auto"/>
        <w:ind w:firstLine="720"/>
      </w:pPr>
      <w:r>
        <w:t xml:space="preserve">The architectural framing has two consequences for theory. First, it makes the count of required stations an observable property of each campaign, ordinally measured and sourced to public agency records. Second, it shifts the locus of explanation away from licensee-specific variation, which is captured by firm identity and absorbed by the fixed-effects strategy in Chapter 4, and toward mission-profile variation, which determines which stations a campaign must traverse. A communications constellation launch into low Earth orbit will, by mission profile, traverse a different set of stations than a national-security responsive launch from a federal range or an experimental in-space servicing demonstration. The agency count is the summary statistic of this mission-profile-induced architectural variation.</w:t>
      </w:r>
    </w:p>
    <w:bookmarkEnd w:id="91"/>
    <w:bookmarkStart w:id="92" w:name="serial-review-and-throughput"/>
    <w:p>
      <w:pPr>
        <w:pStyle w:val="Heading3"/>
        <w:spacing w:line="480" w:lineRule="auto"/>
      </w:pPr>
      <w:r>
        <w:t xml:space="preserve">3.2.2 Serial review and throughput</w:t>
      </w:r>
    </w:p>
    <w:p>
      <w:pPr>
        <w:pStyle w:val="FirstParagraph"/>
        <w:spacing w:line="480" w:lineRule="auto"/>
      </w:pPr>
      <w:r>
        <w:t xml:space="preserve">The mechanism the framework posits is one of serial review. Stations do not clear at once. Each station in the authorizing surface conducts an independent review whose outputs are required, in practice if not in formal sequence, before the FAA license is issued. The reviews are not perfectly serialized in the queueing-theoretic sense, because some stations operate in partial parallel and some interagency consultations are convened jointly. They are, however, sequentially dependent in the weaker and more empirically relevant sense that the FAA license cannot issue until each external authorization is either granted, deemed not required, or the subject of a documented interagency understanding. The implication is that the time-to-license is bounded below by the slowest station and is, on the margin, increasing in the number of stations that must clear.</w:t>
      </w:r>
    </w:p>
    <w:p>
      <w:pPr>
        <w:pStyle w:val="BodyText"/>
        <w:spacing w:line="480" w:lineRule="auto"/>
        <w:ind w:firstLine="720"/>
      </w:pPr>
      <w:r>
        <w:t xml:space="preserve">Three sub-mechanisms link station count to duration. The first is queue accumulation. Each station carries its own caseload and its own throughput, and the addition of a station means the campaign joins an additional queue whose expected wait is non-negative. The second is information handoff. Each station requires inputs from the licensee and, in many cases, from other stations, and each handoff introduces a non-trivial delay associated with document preparation, response to requests for additional information, and interagency reconciliation of inconsistent positions. The third is coordination overhead. Where two or more stations must reconcile their positions before either can issue, the resulting bilateral or multilateral coordination process introduces a delay that scales superlinearly in the number of participating stations.</w:t>
      </w:r>
    </w:p>
    <w:p>
      <w:pPr>
        <w:pStyle w:val="BodyText"/>
        <w:spacing w:line="480" w:lineRule="auto"/>
        <w:ind w:firstLine="720"/>
      </w:pPr>
      <w:r>
        <w:t xml:space="preserve">The framework does not commit to a parametric form for the relationship between station count and duration. It commits only to the directional claim that the marginal effect of an additional station, holding mission ambition and technical review burden constant, is non-negative in expectation, and is strictly positive under the alternative hypothesis. This minimal commitment is sufficient to motivate the estimating equation in Chapter 4 and is consistent with the descriptive framing of the regulator-as-interface in [1, 7] and the architectural framing of the authorization stack in [3, 16].</w:t>
      </w:r>
    </w:p>
    <w:bookmarkEnd w:id="92"/>
    <w:bookmarkStart w:id="93" w:name="X407ba5c4a3ba33f188ab4b1c8becb1849d19ea8"/>
    <w:p>
      <w:pPr>
        <w:pStyle w:val="Heading3"/>
        <w:spacing w:line="480" w:lineRule="auto"/>
      </w:pPr>
      <w:r>
        <w:t xml:space="preserve">3.2.3 Capital absorption as the dual of duration</w:t>
      </w:r>
    </w:p>
    <w:p>
      <w:pPr>
        <w:pStyle w:val="FirstParagraph"/>
        <w:spacing w:line="480" w:lineRule="auto"/>
      </w:pPr>
      <w:r>
        <w:t xml:space="preserve">The dual of duration in the present framework is pre-license capital absorption. A licensee that holds an open application is committed to payroll, facility lease, propellant inventory, and integration capacity that are required to remain ready to fly upon license issuance but that absorb capital without recognized revenue during the application window. The capital cost is therefore proportional, in first order, to the duration of the window, with a proportionality constant that varies across firms, vehicle classes, and capital structures.</w:t>
      </w:r>
    </w:p>
    <w:p>
      <w:pPr>
        <w:pStyle w:val="BodyText"/>
        <w:spacing w:line="480" w:lineRule="auto"/>
        <w:ind w:firstLine="720"/>
      </w:pPr>
      <w:r>
        <w:t xml:space="preserve">The sustainability and development literature establishes the cost of access to orbit as a binding constraint on sector expansion, with cited low Earth orbit unit costs above ten thousand dollars per kilogram in the recent past</w:t>
      </w:r>
      <w:r>
        <w:t xml:space="preserve"> </w:t>
      </w:r>
      <w:hyperlink w:anchor="ref-2">
        <w:r>
          <w:rPr>
            <w:rStyle w:val="Hyperlink"/>
          </w:rPr>
          <w:t xml:space="preserve">[2]</w:t>
        </w:r>
      </w:hyperlink>
      <w:r>
        <w:t xml:space="preserve">. Pre-license capital absorption is a component of the effective cost of access, distinct from the marginal cost of propellant and hardware but operating in the same accounting direction. The framework therefore treats duration and capital absorption as two outcome variables that the same mechanism, namely station-count-induced serial review, drives in the same direction. The empirical strategy in Chapter 4 will exploit this duality by estimating the agency-count coefficient on both outcomes, and by treating consistency of sign across the two outcomes as a corroborating, though not independent, source of evidence on the mechanism.</w:t>
      </w:r>
    </w:p>
    <w:bookmarkEnd w:id="93"/>
    <w:bookmarkEnd w:id="94"/>
    <w:bookmarkStart w:id="100" w:name="causal-logic-and-competing-explanations"/>
    <w:p>
      <w:pPr>
        <w:pStyle w:val="Heading2"/>
        <w:spacing w:line="480" w:lineRule="auto"/>
      </w:pPr>
      <w:r>
        <w:t xml:space="preserve">3.3 Causal Logic and Competing Explanations</w:t>
      </w:r>
    </w:p>
    <w:bookmarkStart w:id="95" w:name="the-proposed-causal-channel"/>
    <w:p>
      <w:pPr>
        <w:pStyle w:val="Heading3"/>
        <w:spacing w:line="480" w:lineRule="auto"/>
      </w:pPr>
      <w:r>
        <w:t xml:space="preserve">3.3.1 The proposed causal channel</w:t>
      </w:r>
    </w:p>
    <w:p>
      <w:pPr>
        <w:pStyle w:val="FirstParagraph"/>
        <w:spacing w:line="480" w:lineRule="auto"/>
      </w:pPr>
      <w:r>
        <w:t xml:space="preserve">The proposed causal channel runs from mission profile to the count of required federal authorizing stations to the duration of the application window and the capital absorbed within it. The chain is short but load-bearing. Mission profile, defined by payload type, orbital regime, reentry plan, and the presence or absence of novel on-orbit operations, determines deterministically which stations are required. The station count is therefore not chosen by the licensee in a manner that would generate ordinary endogeneity concerns; it is induced by the mission the licensee intends to fly. Once induced, the station count translates into duration through the three sub-mechanisms identified in section 3.2.2 and into capital absorption through the proportionality of capital cost to duration identified in section 3.2.3.</w:t>
      </w:r>
    </w:p>
    <w:p>
      <w:pPr>
        <w:pStyle w:val="BodyText"/>
        <w:spacing w:line="480" w:lineRule="auto"/>
        <w:ind w:firstLine="720"/>
      </w:pPr>
      <w:r>
        <w:t xml:space="preserve">This channel has two analytical advantages for identification. First, the mission-profile-to-station-count step is administrative rather than economic, which means it is governed by agency jurisdictional rules rather than by licensee choice. Second, the station-count-to-duration step is mechanical rather than strategic, which means it is governed by the throughput of the authorizing surface rather than by licensee bargaining. The combination yields a causal claim that is, in principle, testable on observational data conditional on a fixed-effects strategy that absorbs the major confounders.</w:t>
      </w:r>
    </w:p>
    <w:bookmarkEnd w:id="95"/>
    <w:bookmarkStart w:id="96" w:name="competing-explanation-vehicle-complexity"/>
    <w:p>
      <w:pPr>
        <w:pStyle w:val="Heading3"/>
        <w:spacing w:line="480" w:lineRule="auto"/>
      </w:pPr>
      <w:r>
        <w:t xml:space="preserve">3.3.2 Competing explanation: vehicle complexity</w:t>
      </w:r>
    </w:p>
    <w:p>
      <w:pPr>
        <w:pStyle w:val="FirstParagraph"/>
        <w:spacing w:line="480" w:lineRule="auto"/>
      </w:pPr>
      <w:r>
        <w:t xml:space="preserve">The principal competing explanation is that duration is driven by the technical complexity of the vehicle and its mission, not by the count of authorizing stations. The companion paper that estimates a Cox proportional-hazards model on the same population locates a substantial portion of the conditional hazard differential on the heavy-class vehicle indicator, with the heavy-class coefficient large, negative, and statistically reliable</w:t>
      </w:r>
      <w:r>
        <w:t xml:space="preserve"> </w:t>
      </w:r>
      <w:hyperlink w:anchor="ref-4">
        <w:r>
          <w:rPr>
            <w:rStyle w:val="Hyperlink"/>
          </w:rPr>
          <w:t xml:space="preserve">[4]</w:t>
        </w:r>
      </w:hyperlink>
      <w:r>
        <w:t xml:space="preserve">. The present framework accepts this competing explanation as an empirical possibility and addresses it through three measures. First, the estimating equation conditions on vehicle class fixed effects, absorbing the level differential between heavy, medium, and small vehicles. Second, the framework distinguishes between technical review burden, which is a property of the vehicle and the mission, and station count, which is a property of the authorizing surface. The two are correlated but not identical: heavy-class vehicles do not automatically trigger NOAA CRSRA review, for example, and small-class vehicles with remote-sensing payloads do. Third, a robustness specification restricted to a single vehicle class is reported, isolating within-class variation in station count.</w:t>
      </w:r>
    </w:p>
    <w:p>
      <w:pPr>
        <w:pStyle w:val="BodyText"/>
        <w:spacing w:line="480" w:lineRule="auto"/>
        <w:ind w:firstLine="720"/>
      </w:pPr>
      <w:r>
        <w:t xml:space="preserve">The framework predicts that, under the alternative hypothesis, the agency-count coefficient remains positive in the duration model and the capital model after vehicle-class fixed effects are imposed. Under the null hypothesis, the coefficient is indistinguishable from zero after the same conditioning, and the dominant duration-driving channel is vehicle complexity, not station count.</w:t>
      </w:r>
    </w:p>
    <w:bookmarkEnd w:id="96"/>
    <w:bookmarkStart w:id="97" w:name="competing-explanation-range-coordination"/>
    <w:p>
      <w:pPr>
        <w:pStyle w:val="Heading3"/>
        <w:spacing w:line="480" w:lineRule="auto"/>
      </w:pPr>
      <w:r>
        <w:t xml:space="preserve">3.3.3 Competing explanation: range coordination</w:t>
      </w:r>
    </w:p>
    <w:p>
      <w:pPr>
        <w:pStyle w:val="FirstParagraph"/>
        <w:spacing w:line="480" w:lineRule="auto"/>
      </w:pPr>
      <w:r>
        <w:t xml:space="preserve">A second competing explanation is that range coordination, rather than agency count, drives duration. East-range and west-range federal sites differ in their environmental, safety, and host-service interaction patterns, and these differences may correlate with both station count and duration. The framework addresses this by including launch-site fixed effects in the estimating equation. The companion Cox specification finds that site-region indicators are not separately identified once vehicle class is included, with coefficients of small magnitude and Wald p-values at the boundary, which reflects near-collinearity between site assignment and vehicle class in the assembled population</w:t>
      </w:r>
      <w:r>
        <w:t xml:space="preserve"> </w:t>
      </w:r>
      <w:hyperlink w:anchor="ref-4">
        <w:r>
          <w:rPr>
            <w:rStyle w:val="Hyperlink"/>
          </w:rPr>
          <w:t xml:space="preserve">[4]</w:t>
        </w:r>
      </w:hyperlink>
      <w:r>
        <w:t xml:space="preserve">. The framework treats this collinearity as a sample-size constraint rather than as a refutation of the proposed channel, and reports the site fixed-effects specification as the primary, with a robustness specification dropping the site fixed effects as a check.</w:t>
      </w:r>
    </w:p>
    <w:bookmarkEnd w:id="97"/>
    <w:bookmarkStart w:id="98" w:name="X086f4d66d3a8e2afe47d5e064431d6fc35436f9"/>
    <w:p>
      <w:pPr>
        <w:pStyle w:val="Heading3"/>
        <w:spacing w:line="480" w:lineRule="auto"/>
      </w:pPr>
      <w:r>
        <w:t xml:space="preserve">3.3.4 Competing explanation: the secular evolution of the FAA process</w:t>
      </w:r>
    </w:p>
    <w:p>
      <w:pPr>
        <w:pStyle w:val="FirstParagraph"/>
        <w:spacing w:line="480" w:lineRule="auto"/>
      </w:pPr>
      <w:r>
        <w:t xml:space="preserve">A third competing explanation is that the secular evolution of the FAA process, in particular the transition to the consolidated Part 450 licensing regime in 2021, drives observed duration variation. The companion paper reports a statistically reliable negative coefficient on a linear year trend in the Cox specification, with a coefficient of negative zero point four two five and a Wald p-value of zero point zero four two, consistent with a secular slowing of issuance over the post-Part 450 transition period</w:t>
      </w:r>
      <w:r>
        <w:t xml:space="preserve"> </w:t>
      </w:r>
      <w:hyperlink w:anchor="ref-4">
        <w:r>
          <w:rPr>
            <w:rStyle w:val="Hyperlink"/>
          </w:rPr>
          <w:t xml:space="preserve">[4]</w:t>
        </w:r>
      </w:hyperlink>
      <w:r>
        <w:t xml:space="preserve">. The first dissertation paper, which estimates a fixed-effects ordinary least squares model on a closely overlapping population, finds that the Part 450 regime indicator carries a coefficient that is consistent with a modest acceleration of issuance but is not statistically distinguishable from zero in the thirty-five-campaign sample, while the agency-count coefficient is large, negative on the per-day hazard, and statistically reliable</w:t>
      </w:r>
      <w:r>
        <w:t xml:space="preserve"> </w:t>
      </w:r>
      <w:hyperlink w:anchor="ref-4">
        <w:r>
          <w:rPr>
            <w:rStyle w:val="Hyperlink"/>
          </w:rPr>
          <w:t xml:space="preserve">[4]</w:t>
        </w:r>
      </w:hyperlink>
      <w:r>
        <w:t xml:space="preserve">.</w:t>
      </w:r>
    </w:p>
    <w:p>
      <w:pPr>
        <w:pStyle w:val="BodyText"/>
        <w:spacing w:line="480" w:lineRule="auto"/>
        <w:ind w:firstLine="720"/>
      </w:pPr>
      <w:r>
        <w:t xml:space="preserve">The framework treats the secular trend and the Part 450 transition as nuisance variation to be absorbed by calendar-year fixed effects, and tests for an interaction between the agency-count regressor and a post-2021 indicator in a robustness specification. The substantive claim the framework defends is that the agency-count effect, if present, survives conditioning on the calendar year and the Part 450 regime, because the consolidated FAA regime collapsed the FAA-internal review structure without consolidating the external authorizing surface</w:t>
      </w:r>
      <w:r>
        <w:t xml:space="preserve"> </w:t>
      </w:r>
      <w:hyperlink w:anchor="ref-4">
        <w:r>
          <w:rPr>
            <w:rStyle w:val="Hyperlink"/>
          </w:rPr>
          <w:t xml:space="preserve">[4]</w:t>
        </w:r>
      </w:hyperlink>
      <w:r>
        <w:t xml:space="preserve">. The hypothesis test in section 3.4 is constructed so as to make this claim falsifiable.</w:t>
      </w:r>
    </w:p>
    <w:bookmarkEnd w:id="98"/>
    <w:bookmarkStart w:id="99" w:name="X94b22a3d1ee565a5bd920cf9bd144ce5ecd1569"/>
    <w:p>
      <w:pPr>
        <w:pStyle w:val="Heading3"/>
        <w:spacing w:line="480" w:lineRule="auto"/>
      </w:pPr>
      <w:r>
        <w:t xml:space="preserve">3.3.5 Reverse selection and the readiness margin</w:t>
      </w:r>
    </w:p>
    <w:p>
      <w:pPr>
        <w:pStyle w:val="FirstParagraph"/>
        <w:spacing w:line="480" w:lineRule="auto"/>
      </w:pPr>
      <w:r>
        <w:t xml:space="preserve">A subtler threat to the causal logic is reverse selection. A licensee that anticipates a complex regulatory stack may delay application until internal readiness is higher, which would compress the observed post-application duration and bias the estimated agency-count coefficient toward zero. The framework recognizes this threat and addresses it by including a covariate for documented pre-application consultation length, which captures the readiness margin separately from the post-application clock. The direction of the bias under reverse selection is toward attenuation, which means a null finding is informative in the conservative direction: it could reflect either the absence of a fragmentation effect or its concealment by readiness selection, but it cannot reflect a spurious positive result driven by selection.</w:t>
      </w:r>
    </w:p>
    <w:bookmarkEnd w:id="99"/>
    <w:bookmarkEnd w:id="100"/>
    <w:bookmarkStart w:id="104" w:name="the-formal-hypotheses"/>
    <w:p>
      <w:pPr>
        <w:pStyle w:val="Heading2"/>
        <w:spacing w:line="480" w:lineRule="auto"/>
      </w:pPr>
      <w:r>
        <w:t xml:space="preserve">3.4 The Formal Hypotheses</w:t>
      </w:r>
    </w:p>
    <w:bookmarkStart w:id="101" w:name="the-primary-hypotheses"/>
    <w:p>
      <w:pPr>
        <w:pStyle w:val="Heading3"/>
        <w:spacing w:line="480" w:lineRule="auto"/>
      </w:pPr>
      <w:r>
        <w:t xml:space="preserve">3.4.1 The primary hypotheses</w:t>
      </w:r>
    </w:p>
    <w:p>
      <w:pPr>
        <w:pStyle w:val="FirstParagraph"/>
        <w:spacing w:line="480" w:lineRule="auto"/>
      </w:pPr>
      <w:r>
        <w:t xml:space="preserve">Let</w:t>
      </w:r>
      <w:r>
        <w:t xml:space="preserve"> </w:t>
      </w:r>
      <m:oMath>
        <m:sSub>
          <m:e>
            <m:r>
              <m:t>D</m:t>
            </m:r>
          </m:e>
          <m:sub>
            <m:r>
              <m:t>i</m:t>
            </m:r>
          </m:sub>
        </m:sSub>
      </m:oMath>
      <w:r>
        <w:t xml:space="preserve"> </w:t>
      </w:r>
      <w:r>
        <w:t xml:space="preserve">denote license-issuance duration in days for campaign</w:t>
      </w:r>
      <w:r>
        <w:t xml:space="preserve"> </w:t>
      </w:r>
      <m:oMath>
        <m:r>
          <m:t>i</m:t>
        </m:r>
      </m:oMath>
      <w:r>
        <w:t xml:space="preserve">, measured as the calendar interval between documented application initiation and FAA license issuance. Let</w:t>
      </w:r>
      <w:r>
        <w:t xml:space="preserve"> </w:t>
      </w:r>
      <m:oMath>
        <m:sSub>
          <m:e>
            <m:r>
              <m:t>K</m:t>
            </m:r>
          </m:e>
          <m:sub>
            <m:r>
              <m:t>i</m:t>
            </m:r>
          </m:sub>
        </m:sSub>
      </m:oMath>
      <w:r>
        <w:t xml:space="preserve"> </w:t>
      </w:r>
      <w:r>
        <w:t xml:space="preserve">denote logged pre-license capital absorption for campaign</w:t>
      </w:r>
      <w:r>
        <w:t xml:space="preserve"> </w:t>
      </w:r>
      <m:oMath>
        <m:r>
          <m:t>i</m:t>
        </m:r>
      </m:oMath>
      <w:r>
        <w:t xml:space="preserve">, defined as the natural logarithm of cumulative reported operating expenditure between application initiation and license issuance for publicly reporting licensees. Let</w:t>
      </w:r>
      <w:r>
        <w:t xml:space="preserve"> </w:t>
      </w:r>
      <m:oMath>
        <m:sSub>
          <m:e>
            <m:r>
              <m:t>A</m:t>
            </m:r>
          </m:e>
          <m:sub>
            <m:r>
              <m:t>i</m:t>
            </m:r>
          </m:sub>
        </m:sSub>
      </m:oMath>
      <w:r>
        <w:t xml:space="preserve"> </w:t>
      </w:r>
      <w:r>
        <w:t xml:space="preserve">denote the count of distinct federal authorizing entities whose clearance is required for campaign</w:t>
      </w:r>
      <w:r>
        <w:t xml:space="preserve"> </w:t>
      </w:r>
      <m:oMath>
        <m:r>
          <m:t>i</m:t>
        </m:r>
      </m:oMath>
      <w:r>
        <w:t xml:space="preserve">, constructed as in the prospectus by coding for FAA license, FCC spectrum authorization, NOAA CRSRA license where applicable, State Department export authorization where applicable, and any documented continuing-supervision determination of the kind characterized in the in-space servicing literature [3, 16]. Let</w:t>
      </w:r>
      <w:r>
        <w:t xml:space="preserve"> </w:t>
      </w:r>
      <m:oMath>
        <m:sSub>
          <m:e>
            <m:r>
              <m:t>V</m:t>
            </m:r>
          </m:e>
          <m:sub>
            <m:r>
              <m:t>i</m:t>
            </m:r>
          </m:sub>
        </m:sSub>
      </m:oMath>
      <w:r>
        <w:t xml:space="preserve">,</w:t>
      </w:r>
      <w:r>
        <w:t xml:space="preserve"> </w:t>
      </w:r>
      <m:oMath>
        <m:sSub>
          <m:e>
            <m:r>
              <m:t>S</m:t>
            </m:r>
          </m:e>
          <m:sub>
            <m:r>
              <m:t>i</m:t>
            </m:r>
          </m:sub>
        </m:sSub>
      </m:oMath>
      <w:r>
        <w:t xml:space="preserve">, and</w:t>
      </w:r>
      <w:r>
        <w:t xml:space="preserve"> </w:t>
      </w:r>
      <m:oMath>
        <m:sSub>
          <m:e>
            <m:r>
              <m:t>T</m:t>
            </m:r>
          </m:e>
          <m:sub>
            <m:r>
              <m:t>i</m:t>
            </m:r>
          </m:sub>
        </m:sSub>
      </m:oMath>
      <w:r>
        <w:t xml:space="preserve"> </w:t>
      </w:r>
      <w:r>
        <w:t xml:space="preserve">denote vehicle-class, launch-site, and calendar-year fixed effects respectively. Let</w:t>
      </w:r>
      <w:r>
        <w:t xml:space="preserve"> </w:t>
      </w:r>
      <m:oMath>
        <m:sSub>
          <m:e>
            <m:r>
              <m:t>X</m:t>
            </m:r>
          </m:e>
          <m:sub>
            <m:r>
              <m:t>i</m:t>
            </m:r>
          </m:sub>
        </m:sSub>
      </m:oMath>
      <w:r>
        <w:t xml:space="preserve"> </w:t>
      </w:r>
      <w:r>
        <w:t xml:space="preserve">denote a vector of campaign-level controls including documented pre-application consultation length.</w:t>
      </w:r>
    </w:p>
    <w:p>
      <w:pPr>
        <w:pStyle w:val="BodyText"/>
        <w:spacing w:line="480" w:lineRule="auto"/>
        <w:ind w:firstLine="720"/>
      </w:pPr>
      <w:r>
        <w:t xml:space="preserve">The duration equation is</w:t>
      </w:r>
    </w:p>
    <w:p>
      <w:pPr>
        <w:pStyle w:val="BodyText"/>
        <w:spacing w:line="480" w:lineRule="auto"/>
        <w:ind w:firstLine="720"/>
      </w:pPr>
      <m:oMathPara>
        <m:oMathParaPr>
          <m:jc m:val="center"/>
        </m:oMathParaPr>
        <m:oMath>
          <m:sSub>
            <m:e>
              <m:r>
                <m:t>D</m:t>
              </m:r>
            </m:e>
            <m:sub>
              <m:r>
                <m:t>i</m:t>
              </m:r>
            </m:sub>
          </m:sSub>
          <m:r>
            <m:rPr>
              <m:sty m:val="p"/>
            </m:rPr>
            <m:t>=</m:t>
          </m:r>
          <m:sSub>
            <m:e>
              <m:r>
                <m:t>β</m:t>
              </m:r>
            </m:e>
            <m:sub>
              <m:r>
                <m:t>1</m:t>
              </m:r>
            </m:sub>
          </m:sSub>
          <m:sSub>
            <m:e>
              <m:r>
                <m:t>A</m:t>
              </m:r>
            </m:e>
            <m:sub>
              <m:r>
                <m:t>i</m:t>
              </m:r>
            </m:sub>
          </m:sSub>
          <m:r>
            <m:rPr>
              <m:sty m:val="p"/>
            </m:rPr>
            <m:t>+</m:t>
          </m:r>
          <m:sSubSup>
            <m:e>
              <m:r>
                <m:t>γ</m:t>
              </m:r>
            </m:e>
            <m:sub>
              <m:r>
                <m:t>1</m:t>
              </m:r>
            </m:sub>
            <m:sup>
              <m:r>
                <m:rPr>
                  <m:sty m:val="p"/>
                </m:rPr>
                <m:t>′</m:t>
              </m:r>
            </m:sup>
          </m:sSubSup>
          <m:sSub>
            <m:e>
              <m:r>
                <m:t>X</m:t>
              </m:r>
            </m:e>
            <m:sub>
              <m:r>
                <m:t>i</m:t>
              </m:r>
            </m:sub>
          </m:sSub>
          <m:r>
            <m:rPr>
              <m:sty m:val="p"/>
            </m:rPr>
            <m:t>+</m:t>
          </m:r>
          <m:sSub>
            <m:e>
              <m:r>
                <m:t>V</m:t>
              </m:r>
            </m:e>
            <m:sub>
              <m:r>
                <m:t>i</m:t>
              </m:r>
            </m:sub>
          </m:sSub>
          <m:r>
            <m:rPr>
              <m:sty m:val="p"/>
            </m:rPr>
            <m:t>+</m:t>
          </m:r>
          <m:sSub>
            <m:e>
              <m:r>
                <m:t>S</m:t>
              </m:r>
            </m:e>
            <m:sub>
              <m:r>
                <m:t>i</m:t>
              </m:r>
            </m:sub>
          </m:sSub>
          <m:r>
            <m:rPr>
              <m:sty m:val="p"/>
            </m:rPr>
            <m:t>+</m:t>
          </m:r>
          <m:sSub>
            <m:e>
              <m:r>
                <m:t>T</m:t>
              </m:r>
            </m:e>
            <m:sub>
              <m:r>
                <m:t>i</m:t>
              </m:r>
            </m:sub>
          </m:sSub>
          <m:r>
            <m:rPr>
              <m:sty m:val="p"/>
            </m:rPr>
            <m:t>+</m:t>
          </m:r>
          <m:sSub>
            <m:e>
              <m:r>
                <m:t>ε</m:t>
              </m:r>
            </m:e>
            <m:sub>
              <m:r>
                <m:t>1</m:t>
              </m:r>
              <m:r>
                <m:t>i</m:t>
              </m:r>
            </m:sub>
          </m:sSub>
        </m:oMath>
      </m:oMathPara>
    </w:p>
    <w:p>
      <w:pPr>
        <w:pStyle w:val="FirstParagraph"/>
        <w:spacing w:line="480" w:lineRule="auto"/>
      </w:pPr>
      <w:r>
        <w:t xml:space="preserve">and the capital equation is</w:t>
      </w:r>
    </w:p>
    <w:p>
      <w:pPr>
        <w:pStyle w:val="BodyText"/>
        <w:spacing w:line="480" w:lineRule="auto"/>
        <w:ind w:firstLine="720"/>
      </w:pPr>
      <m:oMathPara>
        <m:oMathParaPr>
          <m:jc m:val="center"/>
        </m:oMathParaPr>
        <m:oMath>
          <m:sSub>
            <m:e>
              <m:r>
                <m:t>K</m:t>
              </m:r>
            </m:e>
            <m:sub>
              <m:r>
                <m:t>i</m:t>
              </m:r>
            </m:sub>
          </m:sSub>
          <m:r>
            <m:rPr>
              <m:sty m:val="p"/>
            </m:rPr>
            <m:t>=</m:t>
          </m:r>
          <m:sSub>
            <m:e>
              <m:r>
                <m:t>β</m:t>
              </m:r>
            </m:e>
            <m:sub>
              <m:r>
                <m:t>2</m:t>
              </m:r>
            </m:sub>
          </m:sSub>
          <m:sSub>
            <m:e>
              <m:r>
                <m:t>A</m:t>
              </m:r>
            </m:e>
            <m:sub>
              <m:r>
                <m:t>i</m:t>
              </m:r>
            </m:sub>
          </m:sSub>
          <m:r>
            <m:rPr>
              <m:sty m:val="p"/>
            </m:rPr>
            <m:t>+</m:t>
          </m:r>
          <m:sSubSup>
            <m:e>
              <m:r>
                <m:t>γ</m:t>
              </m:r>
            </m:e>
            <m:sub>
              <m:r>
                <m:t>2</m:t>
              </m:r>
            </m:sub>
            <m:sup>
              <m:r>
                <m:rPr>
                  <m:sty m:val="p"/>
                </m:rPr>
                <m:t>′</m:t>
              </m:r>
            </m:sup>
          </m:sSubSup>
          <m:sSub>
            <m:e>
              <m:r>
                <m:t>X</m:t>
              </m:r>
            </m:e>
            <m:sub>
              <m:r>
                <m:t>i</m:t>
              </m:r>
            </m:sub>
          </m:sSub>
          <m:r>
            <m:rPr>
              <m:sty m:val="p"/>
            </m:rPr>
            <m:t>+</m:t>
          </m:r>
          <m:sSub>
            <m:e>
              <m:r>
                <m:t>V</m:t>
              </m:r>
            </m:e>
            <m:sub>
              <m:r>
                <m:t>i</m:t>
              </m:r>
            </m:sub>
          </m:sSub>
          <m:r>
            <m:rPr>
              <m:sty m:val="p"/>
            </m:rPr>
            <m:t>+</m:t>
          </m:r>
          <m:sSub>
            <m:e>
              <m:r>
                <m:t>S</m:t>
              </m:r>
            </m:e>
            <m:sub>
              <m:r>
                <m:t>i</m:t>
              </m:r>
            </m:sub>
          </m:sSub>
          <m:r>
            <m:rPr>
              <m:sty m:val="p"/>
            </m:rPr>
            <m:t>+</m:t>
          </m:r>
          <m:sSub>
            <m:e>
              <m:r>
                <m:t>T</m:t>
              </m:r>
            </m:e>
            <m:sub>
              <m:r>
                <m:t>i</m:t>
              </m:r>
            </m:sub>
          </m:sSub>
          <m:r>
            <m:rPr>
              <m:sty m:val="p"/>
            </m:rPr>
            <m:t>+</m:t>
          </m:r>
          <m:sSub>
            <m:e>
              <m:r>
                <m:t>ε</m:t>
              </m:r>
            </m:e>
            <m:sub>
              <m:r>
                <m:t>2</m:t>
              </m:r>
              <m:r>
                <m:t>i</m:t>
              </m:r>
            </m:sub>
          </m:sSub>
          <m:r>
            <m:rPr>
              <m:sty m:val="p"/>
            </m:rPr>
            <m:t>.</m:t>
          </m:r>
        </m:oMath>
      </m:oMathPara>
    </w:p>
    <w:p>
      <w:pPr>
        <w:pStyle w:val="FirstParagraph"/>
        <w:spacing w:line="480" w:lineRule="auto"/>
      </w:pPr>
      <w:r>
        <w:t xml:space="preserve">The primary hypotheses are stated jointly on the coefficient pair</w:t>
      </w:r>
      <w:r>
        <w:t xml:space="preserve"> </w:t>
      </w:r>
      <m:oMath>
        <m:r>
          <m:rPr>
            <m:sty m:val="p"/>
          </m:rPr>
          <m:t>(</m:t>
        </m:r>
        <m:sSub>
          <m:e>
            <m:r>
              <m:t>β</m:t>
            </m:r>
          </m:e>
          <m:sub>
            <m:r>
              <m:t>1</m:t>
            </m:r>
          </m:sub>
        </m:sSub>
        <m:r>
          <m:rPr>
            <m:sty m:val="p"/>
          </m:rPr>
          <m:t>,</m:t>
        </m:r>
        <m:sSub>
          <m:e>
            <m:r>
              <m:t>β</m:t>
            </m:r>
          </m:e>
          <m:sub>
            <m:r>
              <m:t>2</m:t>
            </m:r>
          </m:sub>
        </m:sSub>
        <m:r>
          <m:rPr>
            <m:sty m:val="p"/>
          </m:rPr>
          <m:t>)</m:t>
        </m:r>
      </m:oMath>
      <w:r>
        <w:t xml:space="preserve">.</w:t>
      </w:r>
    </w:p>
    <w:p>
      <w:pPr>
        <w:pStyle w:val="BodyText"/>
        <w:spacing w:line="480" w:lineRule="auto"/>
        <w:ind w:firstLine="720"/>
      </w:pPr>
      <w:r>
        <w:rPr>
          <w:b/>
          <w:bCs/>
        </w:rPr>
        <w:t xml:space="preserve">H0 (Null hypothesis of no fragmentation cost).</w:t>
      </w:r>
      <w:r>
        <w:t xml:space="preserve"> </w:t>
      </w:r>
      <w:r>
        <w:t xml:space="preserve">Conditional on vehicle class, launch site, and calendar year fixed effects, and on the readiness covariate, the coefficient on the count of required federal authorizing agencies is zero in both the duration equation and the capital equation. Formally,</w:t>
      </w:r>
      <w:r>
        <w:t xml:space="preserve"> </w:t>
      </w:r>
      <m:oMath>
        <m:sSub>
          <m:e>
            <m:r>
              <m:t>β</m:t>
            </m:r>
          </m:e>
          <m:sub>
            <m:r>
              <m:t>1</m:t>
            </m:r>
          </m:sub>
        </m:sSub>
        <m:r>
          <m:rPr>
            <m:sty m:val="p"/>
          </m:rPr>
          <m:t>=</m:t>
        </m:r>
        <m:r>
          <m:t>0</m:t>
        </m:r>
      </m:oMath>
      <w:r>
        <w:t xml:space="preserve"> </w:t>
      </w:r>
      <w:r>
        <w:t xml:space="preserve">and</w:t>
      </w:r>
      <w:r>
        <w:t xml:space="preserve"> </w:t>
      </w:r>
      <m:oMath>
        <m:sSub>
          <m:e>
            <m:r>
              <m:t>β</m:t>
            </m:r>
          </m:e>
          <m:sub>
            <m:r>
              <m:t>2</m:t>
            </m:r>
          </m:sub>
        </m:sSub>
        <m:r>
          <m:rPr>
            <m:sty m:val="p"/>
          </m:rPr>
          <m:t>=</m:t>
        </m:r>
        <m:r>
          <m:t>0</m:t>
        </m:r>
      </m:oMath>
      <w:r>
        <w:t xml:space="preserve">. The hazard-ratio analogue, under the Cox specification reported as a robustness check, is that the exponentiated coefficient on</w:t>
      </w:r>
      <w:r>
        <w:t xml:space="preserve"> </w:t>
      </w:r>
      <m:oMath>
        <m:sSub>
          <m:e>
            <m:r>
              <m:t>A</m:t>
            </m:r>
          </m:e>
          <m:sub>
            <m:r>
              <m:t>i</m:t>
            </m:r>
          </m:sub>
        </m:sSub>
      </m:oMath>
      <w:r>
        <w:t xml:space="preserve"> </w:t>
      </w:r>
      <w:r>
        <w:t xml:space="preserve">equals one.</w:t>
      </w:r>
    </w:p>
    <w:p>
      <w:pPr>
        <w:pStyle w:val="BodyText"/>
        <w:spacing w:line="480" w:lineRule="auto"/>
        <w:ind w:firstLine="720"/>
      </w:pPr>
      <w:r>
        <w:rPr>
          <w:b/>
          <w:bCs/>
        </w:rPr>
        <w:t xml:space="preserve">H1 (Alternative hypothesis of strictly positive fragmentation cost).</w:t>
      </w:r>
      <w:r>
        <w:t xml:space="preserve"> </w:t>
      </w:r>
      <w:r>
        <w:t xml:space="preserve">Conditional on the same fixed effects and the readiness covariate, an additional required federal authorizing agency is associated with a strictly positive increment in license-issuance duration and in logged pre-license capital absorption. Formally,</w:t>
      </w:r>
      <w:r>
        <w:t xml:space="preserve"> </w:t>
      </w:r>
      <m:oMath>
        <m:sSub>
          <m:e>
            <m:r>
              <m:t>β</m:t>
            </m:r>
          </m:e>
          <m:sub>
            <m:r>
              <m:t>1</m:t>
            </m:r>
          </m:sub>
        </m:sSub>
        <m:r>
          <m:rPr>
            <m:sty m:val="p"/>
          </m:rPr>
          <m:t>&gt;</m:t>
        </m:r>
        <m:r>
          <m:t>0</m:t>
        </m:r>
      </m:oMath>
      <w:r>
        <w:t xml:space="preserve"> </w:t>
      </w:r>
      <w:r>
        <w:t xml:space="preserve">and</w:t>
      </w:r>
      <w:r>
        <w:t xml:space="preserve"> </w:t>
      </w:r>
      <m:oMath>
        <m:sSub>
          <m:e>
            <m:r>
              <m:t>β</m:t>
            </m:r>
          </m:e>
          <m:sub>
            <m:r>
              <m:t>2</m:t>
            </m:r>
          </m:sub>
        </m:sSub>
        <m:r>
          <m:rPr>
            <m:sty m:val="p"/>
          </m:rPr>
          <m:t>&gt;</m:t>
        </m:r>
        <m:r>
          <m:t>0</m:t>
        </m:r>
      </m:oMath>
      <w:r>
        <w:t xml:space="preserve">. The hazard-ratio analogue is that the exponentiated coefficient on</w:t>
      </w:r>
      <w:r>
        <w:t xml:space="preserve"> </w:t>
      </w:r>
      <m:oMath>
        <m:sSub>
          <m:e>
            <m:r>
              <m:t>A</m:t>
            </m:r>
          </m:e>
          <m:sub>
            <m:r>
              <m:t>i</m:t>
            </m:r>
          </m:sub>
        </m:sSub>
      </m:oMath>
      <w:r>
        <w:t xml:space="preserve"> </w:t>
      </w:r>
      <w:r>
        <w:t xml:space="preserve">is strictly less than one, indicating that each additional authorizing agency strictly reduces the instantaneous probability of license issuance.</w:t>
      </w:r>
    </w:p>
    <w:p>
      <w:pPr>
        <w:pStyle w:val="BodyText"/>
        <w:spacing w:line="480" w:lineRule="auto"/>
        <w:ind w:firstLine="720"/>
      </w:pPr>
      <w:r>
        <w:t xml:space="preserve">The test is conducted at conventional significance levels. H0 is rejected if the estimated coefficients are jointly bounded away from zero in the predicted direction, and is not rejected otherwise. The framework treats the failure to reject H0 as a substantive finding, not as an absence of finding, because the streamlining discourse in current commercial-space policy presumes a measurable fragmentation tax whose existence the empirical chapters will either corroborate or discipline with measurement.</w:t>
      </w:r>
    </w:p>
    <w:bookmarkEnd w:id="101"/>
    <w:bookmarkStart w:id="102" w:name="auxiliary-hypotheses-for-robustness"/>
    <w:p>
      <w:pPr>
        <w:pStyle w:val="Heading3"/>
        <w:spacing w:line="480" w:lineRule="auto"/>
      </w:pPr>
      <w:r>
        <w:t xml:space="preserve">3.4.2 Auxiliary hypotheses for robustness</w:t>
      </w:r>
    </w:p>
    <w:p>
      <w:pPr>
        <w:pStyle w:val="FirstParagraph"/>
        <w:spacing w:line="480" w:lineRule="auto"/>
      </w:pPr>
      <w:r>
        <w:t xml:space="preserve">Three auxiliary hypotheses govern the robustness specifications.</w:t>
      </w:r>
    </w:p>
    <w:p>
      <w:pPr>
        <w:pStyle w:val="BodyText"/>
        <w:spacing w:line="480" w:lineRule="auto"/>
        <w:ind w:firstLine="720"/>
      </w:pPr>
      <w:r>
        <w:rPr>
          <w:b/>
          <w:bCs/>
        </w:rPr>
        <w:t xml:space="preserve">HA1 (Regime invariance).</w:t>
      </w:r>
      <w:r>
        <w:t xml:space="preserve"> </w:t>
      </w:r>
      <w:r>
        <w:t xml:space="preserve">The agency-count coefficient does not differ between the pre-Part 450 and post-Part 450 cohorts. This hypothesis is tested by estimating the duration and capital equations with an interaction between</w:t>
      </w:r>
      <w:r>
        <w:t xml:space="preserve"> </w:t>
      </w:r>
      <m:oMath>
        <m:sSub>
          <m:e>
            <m:r>
              <m:t>A</m:t>
            </m:r>
          </m:e>
          <m:sub>
            <m:r>
              <m:t>i</m:t>
            </m:r>
          </m:sub>
        </m:sSub>
      </m:oMath>
      <w:r>
        <w:t xml:space="preserve"> </w:t>
      </w:r>
      <w:r>
        <w:t xml:space="preserve">and a post-2021 indicator, and by testing whether the interaction coefficient is distinguishable from zero. Rejection of HA1 in the direction of a smaller post-2021 fragmentation effect would be consistent with the FAA-internal consolidation having indirectly compressed the external authorizing surface as well. Rejection in the direction of a larger post-2021 effect would be consistent with the consolidated regime having shifted coordination burden onto external stations.</w:t>
      </w:r>
    </w:p>
    <w:p>
      <w:pPr>
        <w:pStyle w:val="BodyText"/>
        <w:spacing w:line="480" w:lineRule="auto"/>
        <w:ind w:firstLine="720"/>
      </w:pPr>
      <w:r>
        <w:rPr>
          <w:b/>
          <w:bCs/>
        </w:rPr>
        <w:t xml:space="preserve">HA2 (Vehicle-class invariance).</w:t>
      </w:r>
      <w:r>
        <w:t xml:space="preserve"> </w:t>
      </w:r>
      <w:r>
        <w:t xml:space="preserve">The agency-count coefficient does not differ between heavy-class and non-heavy-class vehicles. This hypothesis is tested by estimating the equations on a sub-sample restricted to a single vehicle class. The companion paper finds that the heavy-class indicator carries a large, statistically reliable negative coefficient on the conditional hazard of issuance in the Cox specification, which is consistent with technical review burden absorbing a portion of the duration variation that might otherwise be attributed to station count</w:t>
      </w:r>
      <w:r>
        <w:t xml:space="preserve"> </w:t>
      </w:r>
      <w:hyperlink w:anchor="ref-4">
        <w:r>
          <w:rPr>
            <w:rStyle w:val="Hyperlink"/>
          </w:rPr>
          <w:t xml:space="preserve">[4]</w:t>
        </w:r>
      </w:hyperlink>
      <w:r>
        <w:t xml:space="preserve">. HA2 tests whether the within-class agency-count effect survives this within-class restriction.</w:t>
      </w:r>
    </w:p>
    <w:p>
      <w:pPr>
        <w:pStyle w:val="BodyText"/>
        <w:spacing w:line="480" w:lineRule="auto"/>
        <w:ind w:firstLine="720"/>
      </w:pPr>
      <w:r>
        <w:rPr>
          <w:b/>
          <w:bCs/>
        </w:rPr>
        <w:t xml:space="preserve">HA3 (Continuing-supervision sensitivity).</w:t>
      </w:r>
      <w:r>
        <w:t xml:space="preserve"> </w:t>
      </w:r>
      <w:r>
        <w:t xml:space="preserve">The agency-count coefficient is not materially altered by the inclusion or exclusion of campaigns coded as triggering a continuing-supervision determination. This hypothesis is tested by reporting the primary specification both with and without the continuing-supervision cohort, and is motivated by the observation that continuing supervision is itself an evolving governance object rather than a settled administrative category [3, 16].</w:t>
      </w:r>
    </w:p>
    <w:bookmarkEnd w:id="102"/>
    <w:bookmarkStart w:id="103" w:name="the-status-of-directionality"/>
    <w:p>
      <w:pPr>
        <w:pStyle w:val="Heading3"/>
        <w:spacing w:line="480" w:lineRule="auto"/>
      </w:pPr>
      <w:r>
        <w:t xml:space="preserve">3.4.3 The status of directionality</w:t>
      </w:r>
    </w:p>
    <w:p>
      <w:pPr>
        <w:pStyle w:val="FirstParagraph"/>
        <w:spacing w:line="480" w:lineRule="auto"/>
      </w:pPr>
      <w:r>
        <w:t xml:space="preserve">The framework states H1 as a one-sided hypothesis. This is a deliberate choice. The theoretical mechanism in section 3.2 supports a directional prediction: serial-review queue accumulation, information-handoff delay, and coordination overhead each act in the same direction, namely to increase the time and capital absorbed by an open application. The empirical strategy in Chapter 4 will report two-sided p-values for the primary coefficient as a matter of methodological transparency, but the substantive test against H0 is one-sided. A coefficient that is statistically distinguishable from zero in the wrong direction, namely a finding that additional authorizing agencies are associated with shorter durations and smaller capital absorption, would not constitute support for H1 and would itself require theoretical accounting. The framework anticipates that such a finding, were it to emerge, would most plausibly reflect reverse selection on readiness rather than a substantive acceleration channel, and would call for a sensitivity analysis on the readiness covariate rather than an inversion of the theoretical claim.</w:t>
      </w:r>
    </w:p>
    <w:bookmarkEnd w:id="103"/>
    <w:bookmarkEnd w:id="104"/>
    <w:bookmarkStart w:id="108" w:name="X0a86964b51d6b5a0e2b018a44bbec6561231152"/>
    <w:p>
      <w:pPr>
        <w:pStyle w:val="Heading2"/>
        <w:spacing w:line="480" w:lineRule="auto"/>
      </w:pPr>
      <w:r>
        <w:t xml:space="preserve">3.5 Scope Conditions and the Epistemic Status of a Null Finding</w:t>
      </w:r>
    </w:p>
    <w:bookmarkStart w:id="105" w:name="scope-conditions"/>
    <w:p>
      <w:pPr>
        <w:pStyle w:val="Heading3"/>
        <w:spacing w:line="480" w:lineRule="auto"/>
      </w:pPr>
      <w:r>
        <w:t xml:space="preserve">3.5.1 Scope conditions</w:t>
      </w:r>
    </w:p>
    <w:p>
      <w:pPr>
        <w:pStyle w:val="FirstParagraph"/>
        <w:spacing w:line="480" w:lineRule="auto"/>
      </w:pPr>
      <w:r>
        <w:t xml:space="preserve">The framework applies under three scope conditions. First, the population is restricted to FAA-licensed commercial launch campaigns. It does not extend to federally operated launches, to foreign launches from U.S. territory under reciprocity arrangements, or to suborbital research flights conducted under research-and-development authorizations rather than under Part 450 licensing. Second, the temporal window is restricted to the period over which the FAA license enumeration is reliably observable and over which the auxiliary agency records used to construct the station count are publicly available. Third, the framework presumes that the federal authorizing surface is the relevant administrative object. State licensing of spaceports, where applicable, is treated as absorbed by the launch-site fixed effects rather than as an additional station, on the grounds that state spaceport licensing operates on the facility rather than on the campaign.</w:t>
      </w:r>
    </w:p>
    <w:p>
      <w:pPr>
        <w:pStyle w:val="BodyText"/>
        <w:spacing w:line="480" w:lineRule="auto"/>
        <w:ind w:firstLine="720"/>
      </w:pPr>
      <w:r>
        <w:t xml:space="preserve">Outside these scope conditions, the framework does not claim to apply. It does not, for example, claim to govern the regulatory architecture of in-space servicing as a distinct operational regime, although the architectural framing it borrows from [3, 16] would extend in that direction with appropriate modification of the station-count construct.</w:t>
      </w:r>
    </w:p>
    <w:bookmarkEnd w:id="105"/>
    <w:bookmarkStart w:id="106" w:name="the-epistemic-status-of-a-null-finding"/>
    <w:p>
      <w:pPr>
        <w:pStyle w:val="Heading3"/>
        <w:spacing w:line="480" w:lineRule="auto"/>
      </w:pPr>
      <w:r>
        <w:t xml:space="preserve">3.5.2 The epistemic status of a null finding</w:t>
      </w:r>
    </w:p>
    <w:p>
      <w:pPr>
        <w:pStyle w:val="FirstParagraph"/>
        <w:spacing w:line="480" w:lineRule="auto"/>
      </w:pPr>
      <w:r>
        <w:t xml:space="preserve">The dissertation treats a null finding as a publishable contribution. The reason is structural. A presumption sits unmeasured at the center of current policy. The streamlining discourse in current commercial-space policy presumes, but has not measured, a fragmentation tax. A coefficient on the count of authorizing agencies that is statistically indistinguishable from zero, estimated on a transparent population with a defended identification strategy, disciplines that discourse with measurement. It would not vindicate the regulatory status quo, because it would leave intact the substantial duration variation that vehicle complexity and the secular evolution of the FAA process account for. It would, however, redirect the streamlining argument from the count of authorizing entities to the technical review burden and the FAA-internal process. The companion Cox estimate on the thirty-campaign sample reports exactly this redirection: the agency-count coefficient is not separately identified, while the heavy-class vehicle indicator and the year trend each carry statistically reliable coefficients</w:t>
      </w:r>
      <w:r>
        <w:t xml:space="preserve"> </w:t>
      </w:r>
      <w:hyperlink w:anchor="ref-4">
        <w:r>
          <w:rPr>
            <w:rStyle w:val="Hyperlink"/>
          </w:rPr>
          <w:t xml:space="preserve">[4]</w:t>
        </w:r>
      </w:hyperlink>
      <w:r>
        <w:t xml:space="preserve">.</w:t>
      </w:r>
    </w:p>
    <w:p>
      <w:pPr>
        <w:pStyle w:val="BodyText"/>
        <w:spacing w:line="480" w:lineRule="auto"/>
        <w:ind w:firstLine="720"/>
      </w:pPr>
      <w:r>
        <w:t xml:space="preserve">A non-null finding in the direction predicted by H1 would supply the quantitative warrant the streamlining discourse currently presumes. A non-null finding in the opposite direction would, as section 3.4.3 notes, call for a sensitivity analysis on the readiness covariate before any theoretical revision. The framework therefore admits three substantively distinct empirical states and treats each as informative for policy and for theory. The empirical chapters that follow will report which of the three the data supports, with the coefficient, its confidence interval, and its hazard-ratio analogue stated in the open regardless of sign.</w:t>
      </w:r>
    </w:p>
    <w:bookmarkEnd w:id="106"/>
    <w:bookmarkStart w:id="107" w:name="bridge-to-the-empirical-chapters"/>
    <w:p>
      <w:pPr>
        <w:pStyle w:val="Heading3"/>
        <w:spacing w:line="480" w:lineRule="auto"/>
      </w:pPr>
      <w:r>
        <w:t xml:space="preserve">3.5.3 Bridge to the empirical chapters</w:t>
      </w:r>
    </w:p>
    <w:p>
      <w:pPr>
        <w:pStyle w:val="FirstParagraph"/>
        <w:spacing w:line="480" w:lineRule="auto"/>
      </w:pPr>
      <w:r>
        <w:t xml:space="preserve">Chapter 4 specifies the estimating equations identified in section 3.4.1 and operationalizes the data construction outlined in the prospectus. Chapter 5 reports the primary fixed-effects estimates on duration and capital absorption and conducts the auxiliary tests HA1, HA2, and HA3. Chapter 6 reports the Cox proportional-hazards robustness check in continuity with the companion paper</w:t>
      </w:r>
      <w:r>
        <w:t xml:space="preserve"> </w:t>
      </w:r>
      <w:hyperlink w:anchor="ref-4">
        <w:r>
          <w:rPr>
            <w:rStyle w:val="Hyperlink"/>
          </w:rPr>
          <w:t xml:space="preserve">[4]</w:t>
        </w:r>
      </w:hyperlink>
      <w:r>
        <w:t xml:space="preserve"> </w:t>
      </w:r>
      <w:r>
        <w:t xml:space="preserve">and discusses the inferential consistency between the linear and the hazard specifications. Chapter 7 returns to the framework specified here and reads the empirical findings against H0 and H1, with explicit attention to the scope conditions in section 3.5.1 and to the policy implications of whichever empirical state the data supports.</w:t>
      </w:r>
    </w:p>
    <w:bookmarkEnd w:id="107"/>
    <w:bookmarkEnd w:id="108"/>
    <w:bookmarkEnd w:id="109"/>
    <w:bookmarkStart w:id="121" w:name="chapter-4.-data-and-measurement"/>
    <w:p>
      <w:pPr>
        <w:pStyle w:val="Heading1"/>
        <w:spacing w:line="480" w:lineRule="auto"/>
      </w:pPr>
      <w:r>
        <w:t xml:space="preserve">Chapter 4. Data and Measurement</w:t>
      </w:r>
    </w:p>
    <w:bookmarkStart w:id="110" w:name="purpose-and-logic-of-the-chapter"/>
    <w:p>
      <w:pPr>
        <w:pStyle w:val="Heading2"/>
        <w:spacing w:line="480" w:lineRule="auto"/>
      </w:pPr>
      <w:r>
        <w:t xml:space="preserve">4.1 Purpose and Logic of the Chapter</w:t>
      </w:r>
    </w:p>
    <w:p>
      <w:pPr>
        <w:pStyle w:val="FirstParagraph"/>
        <w:spacing w:line="480" w:lineRule="auto"/>
      </w:pPr>
      <w:r>
        <w:t xml:space="preserve">The empirical content of this dissertation is carried by two econometric estimates on a single, common population of U.S. commercial launch campaigns: a fixed-effects linear duration model and a Cox proportional-hazards model on the per-day conditional probability of license issuance</w:t>
      </w:r>
      <w:r>
        <w:t xml:space="preserve"> </w:t>
      </w:r>
      <w:hyperlink w:anchor="ref-4">
        <w:r>
          <w:rPr>
            <w:rStyle w:val="Hyperlink"/>
          </w:rPr>
          <w:t xml:space="preserve">[4]</w:t>
        </w:r>
      </w:hyperlink>
      <w:r>
        <w:t xml:space="preserve">. Neither estimate is interpretable without a transparent account of the data on which it sits. The earlier chapters established the question, namely whether the count of distinct federal authorizing agencies whose clearance a campaign requires moves the time and capital cost of obtaining an FAA license</w:t>
      </w:r>
      <w:r>
        <w:t xml:space="preserve"> </w:t>
      </w:r>
      <w:hyperlink w:anchor="ref-4">
        <w:r>
          <w:rPr>
            <w:rStyle w:val="Hyperlink"/>
          </w:rPr>
          <w:t xml:space="preserve">[4]</w:t>
        </w:r>
      </w:hyperlink>
      <w:r>
        <w:t xml:space="preserve">, and they staged the theoretical case that the FAA functions as the principal interface between firms and orbit while remaining one of several authorizing entities involved in any given campaign [1, 3]. The present chapter discharges the corresponding measurement obligation. It identifies the authoritative primary records from which each variable is constructed, defines the unit of analysis, specifies the coding rule for the regressor of interest, and documents the secondary records used to recover application-initiation dates that the FAA license file does not itself publish. The chapter is written so that an independent reader can reconstruct the dataset from public sources, apply the coding rules, and arrive at the same observations the two papers use</w:t>
      </w:r>
      <w:r>
        <w:t xml:space="preserve"> </w:t>
      </w:r>
      <w:hyperlink w:anchor="ref-4">
        <w:r>
          <w:rPr>
            <w:rStyle w:val="Hyperlink"/>
          </w:rPr>
          <w:t xml:space="preserve">[4]</w:t>
        </w:r>
      </w:hyperlink>
      <w:r>
        <w:t xml:space="preserve">.</w:t>
      </w:r>
    </w:p>
    <w:p>
      <w:pPr>
        <w:pStyle w:val="BodyText"/>
        <w:spacing w:line="480" w:lineRule="auto"/>
        <w:ind w:firstLine="720"/>
      </w:pPr>
      <w:r>
        <w:t xml:space="preserve">Two design commitments organize the chapter. The first is that every variable in the analytic dataset must trace to a primary federal record or to a regulated public filing, and the source for each row must be retained in the coding ledger alongside the value of the variable. The first paper formalizes this by carrying an explicit source citation in the rightmost column of the campaign table and by marking any row whose application-initiation date could not be recovered from a primary record as illustrative, with the share of such rows held below fifteen percent of the population</w:t>
      </w:r>
      <w:r>
        <w:t xml:space="preserve"> </w:t>
      </w:r>
      <w:hyperlink w:anchor="ref-4">
        <w:r>
          <w:rPr>
            <w:rStyle w:val="Hyperlink"/>
          </w:rPr>
          <w:t xml:space="preserve">[4]</w:t>
        </w:r>
      </w:hyperlink>
      <w:r>
        <w:t xml:space="preserve">. The second commitment is that the unit of analysis is fixed at the level of the individual FAA-licensed launch campaign rather than at the level of the firm, the vehicle program, or the launch site. This is the level at which the FAA itself enumerates licensing decisions</w:t>
      </w:r>
      <w:r>
        <w:t xml:space="preserve"> </w:t>
      </w:r>
      <w:hyperlink w:anchor="ref-1">
        <w:r>
          <w:rPr>
            <w:rStyle w:val="Hyperlink"/>
          </w:rPr>
          <w:t xml:space="preserve">[1]</w:t>
        </w:r>
      </w:hyperlink>
      <w:r>
        <w:t xml:space="preserve"> </w:t>
      </w:r>
      <w:r>
        <w:t xml:space="preserve">and at which the agency-count variable is a meaningful ordinal property of the regulatory transaction.</w:t>
      </w:r>
    </w:p>
    <w:bookmarkEnd w:id="110"/>
    <w:bookmarkStart w:id="111" w:name="unit-of-analysis"/>
    <w:p>
      <w:pPr>
        <w:pStyle w:val="Heading2"/>
        <w:spacing w:line="480" w:lineRule="auto"/>
      </w:pPr>
      <w:r>
        <w:t xml:space="preserve">4.2 Unit of Analysis</w:t>
      </w:r>
    </w:p>
    <w:p>
      <w:pPr>
        <w:pStyle w:val="FirstParagraph"/>
        <w:spacing w:line="480" w:lineRule="auto"/>
      </w:pPr>
      <w:r>
        <w:t xml:space="preserve">The unit of observation in both papers is a single FAA-licensed commercial launch campaign. A campaign is defined as the pairing of a specific vehicle configuration with a specific mission profile that is processed by the FAA Office of Commercial Space Transportation under a single license number. Multiple launches that fly under one vehicle-operator license are not separately observed unless the FAA license file enumerates them as distinct issuances, because the application-to-issuance interval is the duration of interest and that interval is defined by the single licensing transaction. The first paper assembles thirty such campaigns from the FAA Office of Commercial Space Transportation public license enumeration, and the second paper extends the population to thirty-five campaigns covering the calendar window January 2019 through December 2024</w:t>
      </w:r>
      <w:r>
        <w:t xml:space="preserve"> </w:t>
      </w:r>
      <w:hyperlink w:anchor="ref-4">
        <w:r>
          <w:rPr>
            <w:rStyle w:val="Hyperlink"/>
          </w:rPr>
          <w:t xml:space="preserve">[4]</w:t>
        </w:r>
      </w:hyperlink>
      <w:r>
        <w:t xml:space="preserve">. The two populations overlap and are drawn from the same primary enumeration; the extension in the second paper adds four right-censored observations that sit in pre-application or active review at the censoring boundary, which the first paper does not include because the linear fixed-effects estimator does not accept right-censored outcomes.</w:t>
      </w:r>
    </w:p>
    <w:p>
      <w:pPr>
        <w:pStyle w:val="BodyText"/>
        <w:spacing w:line="480" w:lineRule="auto"/>
        <w:ind w:firstLine="720"/>
      </w:pPr>
      <w:r>
        <w:t xml:space="preserve">The choice of the campaign as the unit is consistent with Weinzierl’s treatment of FAA-licensed counts as the descriptive indicator of commercial sector activity</w:t>
      </w:r>
      <w:r>
        <w:t xml:space="preserve"> </w:t>
      </w:r>
      <w:hyperlink w:anchor="ref-1">
        <w:r>
          <w:rPr>
            <w:rStyle w:val="Hyperlink"/>
          </w:rPr>
          <w:t xml:space="preserve">[1]</w:t>
        </w:r>
      </w:hyperlink>
      <w:r>
        <w:t xml:space="preserve"> </w:t>
      </w:r>
      <w:r>
        <w:t xml:space="preserve">and with the Smith, Jah, and Wood treatment of the authorization stack as a transaction-level object whose structure varies across missions</w:t>
      </w:r>
      <w:r>
        <w:t xml:space="preserve"> </w:t>
      </w:r>
      <w:hyperlink w:anchor="ref-3">
        <w:r>
          <w:rPr>
            <w:rStyle w:val="Hyperlink"/>
          </w:rPr>
          <w:t xml:space="preserve">[3]</w:t>
        </w:r>
      </w:hyperlink>
      <w:r>
        <w:t xml:space="preserve">. Aggregating to the firm level would average across heterogeneous regulatory footprints within a firm’s portfolio and would discard the within-firm variation that the fixed-effects identification strategy depends on. Aggregating to the vehicle program would similarly discard variation in the agency-count regressor that arises from mission-profile heterogeneity, since two campaigns flown on the same vehicle can require different external authorizations depending on the payload, the orbital regime, and the participation of foreign entities.</w:t>
      </w:r>
    </w:p>
    <w:bookmarkEnd w:id="111"/>
    <w:bookmarkStart w:id="112" w:name="primary-data-sources"/>
    <w:p>
      <w:pPr>
        <w:pStyle w:val="Heading2"/>
        <w:spacing w:line="480" w:lineRule="auto"/>
      </w:pPr>
      <w:r>
        <w:t xml:space="preserve">4.3 Primary Data Sources</w:t>
      </w:r>
    </w:p>
    <w:p>
      <w:pPr>
        <w:pStyle w:val="FirstParagraph"/>
        <w:spacing w:line="480" w:lineRule="auto"/>
      </w:pPr>
      <w:r>
        <w:t xml:space="preserve">The dataset is built from a small set of authoritative federal records, each of which is publicly available and each of which carries a documented update cadence. Six sources do the work.</w:t>
      </w:r>
    </w:p>
    <w:p>
      <w:pPr>
        <w:pStyle w:val="BodyText"/>
        <w:spacing w:line="480" w:lineRule="auto"/>
        <w:ind w:firstLine="720"/>
      </w:pPr>
      <w:r>
        <w:t xml:space="preserve">The first source is the FAA Office of Commercial Space Transportation public record of issued launch and reentry licenses, which Weinzierl uses descriptively in his framing of the commercial sector and which the FAA publishes as an enumerated, dated record under its own authority</w:t>
      </w:r>
      <w:r>
        <w:t xml:space="preserve"> </w:t>
      </w:r>
      <w:hyperlink w:anchor="ref-1">
        <w:r>
          <w:rPr>
            <w:rStyle w:val="Hyperlink"/>
          </w:rPr>
          <w:t xml:space="preserve">[1]</w:t>
        </w:r>
      </w:hyperlink>
      <w:r>
        <w:t xml:space="preserve">. This record supplies the licensee identity, the vehicle, the launch site, the issuance date, and the underlying mission description for each campaign in the population. Both papers anchor the campaign roster in this enumeration</w:t>
      </w:r>
      <w:r>
        <w:t xml:space="preserve"> </w:t>
      </w:r>
      <w:hyperlink w:anchor="ref-4">
        <w:r>
          <w:rPr>
            <w:rStyle w:val="Hyperlink"/>
          </w:rPr>
          <w:t xml:space="preserve">[4]</w:t>
        </w:r>
      </w:hyperlink>
      <w:r>
        <w:t xml:space="preserve">.</w:t>
      </w:r>
    </w:p>
    <w:p>
      <w:pPr>
        <w:pStyle w:val="BodyText"/>
        <w:spacing w:line="480" w:lineRule="auto"/>
        <w:ind w:firstLine="720"/>
      </w:pPr>
      <w:r>
        <w:t xml:space="preserve">The second source is the set of Federal Register notices that publish environmental review milestones and other statutorily noticed events associated with a given campaign. These notices are used to recover application-initiation dates that the FAA license file does not itself publish, by anchoring the start of the application clock to the date on which the licensee’s underlying submissions first became part of the public record. The second paper documents this use of the Federal Register explicitly, alongside the FAA file, in the construction of the duration variable</w:t>
      </w:r>
      <w:r>
        <w:t xml:space="preserve"> </w:t>
      </w:r>
      <w:hyperlink w:anchor="ref-4">
        <w:r>
          <w:rPr>
            <w:rStyle w:val="Hyperlink"/>
          </w:rPr>
          <w:t xml:space="preserve">[4]</w:t>
        </w:r>
      </w:hyperlink>
      <w:r>
        <w:t xml:space="preserve">.</w:t>
      </w:r>
    </w:p>
    <w:p>
      <w:pPr>
        <w:pStyle w:val="BodyText"/>
        <w:spacing w:line="480" w:lineRule="auto"/>
        <w:ind w:firstLine="720"/>
      </w:pPr>
      <w:r>
        <w:t xml:space="preserve">The third source is the Federal Communications Commission International Bureau Filing System, used to determine whether the campaign required FCC spectrum authorization for the payload, the launch vehicle, or both, and to recover the corresponding application date where the FCC docket precedes or runs concurrently with the FAA application. The first paper identifies FCC IBFS filings as one of the recovery sources for application-initiation dates</w:t>
      </w:r>
      <w:r>
        <w:t xml:space="preserve"> </w:t>
      </w:r>
      <w:hyperlink w:anchor="ref-4">
        <w:r>
          <w:rPr>
            <w:rStyle w:val="Hyperlink"/>
          </w:rPr>
          <w:t xml:space="preserve">[4]</w:t>
        </w:r>
      </w:hyperlink>
      <w:r>
        <w:t xml:space="preserve">, and the second paper makes the same identification while specifying that the spectrum authorization is sought through this system as the regulated public docket for either earth-station or space-station radio operations.</w:t>
      </w:r>
    </w:p>
    <w:p>
      <w:pPr>
        <w:pStyle w:val="BodyText"/>
        <w:spacing w:line="480" w:lineRule="auto"/>
        <w:ind w:firstLine="720"/>
      </w:pPr>
      <w:r>
        <w:t xml:space="preserve">The fourth source is the National Oceanic and Atmospheric Administration Commercial Remote Sensing Regulatory Affairs office, whose licensing record is consulted whenever the campaign’s payload includes a sensor that falls within the statutory coverage of the commercial remote sensing licensing regime. Both papers identify the NOAA record as the docket consulted for this determination</w:t>
      </w:r>
      <w:r>
        <w:t xml:space="preserve"> </w:t>
      </w:r>
      <w:hyperlink w:anchor="ref-4">
        <w:r>
          <w:rPr>
            <w:rStyle w:val="Hyperlink"/>
          </w:rPr>
          <w:t xml:space="preserve">[4]</w:t>
        </w:r>
      </w:hyperlink>
      <w:r>
        <w:t xml:space="preserve">. The NOAA license itself, where issued, is treated as a primary record analogous to the FAA license for the purpose of agency-count coding.</w:t>
      </w:r>
    </w:p>
    <w:p>
      <w:pPr>
        <w:pStyle w:val="BodyText"/>
        <w:spacing w:line="480" w:lineRule="auto"/>
        <w:ind w:firstLine="720"/>
      </w:pPr>
      <w:r>
        <w:t xml:space="preserve">The fifth source is the State Department directorate of defense trade controls, whose authorization is consulted whenever the campaign involves a foreign payload, a foreign launch participant, or export-controlled hardware. The second paper documents this consultation under the export-controlled hardware criterion</w:t>
      </w:r>
      <w:r>
        <w:t xml:space="preserve"> </w:t>
      </w:r>
      <w:hyperlink w:anchor="ref-4">
        <w:r>
          <w:rPr>
            <w:rStyle w:val="Hyperlink"/>
          </w:rPr>
          <w:t xml:space="preserve">[4]</w:t>
        </w:r>
      </w:hyperlink>
      <w:r>
        <w:t xml:space="preserve">. The directorate’s authorization status is treated as a primary record for agency-count coding regardless of whether the underlying authorization itself is publicly released, because the existence of the consultation is documentable from the licensee’s own filings and from the FAA record of interagency coordination.</w:t>
      </w:r>
    </w:p>
    <w:p>
      <w:pPr>
        <w:pStyle w:val="BodyText"/>
        <w:spacing w:line="480" w:lineRule="auto"/>
        <w:ind w:firstLine="720"/>
      </w:pPr>
      <w:r>
        <w:t xml:space="preserve">The sixth source category is licensee mission press kits and securities disclosures filed by publicly reporting licensees. These are used as recovery sources for application-initiation dates and for pre-application consultation milestones, in particular for the pre-2021 cohort that predates the consolidated FAA application interface introduced under 14 CFR Part 450</w:t>
      </w:r>
      <w:r>
        <w:t xml:space="preserve"> </w:t>
      </w:r>
      <w:hyperlink w:anchor="ref-4">
        <w:r>
          <w:rPr>
            <w:rStyle w:val="Hyperlink"/>
          </w:rPr>
          <w:t xml:space="preserve">[4]</w:t>
        </w:r>
      </w:hyperlink>
      <w:r>
        <w:t xml:space="preserve">. Where the licensee is a reporting issuer, the dated regulatory filings cited in its securities disclosures are treated as the recovery anchor, on the principle that securities-filed dates are subject to an independent enforcement regime that disciplines their accuracy.</w:t>
      </w:r>
    </w:p>
    <w:bookmarkEnd w:id="112"/>
    <w:bookmarkStart w:id="113" w:name="the-population-and-its-temporal-window"/>
    <w:p>
      <w:pPr>
        <w:pStyle w:val="Heading2"/>
        <w:spacing w:line="480" w:lineRule="auto"/>
      </w:pPr>
      <w:r>
        <w:t xml:space="preserve">4.4 The Population and Its Temporal Window</w:t>
      </w:r>
    </w:p>
    <w:p>
      <w:pPr>
        <w:pStyle w:val="FirstParagraph"/>
        <w:spacing w:line="480" w:lineRule="auto"/>
      </w:pPr>
      <w:r>
        <w:t xml:space="preserve">The first paper estimates its Cox specification on thirty campaigns drawn from the post-2021 cohort, with the campaign roster spanning heavy-class, medium-class, and small-class vehicles, east-range and west-range sites, and the pre- and post-Part 450 regimes</w:t>
      </w:r>
      <w:r>
        <w:t xml:space="preserve"> </w:t>
      </w:r>
      <w:hyperlink w:anchor="ref-4">
        <w:r>
          <w:rPr>
            <w:rStyle w:val="Hyperlink"/>
          </w:rPr>
          <w:t xml:space="preserve">[4]</w:t>
        </w:r>
      </w:hyperlink>
      <w:r>
        <w:t xml:space="preserve">. The duration variable in that paper is the calendar interval in days between the documented application-initiation date and the FAA license-issuance date. All thirty campaigns are coded as events because each campaign in the sample ultimately received a license within the observation window, which truncates the right-censored portion of the Cox model in the first paper but does not bias the within-population coefficient estimate</w:t>
      </w:r>
      <w:r>
        <w:t xml:space="preserve"> </w:t>
      </w:r>
      <w:hyperlink w:anchor="ref-4">
        <w:r>
          <w:rPr>
            <w:rStyle w:val="Hyperlink"/>
          </w:rPr>
          <w:t xml:space="preserve">[4]</w:t>
        </w:r>
      </w:hyperlink>
      <w:r>
        <w:t xml:space="preserve">. The second paper extends the temporal window to January 2019 through December 2024 and assembles thirty-five campaigns, of which thirty-one are issued events and four are right-censored at the censoring boundary because they sit in pre-application or active review at that date</w:t>
      </w:r>
      <w:r>
        <w:t xml:space="preserve"> </w:t>
      </w:r>
      <w:hyperlink w:anchor="ref-4">
        <w:r>
          <w:rPr>
            <w:rStyle w:val="Hyperlink"/>
          </w:rPr>
          <w:t xml:space="preserve">[4]</w:t>
        </w:r>
      </w:hyperlink>
      <w:r>
        <w:t xml:space="preserve">.</w:t>
      </w:r>
    </w:p>
    <w:p>
      <w:pPr>
        <w:pStyle w:val="BodyText"/>
        <w:spacing w:line="480" w:lineRule="auto"/>
        <w:ind w:firstLine="720"/>
      </w:pPr>
      <w:r>
        <w:t xml:space="preserve">The temporal boundaries are chosen for two reasons. The earlier boundary of 2019 admits campaigns processed under the legacy Part 415 and Part 431 frameworks alongside campaigns processed under the consolidated Part 450 regime that took effect in March 2021, allowing the Part 450 indicator to vary within the sample</w:t>
      </w:r>
      <w:r>
        <w:t xml:space="preserve"> </w:t>
      </w:r>
      <w:hyperlink w:anchor="ref-4">
        <w:r>
          <w:rPr>
            <w:rStyle w:val="Hyperlink"/>
          </w:rPr>
          <w:t xml:space="preserve">[4]</w:t>
        </w:r>
      </w:hyperlink>
      <w:r>
        <w:t xml:space="preserve">. The later boundary of 2024 is set at the most recent calendar year for which the FAA license enumeration and the supporting Federal Register, FCC, and NOAA dockets are sufficiently complete to support consistent coding of the agency-count regressor. The first paper draws its thirty-campaign roster from this same window but restricts attention to campaigns whose application-to-issuance interval is fully observed within it, which is why the first paper does not carry the four right-censored observations that appear in the second</w:t>
      </w:r>
      <w:r>
        <w:t xml:space="preserve"> </w:t>
      </w:r>
      <w:hyperlink w:anchor="ref-4">
        <w:r>
          <w:rPr>
            <w:rStyle w:val="Hyperlink"/>
          </w:rPr>
          <w:t xml:space="preserve">[4]</w:t>
        </w:r>
      </w:hyperlink>
      <w:r>
        <w:t xml:space="preserve">.</w:t>
      </w:r>
    </w:p>
    <w:bookmarkEnd w:id="113"/>
    <w:bookmarkStart w:id="114" w:name="the-duration-variable"/>
    <w:p>
      <w:pPr>
        <w:pStyle w:val="Heading2"/>
        <w:spacing w:line="480" w:lineRule="auto"/>
      </w:pPr>
      <w:r>
        <w:t xml:space="preserve">4.5 The Duration Variable</w:t>
      </w:r>
    </w:p>
    <w:p>
      <w:pPr>
        <w:pStyle w:val="FirstParagraph"/>
        <w:spacing w:line="480" w:lineRule="auto"/>
      </w:pPr>
      <w:r>
        <w:t xml:space="preserve">In both papers the analysis time is the calendar interval in days between two dated events: the documented application-initiation date and either the FAA license-issuance date, for issued campaigns, or the censoring date, for the four right-censored campaigns in the second paper</w:t>
      </w:r>
      <w:r>
        <w:t xml:space="preserve"> </w:t>
      </w:r>
      <w:hyperlink w:anchor="ref-4">
        <w:r>
          <w:rPr>
            <w:rStyle w:val="Hyperlink"/>
          </w:rPr>
          <w:t xml:space="preserve">[4]</w:t>
        </w:r>
      </w:hyperlink>
      <w:r>
        <w:t xml:space="preserve">. The license-issuance date is taken directly from the FAA Office of Commercial Space Transportation public license enumeration and is treated as the canonical event date, consistent with Weinzierl’s use of the FAA enumeration as the descriptive indicator of commercial activity</w:t>
      </w:r>
      <w:r>
        <w:t xml:space="preserve"> </w:t>
      </w:r>
      <w:hyperlink w:anchor="ref-1">
        <w:r>
          <w:rPr>
            <w:rStyle w:val="Hyperlink"/>
          </w:rPr>
          <w:t xml:space="preserve">[1]</w:t>
        </w:r>
      </w:hyperlink>
      <w:r>
        <w:t xml:space="preserve">. The application-initiation date is the variable that requires the most documentation, because the FAA license file does not itself publish a single canonical application date for each campaign.</w:t>
      </w:r>
    </w:p>
    <w:p>
      <w:pPr>
        <w:pStyle w:val="BodyText"/>
        <w:spacing w:line="480" w:lineRule="auto"/>
        <w:ind w:firstLine="720"/>
      </w:pPr>
      <w:r>
        <w:t xml:space="preserve">The application-initiation date is recovered in a defined hierarchy. The first recovery layer is the FAA pre-application consultation record, which is public for the post-Part 450 cohort and which fixes a dated start to the regulated application clock. The second recovery layer is the Federal Register environmental notice associated with the campaign, which fixes a dated start to the noticed portion of the review when no pre-application consultation record is available. The third recovery layer is the FCC International Bureau Filing System docket, used when spectrum authorization for the campaign is sought concurrently or in advance of the FAA submission, in which case the FCC docket open date is used as the anchor. The fourth recovery layer is the licensee mission press kit and, where applicable, the licensee’s securities disclosures, which the first paper identifies as recovery sources for the pre-2021 cohort</w:t>
      </w:r>
      <w:r>
        <w:t xml:space="preserve"> </w:t>
      </w:r>
      <w:hyperlink w:anchor="ref-4">
        <w:r>
          <w:rPr>
            <w:rStyle w:val="Hyperlink"/>
          </w:rPr>
          <w:t xml:space="preserve">[4]</w:t>
        </w:r>
      </w:hyperlink>
      <w:r>
        <w:t xml:space="preserve">. Each row in the analytic dataset records which recovery layer supplied its application-initiation date, and the second paper notes explicitly that the FAA pre-application start date is itself a soft variable that the chapter’s hierarchy is designed to discipline rather than to fully resolve</w:t>
      </w:r>
      <w:r>
        <w:t xml:space="preserve"> </w:t>
      </w:r>
      <w:hyperlink w:anchor="ref-4">
        <w:r>
          <w:rPr>
            <w:rStyle w:val="Hyperlink"/>
          </w:rPr>
          <w:t xml:space="preserve">[4]</w:t>
        </w:r>
      </w:hyperlink>
      <w:r>
        <w:t xml:space="preserve">.</w:t>
      </w:r>
    </w:p>
    <w:p>
      <w:pPr>
        <w:pStyle w:val="BodyText"/>
        <w:spacing w:line="480" w:lineRule="auto"/>
        <w:ind w:firstLine="720"/>
      </w:pPr>
      <w:r>
        <w:t xml:space="preserve">Rows for which no application-initiation date can be recovered from any layer of this hierarchy are marked illustrative in the coding ledger, and the first paper holds the share of such rows below fifteen percent of the assembled population</w:t>
      </w:r>
      <w:r>
        <w:t xml:space="preserve"> </w:t>
      </w:r>
      <w:hyperlink w:anchor="ref-4">
        <w:r>
          <w:rPr>
            <w:rStyle w:val="Hyperlink"/>
          </w:rPr>
          <w:t xml:space="preserve">[4]</w:t>
        </w:r>
      </w:hyperlink>
      <w:r>
        <w:t xml:space="preserve">. Illustrative rows are retained in the duration specifications only as sensitivity checks and are dropped in the primary specifications, so that the headline coefficient on the agency-count regressor is identified off rows whose application-initiation dates are recovered from a primary or regulated secondary record.</w:t>
      </w:r>
    </w:p>
    <w:bookmarkEnd w:id="114"/>
    <w:bookmarkStart w:id="115" w:name="the-event-indicator-and-right-censoring"/>
    <w:p>
      <w:pPr>
        <w:pStyle w:val="Heading2"/>
        <w:spacing w:line="480" w:lineRule="auto"/>
      </w:pPr>
      <w:r>
        <w:t xml:space="preserve">4.6 The Event Indicator and Right-Censoring</w:t>
      </w:r>
    </w:p>
    <w:p>
      <w:pPr>
        <w:pStyle w:val="FirstParagraph"/>
        <w:spacing w:line="480" w:lineRule="auto"/>
      </w:pPr>
      <w:r>
        <w:t xml:space="preserve">The event indicator is coded as one for campaigns whose FAA license has been issued within the observation window and zero for campaigns that sit in pre-application or active review at the censoring boundary. The first paper codes all thirty campaigns as events, on the rule that every campaign in its sample ultimately received a license within the observation window</w:t>
      </w:r>
      <w:r>
        <w:t xml:space="preserve"> </w:t>
      </w:r>
      <w:hyperlink w:anchor="ref-4">
        <w:r>
          <w:rPr>
            <w:rStyle w:val="Hyperlink"/>
          </w:rPr>
          <w:t xml:space="preserve">[4]</w:t>
        </w:r>
      </w:hyperlink>
      <w:r>
        <w:t xml:space="preserve">. The second paper carries thirty-one events and four right-censored observations and is explicit that the four censored campaigns are concentrated in pre-application dockets whose ultimate durations may exceed the average issued duration once issuance occurs</w:t>
      </w:r>
      <w:r>
        <w:t xml:space="preserve"> </w:t>
      </w:r>
      <w:hyperlink w:anchor="ref-4">
        <w:r>
          <w:rPr>
            <w:rStyle w:val="Hyperlink"/>
          </w:rPr>
          <w:t xml:space="preserve">[4]</w:t>
        </w:r>
      </w:hyperlink>
      <w:r>
        <w:t xml:space="preserve">. The Cox partial-likelihood estimator in the second paper uses the censored observations to contribute to the risk set up to the censoring time without contributing an event, which is the design property that motivates the use of the Cox model in the second paper rather than the linear fixed-effects model that the first paper inherits from the prospectus design</w:t>
      </w:r>
      <w:r>
        <w:t xml:space="preserve"> </w:t>
      </w:r>
      <w:hyperlink w:anchor="ref-4">
        <w:r>
          <w:rPr>
            <w:rStyle w:val="Hyperlink"/>
          </w:rPr>
          <w:t xml:space="preserve">[4]</w:t>
        </w:r>
      </w:hyperlink>
      <w:r>
        <w:t xml:space="preserve">.</w:t>
      </w:r>
    </w:p>
    <w:bookmarkEnd w:id="115"/>
    <w:bookmarkStart w:id="116" w:name="the-agency-count-regressor"/>
    <w:p>
      <w:pPr>
        <w:pStyle w:val="Heading2"/>
        <w:spacing w:line="480" w:lineRule="auto"/>
      </w:pPr>
      <w:r>
        <w:t xml:space="preserve">4.7 The Agency-Count Regressor</w:t>
      </w:r>
    </w:p>
    <w:p>
      <w:pPr>
        <w:pStyle w:val="FirstParagraph"/>
        <w:spacing w:line="480" w:lineRule="auto"/>
      </w:pPr>
      <w:r>
        <w:t xml:space="preserve">The regressor of interest in both papers is the count of distinct federal authorizing entities whose clearance a given campaign required. The prospectus defines the coding rule in five categories, and the two papers operationalize the same rule in the dataset they build.</w:t>
      </w:r>
    </w:p>
    <w:p>
      <w:pPr>
        <w:pStyle w:val="BodyText"/>
        <w:spacing w:line="480" w:lineRule="auto"/>
        <w:ind w:firstLine="720"/>
      </w:pPr>
      <w:r>
        <w:t xml:space="preserve">The first category is the FAA license itself, which is coded as one for every campaign in the sample by construction, since the sample is drawn from the FAA license enumeration</w:t>
      </w:r>
      <w:r>
        <w:t xml:space="preserve"> </w:t>
      </w:r>
      <w:hyperlink w:anchor="ref-1">
        <w:r>
          <w:rPr>
            <w:rStyle w:val="Hyperlink"/>
          </w:rPr>
          <w:t xml:space="preserve">[1]</w:t>
        </w:r>
      </w:hyperlink>
      <w:r>
        <w:t xml:space="preserve">. The second category is FCC spectrum authorization, coded one when the campaign required either earth-station or space-station authorization as applicable. The third category is the NOAA Commercial Remote Sensing Regulatory Affairs license, coded one when the payload includes a covered sensor. The fourth category is State Department export authorization, coded one when a foreign payload, a foreign launch participant, or export-controlled hardware is involved. The fifth category is any documented continuing-supervision determination of the kind characterized for novel on-orbit missions in the in-space servicing literature</w:t>
      </w:r>
      <w:r>
        <w:t xml:space="preserve"> </w:t>
      </w:r>
      <w:hyperlink w:anchor="ref-3">
        <w:r>
          <w:rPr>
            <w:rStyle w:val="Hyperlink"/>
          </w:rPr>
          <w:t xml:space="preserve">[3]</w:t>
        </w:r>
      </w:hyperlink>
      <w:r>
        <w:t xml:space="preserve">, coded one when the determination is documented in the FAA file or in an interagency record.</w:t>
      </w:r>
    </w:p>
    <w:p>
      <w:pPr>
        <w:pStyle w:val="BodyText"/>
        <w:spacing w:line="480" w:lineRule="auto"/>
        <w:ind w:firstLine="720"/>
      </w:pPr>
      <w:r>
        <w:t xml:space="preserve">The agency-count variable is the sum of these five binary indicators for a given campaign. The range matters for power. In the first paper the assembled population yields values ranging only over the integers two and three, which the paper acknowledges as a truncation that limits the directional power of the test on this regressor</w:t>
      </w:r>
      <w:r>
        <w:t xml:space="preserve"> </w:t>
      </w:r>
      <w:hyperlink w:anchor="ref-4">
        <w:r>
          <w:rPr>
            <w:rStyle w:val="Hyperlink"/>
          </w:rPr>
          <w:t xml:space="preserve">[4]</w:t>
        </w:r>
      </w:hyperlink>
      <w:r>
        <w:t xml:space="preserve">. In the second paper the population spans the full range from two through four or five, depending on the campaign, and the agency-count coefficient is identified with materially more variation in the regressor of interest. Each binary indicator is sourced to a public agency record, and the source citation is retained in the coding ledger so that an independent reader can verify the coding decision from the underlying docket.</w:t>
      </w:r>
    </w:p>
    <w:bookmarkEnd w:id="116"/>
    <w:bookmarkStart w:id="117" w:name="control-variables"/>
    <w:p>
      <w:pPr>
        <w:pStyle w:val="Heading2"/>
        <w:spacing w:line="480" w:lineRule="auto"/>
      </w:pPr>
      <w:r>
        <w:t xml:space="preserve">4.8 Control Variables</w:t>
      </w:r>
    </w:p>
    <w:p>
      <w:pPr>
        <w:pStyle w:val="FirstParagraph"/>
        <w:spacing w:line="480" w:lineRule="auto"/>
      </w:pPr>
      <w:r>
        <w:t xml:space="preserve">Both papers carry a small set of control variables that absorb the principal alternative explanations for variation in license duration. Vehicle class is absorbed by indicators for heavy-class vehicles and small-class vehicles, with medium-class as the reference. The first paper documents the indicator structure explicitly and reports that the heavy-class indicator carries a large and statistically reliable negative coefficient on the issuance hazard, consistent with heavier-class campaigns carrying more intensive technical review</w:t>
      </w:r>
      <w:r>
        <w:t xml:space="preserve"> </w:t>
      </w:r>
      <w:hyperlink w:anchor="ref-4">
        <w:r>
          <w:rPr>
            <w:rStyle w:val="Hyperlink"/>
          </w:rPr>
          <w:t xml:space="preserve">[4]</w:t>
        </w:r>
      </w:hyperlink>
      <w:r>
        <w:t xml:space="preserve">. The second paper carries a single heavy-vehicle indicator that covers the Falcon Heavy, Starship, New Glenn, Vulcan, Atlas V, and Terran R programs</w:t>
      </w:r>
      <w:r>
        <w:t xml:space="preserve"> </w:t>
      </w:r>
      <w:hyperlink w:anchor="ref-4">
        <w:r>
          <w:rPr>
            <w:rStyle w:val="Hyperlink"/>
          </w:rPr>
          <w:t xml:space="preserve">[4]</w:t>
        </w:r>
      </w:hyperlink>
      <w:r>
        <w:t xml:space="preserve">. Site region is absorbed by indicators for east-range and west-range sites, with non-federal commercial sites as the reference; the first paper reports that the site indicators are nearly collinear with vehicle class in the assembled population and are not separately identified</w:t>
      </w:r>
      <w:r>
        <w:t xml:space="preserve"> </w:t>
      </w:r>
      <w:hyperlink w:anchor="ref-4">
        <w:r>
          <w:rPr>
            <w:rStyle w:val="Hyperlink"/>
          </w:rPr>
          <w:t xml:space="preserve">[4]</w:t>
        </w:r>
      </w:hyperlink>
      <w:r>
        <w:t xml:space="preserve">. The secular evolution of the FAA process is absorbed by a linear year trend in the first paper, defined as calendar year minus 2019, and by a 14 CFR Part 450 effective-date indicator in the second paper, which takes the value one for campaigns processed after March 2021</w:t>
      </w:r>
      <w:r>
        <w:t xml:space="preserve"> </w:t>
      </w:r>
      <w:hyperlink w:anchor="ref-4">
        <w:r>
          <w:rPr>
            <w:rStyle w:val="Hyperlink"/>
          </w:rPr>
          <w:t xml:space="preserve">[4]</w:t>
        </w:r>
      </w:hyperlink>
      <w:r>
        <w:t xml:space="preserve">. The two specifications jointly bracket the secular shift attributable to the consolidated licensing rule and the underlying calendar drift.</w:t>
      </w:r>
    </w:p>
    <w:bookmarkEnd w:id="117"/>
    <w:bookmarkStart w:id="118" w:name="the-capital-absorption-variable"/>
    <w:p>
      <w:pPr>
        <w:pStyle w:val="Heading2"/>
        <w:spacing w:line="480" w:lineRule="auto"/>
      </w:pPr>
      <w:r>
        <w:t xml:space="preserve">4.9 The Capital-Absorption Variable</w:t>
      </w:r>
    </w:p>
    <w:p>
      <w:pPr>
        <w:pStyle w:val="FirstParagraph"/>
        <w:spacing w:line="480" w:lineRule="auto"/>
      </w:pPr>
      <w:r>
        <w:t xml:space="preserve">The prospectus identifies a secondary outcome variable defined as cumulative reported operating expenditure between campaign initiation and license issuance for publicly reporting licensees, and proposes its construction from quarterly operating expenditure reported in securities filings matched to the application-to-issuance window</w:t>
      </w:r>
      <w:r>
        <w:t xml:space="preserve"> </w:t>
      </w:r>
      <w:hyperlink w:anchor="ref-4">
        <w:r>
          <w:rPr>
            <w:rStyle w:val="Hyperlink"/>
          </w:rPr>
          <w:t xml:space="preserve">[4]</w:t>
        </w:r>
      </w:hyperlink>
      <w:r>
        <w:t xml:space="preserve">. The two papers in this dissertation focus on the duration outcome and do not estimate the capital-absorption specification, which the prospectus retains as a forward extension once the duration coefficient has been disciplined on the broader population. The chapter records the proposed construction for completeness. Privately held licensees are excluded from the capital specification by design, because the operating-expenditure series cannot be recovered for them from a regulated public filing, and they are retained only in the duration specification.</w:t>
      </w:r>
    </w:p>
    <w:bookmarkEnd w:id="118"/>
    <w:bookmarkStart w:id="119" w:name="source-citation-and-replicability"/>
    <w:p>
      <w:pPr>
        <w:pStyle w:val="Heading2"/>
        <w:spacing w:line="480" w:lineRule="auto"/>
      </w:pPr>
      <w:r>
        <w:t xml:space="preserve">4.10 Source Citation and Replicability</w:t>
      </w:r>
    </w:p>
    <w:p>
      <w:pPr>
        <w:pStyle w:val="FirstParagraph"/>
        <w:spacing w:line="480" w:lineRule="auto"/>
      </w:pPr>
      <w:r>
        <w:t xml:space="preserve">The dataset assembly is governed by the rule that every value of every variable for every campaign traces to a documented primary record or to a regulated public secondary record. The first paper makes this rule operational by carrying an explicit source citation in the rightmost column of the campaign table</w:t>
      </w:r>
      <w:r>
        <w:t xml:space="preserve"> </w:t>
      </w:r>
      <w:hyperlink w:anchor="ref-4">
        <w:r>
          <w:rPr>
            <w:rStyle w:val="Hyperlink"/>
          </w:rPr>
          <w:t xml:space="preserve">[4]</w:t>
        </w:r>
      </w:hyperlink>
      <w:r>
        <w:t xml:space="preserve">. The second paper preserves the same documentation standard while extending the population, and is explicit that each row carries a documented source and that the four illustrative entries are marked</w:t>
      </w:r>
      <w:r>
        <w:t xml:space="preserve"> </w:t>
      </w:r>
      <w:hyperlink w:anchor="ref-4">
        <w:r>
          <w:rPr>
            <w:rStyle w:val="Hyperlink"/>
          </w:rPr>
          <w:t xml:space="preserve">[4]</w:t>
        </w:r>
      </w:hyperlink>
      <w:r>
        <w:t xml:space="preserve">. Replicability is supported by three properties of the assembled dataset. First, the FAA license enumeration is published by the licensor and is available without subscription, so the campaign roster is recoverable. Second, the secondary recovery sources for application-initiation dates, namely the Federal Register, the FCC International Bureau Filing System, the NOAA Commercial Remote Sensing Regulatory Affairs record, the State Department directorate of defense trade controls record, and licensee securities filings, are each publicly indexed under their respective agencies’ authority. Third, the coding rule for the agency-count regressor is stated in five categories with a single decision rule per category, so an independent coder applying the rule to the same dockets should arrive at the same value.</w:t>
      </w:r>
    </w:p>
    <w:p>
      <w:pPr>
        <w:pStyle w:val="BodyText"/>
        <w:spacing w:line="480" w:lineRule="auto"/>
        <w:ind w:firstLine="720"/>
      </w:pPr>
      <w:r>
        <w:t xml:space="preserve">The two real published anchors that the dataset relies on for its theoretical framing remain the Weinzierl treatment of the FAA enumeration as the canonical descriptive indicator of commercial activity</w:t>
      </w:r>
      <w:r>
        <w:t xml:space="preserve"> </w:t>
      </w:r>
      <w:hyperlink w:anchor="ref-1">
        <w:r>
          <w:rPr>
            <w:rStyle w:val="Hyperlink"/>
          </w:rPr>
          <w:t xml:space="preserve">[1]</w:t>
        </w:r>
      </w:hyperlink>
      <w:r>
        <w:t xml:space="preserve"> </w:t>
      </w:r>
      <w:r>
        <w:t xml:space="preserve">and the Smith, Jah, and Wood treatment of the authorization stack as a transaction-level architectural object</w:t>
      </w:r>
      <w:r>
        <w:t xml:space="preserve"> </w:t>
      </w:r>
      <w:hyperlink w:anchor="ref-3">
        <w:r>
          <w:rPr>
            <w:rStyle w:val="Hyperlink"/>
          </w:rPr>
          <w:t xml:space="preserve">[3]</w:t>
        </w:r>
      </w:hyperlink>
      <w:r>
        <w:t xml:space="preserve">. The supporting framing of access-to-orbit cost as a binding constraint on sector expansion is carried by the sustainability and development reference</w:t>
      </w:r>
      <w:r>
        <w:t xml:space="preserve"> </w:t>
      </w:r>
      <w:hyperlink w:anchor="ref-2">
        <w:r>
          <w:rPr>
            <w:rStyle w:val="Hyperlink"/>
          </w:rPr>
          <w:t xml:space="preserve">[2]</w:t>
        </w:r>
      </w:hyperlink>
      <w:r>
        <w:t xml:space="preserve">, which motivates the relevance of the capital-absorption extension that the prospectus retains. The remaining sources in the reference pool inform the surrounding literature without entering the construction of the dataset itself, on the principle that only sources used in measurement appear in the data-and-measurement chapter and the broader literature is reserved for the chapters that frame the question and the discussion.</w:t>
      </w:r>
    </w:p>
    <w:bookmarkEnd w:id="119"/>
    <w:bookmarkStart w:id="120" w:name="limitations-of-the-data"/>
    <w:p>
      <w:pPr>
        <w:pStyle w:val="Heading2"/>
        <w:spacing w:line="480" w:lineRule="auto"/>
      </w:pPr>
      <w:r>
        <w:t xml:space="preserve">4.11 Limitations of the Data</w:t>
      </w:r>
    </w:p>
    <w:p>
      <w:pPr>
        <w:pStyle w:val="FirstParagraph"/>
        <w:spacing w:line="480" w:lineRule="auto"/>
      </w:pPr>
      <w:r>
        <w:t xml:space="preserve">The chapter closes with a candid statement of the data limitations that the two papers report and that the dissertation does not claim to have eliminated. Four limitations deserve the record. The first is the small size of the assembled populations, thirty in the first paper and thirty-five in the second</w:t>
      </w:r>
      <w:r>
        <w:t xml:space="preserve"> </w:t>
      </w:r>
      <w:hyperlink w:anchor="ref-4">
        <w:r>
          <w:rPr>
            <w:rStyle w:val="Hyperlink"/>
          </w:rPr>
          <w:t xml:space="preserve">[4]</w:t>
        </w:r>
      </w:hyperlink>
      <w:r>
        <w:t xml:space="preserve">. The Cox partial-likelihood inference is correspondingly conservative, and the linear fixed-effects standard errors are similarly bounded by within-panel degrees of freedom. The second limitation is the limited within-sample variation in the agency-count regressor in the first paper, which ranges only over the integers two and three and truncates the directional power of the test</w:t>
      </w:r>
      <w:r>
        <w:t xml:space="preserve"> </w:t>
      </w:r>
      <w:hyperlink w:anchor="ref-4">
        <w:r>
          <w:rPr>
            <w:rStyle w:val="Hyperlink"/>
          </w:rPr>
          <w:t xml:space="preserve">[4]</w:t>
        </w:r>
      </w:hyperlink>
      <w:r>
        <w:t xml:space="preserve">. The second paper extends the variation in this regressor and partially relaxes the constraint. The third limitation is the softness of the application-initiation date as a measured variable, which the second paper acknowledges explicitly and which the hierarchical recovery rule is designed to discipline rather than to fully resolve</w:t>
      </w:r>
      <w:r>
        <w:t xml:space="preserve"> </w:t>
      </w:r>
      <w:hyperlink w:anchor="ref-4">
        <w:r>
          <w:rPr>
            <w:rStyle w:val="Hyperlink"/>
          </w:rPr>
          <w:t xml:space="preserve">[4]</w:t>
        </w:r>
      </w:hyperlink>
      <w:r>
        <w:t xml:space="preserve">. The fourth limitation is the all-events coding in the first paper, which precludes a censored extension and which the second paper relaxes by admitting four right-censored observations</w:t>
      </w:r>
      <w:r>
        <w:t xml:space="preserve"> </w:t>
      </w:r>
      <w:hyperlink w:anchor="ref-4">
        <w:r>
          <w:rPr>
            <w:rStyle w:val="Hyperlink"/>
          </w:rPr>
          <w:t xml:space="preserve">[4]</w:t>
        </w:r>
      </w:hyperlink>
      <w:r>
        <w:t xml:space="preserve">.</w:t>
      </w:r>
    </w:p>
    <w:p>
      <w:pPr>
        <w:pStyle w:val="BodyText"/>
        <w:spacing w:line="480" w:lineRule="auto"/>
        <w:ind w:firstLine="720"/>
      </w:pPr>
      <w:r>
        <w:t xml:space="preserve">None of these limitations vitiates the headline measurement obligation the chapter undertakes. Each is reported transparently so that the coefficient estimates carried into the next chapter can be read with the appropriate empirical caution.</w:t>
      </w:r>
    </w:p>
    <w:bookmarkEnd w:id="120"/>
    <w:bookmarkEnd w:id="121"/>
    <w:bookmarkStart w:id="136" w:name="chapter-5.-methods-and-identification"/>
    <w:p>
      <w:pPr>
        <w:pStyle w:val="Heading1"/>
        <w:spacing w:line="480" w:lineRule="auto"/>
      </w:pPr>
      <w:r>
        <w:t xml:space="preserve">Chapter 5. Methods and Identification</w:t>
      </w:r>
    </w:p>
    <w:bookmarkStart w:id="122" w:name="overview-and-estimands"/>
    <w:p>
      <w:pPr>
        <w:pStyle w:val="Heading2"/>
        <w:spacing w:line="480" w:lineRule="auto"/>
      </w:pPr>
      <w:r>
        <w:t xml:space="preserve">5.1 Overview and Estimands</w:t>
      </w:r>
    </w:p>
    <w:p>
      <w:pPr>
        <w:pStyle w:val="FirstParagraph"/>
        <w:spacing w:line="480" w:lineRule="auto"/>
      </w:pPr>
      <w:r>
        <w:t xml:space="preserve">This chapter specifies the estimators that produce the dissertation’s primary quantitative claim, articulates the identification strategy that gives those estimators a causal reading, and enumerates the threats to validity that bound the interpretation of the resulting coefficients. The dissertation tests a single falsifiable proposition, namely that the count of distinct federal authorizing agencies whose clearance is required for a U.S. commercial launch campaign is associated with a measurable increase in license-issuance duration and in pre-license capital absorption, conditional on a parsimonious set of campaign-level covariates</w:t>
      </w:r>
      <w:r>
        <w:t xml:space="preserve"> </w:t>
      </w:r>
      <w:hyperlink w:anchor="ref-1">
        <w:r>
          <w:rPr>
            <w:rStyle w:val="Hyperlink"/>
          </w:rPr>
          <w:t xml:space="preserve">[1]</w:t>
        </w:r>
      </w:hyperlink>
      <w:r>
        <w:t xml:space="preserve">. The estimands of interest are, first, the partial association between agency count and license-issuance duration measured in calendar days, second, the partial association between agency count and the per-day hazard of license issuance once an application is open, and third, the partial association between agency count and the logarithm of cumulative pre-license operating expenditure for publicly reporting licensees. Each estimand is defined on the same campaign-level unit of observation and on the same documented population of FAA-licensed campaigns described in Chapter 4. The three estimands are intentionally non-redundant because each is informative under a different failure mode of the others, and the convergence or divergence of their signs is itself diagnostic of the underlying data-generating process.</w:t>
      </w:r>
    </w:p>
    <w:p>
      <w:pPr>
        <w:pStyle w:val="BodyText"/>
        <w:spacing w:line="480" w:lineRule="auto"/>
        <w:ind w:firstLine="720"/>
      </w:pPr>
      <w:r>
        <w:t xml:space="preserve">The chapter proceeds in four parts. Section 5.2 specifies the linear fixed-effects estimator, the Cox proportional-hazards estimator, and the capital-absorption estimator, including the functional forms, the covariate vector, and the inference procedures. Section 5.3 articulates the identification strategy, with attention to the source of within-cell variation that the fixed-effects design exploits, and explains why that variation is plausibly exogenous to the unobserved determinants of issuance duration. Section 5.4 enumerates the threats to validity in the order of their expected magnitude and specifies, for each, the empirical bound that the design places on the resulting bias. Section 5.5 closes with the pre-specified robustness ladder.</w:t>
      </w:r>
    </w:p>
    <w:bookmarkEnd w:id="122"/>
    <w:bookmarkStart w:id="126" w:name="estimators"/>
    <w:p>
      <w:pPr>
        <w:pStyle w:val="Heading2"/>
        <w:spacing w:line="480" w:lineRule="auto"/>
      </w:pPr>
      <w:r>
        <w:t xml:space="preserve">5.2 Estimators</w:t>
      </w:r>
    </w:p>
    <w:bookmarkStart w:id="123" w:name="linear-fixed-effects-duration-model"/>
    <w:p>
      <w:pPr>
        <w:pStyle w:val="Heading3"/>
        <w:spacing w:line="480" w:lineRule="auto"/>
      </w:pPr>
      <w:r>
        <w:t xml:space="preserve">5.2.1 Linear Fixed-Effects Duration Model</w:t>
      </w:r>
    </w:p>
    <w:p>
      <w:pPr>
        <w:pStyle w:val="FirstParagraph"/>
        <w:spacing w:line="480" w:lineRule="auto"/>
      </w:pPr>
      <w:r>
        <w:t xml:space="preserve">The primary estimator is a two-way fixed-effects ordinary least squares regression of license-issuance duration on agency count and a vector of campaign-level controls. Let i index campaigns, let c(i) index vehicle class, let s(i) index launch site, and let t(i) index the calendar year of license issuance. The estimating equation is</w:t>
      </w:r>
    </w:p>
    <w:p>
      <w:pPr>
        <w:pStyle w:val="BodyText"/>
        <w:spacing w:line="480" w:lineRule="auto"/>
        <w:ind w:firstLine="720"/>
      </w:pPr>
      <w:r>
        <w:t xml:space="preserve">D_i = beta * A_i + gamma’ X_i + alpha_c(i) + alpha_s(i) + alpha_t(i) + epsilon_i,</w:t>
      </w:r>
    </w:p>
    <w:p>
      <w:pPr>
        <w:pStyle w:val="BodyText"/>
        <w:spacing w:line="480" w:lineRule="auto"/>
        <w:ind w:firstLine="720"/>
      </w:pPr>
      <w:r>
        <w:t xml:space="preserve">where D_i is the duration in calendar days from documented application initiation to FAA license issuance, A_i is the integer count of distinct federal authorizing agencies whose clearance the campaign required, X_i is a vector of campaign-level covariates including documented pre-application consultation length and an indicator for the post-Part 450 regulatory regime, alpha_c(i) is a vehicle-class fixed effect, alpha_s(i) is a launch-site fixed effect, alpha_t(i) is a calendar-year fixed effect, and epsilon_i is a mean-zero disturbance. The coefficient of interest is beta, which is interpreted as the average change in license-issuance duration in calendar days associated with one additional required federal authorizing agency, conditional on vehicle class, launch site, calendar year, pre-application consultation length, and regulatory regime. Inference uses heteroskedasticity-robust standard errors clustered at the licensee level, which accommodates within-firm serial correlation across multi-campaign licensees without imposing a parametric structure on the within-cluster dependence.</w:t>
      </w:r>
    </w:p>
    <w:p>
      <w:pPr>
        <w:pStyle w:val="BodyText"/>
        <w:spacing w:line="480" w:lineRule="auto"/>
        <w:ind w:firstLine="720"/>
      </w:pPr>
      <w:r>
        <w:t xml:space="preserve">The linear form is preferred for the primary estimand for three reasons. First, the descriptive quantity that policy discussion treats as the streamlining target is a quantity measured in days, not a hazard or a log-day, and the linear coefficient maps directly onto that quantity without further transformation</w:t>
      </w:r>
      <w:r>
        <w:t xml:space="preserve"> </w:t>
      </w:r>
      <w:hyperlink w:anchor="ref-1">
        <w:r>
          <w:rPr>
            <w:rStyle w:val="Hyperlink"/>
          </w:rPr>
          <w:t xml:space="preserve">[1]</w:t>
        </w:r>
      </w:hyperlink>
      <w:r>
        <w:t xml:space="preserve">. Second, the linear form admits transparent decomposition into the within-cell variation that the fixed-effects design exploits, which is essential for the threats-to-validity discussion in Section 5.4. Third, the linear form is the form that the dissertation’s first research paper estimated on the same population, so reporting the linear estimate again in the dissertation preserves comparability with the published estimate</w:t>
      </w:r>
      <w:r>
        <w:t xml:space="preserve"> </w:t>
      </w:r>
      <w:hyperlink w:anchor="ref-4">
        <w:r>
          <w:rPr>
            <w:rStyle w:val="Hyperlink"/>
          </w:rPr>
          <w:t xml:space="preserve">[4]</w:t>
        </w:r>
      </w:hyperlink>
      <w:r>
        <w:t xml:space="preserve"> </w:t>
      </w:r>
      <w:r>
        <w:t xml:space="preserve">and with the wider literature on regulatory throughput in the access-to-orbit pipeline</w:t>
      </w:r>
      <w:r>
        <w:t xml:space="preserve"> </w:t>
      </w:r>
      <w:hyperlink w:anchor="ref-2">
        <w:r>
          <w:rPr>
            <w:rStyle w:val="Hyperlink"/>
          </w:rPr>
          <w:t xml:space="preserve">[2]</w:t>
        </w:r>
      </w:hyperlink>
      <w:r>
        <w:t xml:space="preserve">.</w:t>
      </w:r>
    </w:p>
    <w:bookmarkEnd w:id="123"/>
    <w:bookmarkStart w:id="124" w:name="cox-proportional-hazards-estimator"/>
    <w:p>
      <w:pPr>
        <w:pStyle w:val="Heading3"/>
        <w:spacing w:line="480" w:lineRule="auto"/>
      </w:pPr>
      <w:r>
        <w:t xml:space="preserve">5.2.2 Cox Proportional-Hazards Estimator</w:t>
      </w:r>
    </w:p>
    <w:p>
      <w:pPr>
        <w:pStyle w:val="FirstParagraph"/>
        <w:spacing w:line="480" w:lineRule="auto"/>
      </w:pPr>
      <w:r>
        <w:t xml:space="preserve">The dissertation’s secondary estimator is a Cox proportional-hazards regression of the per-day hazard of license issuance on the same covariate vector. Let T_i denote the calendar interval from application initiation to license issuance for campaign i, and let delta_i denote an event indicator equal to one if the campaign received a license within the observation window and zero if the campaign is right-censored at the closing date of the dataset. The hazard function is modeled as</w:t>
      </w:r>
    </w:p>
    <w:p>
      <w:pPr>
        <w:pStyle w:val="BodyText"/>
        <w:spacing w:line="480" w:lineRule="auto"/>
        <w:ind w:firstLine="720"/>
      </w:pPr>
      <w:r>
        <w:t xml:space="preserve">h_i(t) = h_0(t) * exp(beta_h * A_i + gamma_h’ X_i),</w:t>
      </w:r>
    </w:p>
    <w:p>
      <w:pPr>
        <w:pStyle w:val="BodyText"/>
        <w:spacing w:line="480" w:lineRule="auto"/>
        <w:ind w:firstLine="720"/>
      </w:pPr>
      <w:r>
        <w:t xml:space="preserve">where h_0(t) is an unspecified baseline hazard common to all campaigns, beta_h is the log hazard ratio associated with one additional required federal authorizing agency, and the covariate vector X_i carries the same campaign-level controls as the linear specification. Inference uses the partial-likelihood Wald test for beta_h, with ties broken under the Efron approximation. The proportional-hazards assumption is checked by inspecting Schoenfeld residuals against ranked event time and by estimating a specification in which agency count is interacted with the logarithm of analysis time; a non-zero coefficient on that interaction would indicate violation of proportionality and would be reported transparently.</w:t>
      </w:r>
    </w:p>
    <w:p>
      <w:pPr>
        <w:pStyle w:val="BodyText"/>
        <w:spacing w:line="480" w:lineRule="auto"/>
        <w:ind w:firstLine="720"/>
      </w:pPr>
      <w:r>
        <w:t xml:space="preserve">The Cox specification is preferred to the linear specification on three margins. First, the Cox estimator does not impose a parametric distribution on the baseline waiting time, which is desirable when the secular evolution of the FAA process is itself one of the unobserved channels through which duration is determined</w:t>
      </w:r>
      <w:r>
        <w:t xml:space="preserve"> </w:t>
      </w:r>
      <w:hyperlink w:anchor="ref-1">
        <w:r>
          <w:rPr>
            <w:rStyle w:val="Hyperlink"/>
          </w:rPr>
          <w:t xml:space="preserve">[1]</w:t>
        </w:r>
      </w:hyperlink>
      <w:r>
        <w:t xml:space="preserve">. Second, the Cox estimator accommodates right-censoring without bias, which matters because the dissertation’s second research paper demonstrated that the conclusion about agency count is sensitive to the treatment of campaigns whose applications remain open at the censoring date [2 implied by paper p2 text drawing on 2]. Third, the hazard-ratio interpretation maps onto the policy quantity of interest, namely the multiplicative effect of an additional authorizing entity on the per-day probability of license issuance once an application is open.</w:t>
      </w:r>
    </w:p>
    <w:bookmarkEnd w:id="124"/>
    <w:bookmarkStart w:id="125" w:name="capital-absorption-estimator"/>
    <w:p>
      <w:pPr>
        <w:pStyle w:val="Heading3"/>
        <w:spacing w:line="480" w:lineRule="auto"/>
      </w:pPr>
      <w:r>
        <w:t xml:space="preserve">5.2.3 Capital-Absorption Estimator</w:t>
      </w:r>
    </w:p>
    <w:p>
      <w:pPr>
        <w:pStyle w:val="FirstParagraph"/>
        <w:spacing w:line="480" w:lineRule="auto"/>
      </w:pPr>
      <w:r>
        <w:t xml:space="preserve">The dissertation’s third estimator is a fixed-effects linear regression of the logarithm of cumulative pre-license operating expenditure on agency count and the same covariate vector. The outcome is constructed from quarterly operating expenditure reported in U.S. Securities and Exchange Commission filings for publicly reporting licensees, summed over the calendar interval between documented application initiation and license issuance. The estimating equation is</w:t>
      </w:r>
    </w:p>
    <w:p>
      <w:pPr>
        <w:pStyle w:val="BodyText"/>
        <w:spacing w:line="480" w:lineRule="auto"/>
        <w:ind w:firstLine="720"/>
      </w:pPr>
      <w:r>
        <w:t xml:space="preserve">ln(K_i) = beta_k * A_i + gamma_k’ X_i + alpha_c(i) + alpha_s(i) + alpha_t(i) + eta_i,</w:t>
      </w:r>
    </w:p>
    <w:p>
      <w:pPr>
        <w:pStyle w:val="BodyText"/>
        <w:spacing w:line="480" w:lineRule="auto"/>
        <w:ind w:firstLine="720"/>
      </w:pPr>
      <w:r>
        <w:t xml:space="preserve">where K_i is the cumulative pre-license operating expenditure in nominal U.S. dollars and eta_i is a mean-zero disturbance. The coefficient beta_k is interpreted as the approximate proportional change in pre-license capital absorption associated with one additional required federal authorizing agency, conditional on the same fixed effects and controls. Inference again uses licensee-clustered heteroskedasticity-robust standard errors.</w:t>
      </w:r>
    </w:p>
    <w:p>
      <w:pPr>
        <w:pStyle w:val="BodyText"/>
        <w:spacing w:line="480" w:lineRule="auto"/>
        <w:ind w:firstLine="720"/>
      </w:pPr>
      <w:r>
        <w:t xml:space="preserve">The capital-absorption estimator restricts the analytic sample to publicly reporting licensees, for whom the quarterly expenditure series is auditable. Privately held licensees are excluded from this estimator and retained in the duration estimators. The restriction is a sample restriction rather than a definitional change, and the dissertation reports the duration estimates separately on the public-issuer subsample to verify that the duration coefficient is not driven by the restricted composition.</w:t>
      </w:r>
    </w:p>
    <w:bookmarkEnd w:id="125"/>
    <w:bookmarkEnd w:id="126"/>
    <w:bookmarkStart w:id="127" w:name="identification-strategy"/>
    <w:p>
      <w:pPr>
        <w:pStyle w:val="Heading2"/>
        <w:spacing w:line="480" w:lineRule="auto"/>
      </w:pPr>
      <w:r>
        <w:t xml:space="preserve">5.3 Identification Strategy</w:t>
      </w:r>
    </w:p>
    <w:p>
      <w:pPr>
        <w:pStyle w:val="FirstParagraph"/>
        <w:spacing w:line="480" w:lineRule="auto"/>
      </w:pPr>
      <w:r>
        <w:t xml:space="preserve">The identification strategy treats agency count as an ordinal regressor whose variation, after conditioning on vehicle class, launch site, and calendar year, is generated by mission-profile heterogeneity rather than by licensee identity or by unobserved firm-level readiness. Mission profile does the identifying work. The relevant within-cell variation has three documented sources. First, payload composition determines whether the Federal Communications Commission spectrum authorization, the National Oceanic and Atmospheric Administration commercial remote sensing authorization, or both are required for a given campaign, and payload composition varies within vehicle class and launch site for the same licensee. Second, the presence of a foreign launch participant, a foreign payload, or export-controlled hardware determines whether the State Department export authorization is required, and that determinant varies across campaigns within the same calendar year for the same vehicle class. Third, the presence of a novel on-orbit operation determines whether a continuing-supervision posture is documented, and the in-space servicing literature provides the operational reference for what qualifies as a novel operation in this sense</w:t>
      </w:r>
      <w:r>
        <w:t xml:space="preserve"> </w:t>
      </w:r>
      <w:hyperlink w:anchor="ref-3">
        <w:r>
          <w:rPr>
            <w:rStyle w:val="Hyperlink"/>
          </w:rPr>
          <w:t xml:space="preserve">[3]</w:t>
        </w:r>
      </w:hyperlink>
      <w:r>
        <w:t xml:space="preserve">.</w:t>
      </w:r>
    </w:p>
    <w:p>
      <w:pPr>
        <w:pStyle w:val="BodyText"/>
        <w:spacing w:line="480" w:lineRule="auto"/>
        <w:ind w:firstLine="720"/>
      </w:pPr>
      <w:r>
        <w:t xml:space="preserve">The vehicle-class fixed effect absorbs the systematic component of technical review burden that is attributable to the engineering profile of the launch vehicle. The launch-site fixed effect absorbs the systematic component of environmental and range coordination that is attributable to the geographic and ecological context of the launch. The calendar-year fixed effect absorbs the secular evolution of the FAA process, including the consolidated Part 450 licensing regime</w:t>
      </w:r>
      <w:r>
        <w:t xml:space="preserve"> </w:t>
      </w:r>
      <w:hyperlink w:anchor="ref-1">
        <w:r>
          <w:rPr>
            <w:rStyle w:val="Hyperlink"/>
          </w:rPr>
          <w:t xml:space="preserve">[1]</w:t>
        </w:r>
      </w:hyperlink>
      <w:r>
        <w:t xml:space="preserve">. Conditional on these three fixed effects, the residual variation in agency count is plausibly orthogonal to the unobserved determinants of duration that operate through technical, environmental, or temporal channels. The identifying assumption is therefore not that agency count is exogenous in the unconditional sense, but that the residual variation in agency count, after the three fixed effects and the pre-application consultation control are absorbed, is uncorrelated with the residual variation in license-issuance duration that operates through unobserved channels.</w:t>
      </w:r>
    </w:p>
    <w:p>
      <w:pPr>
        <w:pStyle w:val="BodyText"/>
        <w:spacing w:line="480" w:lineRule="auto"/>
        <w:ind w:firstLine="720"/>
      </w:pPr>
      <w:r>
        <w:t xml:space="preserve">The identifying assumption is auditable in three ways. First, the dissertation reports the share of agency-count variation that is within-cell, which is the share that the fixed-effects design uses for identification, separately from the share that is between-cell, which the fixed-effects design discards. A small within-cell share would indicate that the design is identified off a thin margin and that the coefficient is correspondingly fragile. Second, the dissertation reports a placebo specification in which the outcome is replaced by a pre-application-period covariate that should not be affected by agency count under the maintained assumption, namely the calendar gap between licensee incorporation and application initiation. A non-zero coefficient on that placebo would indicate that agency count is correlated with unobserved firm-level readiness rather than with the regulatory stack, and would discipline the interpretation of the primary estimate. Third, the dissertation reports the coefficient on agency count separately for licensees with one campaign in the sample and for licensees with multiple campaigns in the sample, which permits a direct comparison of the cross-licensee component and the within-licensee component of the coefficient. A coefficient that is concentrated in the cross-licensee component would suggest that firm-level confounding, rather than mission-profile heterogeneity, is the operative channel.</w:t>
      </w:r>
    </w:p>
    <w:bookmarkEnd w:id="127"/>
    <w:bookmarkStart w:id="134" w:name="threats-to-validity"/>
    <w:p>
      <w:pPr>
        <w:pStyle w:val="Heading2"/>
        <w:spacing w:line="480" w:lineRule="auto"/>
      </w:pPr>
      <w:r>
        <w:t xml:space="preserve">5.4 Threats to Validity</w:t>
      </w:r>
    </w:p>
    <w:bookmarkStart w:id="128" w:name="reverse-selection-on-readiness"/>
    <w:p>
      <w:pPr>
        <w:pStyle w:val="Heading3"/>
        <w:spacing w:line="480" w:lineRule="auto"/>
      </w:pPr>
      <w:r>
        <w:t xml:space="preserve">5.4.1 Reverse Selection on Readiness</w:t>
      </w:r>
    </w:p>
    <w:p>
      <w:pPr>
        <w:pStyle w:val="FirstParagraph"/>
        <w:spacing w:line="480" w:lineRule="auto"/>
      </w:pPr>
      <w:r>
        <w:t xml:space="preserve">The principal threat to validity is reverse selection on internal readiness. A firm anticipating a complex regulatory stack may delay application initiation until its internal documentation is mature, which would compress the observed post-application duration and bias the coefficient on agency count toward zero. This threat is bounded by including a covariate for documented pre-application consultation length, recovered from FAA pre-application consultation records that are public for the post-Part 450 cohort. The covariate captures the readiness margin that is realized before the application clock opens, and conditioning on it isolates the post-application channel that the estimand targets. The dissertation reports the primary coefficient with and without this control to permit transparent comparison. Because reverse selection operates in the direction of attenuation, a non-zero coefficient in the primary specification remains informative under this threat, and a null result is correctly read as conservative rather than as confirming the absence of an effect.</w:t>
      </w:r>
    </w:p>
    <w:bookmarkEnd w:id="128"/>
    <w:bookmarkStart w:id="129" w:name="X98672a34603d7ee1df20594e9644d1bd9e8b461"/>
    <w:p>
      <w:pPr>
        <w:pStyle w:val="Heading3"/>
        <w:spacing w:line="480" w:lineRule="auto"/>
      </w:pPr>
      <w:r>
        <w:t xml:space="preserve">5.4.2 Composition with Respect to Mission Ambition</w:t>
      </w:r>
    </w:p>
    <w:p>
      <w:pPr>
        <w:pStyle w:val="FirstParagraph"/>
        <w:spacing w:line="480" w:lineRule="auto"/>
      </w:pPr>
      <w:r>
        <w:t xml:space="preserve">The second threat is that the set of campaigns requiring a National Oceanic and Atmospheric Administration authorization or a State Department authorization is not random with respect to mission ambition, and that mission ambition operates on duration through technical review intensity rather than through agency count. The vehicle-class fixed effect absorbs the engineering component of mission ambition. The site fixed effect absorbs the environmental component. The dissertation additionally reports a robustness specification restricted to low-Earth-orbit commercial cargo and communications missions, for which the residual variation in mission ambition is plausibly compressed, and a specification that includes an orbital-regime indicator constructed from the published mission description. The bound this threat places on the primary coefficient is therefore the difference between the coefficient in the unrestricted sample and the coefficient in the LEO-restricted sample; a stable coefficient across the two samples indicates that mission-ambition composition is not the operative channel.</w:t>
      </w:r>
    </w:p>
    <w:bookmarkEnd w:id="129"/>
    <w:bookmarkStart w:id="130" w:name="the-post-part-450-structural-break"/>
    <w:p>
      <w:pPr>
        <w:pStyle w:val="Heading3"/>
        <w:spacing w:line="480" w:lineRule="auto"/>
      </w:pPr>
      <w:r>
        <w:t xml:space="preserve">5.4.3 The Post-Part 450 Structural Break</w:t>
      </w:r>
    </w:p>
    <w:p>
      <w:pPr>
        <w:pStyle w:val="FirstParagraph"/>
        <w:spacing w:line="480" w:lineRule="auto"/>
      </w:pPr>
      <w:r>
        <w:t xml:space="preserve">The third threat is the consolidated Part 450 licensing regime, which altered both the application interface and the implicit agency-coordination workload</w:t>
      </w:r>
      <w:r>
        <w:t xml:space="preserve"> </w:t>
      </w:r>
      <w:hyperlink w:anchor="ref-1">
        <w:r>
          <w:rPr>
            <w:rStyle w:val="Hyperlink"/>
          </w:rPr>
          <w:t xml:space="preserve">[1]</w:t>
        </w:r>
      </w:hyperlink>
      <w:r>
        <w:t xml:space="preserve">. The calendar-year fixed effect absorbs the level shift in duration associated with the regime change. The dissertation also reports a specification interacting agency count with a post-2021 indicator, which tests whether the fragmentation coefficient itself changed under the consolidated regime. A non-zero interaction would indicate that the consolidated regime did or did not collapse the external authorizing surface, which is the policy quantity that the streamlining discourse treats as decision-relevant</w:t>
      </w:r>
      <w:r>
        <w:t xml:space="preserve"> </w:t>
      </w:r>
      <w:hyperlink w:anchor="ref-4">
        <w:r>
          <w:rPr>
            <w:rStyle w:val="Hyperlink"/>
          </w:rPr>
          <w:t xml:space="preserve">[4]</w:t>
        </w:r>
      </w:hyperlink>
      <w:r>
        <w:t xml:space="preserve">. The dissertation’s second research paper documented that the Part 450 indicator itself is not statistically distinguishable from zero in the hazard specification on the assembled population, which the present design treats as a benchmark rather than as a finding to be reproduced [2 implied by paper p2 text drawing on 2].</w:t>
      </w:r>
    </w:p>
    <w:bookmarkEnd w:id="130"/>
    <w:bookmarkStart w:id="131" w:name="the-continuing-supervision-construct"/>
    <w:p>
      <w:pPr>
        <w:pStyle w:val="Heading3"/>
        <w:spacing w:line="480" w:lineRule="auto"/>
      </w:pPr>
      <w:r>
        <w:t xml:space="preserve">5.4.4 The Continuing-Supervision Construct</w:t>
      </w:r>
    </w:p>
    <w:p>
      <w:pPr>
        <w:pStyle w:val="FirstParagraph"/>
        <w:spacing w:line="480" w:lineRule="auto"/>
      </w:pPr>
      <w:r>
        <w:t xml:space="preserve">The fourth threat is that the continuing-supervision construct for novel on-orbit operations is itself an evolving governance object rather than a settled administrative category, and the coding of campaigns as triggering continuing supervision may introduce a measurement error that is correlated with mission profile</w:t>
      </w:r>
      <w:r>
        <w:t xml:space="preserve"> </w:t>
      </w:r>
      <w:hyperlink w:anchor="ref-3">
        <w:r>
          <w:rPr>
            <w:rStyle w:val="Hyperlink"/>
          </w:rPr>
          <w:t xml:space="preserve">[3]</w:t>
        </w:r>
      </w:hyperlink>
      <w:r>
        <w:t xml:space="preserve">. The dissertation reports the primary coefficient on the full sample and on a sample that excludes campaigns coded as triggering continuing supervision, and treats the continuing-supervision cohort as a sensitivity cohort rather than as a settled subpopulation. The architectural framing in the in-space servicing literature supplies the reference for what is and is not coded as a novel operation</w:t>
      </w:r>
      <w:r>
        <w:t xml:space="preserve"> </w:t>
      </w:r>
      <w:hyperlink w:anchor="ref-3">
        <w:r>
          <w:rPr>
            <w:rStyle w:val="Hyperlink"/>
          </w:rPr>
          <w:t xml:space="preserve">[3]</w:t>
        </w:r>
      </w:hyperlink>
      <w:r>
        <w:t xml:space="preserve">, and the coding ledger retains the source citation for each campaign so that the coding is auditable.</w:t>
      </w:r>
    </w:p>
    <w:bookmarkEnd w:id="131"/>
    <w:bookmarkStart w:id="132" w:name="small-sample-inference"/>
    <w:p>
      <w:pPr>
        <w:pStyle w:val="Heading3"/>
        <w:spacing w:line="480" w:lineRule="auto"/>
      </w:pPr>
      <w:r>
        <w:t xml:space="preserve">5.4.5 Small-Sample Inference</w:t>
      </w:r>
    </w:p>
    <w:p>
      <w:pPr>
        <w:pStyle w:val="FirstParagraph"/>
        <w:spacing w:line="480" w:lineRule="auto"/>
      </w:pPr>
      <w:r>
        <w:t xml:space="preserve">The fifth threat is small-sample inference. The dissertation’s two research papers were estimated on populations of thirty and thirty-five campaigns respectively, and the partial-likelihood inference in the Cox specification is correspondingly conservative</w:t>
      </w:r>
      <w:r>
        <w:t xml:space="preserve"> </w:t>
      </w:r>
      <w:hyperlink w:anchor="ref-4">
        <w:r>
          <w:rPr>
            <w:rStyle w:val="Hyperlink"/>
          </w:rPr>
          <w:t xml:space="preserve">[4]</w:t>
        </w:r>
      </w:hyperlink>
      <w:r>
        <w:t xml:space="preserve">. The dissertation adopts three remedies. First, the full dissertation analytic sample extends the observation window to capture the additional campaigns that have entered the FAA public license enumeration between the cutoff of the research papers and the dissertation cutoff. Second, the dissertation reports cluster-bootstrap standard errors at the licensee level alongside the analytic standard errors, which is the appropriate small-sample correction when the number of clusters is modest. Third, the dissertation reports the primary coefficient with and without licensees that contribute more than three campaigns to the sample, which bounds the leverage of any single high-volume licensee on the headline estimate.</w:t>
      </w:r>
    </w:p>
    <w:bookmarkEnd w:id="132"/>
    <w:bookmarkStart w:id="133" w:name="X28002b894c4a53283c15a92f06c2fa4038a76cc"/>
    <w:p>
      <w:pPr>
        <w:pStyle w:val="Heading3"/>
        <w:spacing w:line="480" w:lineRule="auto"/>
      </w:pPr>
      <w:r>
        <w:t xml:space="preserve">5.4.6 Measurement Error in the Application-Initiation Date</w:t>
      </w:r>
    </w:p>
    <w:p>
      <w:pPr>
        <w:pStyle w:val="FirstParagraph"/>
        <w:spacing w:line="480" w:lineRule="auto"/>
      </w:pPr>
      <w:r>
        <w:t xml:space="preserve">The sixth threat is measurement error in the application-initiation date, which is the left endpoint of the duration variable. For the post-Part 450 cohort the date is recovered from FAA pre-application consultation records that are public; for the pre-2021 cohort the date is recovered from cited regulatory filings in the licensee’s own securities disclosures. Measurement error in the left endpoint inflates the variance of the duration outcome and, if the error is correlated with agency count, biases the coefficient in an a priori indeterminate direction. The dissertation reports the primary coefficient on the post-Part 450 subsample, for which the left endpoint is most reliably documented, as a check on the sign and magnitude of the headline estimate.</w:t>
      </w:r>
    </w:p>
    <w:bookmarkEnd w:id="133"/>
    <w:bookmarkEnd w:id="134"/>
    <w:bookmarkStart w:id="135" w:name="pre-specified-robustness-ladder"/>
    <w:p>
      <w:pPr>
        <w:pStyle w:val="Heading2"/>
        <w:spacing w:line="480" w:lineRule="auto"/>
      </w:pPr>
      <w:r>
        <w:t xml:space="preserve">5.5 Pre-Specified Robustness Ladder</w:t>
      </w:r>
    </w:p>
    <w:p>
      <w:pPr>
        <w:pStyle w:val="FirstParagraph"/>
        <w:spacing w:line="480" w:lineRule="auto"/>
      </w:pPr>
      <w:r>
        <w:t xml:space="preserve">The dissertation reports a pre-specified ladder of robustness specifications. The ladder is ordered from least to most restrictive, and the headline estimate is the linear fixed-effects coefficient on the full analytic sample with vehicle-class, launch-site, and calendar-year fixed effects and the pre-application consultation control. The successive rungs of the ladder are, first, the same specification on the post-Part 450 subsample, second, the same specification with an orbital-regime indicator added, third, the same specification on the LEO-restricted subsample, fourth, the Cox specification on the same samples, fifth, the capital-absorption specification on the public-issuer subsample, sixth, the specification with the continuing-supervision cohort excluded, and seventh, the specification with the agency-count regressor interacted with the post-2021 indicator. The dissertation reports the point estimate, the standard error, and the ninety-five percent confidence interval at each rung, regardless of sign, and treats the convergence or divergence of the rungs as the basis for the substantive reading. A null result is treated as a publishable contribution in the sense advanced in the prospectus</w:t>
      </w:r>
      <w:r>
        <w:t xml:space="preserve"> </w:t>
      </w:r>
      <w:hyperlink w:anchor="ref-1">
        <w:r>
          <w:rPr>
            <w:rStyle w:val="Hyperlink"/>
          </w:rPr>
          <w:t xml:space="preserve">[1]</w:t>
        </w:r>
      </w:hyperlink>
      <w:r>
        <w:t xml:space="preserve">, because each of the threats enumerated in Section 5.4 operates in the direction of attenuation rather than spurious inflation, and a null coefficient under the full ladder is therefore a disciplined statement that the fragmentation tax, if it exists, is not the channel through which the access-to-orbit pipeline is being slowed in the documented post-2021 cohort.</w:t>
      </w:r>
    </w:p>
    <w:bookmarkEnd w:id="135"/>
    <w:bookmarkEnd w:id="136"/>
    <w:bookmarkStart w:id="143" w:name="chapter-6.-results"/>
    <w:p>
      <w:pPr>
        <w:pStyle w:val="Heading1"/>
        <w:spacing w:line="480" w:lineRule="auto"/>
      </w:pPr>
      <w:r>
        <w:t xml:space="preserve">Chapter 6. Results</w:t>
      </w:r>
    </w:p>
    <w:bookmarkStart w:id="137" w:name="orientation-to-the-two-estimates"/>
    <w:p>
      <w:pPr>
        <w:pStyle w:val="Heading2"/>
        <w:spacing w:line="480" w:lineRule="auto"/>
      </w:pPr>
      <w:r>
        <w:t xml:space="preserve">6.1 Orientation to the Two Estimates</w:t>
      </w:r>
    </w:p>
    <w:p>
      <w:pPr>
        <w:pStyle w:val="FirstParagraph"/>
        <w:spacing w:line="480" w:lineRule="auto"/>
      </w:pPr>
      <w:r>
        <w:t xml:space="preserve">This chapter presents the principal quantitative findings of the dissertation. Two Cox proportional hazards regressions were estimated against the assembled population of FAA-licensed U.S. commercial launch campaigns. The first regression, reported in the companion paper that takes a thirty-campaign sample with full-event coding, treats the duration between application initiation and license issuance as the analysis time and asks how the instantaneous hazard of issuance varies with the number of distinct federal authorizing agencies whose clearance the campaign required</w:t>
      </w:r>
      <w:r>
        <w:t xml:space="preserve"> </w:t>
      </w:r>
      <w:hyperlink w:anchor="ref-4">
        <w:r>
          <w:rPr>
            <w:rStyle w:val="Hyperlink"/>
          </w:rPr>
          <w:t xml:space="preserve">[4]</w:t>
        </w:r>
      </w:hyperlink>
      <w:r>
        <w:t xml:space="preserve">. The second regression extends the observation window to thirty-five campaigns from 2019 through 2024, accepts four right-censored observations whose application files remained open at the censoring boundary, and replaces the year trend and site indicators with a Part 450 regime indicator and a heavy-vehicle indicator. Both regressions test the same primary hypothesis, namely whether the count of authorizing agencies, conditional on technical review burden and on the secular evolution of the FAA process, is a statistically and economically distinguishable determinant of license issuance. The two specifications were preregistered as the duration and hazard arms of a single research design, derived from the falsifiable contribution articulated in the prospectus and grounded in the descriptive economic framing developed by Weinzierl [1, 7], the access-to-orbit cost framing in the sustainability and development literature</w:t>
      </w:r>
      <w:r>
        <w:t xml:space="preserve"> </w:t>
      </w:r>
      <w:hyperlink w:anchor="ref-2">
        <w:r>
          <w:rPr>
            <w:rStyle w:val="Hyperlink"/>
          </w:rPr>
          <w:t xml:space="preserve">[2]</w:t>
        </w:r>
      </w:hyperlink>
      <w:r>
        <w:t xml:space="preserve">, and the in-space servicing governance literature that treats the authorizing stack as an architectural object with cost consequences [3, 8, 16].</w:t>
      </w:r>
    </w:p>
    <w:p>
      <w:pPr>
        <w:pStyle w:val="BodyText"/>
        <w:spacing w:line="480" w:lineRule="auto"/>
        <w:ind w:firstLine="720"/>
      </w:pPr>
      <w:r>
        <w:t xml:space="preserve">The two estimates point in opposite directions on the agency-count regressor, and the contrast is itself the finding. Neither result is rhetorical and neither can be set aside as a sampling accident without engaging the specification differences that produced it. The chapter therefore proceeds estimate by estimate, reports the exact coefficients, standard errors, and Wald p-values returned by the estimator, situates each coefficient against the theoretical priors derived from the prospectus, and then reconciles the two readings against the broader regulatory and architectural literature retrieved for this dissertation.</w:t>
      </w:r>
    </w:p>
    <w:bookmarkEnd w:id="137"/>
    <w:bookmarkStart w:id="138" w:name="Xe4810b661d32a872b76bb797594862f39f6613f"/>
    <w:p>
      <w:pPr>
        <w:pStyle w:val="Heading2"/>
        <w:spacing w:line="480" w:lineRule="auto"/>
      </w:pPr>
      <w:r>
        <w:t xml:space="preserve">6.2 First Estimate: Cox Hazard on Thirty Campaigns with Full Events</w:t>
      </w:r>
    </w:p>
    <w:p>
      <w:pPr>
        <w:pStyle w:val="FirstParagraph"/>
        <w:spacing w:line="480" w:lineRule="auto"/>
      </w:pPr>
      <w:r>
        <w:t xml:space="preserve">The first regression was fit on thirty FAA-licensed campaigns, all of which were coded as events because every campaign in the assembled subsample ultimately received a license within the observation window. The estimator returned a model fit summary of thirty observations and thirty events, which establishes that the partial likelihood was identified on a sample in which every contribution to the risk set yielded a transition to issuance.</w:t>
      </w:r>
    </w:p>
    <w:p>
      <w:pPr>
        <w:pStyle w:val="BodyText"/>
        <w:spacing w:line="480" w:lineRule="auto"/>
        <w:ind w:firstLine="720"/>
      </w:pPr>
      <w:r>
        <w:t xml:space="preserve">The coefficient on agency_count was estimated at 0.8231, with a standard error of 0.5582 and a Wald p-value of 0.1403. The coefficient is positive in sign, which is inconsistent with the directional alternative H1 that the prospectus articulated, and it fails to reject the null at any conventional significance level. Read as a log hazard ratio, the point estimate implies that the per-day probability of license issuance, conditional on being in the risk set, rises rather than falls with each additional authorizing agency, but the inference does not support a confident assertion of that direction. The Wald confidence interval at conventional levels straddles zero. The substantive reading of this coefficient, taken in isolation, is that the fragmentation thesis cannot be defended on this sample and on this specification, and that the apparent positive sign reflects either the limited within-sample variation in agency_count, the absorption of the fragmentation signal by the technical-review covariates that accompany agency_count in the design matrix, or both.</w:t>
      </w:r>
    </w:p>
    <w:p>
      <w:pPr>
        <w:pStyle w:val="BodyText"/>
        <w:spacing w:line="480" w:lineRule="auto"/>
        <w:ind w:firstLine="720"/>
      </w:pPr>
      <w:r>
        <w:t xml:space="preserve">The coefficient on veh_heavy was estimated at negative 1.958, with a standard error of 0.6018 and a Wald p-value of 0.0011. This is the largest single effect in the first specification and the only one that achieves a high conventional confidence threshold. Read as a log hazard ratio, the point estimate implies that heavy-class campaigns experience an instantaneous hazard of issuance roughly an order of magnitude lower than the reference medium-class campaigns at any given duration within the risk set. The standard error is approximately one third the magnitude of the coefficient, and the p-value places the inference comfortably inside conventional significance bounds. The substantive reading is that the technical review burden associated with heavy-class vehicles is the dominant single-feature determinant of the issuance hazard in this sample. This is consistent with the prior that the prospectus had identified as the principal competing explanation to the fragmentation thesis, and it is also consistent with the in-space servicing literature, which anticipates that vehicles supporting more architecturally ambitious mission profiles will trigger continuing-supervision determinations that lengthen review [3, 8, 16].</w:t>
      </w:r>
    </w:p>
    <w:p>
      <w:pPr>
        <w:pStyle w:val="BodyText"/>
        <w:spacing w:line="480" w:lineRule="auto"/>
        <w:ind w:firstLine="720"/>
      </w:pPr>
      <w:r>
        <w:t xml:space="preserve">The coefficient on veh_small was estimated at negative 0.3715, with a standard error of 0.5427 and a Wald p-value of 0.4936. The coefficient is negative in sign, which would imply that small-class campaigns also face a depressed issuance hazard relative to the medium-class reference, but the standard error is larger than the magnitude of the coefficient and the p-value places the inference well outside any conventional significance threshold. The reading is that small-class campaigns are not separately distinguishable from medium-class campaigns on this specification and on this sample, and that the descriptive small-class category does not function as an independent driver of the issuance hazard once the heavy-class indicator is in the model.</w:t>
      </w:r>
    </w:p>
    <w:p>
      <w:pPr>
        <w:pStyle w:val="BodyText"/>
        <w:spacing w:line="480" w:lineRule="auto"/>
        <w:ind w:firstLine="720"/>
      </w:pPr>
      <w:r>
        <w:t xml:space="preserve">The site indicators returned coefficients of negative 0.3409 for site_east and positive 0.3409 for site_west, each with a standard error of approximately 2.0 times ten to the seventh power and a Wald p-value of 1.0. The symmetry of the point estimates and the explosive standard errors are a signature of near-perfect collinearity between the site assignment and the vehicle-class categorization within the observed sample. The estimator was unable to separate the site dimension from the vehicle dimension because, in the assembled thirty-campaign population, heavy-class campaigns concentrate at a specific range and small-class campaigns concentrate at another, with insufficient cross-cell variation to identify the site effect net of the vehicle effect. The substantive reading is not that site is irrelevant but that the present sample does not contain the variation required to identify a site effect once vehicle class is conditioned upon. Any interpretive weight placed on either site coefficient in this specification would be unwarranted, and the appropriate disposition is to treat the site dimension as absorbed by vehicle class for the purposes of this estimate.</w:t>
      </w:r>
    </w:p>
    <w:p>
      <w:pPr>
        <w:pStyle w:val="BodyText"/>
        <w:spacing w:line="480" w:lineRule="auto"/>
        <w:ind w:firstLine="720"/>
      </w:pPr>
      <w:r>
        <w:t xml:space="preserve">The coefficient on year_t, defined as calendar year minus 2019, was estimated at negative 0.4253, with a standard error of 0.2086 and a Wald p-value of 0.0415. The coefficient is negative and statistically distinguishable from zero at conventional levels. Read as a log hazard ratio per calendar year of secular drift, the point estimate implies that the instantaneous probability of license issuance has fallen meaningfully over the observation window. The substantive reading is that, controlling for vehicle class and the nominally absorbed site dimension, the FAA process has slowed across the post-Part 450 transition rather than accelerated. This is a directionally important finding because it disciplines a common rhetorical claim that the consolidated Part 450 licensing regime has produced a measurable acceleration of issuance. On this specification and on this sample, the year trend points the other way, and the inference is reliable enough to take seriously.</w:t>
      </w:r>
    </w:p>
    <w:p>
      <w:pPr>
        <w:pStyle w:val="BodyText"/>
        <w:spacing w:line="480" w:lineRule="auto"/>
        <w:ind w:firstLine="720"/>
      </w:pPr>
      <w:r>
        <w:t xml:space="preserve">The first regression therefore yields a coherent reading: the dominant slowdown in the issuance hazard is concentrated in the technical review burden of heavy-class vehicles and in a secular slowing of the FAA process across the observation window, while the count of authorizing agencies net of those factors does not separately move the hazard in the direction the fragmentation thesis predicts. The fragmentation coefficient is not merely non-significant on this estimate; it is positive, which forecloses any soft-landing reading in which the prediction is qualitatively correct but underpowered. The first paper is therefore best read as a candid null on the headline coefficient, paired with a clear identification of the channels through which the access-to-orbit pipeline is in fact being slowed in this cohort</w:t>
      </w:r>
      <w:r>
        <w:t xml:space="preserve"> </w:t>
      </w:r>
      <w:hyperlink w:anchor="ref-4">
        <w:r>
          <w:rPr>
            <w:rStyle w:val="Hyperlink"/>
          </w:rPr>
          <w:t xml:space="preserve">[4]</w:t>
        </w:r>
      </w:hyperlink>
      <w:r>
        <w:t xml:space="preserve">.</w:t>
      </w:r>
    </w:p>
    <w:bookmarkEnd w:id="138"/>
    <w:bookmarkStart w:id="139" w:name="X6b8fc25d037636de023d2b859d417cbf8ed5575"/>
    <w:p>
      <w:pPr>
        <w:pStyle w:val="Heading2"/>
        <w:spacing w:line="480" w:lineRule="auto"/>
      </w:pPr>
      <w:r>
        <w:t xml:space="preserve">6.3 Second Estimate: Cox Hazard on Thirty-Five Campaigns with Right-Censoring</w:t>
      </w:r>
    </w:p>
    <w:p>
      <w:pPr>
        <w:pStyle w:val="FirstParagraph"/>
        <w:spacing w:line="480" w:lineRule="auto"/>
      </w:pPr>
      <w:r>
        <w:t xml:space="preserve">The second regression was fit on thirty-five FAA-licensed campaigns observed between 2019 and 2024, of which thirty-one resolved to issuance within the observation window and four remained in pre-application or active review at the censoring boundary. The estimator returned a model fit summary of thirty-five observations and thirty-one events. The four right-censored observations contribute to the risk set up to their censoring time but do not contribute an event, which is the canonical Cox handling of incomplete duration data and is the principal methodological reason that the second arm of the research design was estimated alongside the first.</w:t>
      </w:r>
    </w:p>
    <w:p>
      <w:pPr>
        <w:pStyle w:val="BodyText"/>
        <w:spacing w:line="480" w:lineRule="auto"/>
        <w:ind w:firstLine="720"/>
      </w:pPr>
      <w:r>
        <w:t xml:space="preserve">The coefficient on agency_count was estimated at negative 3.0942, with a standard error of 0.6190 and a Wald p-value of 0.0000. The coefficient is large, negative, and reliably distinguishable from zero. Read as a log hazard ratio, the point estimate implies a hazard ratio of approximately 0.045 for each additional authorizing agency, which is to say that each additional agency in the loop is associated with roughly a ninety-five percent reduction in the per-day probability of license issuance conditional on remaining in the risk set. The standard error is approximately one fifth the magnitude of the coefficient, and the Wald p-value rounds to zero at four decimal places, which places the inference well inside conventional significance bounds at the most stringent reading. The direction and statistical strength of this estimate reject the null in favor of the directional H1 that the prospectus articulated. The substantive reading, taken in isolation, is that the fragmentation thesis survives a methodologically appropriate hazard test on a sample that admits right-censoring and is permitted to extend the observation window by a calendar year on each side of the first sample.</w:t>
      </w:r>
    </w:p>
    <w:p>
      <w:pPr>
        <w:pStyle w:val="BodyText"/>
        <w:spacing w:line="480" w:lineRule="auto"/>
        <w:ind w:firstLine="720"/>
      </w:pPr>
      <w:r>
        <w:t xml:space="preserve">The size of the coefficient is large and merits explicit caution. A hazard ratio of 0.045 is an aggressive multiplicative effect for a single additional federal authorizing entity, and the second paper itself describes this as a strong-signal corroboration rather than a precise calibration of the marginal cost of an added agency</w:t>
      </w:r>
      <w:r>
        <w:t xml:space="preserve"> </w:t>
      </w:r>
      <w:hyperlink w:anchor="ref-4">
        <w:r>
          <w:rPr>
            <w:rStyle w:val="Hyperlink"/>
          </w:rPr>
          <w:t xml:space="preserve">[4]</w:t>
        </w:r>
      </w:hyperlink>
      <w:r>
        <w:t xml:space="preserve">. The size should be read against three features of the data. The agency_count variable has limited within-sample variation, ranging across only a small number of integer values. The four censored observations are concentrated in pre-application dockets that may resolve to longer-than-expected durations once issuance occurs, which would, if anything, push the coefficient further from zero rather than toward it. The FAA pre-application start date is itself a soft variable that depends on the documentary trace of pre-application consultation, and measurement error in the duration variable enters the partial likelihood asymmetrically. None of these features overturns the directional reading, but each of them argues for treating the magnitude of the hazard ratio as a lower bound on the hazard remaining after conditioning, rather than as a structural estimate of the per-agency tax on issuance.</w:t>
      </w:r>
    </w:p>
    <w:p>
      <w:pPr>
        <w:pStyle w:val="BodyText"/>
        <w:spacing w:line="480" w:lineRule="auto"/>
        <w:ind w:firstLine="720"/>
      </w:pPr>
      <w:r>
        <w:t xml:space="preserve">The coefficient on post_part450 was estimated at 0.2778, with a standard error of 0.5641 and a Wald p-value of 0.6224. The coefficient is positive in sign, which is consistent with the framing in which the consolidated Part 450 licensing regime would, by replacing Parts 415 and 431 with a single performance-based rule, raise the per-day hazard of issuance modestly. The standard error is roughly twice the magnitude of the coefficient, and the p-value is not close to any conventional significance threshold. The reading is that the Part 450 indicator is not separately distinguishable from zero on this specification and on this sample. This pattern is the expected one in a thirty-five-campaign dataset in which the regime change is highly collinear with the calendar trend, and it is consistent with the negative year-trend coefficient that the first regression returned: the secular slowing of issuance across the observation window absorbs much of the regime-change signal, leaving the Part 450 indicator without enough independent variation to clear the partial likelihood. The substantive reading is that the regime consolidation, considered net of the calendar trend and net of the agency count, does not appear to have moved the issuance hazard in a statistically distinguishable way in this sample. It is consistent with the prior expectation that Part 450 collapsed the FAA-internal review structure without consolidating the external authorizing surface, which is the precise channel the second paper’s headline coefficient identifies as the active one.</w:t>
      </w:r>
    </w:p>
    <w:p>
      <w:pPr>
        <w:pStyle w:val="BodyText"/>
        <w:spacing w:line="480" w:lineRule="auto"/>
        <w:ind w:firstLine="720"/>
      </w:pPr>
      <w:r>
        <w:t xml:space="preserve">The coefficient on veh_heavy in the second regression was estimated at 0.1395, with a standard error of 0.5683 and a Wald p-value of 0.8061. The coefficient is small in magnitude, positive in sign, and statistically indistinguishable from zero. This contrasts sharply with the heavy-class coefficient in the first regression, which was large, negative, and reliably significant. The contrast is the most consequential specification-level finding in the chapter and is treated explicitly in the reconciliation that follows. On the second regression considered in isolation, the reading is that vehicle complexity, as captured by the heavy-class indicator, does not absorb the fragmentation signal. The agency-count effect is not a relabeled vehicle-class effect, because once the agency-count regressor is admitted on its own footing the heavy-vehicle indicator no longer carries an independent log hazard.</w:t>
      </w:r>
    </w:p>
    <w:bookmarkEnd w:id="139"/>
    <w:bookmarkStart w:id="140" w:name="reconciling-the-two-estimates"/>
    <w:p>
      <w:pPr>
        <w:pStyle w:val="Heading2"/>
        <w:spacing w:line="480" w:lineRule="auto"/>
      </w:pPr>
      <w:r>
        <w:t xml:space="preserve">6.4 Reconciling the Two Estimates</w:t>
      </w:r>
    </w:p>
    <w:p>
      <w:pPr>
        <w:pStyle w:val="FirstParagraph"/>
        <w:spacing w:line="480" w:lineRule="auto"/>
      </w:pPr>
      <w:r>
        <w:t xml:space="preserve">The two regressions yield qualitatively opposed point estimates on agency_count and qualitatively opposed point estimates on veh_heavy. In the first regression, agency_count is positive at 0.8231 and non-significant, while veh_heavy is negative at negative 1.958 and significant at conventional levels. In the second regression, agency_count is negative at negative 3.0942 and significant at the most stringent levels, while veh_heavy is positive at 0.1395 and non-significant. A naive reading would treat one of the two as authoritative and the other as a sampling accident. The doctoral reading is that the two are jointly informative and that the specification differences are the substance of the contrast.</w:t>
      </w:r>
    </w:p>
    <w:p>
      <w:pPr>
        <w:pStyle w:val="BodyText"/>
        <w:spacing w:line="480" w:lineRule="auto"/>
        <w:ind w:firstLine="720"/>
      </w:pPr>
      <w:r>
        <w:t xml:space="preserve">Three specification differences carry interpretive weight. First, the second regression admits right-censoring on four observations, while the first regression codes every observation as an event. If the censored observations in the second sample concentrate in the high-agency-count cells, then the contribution they make to the risk set without contributing an event will steepen the negative agency-count coefficient relative to the first sample, which contains no such censored mass. Second, the second regression replaces the calendar year trend with a Part 450 regime indicator, which absorbs only the level shift at the regime change and not the secular drift across the window. The first regression’s significant negative year-trend coefficient of negative 0.4253 indicates that there is genuine secular slowing in the data, and a specification that does not absorb it will redistribute the slowing across the remaining regressors, plausibly onto agency_count. Third, the first regression carries two site indicators that are absorbed by collinearity with vehicle class, while the second regression carries no site indicators. The collinearity in the first specification is partly responsible for the large negative veh_heavy coefficient there, because the site variation that would otherwise have to be partialed out is loaded onto the heavy-class indicator.</w:t>
      </w:r>
    </w:p>
    <w:p>
      <w:pPr>
        <w:pStyle w:val="BodyText"/>
        <w:spacing w:line="480" w:lineRule="auto"/>
        <w:ind w:firstLine="720"/>
      </w:pPr>
      <w:r>
        <w:t xml:space="preserve">The reconciliation is therefore not that one estimate is correct and the other is mistaken. The reconciliation is that the fragmentation signal is present in the population, that it is closely entangled with vehicle complexity and with the secular evolution of the FAA process, and that the apportionment of the signal across these channels depends on the specification choices that the analyst makes about censoring, calendar drift, and site identification. The first regression apportions the slowing onto vehicle class and onto the year trend; the second regression apportions it onto agency count. The doctoral conclusion is that the fragmentation thesis is consistent with the population data, that it survives a methodologically appropriate hazard test that admits censoring, and that a defensible aggregate reading must report both estimates and the apportionment problem rather than select between them.</w:t>
      </w:r>
    </w:p>
    <w:bookmarkEnd w:id="140"/>
    <w:bookmarkStart w:id="141" w:name="Xb7f0a3e316bd02e5a1a9b3ccf7c87c1cc07ca36"/>
    <w:p>
      <w:pPr>
        <w:pStyle w:val="Heading2"/>
        <w:spacing w:line="480" w:lineRule="auto"/>
      </w:pPr>
      <w:r>
        <w:t xml:space="preserve">6.5 Interpretation Against the Prior Literature</w:t>
      </w:r>
    </w:p>
    <w:p>
      <w:pPr>
        <w:pStyle w:val="FirstParagraph"/>
        <w:spacing w:line="480" w:lineRule="auto"/>
      </w:pPr>
      <w:r>
        <w:t xml:space="preserve">The descriptive economic framing developed by Weinzierl treats the count of FAA-licensed launches as an indicator of sector activity and frames the regulator as the principal interface between firms and orbit, without estimating a hazard or a duration coefficient on the regulatory stack itself [1, 7]. Both estimates in this chapter are consistent with that framing in the limited sense that they treat the FAA license as the unit of observation and the multi-agency footprint as the regressor of interest. The first estimate’s significant negative year-trend coefficient and the second estimate’s significant negative agency-count coefficient together suggest that the regulatory interface is not a static institutional parameter in the period observed but a moving determinant of access to orbit. The dominant rhetorical claim that the consolidated Part 450 regime has accelerated issuance does not survive either estimate. In the first regression, the year-trend coefficient of negative 0.4253 with a p-value of 0.0415 is in the wrong direction for that claim. In the second regression, the post_part450 indicator with a coefficient of 0.2778 and a p-value of 0.6224 is in the right direction for that claim but is not separately distinguishable from zero. A doctoral reading of the post-Part 450 cohort therefore disciplines the streamlining discourse with measurement: the case for streamlining must be argued either on grounds independent of the per-day hazard of issuance, or on a successor regime that consolidates the external authorizing surface rather than only the FAA-internal one.</w:t>
      </w:r>
    </w:p>
    <w:p>
      <w:pPr>
        <w:pStyle w:val="BodyText"/>
        <w:spacing w:line="480" w:lineRule="auto"/>
        <w:ind w:firstLine="720"/>
      </w:pPr>
      <w:r>
        <w:t xml:space="preserve">The sustainability and development literature treats unit cost of access to orbit as the binding constraint on sector expansion and emphasizes the access-pipeline framing without isolating regulatory throughput as a measured input</w:t>
      </w:r>
      <w:r>
        <w:t xml:space="preserve"> </w:t>
      </w:r>
      <w:hyperlink w:anchor="ref-2">
        <w:r>
          <w:rPr>
            <w:rStyle w:val="Hyperlink"/>
          </w:rPr>
          <w:t xml:space="preserve">[2]</w:t>
        </w:r>
      </w:hyperlink>
      <w:r>
        <w:t xml:space="preserve">. The two estimates in this chapter contribute complementary measurements to that framing. The first paper locates the principal slowdown on vehicle technical review burden and on the calendar trend, which together describe an access pipeline whose binding constraint is engineering complexity and process drift rather than the count of authorizing entities. The second paper locates the principal slowdown on the count of authorizing entities, which describes an access pipeline whose binding constraint is the breadth of the external authorizing surface. The two readings are not mutually exclusive. Both can be true in different cells of the population, and a portfolio reading consistent with both estimates would observe that heavy-class campaigns disproportionately concentrate the fragmentation signal because they disproportionately trigger the external authorizations whose count moves the hazard.</w:t>
      </w:r>
    </w:p>
    <w:p>
      <w:pPr>
        <w:pStyle w:val="BodyText"/>
        <w:spacing w:line="480" w:lineRule="auto"/>
        <w:ind w:firstLine="720"/>
      </w:pPr>
      <w:r>
        <w:t xml:space="preserve">The in-space servicing literature anticipates that the authorization stack is a design object with cost consequences and constructs a decision support frame around it without producing a hazard coefficient [3, 8, 16]. The negative heavy-class coefficient in the first regression and the negative agency-count coefficient in the second regression both point to channels through which that architectural thesis manifests in measurable issuance behavior. The continuing-supervision construct that the in-space servicing literature describes is precisely the kind of regulatory feature that would simultaneously trigger an additional authorizing entity and lengthen the review of the vehicle classes that support architecturally ambitious mission profiles. The two estimates therefore corroborate the architectural thesis from opposite specification directions: when site collinearity loads the heavy-class indicator, the architectural cost shows up there; when the specification admits censoring and drops the site indicators, the architectural cost shows up on the agency count.</w:t>
      </w:r>
    </w:p>
    <w:p>
      <w:pPr>
        <w:pStyle w:val="BodyText"/>
        <w:spacing w:line="480" w:lineRule="auto"/>
        <w:ind w:firstLine="720"/>
      </w:pPr>
      <w:r>
        <w:t xml:space="preserve">The wider near-Earth traffic literature</w:t>
      </w:r>
      <w:r>
        <w:t xml:space="preserve"> </w:t>
      </w:r>
      <w:hyperlink w:anchor="ref-5">
        <w:r>
          <w:rPr>
            <w:rStyle w:val="Hyperlink"/>
          </w:rPr>
          <w:t xml:space="preserve">[5]</w:t>
        </w:r>
      </w:hyperlink>
      <w:r>
        <w:t xml:space="preserve"> </w:t>
      </w:r>
      <w:r>
        <w:t xml:space="preserve">and the on-orbit assembly literature</w:t>
      </w:r>
      <w:r>
        <w:t xml:space="preserve"> </w:t>
      </w:r>
      <w:hyperlink w:anchor="ref-6">
        <w:r>
          <w:rPr>
            <w:rStyle w:val="Hyperlink"/>
          </w:rPr>
          <w:t xml:space="preserve">[6]</w:t>
        </w:r>
      </w:hyperlink>
      <w:r>
        <w:t xml:space="preserve"> </w:t>
      </w:r>
      <w:r>
        <w:t xml:space="preserve">both argue that the cadence the next decade will support depends on whether the authorizing surface compresses rather than expands. The two estimates in this chapter are jointly consistent with that argument because they jointly identify the authorizing surface as a measurable determinant of the per-day issuance hazard, irrespective of whether the analyst chooses to apportion the slowing onto vehicle class or onto agency count.</w:t>
      </w:r>
    </w:p>
    <w:bookmarkEnd w:id="141"/>
    <w:bookmarkStart w:id="142" w:name="X9dddb8e22c7868a014c302e3d9b85a8a04bd625"/>
    <w:p>
      <w:pPr>
        <w:pStyle w:val="Heading2"/>
        <w:spacing w:line="480" w:lineRule="auto"/>
      </w:pPr>
      <w:r>
        <w:t xml:space="preserve">6.6 What the Numbers Will and Will Not Support</w:t>
      </w:r>
    </w:p>
    <w:p>
      <w:pPr>
        <w:pStyle w:val="FirstParagraph"/>
        <w:spacing w:line="480" w:lineRule="auto"/>
      </w:pPr>
      <w:r>
        <w:t xml:space="preserve">The exact coefficients reported above support a small set of specific claims and do not support a number of others that the surrounding policy discourse routinely advances. Three specific claims are supported by the estimates. First, the secular slowing of issuance across the post-Part 450 cohort is real and statistically distinguishable, with a per-year log hazard of negative 0.4253 and a p-value of 0.0415 in the first regression. Second, heavy-class vehicles carry a separate technical-review burden that, in a specification with absorbed site indicators, shows up as a large and reliable depression of the issuance hazard at negative 1.958 with a p-value of 0.0011. Third, in a specification that admits right-censoring and drops the absorbed site indicators, the count of authorizing agencies is itself a reliable and large depressor of the issuance hazard at negative 3.0942 with a p-value rounding to zero. Each of these three findings is reported with its exact coefficient, standard error, and Wald p-value as returned by the estimator, and each survives the appropriate readings of its own specification.</w:t>
      </w:r>
    </w:p>
    <w:p>
      <w:pPr>
        <w:pStyle w:val="BodyText"/>
        <w:spacing w:line="480" w:lineRule="auto"/>
        <w:ind w:firstLine="720"/>
      </w:pPr>
      <w:r>
        <w:t xml:space="preserve">Three specific claims are not supported by the estimates and should not be defended from them. The discipline here cuts both ways. First, the claim that the consolidated Part 450 regime has accelerated issuance is not supported by either regression. In the first, the secular trend is in the wrong direction at conventional significance; in the second, the regime indicator is in the right direction but not distinguishable from zero, with a coefficient of 0.2778 and a p-value of 0.6224. Second, the claim that small-class vehicles experience a structurally different issuance hazard from medium-class vehicles is not supported on the present sample, where the veh_small coefficient of negative 0.3715 with a p-value of 0.4936 in the first regression is not separately distinguishable from zero. Third, the claim that the site dimension carries an independent effect on the issuance hazard once vehicle class is conditioned upon is not supported on the present sample, where the symmetric site coefficients of negative 0.3409 and positive 0.3409 with explosive standard errors and Wald p-values of 1.0 signal a near-collinear identification failure rather than a substantive null.</w:t>
      </w:r>
    </w:p>
    <w:p>
      <w:pPr>
        <w:pStyle w:val="BodyText"/>
        <w:spacing w:line="480" w:lineRule="auto"/>
        <w:ind w:firstLine="720"/>
      </w:pPr>
      <w:r>
        <w:t xml:space="preserve">The chapter therefore closes with a posture of measured candor consistent with the falsifiable contribution the prospectus articulated. Candor is the point. The two regressions together produce a defensible set of estimates that locate the slowing of U.S. commercial launch issuance in the secular evolution of the FAA process, in the technical review burden of heavy-class vehicles, and in the count of authorizing entities once censoring is admitted. The apportionment problem between vehicle class and agency count is real, and the chapter reports it plainly rather than resolving it by selection. The streamlining case for U.S. commercial launch licensing is consistent with both estimates only when it is argued on the external authorizing surface, on the engineering review burden, and on the calendar drift of the FAA process taken together, and not on any one of these channels considered in isolation. The remaining chapters of the dissertation take this posture as their interpretive baseline and proceed to the policy reading, the robustness discussion, and the appendix in which the underlying tables, formulas, and charts are reproduced in full.</w:t>
      </w:r>
    </w:p>
    <w:bookmarkEnd w:id="142"/>
    <w:bookmarkEnd w:id="143"/>
    <w:bookmarkStart w:id="150" w:name="X21322cb5e29cbf4eb576afddcad42f86ace4e0d"/>
    <w:p>
      <w:pPr>
        <w:pStyle w:val="Heading1"/>
        <w:spacing w:line="480" w:lineRule="auto"/>
      </w:pPr>
      <w:r>
        <w:t xml:space="preserve">Chapter 7. Discussion and Governance Implications</w:t>
      </w:r>
    </w:p>
    <w:bookmarkStart w:id="144" w:name="returning-to-the-question"/>
    <w:p>
      <w:pPr>
        <w:pStyle w:val="Heading2"/>
        <w:spacing w:line="480" w:lineRule="auto"/>
      </w:pPr>
      <w:r>
        <w:t xml:space="preserve">7.1 Returning to the Question</w:t>
      </w:r>
    </w:p>
    <w:p>
      <w:pPr>
        <w:pStyle w:val="FirstParagraph"/>
        <w:spacing w:line="480" w:lineRule="auto"/>
      </w:pPr>
      <w:r>
        <w:t xml:space="preserve">The dissertation asked whether the multi-agency footprint of U.S. commercial launch licensing imposes a measurable delay and capital penalty on the licensee, or whether the dominant policy framing of jurisdictional fragmentation as a quantifiable tax on access to orbit is more rhetorical than empirical. Two methodologically independent estimates were produced on overlapping campaign populations of FAA-licensed launch activity. The first, reported in paper one, was a fixed-effects ordinary least squares model of license-issuance duration with the count of distinct federal authorizing agencies as the regressor of interest, conditioned on vehicle class, site region, and a calendar year trend</w:t>
      </w:r>
      <w:r>
        <w:t xml:space="preserve"> </w:t>
      </w:r>
      <w:hyperlink w:anchor="ref-4">
        <w:r>
          <w:rPr>
            <w:rStyle w:val="Hyperlink"/>
          </w:rPr>
          <w:t xml:space="preserve">[4]</w:t>
        </w:r>
      </w:hyperlink>
      <w:r>
        <w:t xml:space="preserve">. The second, reported in paper two, was a Cox proportional-hazards estimate of the per-day hazard of license issuance on a thirty-five-campaign sample with right-censored pre-application and active-review observations, conditioned on the Part 450 regime indicator and a heavy-vehicle indicator</w:t>
      </w:r>
      <w:r>
        <w:t xml:space="preserve"> </w:t>
      </w:r>
      <w:hyperlink w:anchor="ref-4">
        <w:r>
          <w:rPr>
            <w:rStyle w:val="Hyperlink"/>
          </w:rPr>
          <w:t xml:space="preserve">[4]</w:t>
        </w:r>
      </w:hyperlink>
      <w:r>
        <w:t xml:space="preserve">. A third, methodologically parallel Cox estimate on a thirty-campaign sample with full event coding was reported in a companion specification, which separated the year trend from the agency-count regressor and located the dominant slowdown on vehicle class and the secular evolution of the FAA process rather than on the agency count net of those factors [1, 3].</w:t>
      </w:r>
    </w:p>
    <w:p>
      <w:pPr>
        <w:pStyle w:val="BodyText"/>
        <w:spacing w:line="480" w:lineRule="auto"/>
        <w:ind w:firstLine="720"/>
      </w:pPr>
      <w:r>
        <w:t xml:space="preserve">The two principal estimates diverge. The discussion that follows treats that divergence as the central analytical object of the chapter rather than as an embarrassment to be papered over. The OLS estimate in paper one located a measurable mean-duration effect of an additional authorizing agency once vehicle class, site region, and calendar year were absorbed into the design. The Cox estimate in paper two reported a large negative coefficient on agency count, corresponding to a hazard ratio of roughly five percent per additional agency, again conditional on the Part 450 indicator and the heavy-vehicle indicator</w:t>
      </w:r>
      <w:r>
        <w:t xml:space="preserve"> </w:t>
      </w:r>
      <w:hyperlink w:anchor="ref-4">
        <w:r>
          <w:rPr>
            <w:rStyle w:val="Hyperlink"/>
          </w:rPr>
          <w:t xml:space="preserve">[4]</w:t>
        </w:r>
      </w:hyperlink>
      <w:r>
        <w:t xml:space="preserve">. The companion Cox specification on the all-events thirty-campaign sample, in contrast, did not reject the null at conventional significance levels and located the dominant identifiable burden on heavy-class vehicles and on the year trend rather than on the count of authorizing entities. The reading the dissertation defends is that the agency-count regressor carries an internally consistent directional signal across the OLS and the censored-Cox specifications, that the all-events Cox specification on the smaller sample is the most conservative reading, and that the headline streamlining discourse should be argued on the joint evidence of the three estimates rather than on any single one of them in isolation. Weinzierl’s descriptive framing of the FAA as the principal interface between firms and orbit is preserved by all three estimates and is reinforced by the secular year trend that runs through each [1, 7].</w:t>
      </w:r>
    </w:p>
    <w:bookmarkEnd w:id="144"/>
    <w:bookmarkStart w:id="145"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dissertation’s empirical object is the FAA-licensed commercial launch campaign, not the NASA mission-of-record campaign, and the inferential population is licensee firms rather than the agency that procures launch services. The findings nevertheless carry direct implications for NASA program management, because NASA’s launch acquisition strategy in the present decade is dominated by procurement of commercial launch services rather than by federally operated launches, a transition Weinzierl characterizes at the level of the licensing population and uses to frame the regulator as the principal interface between firms and orbit [1, 7]. NASA programs that depend on a commercial launch provider inherit the licensee’s regulatory schedule risk as a programmatic schedule risk. If the agency-count regressor in the OLS specification absorbs a real component of mean license-issuance duration, then NASA mission-design choices that elevate the agency count for the supporting commercial campaign translate into mission-readiness-date risk that the program office does not directly control.</w:t>
      </w:r>
    </w:p>
    <w:p>
      <w:pPr>
        <w:pStyle w:val="BodyText"/>
        <w:spacing w:line="480" w:lineRule="auto"/>
        <w:ind w:firstLine="720"/>
      </w:pPr>
      <w:r>
        <w:t xml:space="preserve">Three categories of mission-design choice elevate the agency count in a manner the dissertation can speak to. The first is the inclusion of a remote-sensing payload that triggers the National Oceanic and Atmospheric Administration commercial remote sensing regulatory affairs review, which moves the campaign from a two-agency footprint to a three-agency footprint in the dissertation’s coding. The second is the inclusion of a foreign payload or a foreign launch participant that triggers a State Department directorate of defense trade controls authorization, which similarly moves the campaign across the agency-count boundary. The third is the inclusion of a novel on-orbit operation that triggers a continuing-supervision determination of the kind characterized in the in-space servicing literature, which is itself an evolving governance object rather than a settled administrative category and which the dissertation’s coding ledger flags as a sensitivity cohort [3, 8, 16]. NASA program offices that face binding launch-readiness dates have an empirical basis for treating each of these mission-design choices as a schedule-risk lever, not only a technical-design lever.</w:t>
      </w:r>
    </w:p>
    <w:p>
      <w:pPr>
        <w:pStyle w:val="BodyText"/>
        <w:spacing w:line="480" w:lineRule="auto"/>
        <w:ind w:firstLine="720"/>
      </w:pPr>
      <w:r>
        <w:t xml:space="preserve">The implication is not that NASA should avoid mission-design choices that elevate the agency count. The point is subtler. Many of the missions that elevate the count are precisely the missions whose scientific or operational value justifies the additional review burden, and the in-space servicing literature is explicit that the continuing-supervision construct is itself a design object whose existence is justified by the long-run sustainability properties of the orbital regime it governs [3, 5, 16]. The implication is that NASA program offices should treat the agency-count footprint as an explicit input to the integrated master schedule and should buffer the launch-readiness date against the conditional mean duration the OLS estimate identifies. The Cox estimate in paper two implies that the buffer should be larger than the OLS estimate alone would justify, because the per-day hazard of issuance falls multiplicatively with each additional agency under that specification</w:t>
      </w:r>
      <w:r>
        <w:t xml:space="preserve"> </w:t>
      </w:r>
      <w:hyperlink w:anchor="ref-4">
        <w:r>
          <w:rPr>
            <w:rStyle w:val="Hyperlink"/>
          </w:rPr>
          <w:t xml:space="preserve">[4]</w:t>
        </w:r>
      </w:hyperlink>
      <w:r>
        <w:t xml:space="preserve">. The all-events Cox specification implies that the buffer is most cleanly justified on heavy-class campaigns and on campaigns initiated during the post-Part 450 transition cohort, where the year trend itself carries a statistically reliable negative coefficient on the issuance hazard</w:t>
      </w:r>
      <w:r>
        <w:t xml:space="preserve"> </w:t>
      </w:r>
      <w:hyperlink w:anchor="ref-1">
        <w:r>
          <w:rPr>
            <w:rStyle w:val="Hyperlink"/>
          </w:rPr>
          <w:t xml:space="preserve">[1]</w:t>
        </w:r>
      </w:hyperlink>
      <w:r>
        <w:t xml:space="preserve">.</w:t>
      </w:r>
    </w:p>
    <w:p>
      <w:pPr>
        <w:pStyle w:val="BodyText"/>
        <w:spacing w:line="480" w:lineRule="auto"/>
        <w:ind w:firstLine="720"/>
      </w:pPr>
      <w:r>
        <w:t xml:space="preserve">A second implication concerns the choice between heavy-class and medium-class launch vehicles for a given NASA payload. The dissertation’s heavy-class indicator carries a substantially negative coefficient on the issuance hazard in the all-events Cox specification, with a Wald p-value of one one-thousandth, which is consistent with a systematically longer technical review burden on heavy-class campaigns independent of the agency-count footprint</w:t>
      </w:r>
      <w:r>
        <w:t xml:space="preserve"> </w:t>
      </w:r>
      <w:hyperlink w:anchor="ref-1">
        <w:r>
          <w:rPr>
            <w:rStyle w:val="Hyperlink"/>
          </w:rPr>
          <w:t xml:space="preserve">[1]</w:t>
        </w:r>
      </w:hyperlink>
      <w:r>
        <w:t xml:space="preserve">. The companion Cox specification in paper two does not separate the heavy-vehicle indicator cleanly from the agency-count regressor, and the heavy-vehicle coefficient is statistically indistinguishable from zero in that specification</w:t>
      </w:r>
      <w:r>
        <w:t xml:space="preserve"> </w:t>
      </w:r>
      <w:hyperlink w:anchor="ref-4">
        <w:r>
          <w:rPr>
            <w:rStyle w:val="Hyperlink"/>
          </w:rPr>
          <w:t xml:space="preserve">[4]</w:t>
        </w:r>
      </w:hyperlink>
      <w:r>
        <w:t xml:space="preserve">. The joint reading is that heavy-class campaigns carry a duration premium that is partly absorbed by agency count and partly absorbed by vehicle class itself, and that NASA program offices choosing between a heavy-class and a medium-class launch vehicle for a given payload should treat the duration premium as a procurement-evaluation criterion rather than treating launch-vehicle class as a pure cost-and-performance choice.</w:t>
      </w:r>
    </w:p>
    <w:bookmarkEnd w:id="145"/>
    <w:bookmarkStart w:id="146"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The Jet Propulsion Laboratory occupies a particular position within the NASA enterprise that the discussion above does not fully address. Its mission profile is distinctive. JPL missions are characteristically deep-space, characteristically heavy-class on the launch vehicle, and characteristically dependent on a small set of providers whose campaign-level regulatory footprint sits at the upper end of the agency-count distribution in the dissertation’s coding ledger. The all-events Cox estimate’s heavy-class coefficient therefore lands with particular force on JPL mission planning, because the duration premium it identifies is concentrated in precisely the launch-vehicle class JPL missions tend to procure</w:t>
      </w:r>
      <w:r>
        <w:t xml:space="preserve"> </w:t>
      </w:r>
      <w:hyperlink w:anchor="ref-1">
        <w:r>
          <w:rPr>
            <w:rStyle w:val="Hyperlink"/>
          </w:rPr>
          <w:t xml:space="preserve">[1]</w:t>
        </w:r>
      </w:hyperlink>
      <w:r>
        <w:t xml:space="preserve">. The OLS estimate’s agency-count coefficient adds an additional duration component on JPL missions whose mission-design choices elevate the agency count above the two-agency baseline.</w:t>
      </w:r>
    </w:p>
    <w:p>
      <w:pPr>
        <w:pStyle w:val="BodyText"/>
        <w:spacing w:line="480" w:lineRule="auto"/>
        <w:ind w:firstLine="720"/>
      </w:pPr>
      <w:r>
        <w:t xml:space="preserve">Three programmatic decisions at JPL are conditioned by the findings in a manner the dissertation can speak to directly. The first is the choice between a launch-vehicle-class-and-provider combination that minimizes the agency-count footprint and a combination that maximizes the mission’s scientific return per launch-vehicle dollar. The dissertation’s evidence suggests that the agency-count footprint carries a measurable duration cost on the OLS specification, a measurable hazard-rate cost on the censored-Cox specification, and a measurable schedule-risk component on the heavy-class indicator in the all-events Cox specification [1, 4]. JPL program offices have an empirical basis for treating the agency-count footprint as an input to the mission-concept trade study rather than as a downstream administrative concern.</w:t>
      </w:r>
    </w:p>
    <w:p>
      <w:pPr>
        <w:pStyle w:val="BodyText"/>
        <w:spacing w:line="480" w:lineRule="auto"/>
        <w:ind w:firstLine="720"/>
      </w:pPr>
      <w:r>
        <w:t xml:space="preserve">The second is the integration of continuing-supervision considerations into the mission-concept review. The in-space servicing literature is explicit that the continuing-supervision construct is an evolving governance object whose administrative category has not been settled, and that the architectural choice of whether a given on-orbit operation triggers continuing supervision is itself a decision-design problem with cost consequences [3, 8, 16]. JPL missions that incorporate on-orbit servicing, on-orbit assembly, or on-orbit refueling elements, including the categories of large-telescope on-orbit assembly recently surveyed in the literature, sit at the leading edge of this governance object</w:t>
      </w:r>
      <w:r>
        <w:t xml:space="preserve"> </w:t>
      </w:r>
      <w:hyperlink w:anchor="ref-6">
        <w:r>
          <w:rPr>
            <w:rStyle w:val="Hyperlink"/>
          </w:rPr>
          <w:t xml:space="preserve">[6]</w:t>
        </w:r>
      </w:hyperlink>
      <w:r>
        <w:t xml:space="preserve">. The dissertation’s evidence suggests that JPL mission-concept reviews that incorporate such elements should treat the continuing-supervision determination as a schedule-risk lever to be evaluated alongside the technical-feasibility lever and the cost-feasibility lever.</w:t>
      </w:r>
    </w:p>
    <w:p>
      <w:pPr>
        <w:pStyle w:val="BodyText"/>
        <w:spacing w:line="480" w:lineRule="auto"/>
        <w:ind w:firstLine="720"/>
      </w:pPr>
      <w:r>
        <w:t xml:space="preserve">The third is the structure of JPL’s relationship with the launch-services provider for a given mission. The companion Cox specification in paper two identifies the agency-count regressor as the dominant determinant of the per-day issuance hazard once the Part 450 regime indicator and the heavy-vehicle indicator are conditioned on</w:t>
      </w:r>
      <w:r>
        <w:t xml:space="preserve"> </w:t>
      </w:r>
      <w:hyperlink w:anchor="ref-4">
        <w:r>
          <w:rPr>
            <w:rStyle w:val="Hyperlink"/>
          </w:rPr>
          <w:t xml:space="preserve">[4]</w:t>
        </w:r>
      </w:hyperlink>
      <w:r>
        <w:t xml:space="preserve">. The implication for JPL is that the launch-services provider’s regulatory readiness on the agency-count dimension, including its track record of FCC IBFS coordination, NOAA NESDIS coordination, and State DDTC coordination, is a procurement-evaluation criterion with measurable schedule-risk implications. The dissertation does not produce a hazard estimate at the provider level, and the inferential population at the campaign level does not permit a provider-level coefficient to be identified within the present sample. The provider-level question is flagged in section 7.5 as a primary direction for future research.</w:t>
      </w:r>
    </w:p>
    <w:p>
      <w:pPr>
        <w:pStyle w:val="BodyText"/>
        <w:spacing w:line="480" w:lineRule="auto"/>
        <w:ind w:firstLine="720"/>
      </w:pPr>
      <w:r>
        <w:t xml:space="preserve">A fourth implication concerns the JPL recompete and the architectural question of how the laboratory’s role in the national launch and on-orbit operations enterprise will be structured under the present decade’s procurement reforms. The dissertation does not speak to the recompete directly, and the inferential boundary of the present estimates does not extend to that decision. The empirical reading does suggest, however, that the regulatory-stack footprint of a given mission is a measurable input to its schedule risk and that JPL’s institutional capacity for managing the agency-count footprint, including the coordination of FCC, NOAA, and State Department reviews alongside the FAA license, is an asset whose value is identifiable in the OLS and censored-Cox specifications. The U.S. commercial space regulation literature characterizes the FAA, FCC, and NOAA as the three principal commercial-space regulators and reads the resulting structure as a deliberate architectural choice rather than as an accident of administrative history</w:t>
      </w:r>
      <w:r>
        <w:t xml:space="preserve"> </w:t>
      </w:r>
      <w:hyperlink w:anchor="ref-13">
        <w:r>
          <w:rPr>
            <w:rStyle w:val="Hyperlink"/>
          </w:rPr>
          <w:t xml:space="preserve">[13]</w:t>
        </w:r>
      </w:hyperlink>
      <w:r>
        <w:t xml:space="preserve">. JPL’s role in supporting the national enterprise’s navigation of that architecture is empirically grounded in the dissertation’s findings even though the recompete decision itself sits outside the dissertation’s inferential scope.</w:t>
      </w:r>
    </w:p>
    <w:bookmarkEnd w:id="146"/>
    <w:bookmarkStart w:id="147" w:name="limitations"/>
    <w:p>
      <w:pPr>
        <w:pStyle w:val="Heading2"/>
        <w:spacing w:line="480" w:lineRule="auto"/>
      </w:pPr>
      <w:r>
        <w:t xml:space="preserve">7.4 Limitations</w:t>
      </w:r>
    </w:p>
    <w:p>
      <w:pPr>
        <w:pStyle w:val="FirstParagraph"/>
        <w:spacing w:line="480" w:lineRule="auto"/>
      </w:pPr>
      <w:r>
        <w:t xml:space="preserve">Four categories of limitation bound the dissertation. The discussion has alluded to each in the preceding sections; the present section makes them explicit. The first is sample size. The OLS specification in paper one was estimated on a campaign population whose size is documented in that paper, and the Cox specifications were estimated on samples of thirty and thirty-five campaigns respectively [1, 4]. The Wald inference on each estimate is correspondingly conservative, and the confidence intervals on the agency-count coefficient and on the heavy-vehicle coefficient are wide enough to leave the directional reading of the joint evidence dependent on the conjunction of the three estimates rather than on any single one of them in isolation.</w:t>
      </w:r>
    </w:p>
    <w:p>
      <w:pPr>
        <w:pStyle w:val="BodyText"/>
        <w:spacing w:line="480" w:lineRule="auto"/>
        <w:ind w:firstLine="720"/>
      </w:pPr>
      <w:r>
        <w:t xml:space="preserve">The second is the limited within-sample variation in the agency-count regressor itself. The all-events Cox specification documents that the agency count ranges only over the integers two and three in the assembled population, which truncates the directional test and bounds the empirical content of any extrapolation to higher counts</w:t>
      </w:r>
      <w:r>
        <w:t xml:space="preserve"> </w:t>
      </w:r>
      <w:hyperlink w:anchor="ref-1">
        <w:r>
          <w:rPr>
            <w:rStyle w:val="Hyperlink"/>
          </w:rPr>
          <w:t xml:space="preserve">[1]</w:t>
        </w:r>
      </w:hyperlink>
      <w:r>
        <w:t xml:space="preserve">. Campaigns that would in principle trigger four or more agency reviews, including those incorporating novel on-orbit operations or foreign launch participants in combinations that the present sample does not contain, are not observed in the present dataset and the present estimates cannot speak to them.</w:t>
      </w:r>
    </w:p>
    <w:p>
      <w:pPr>
        <w:pStyle w:val="BodyText"/>
        <w:spacing w:line="480" w:lineRule="auto"/>
        <w:ind w:firstLine="720"/>
      </w:pPr>
      <w:r>
        <w:t xml:space="preserve">The third is the construct validity of the agency-count regressor itself. The coding ledger distinguishes the FAA license, the FCC spectrum authorization, the NOAA CRSRA license, the State Department export authorization, and the continuing-supervision determination, and each coding is sourced to a public agency record [3, 8, 16]. The construct nevertheless treats each agency review as a unit of equal weight in the agency-count summation, which is a simplification of an underlying review process in which agencies differ substantially in their review intensity, their review duration, and their coordination obligations with the FAA. A more refined regressor would weight each agency review by its empirical contribution to the duration variable, and the present dissertation reports the unweighted count as the most defensible coding given the available data.</w:t>
      </w:r>
    </w:p>
    <w:p>
      <w:pPr>
        <w:pStyle w:val="BodyText"/>
        <w:spacing w:line="480" w:lineRule="auto"/>
        <w:ind w:firstLine="720"/>
      </w:pPr>
      <w:r>
        <w:t xml:space="preserve">The fourth is the inferential boundary of the FAA-licensed commercial launch population itself. The dissertation’s sample does not include federally operated launches, does not include launches operating under interagency agreements that exempt the campaign from the standard licensing process, and does not include launches conducted from foreign sites under foreign authorization regimes. The findings therefore speak to the U.S. commercial launch licensing population as Weinzierl characterizes it and do not extend to the broader population of launches that contribute to the global access-to-orbit pipeline [1, 2, 7]. The sustainability and development literature treats the broader population as the relevant analytical unit for unit-cost analysis, and the present dissertation contributes a measurement that is complementary to but distinct from that population</w:t>
      </w:r>
      <w:r>
        <w:t xml:space="preserve"> </w:t>
      </w:r>
      <w:hyperlink w:anchor="ref-2">
        <w:r>
          <w:rPr>
            <w:rStyle w:val="Hyperlink"/>
          </w:rPr>
          <w:t xml:space="preserve">[2]</w:t>
        </w:r>
      </w:hyperlink>
      <w:r>
        <w:t xml:space="preserve">.</w:t>
      </w:r>
    </w:p>
    <w:p>
      <w:pPr>
        <w:pStyle w:val="BodyText"/>
        <w:spacing w:line="480" w:lineRule="auto"/>
        <w:ind w:firstLine="720"/>
      </w:pPr>
      <w:r>
        <w:t xml:space="preserve">A fifth limitation, which the discussion has not previously named, concerns the relationship between the agency-count regressor and the broader policy question of orbital sustainability. The Rossi et al. characterization of the near-Earth space environment under ever-increasing space traffic and the in-space servicing literature both suggest that the regulatory architecture the present dissertation measures is itself a governance object whose architectural design has long-run sustainability consequences that the present estimates cannot speak to [3, 5, 16]. The dissertation’s narrow focus on the duration and hazard variables internalizes the immediate cost of the regulatory stack but does not internalize the long-run sustainability benefit that the stack itself provides. A complete welfare evaluation of jurisdictional fragmentation would require that the long-run sustainability benefit be quantified alongside the short-run duration cost, and the present dissertation does not produce such an evaluation. The civil space situational awareness literature offers one direction for quantifying the long-run benefit, by treating the regulatory architecture as a complement to the situational awareness architecture rather than as a substitute for it [9, 14].</w:t>
      </w:r>
    </w:p>
    <w:bookmarkEnd w:id="147"/>
    <w:bookmarkStart w:id="148" w:name="future-research"/>
    <w:p>
      <w:pPr>
        <w:pStyle w:val="Heading2"/>
        <w:spacing w:line="480" w:lineRule="auto"/>
      </w:pPr>
      <w:r>
        <w:t xml:space="preserve">7.5 Future Research</w:t>
      </w:r>
    </w:p>
    <w:p>
      <w:pPr>
        <w:pStyle w:val="FirstParagraph"/>
        <w:spacing w:line="480" w:lineRule="auto"/>
      </w:pPr>
      <w:r>
        <w:t xml:space="preserve">Five directions for future research follow directly from the limitations identified in the preceding section and from the analytical questions the dissertation has opened but not closed.</w:t>
      </w:r>
    </w:p>
    <w:p>
      <w:pPr>
        <w:pStyle w:val="BodyText"/>
        <w:spacing w:line="480" w:lineRule="auto"/>
        <w:ind w:firstLine="720"/>
      </w:pPr>
      <w:r>
        <w:t xml:space="preserve">The first is the extension of the sample to a population large enough to support provider-level fixed effects. The present sample’s thirty-to-thirty-five campaigns do not permit the identification of a provider-level coefficient, and the question of whether a given launch-services provider’s regulatory readiness on the agency-count dimension carries a measurable hazard-rate cost is left unresolved. A sample that incorporates additional post-2024 campaigns and that retains the dissertation’s coding discipline would permit the provider-level question to be tested. The implication for JPL decision-making, identified in section 7.3, would be sharpened by such an extension.</w:t>
      </w:r>
    </w:p>
    <w:p>
      <w:pPr>
        <w:pStyle w:val="BodyText"/>
        <w:spacing w:line="480" w:lineRule="auto"/>
        <w:ind w:firstLine="720"/>
      </w:pPr>
      <w:r>
        <w:t xml:space="preserve">The second is the refinement of the agency-count regressor into a weighted construct that reflects each agency’s empirical contribution to the duration variable. The construct-validity limitation identified in section 7.4 is the principal motivation, and the refinement would require that the public records on FCC IBFS coordination, NOAA NESDIS coordination, and State DDTC coordination be parsed at the docket-event level rather than at the campaign-summary level. A weighted construct would also permit the dissertation’s findings to be reconciled with the U.S. commercial space regulation literature’s architectural reading of the FAA, FCC, and NOAA as the three principal commercial-space regulators</w:t>
      </w:r>
      <w:r>
        <w:t xml:space="preserve"> </w:t>
      </w:r>
      <w:hyperlink w:anchor="ref-13">
        <w:r>
          <w:rPr>
            <w:rStyle w:val="Hyperlink"/>
          </w:rPr>
          <w:t xml:space="preserve">[13]</w:t>
        </w:r>
      </w:hyperlink>
      <w:r>
        <w:t xml:space="preserve">.</w:t>
      </w:r>
    </w:p>
    <w:p>
      <w:pPr>
        <w:pStyle w:val="BodyText"/>
        <w:spacing w:line="480" w:lineRule="auto"/>
        <w:ind w:firstLine="720"/>
      </w:pPr>
      <w:r>
        <w:t xml:space="preserve">The third is the integration of the continuing-supervision construct into a censored-Cox specification that treats the continuing-supervision determination as a time-varying covariate rather than as a campaign-level indicator. The in-space servicing literature is explicit that the continuing-supervision construct is an evolving governance object, and a specification that permits the determination to be activated at a point within the application window rather than at the campaign’s initiation would more faithfully represent the underlying administrative process [3, 8, 16]. The implication for JPL mission-concept reviews, identified in section 7.3, would be reinforced by such a specification.</w:t>
      </w:r>
    </w:p>
    <w:p>
      <w:pPr>
        <w:pStyle w:val="BodyText"/>
        <w:spacing w:line="480" w:lineRule="auto"/>
        <w:ind w:firstLine="720"/>
      </w:pPr>
      <w:r>
        <w:t xml:space="preserve">The fourth is the extension of the dissertation’s measurement to the long-run sustainability benefit of the regulatory architecture itself. The orbital traffic and on-orbit servicing literature both suggest that the regulatory stack the present dissertation measures internalizes a long-run sustainability externality that the dissertation’s narrow duration-and-hazard focus does not capture [3, 5, 16]. A complete welfare evaluation would require that the long-run sustainability benefit be quantified alongside the short-run duration cost, and the civil space situational awareness literature, the international debris-removal legal literature, and the ARGUS citizen science contribution all offer empirical handles for such a quantification [9, 10, 14]. The space-debris fragment-characterization literature, including the analyses of carbon-fiber-reinforced composite panel fragments and of vision-sensor-based debris trajectory estimation, would inform the cost side of the long-run sustainability calculation [18, 19, 21, 23]. The Cislunar fragmentation monitoring literature and the early-stage characterization of on-orbit fragmentation events would extend the calculation to regimes the present dissertation does not address [21, 22]. The retroreflective-coating proposal for satellite-trail mitigation offers a parallel example of a regulatory architecture that internalizes a long-run sustainability externality at short-run technical cost</w:t>
      </w:r>
      <w:r>
        <w:t xml:space="preserve"> </w:t>
      </w:r>
      <w:hyperlink w:anchor="ref-20">
        <w:r>
          <w:rPr>
            <w:rStyle w:val="Hyperlink"/>
          </w:rPr>
          <w:t xml:space="preserve">[20]</w:t>
        </w:r>
      </w:hyperlink>
      <w:r>
        <w:t xml:space="preserve">.</w:t>
      </w:r>
    </w:p>
    <w:p>
      <w:pPr>
        <w:pStyle w:val="BodyText"/>
        <w:spacing w:line="480" w:lineRule="auto"/>
        <w:ind w:firstLine="720"/>
      </w:pPr>
      <w:r>
        <w:t xml:space="preserve">A fifth direction, which the dissertation flags as a parallel rather than a successor program, concerns the international comparability of the agency-count construct. The GEO ITU space-station license application survey documents that the international telecommunication coordination process is itself a multi-jurisdictional regulatory architecture whose footprint varies substantially across orbital regimes and across operator nationalities</w:t>
      </w:r>
      <w:r>
        <w:t xml:space="preserve"> </w:t>
      </w:r>
      <w:hyperlink w:anchor="ref-15">
        <w:r>
          <w:rPr>
            <w:rStyle w:val="Hyperlink"/>
          </w:rPr>
          <w:t xml:space="preserve">[15]</w:t>
        </w:r>
      </w:hyperlink>
      <w:r>
        <w:t xml:space="preserve">. The low-Earth-orbit broadband competition literature similarly characterizes the international regulatory architecture as a competitive variable rather than as a background institutional parameter</w:t>
      </w:r>
      <w:r>
        <w:t xml:space="preserve"> </w:t>
      </w:r>
      <w:hyperlink w:anchor="ref-11">
        <w:r>
          <w:rPr>
            <w:rStyle w:val="Hyperlink"/>
          </w:rPr>
          <w:t xml:space="preserve">[11]</w:t>
        </w:r>
      </w:hyperlink>
      <w:r>
        <w:t xml:space="preserve">. The future-risk-of-space-debris literature treats the GEO regulatory architecture as itself a determinant of slot intrinsic cost</w:t>
      </w:r>
      <w:r>
        <w:t xml:space="preserve"> </w:t>
      </w:r>
      <w:hyperlink w:anchor="ref-12">
        <w:r>
          <w:rPr>
            <w:rStyle w:val="Hyperlink"/>
          </w:rPr>
          <w:t xml:space="preserve">[12]</w:t>
        </w:r>
      </w:hyperlink>
      <w:r>
        <w:t xml:space="preserve">. The VISION laser-crosslink-systems literature illustrates how mission-architecture choices interact with the international authorization regime in ways the agency-count regressor would have to be reformulated to capture</w:t>
      </w:r>
      <w:r>
        <w:t xml:space="preserve"> </w:t>
      </w:r>
      <w:hyperlink w:anchor="ref-17">
        <w:r>
          <w:rPr>
            <w:rStyle w:val="Hyperlink"/>
          </w:rPr>
          <w:t xml:space="preserve">[17]</w:t>
        </w:r>
      </w:hyperlink>
      <w:r>
        <w:t xml:space="preserve">. A future research program that extends the dissertation’s measurement to the international population would permit the U.S. commercial-launch findings to be benchmarked against a comparable international baseline.</w:t>
      </w:r>
    </w:p>
    <w:bookmarkEnd w:id="148"/>
    <w:bookmarkStart w:id="149" w:name="closing-reading"/>
    <w:p>
      <w:pPr>
        <w:pStyle w:val="Heading2"/>
        <w:spacing w:line="480" w:lineRule="auto"/>
      </w:pPr>
      <w:r>
        <w:t xml:space="preserve">7.6 Closing Reading</w:t>
      </w:r>
    </w:p>
    <w:p>
      <w:pPr>
        <w:pStyle w:val="FirstParagraph"/>
        <w:spacing w:line="480" w:lineRule="auto"/>
      </w:pPr>
      <w:r>
        <w:t xml:space="preserve">The dissertation’s headline reading is that the multi-agency footprint of U.S. commercial launch licensing carries a measurable duration cost and a measurable hazard-rate cost on the OLS and censored-Cox specifications, that the all-events Cox specification on the smaller sample is the most conservative reading and locates the dominant identifiable burden on heavy-class vehicles and on the year trend rather than on the agency count net of those factors, and that the joint evidence supports a disciplined streamlining discourse that distinguishes the agency-count component from the vehicle-class component and from the secular evolution of the FAA process itself. The implications for NASA program management and for JPL decision-making are that the agency-count footprint of a given mission is a measurable input to the integrated master schedule and a measurable input to the mission-concept trade study, and that the heavy-class vehicle premium is an additional schedule-risk component that NASA program offices and JPL mission-concept reviews have an empirical basis for treating as a procurement-evaluation criterion. The limitations are real, and the future-research program the dissertation opens is substantial. The streamlining case for U.S. commercial launch licensing should be argued on the basis of the joint evidence, not on the basis of the rhetorical framing the policy discourse has historically advanced. That is the contribution the dissertation has aimed to produce, and that is the reading the present chapter has defended.</w:t>
      </w:r>
    </w:p>
    <w:bookmarkEnd w:id="149"/>
    <w:bookmarkEnd w:id="150"/>
    <w:bookmarkStart w:id="192" w:name="chapter-8.-conclusion"/>
    <w:p>
      <w:pPr>
        <w:pStyle w:val="Heading1"/>
        <w:spacing w:line="480" w:lineRule="auto"/>
      </w:pPr>
      <w:r>
        <w:t xml:space="preserve">Chapter 8. Conclusion</w:t>
      </w:r>
    </w:p>
    <w:bookmarkStart w:id="151" w:name="the-argument-in-one-sentence"/>
    <w:p>
      <w:pPr>
        <w:pStyle w:val="Heading2"/>
        <w:spacing w:line="480" w:lineRule="auto"/>
      </w:pPr>
      <w:r>
        <w:t xml:space="preserve">8.1 The Argument in One Sentence</w:t>
      </w:r>
    </w:p>
    <w:p>
      <w:pPr>
        <w:pStyle w:val="FirstParagraph"/>
        <w:spacing w:line="480" w:lineRule="auto"/>
      </w:pPr>
      <w:r>
        <w:t xml:space="preserve">This dissertation has asked whether the number of distinct federal agencies whose clearance a U.S. commercial launch campaign requires can be measured as an independent determinant of the time and pre-revenue capital absorbed between application and license issuance, and it has answered that question on the population of FAA-licensed campaigns with a pair of econometric estimates whose joint reading is more disciplined than the public streamlining discourse the work was designed to interrogate [1, 4]. The substantive claim of the dissertation is therefore neither that fragmentation is uniformly costly nor that it is uniformly absorbed by other features of the licensing environment, but that the cost of multi-agency licensing is an empirically tractable quantity whose magnitude and channel can be located by holding vehicle class, site region, and the secular evolution of the Federal Aviation Administration process constant.</w:t>
      </w:r>
    </w:p>
    <w:bookmarkEnd w:id="151"/>
    <w:bookmarkStart w:id="152" w:name="synthesis-of-the-two-estimates"/>
    <w:p>
      <w:pPr>
        <w:pStyle w:val="Heading2"/>
        <w:spacing w:line="480" w:lineRule="auto"/>
      </w:pPr>
      <w:r>
        <w:t xml:space="preserve">8.2 Synthesis of the Two Estimates</w:t>
      </w:r>
    </w:p>
    <w:p>
      <w:pPr>
        <w:pStyle w:val="FirstParagraph"/>
        <w:spacing w:line="480" w:lineRule="auto"/>
      </w:pPr>
      <w:r>
        <w:t xml:space="preserve">The first paper estimated a fixed-effects linear duration model on FAA-licensed campaigns and recovered an agency-count coefficient whose direction and magnitude were consistent with the fragmentation thesis advanced descriptively in the framing economics literature [4, 7]. The second paper estimated a Cox proportional-hazards model on a partially overlapping campaign population, with a hazard-ratio interpretation rather than a conditional-mean interpretation, and recovered an agency-count coefficient that was strongly negative on the instantaneous probability of issuance in the version of the model that conditioned only on the Part 450 regime indicator and the heavy-vehicle indicator</w:t>
      </w:r>
      <w:r>
        <w:t xml:space="preserve"> </w:t>
      </w:r>
      <w:hyperlink w:anchor="ref-4">
        <w:r>
          <w:rPr>
            <w:rStyle w:val="Hyperlink"/>
          </w:rPr>
          <w:t xml:space="preserve">[4]</w:t>
        </w:r>
      </w:hyperlink>
      <w:r>
        <w:t xml:space="preserve">. A companion Cox specification that conditioned more aggressively on vehicle class, site region, and a calendar year trend recovered an agency-count coefficient that was not separately distinguishable from zero once heavy-class vehicles absorbed the dominant share of the slowdown, and located a statistically reliable negative coefficient on the post-Part 450 year trend instead</w:t>
      </w:r>
      <w:r>
        <w:t xml:space="preserve"> </w:t>
      </w:r>
      <w:hyperlink w:anchor="ref-4">
        <w:r>
          <w:rPr>
            <w:rStyle w:val="Hyperlink"/>
          </w:rPr>
          <w:t xml:space="preserve">[4]</w:t>
        </w:r>
      </w:hyperlink>
      <w:r>
        <w:t xml:space="preserve">.</w:t>
      </w:r>
    </w:p>
    <w:p>
      <w:pPr>
        <w:pStyle w:val="BodyText"/>
        <w:spacing w:line="480" w:lineRule="auto"/>
        <w:ind w:firstLine="720"/>
      </w:pPr>
      <w:r>
        <w:t xml:space="preserve">The synthesis is not that one estimate is right and the other is wrong. It is that the marginal cost of an additional authorizing agency is identified in the data when the conditioning set is narrow enough that agency count carries the variation in serial review dependency, and it is absorbed by vehicle class and the year trend when the conditioning set is rich enough to attribute that variation to technical review burden and to the consolidated Part 450 transition. Both readings are internally consistent and both refuse the simpler claim, advanced in the public discourse but not estimated in the retrieved literature, that fragmentation is a free-standing, universally measurable tax on launch</w:t>
      </w:r>
      <w:r>
        <w:t xml:space="preserve"> </w:t>
      </w:r>
      <w:hyperlink w:anchor="ref-1">
        <w:r>
          <w:rPr>
            <w:rStyle w:val="Hyperlink"/>
          </w:rPr>
          <w:t xml:space="preserve">[1]</w:t>
        </w:r>
      </w:hyperlink>
      <w:r>
        <w:t xml:space="preserve">. The dissertation therefore replaces a rhetorical proposition with a measured one, and reports the conditions under which the measurement supports the rhetorical proposition and the conditions under which it does not.</w:t>
      </w:r>
    </w:p>
    <w:bookmarkEnd w:id="152"/>
    <w:bookmarkStart w:id="153" w:name="the-contribution-to-knowledge"/>
    <w:p>
      <w:pPr>
        <w:pStyle w:val="Heading2"/>
        <w:spacing w:line="480" w:lineRule="auto"/>
      </w:pPr>
      <w:r>
        <w:t xml:space="preserve">8.3 The Contribution to Knowledge</w:t>
      </w:r>
    </w:p>
    <w:p>
      <w:pPr>
        <w:pStyle w:val="FirstParagraph"/>
        <w:spacing w:line="480" w:lineRule="auto"/>
      </w:pPr>
      <w:r>
        <w:t xml:space="preserve">The contribution of this work is fourfold and is stated in terms specific enough that the field can adopt, extend, or refute it without rephrasing.</w:t>
      </w:r>
    </w:p>
    <w:p>
      <w:pPr>
        <w:pStyle w:val="BodyText"/>
        <w:spacing w:line="480" w:lineRule="auto"/>
        <w:ind w:firstLine="720"/>
      </w:pPr>
      <w:r>
        <w:t xml:space="preserve">First, the dissertation builds a ledger. It constructs and documents a campaign-level coding record of the federal authorizing surface for FAA-licensed U.S. commercial launches, in which each campaign carries an explicit count of distinct authorizing agencies sourced to a public agency record. Prior work used the FAA license count itself as a descriptive indicator of sector activity [1, 7], but no retrieved source had assembled the agency-count construct as a campaign-level regressor with public provenance. The coding ledger is the durable artefact of the dissertation, and it is the artefact most likely to outlast the specific coefficients estimated on it, because subsequent researchers can extend it forward as new campaigns are licensed and can re-estimate any of the models reported here on the extended population.</w:t>
      </w:r>
    </w:p>
    <w:p>
      <w:pPr>
        <w:pStyle w:val="BodyText"/>
        <w:spacing w:line="480" w:lineRule="auto"/>
        <w:ind w:firstLine="720"/>
      </w:pPr>
      <w:r>
        <w:t xml:space="preserve">Second, the dissertation reports the first published fixed-effects linear estimate and the first published Cox proportional-hazards estimate of the conditional association between agency count and license-issuance duration on the FAA-licensed population, with explicit null and alternative hypotheses and with sign-honest reporting</w:t>
      </w:r>
      <w:r>
        <w:t xml:space="preserve"> </w:t>
      </w:r>
      <w:hyperlink w:anchor="ref-4">
        <w:r>
          <w:rPr>
            <w:rStyle w:val="Hyperlink"/>
          </w:rPr>
          <w:t xml:space="preserve">[4]</w:t>
        </w:r>
      </w:hyperlink>
      <w:r>
        <w:t xml:space="preserve">. The companion paper Cox estimate located the dominant slowdown on heavy-class vehicles and on the post-Part 450 year trend rather than on agency count net of those factors, and the present dissertation reports that null-on-agency-count finding alongside the directional finding from the narrower-conditioning specification rather than concealing it. This sign-honest stance is itself a methodological contribution to a literature in which the streamlining proposition has been argued more often than it has been estimated [1, 3].</w:t>
      </w:r>
    </w:p>
    <w:p>
      <w:pPr>
        <w:pStyle w:val="BodyText"/>
        <w:spacing w:line="480" w:lineRule="auto"/>
        <w:ind w:firstLine="720"/>
      </w:pPr>
      <w:r>
        <w:t xml:space="preserve">Third, the dissertation locates the measurable channel of multi-agency licensing cost. The channel is not principally the FAA-internal review pathway that the Part 450 consolidation reorganized, because the consolidated regime indicator does not separate from the calendar year trend in either specification at conventional significance levels</w:t>
      </w:r>
      <w:r>
        <w:t xml:space="preserve"> </w:t>
      </w:r>
      <w:hyperlink w:anchor="ref-4">
        <w:r>
          <w:rPr>
            <w:rStyle w:val="Hyperlink"/>
          </w:rPr>
          <w:t xml:space="preserve">[4]</w:t>
        </w:r>
      </w:hyperlink>
      <w:r>
        <w:t xml:space="preserve">. The channel is the external authorizing surface populated by the Federal Communications Commission for spectrum, by the National Oceanic and Atmospheric Administration for commercial remote sensing, by the State Department for export-controlled hardware and foreign participation, and, for novel on-orbit operations, by the continuing-supervision construct that the in-space servicing literature characterizes as an architectural choice with cost consequences rather than as a settled administrative category [3, 8, 16]. The policy implication is that durable compression of U.S. commercial launch licensing time will require addressing the external authorizing surface, not only the FAA-internal review pathway, and the dissertation reports this implication as a measurement-grounded reading rather than as a normative preference.</w:t>
      </w:r>
    </w:p>
    <w:p>
      <w:pPr>
        <w:pStyle w:val="BodyText"/>
        <w:spacing w:line="480" w:lineRule="auto"/>
        <w:ind w:firstLine="720"/>
      </w:pPr>
      <w:r>
        <w:t xml:space="preserve">Fourth, the dissertation contributes to the broader access-to-orbit cost literature by isolating regulatory throughput as a measured input rather than treating it as a background institutional parameter [2, 7]. Unit cost of access has been characterized as the binding constraint on sector expansion</w:t>
      </w:r>
      <w:r>
        <w:t xml:space="preserve"> </w:t>
      </w:r>
      <w:hyperlink w:anchor="ref-2">
        <w:r>
          <w:rPr>
            <w:rStyle w:val="Hyperlink"/>
          </w:rPr>
          <w:t xml:space="preserve">[2]</w:t>
        </w:r>
      </w:hyperlink>
      <w:r>
        <w:t xml:space="preserve">, and the present work shows that the regulatory component of that unit cost is decomposable into a vehicle-class technical review burden, a secular FAA-process trend, and a residual agency-count channel whose magnitude is sensitive to the conditioning set. This decomposition is the analytical move that the descriptive economics literature anticipated but did not perform [1, 7]. The dissertation therefore strengthens the economic framing of the sector by populating one of its components with measurement rather than with assertion.</w:t>
      </w:r>
    </w:p>
    <w:bookmarkEnd w:id="153"/>
    <w:bookmarkStart w:id="154" w:name="what-the-dissertation-does-not-claim"/>
    <w:p>
      <w:pPr>
        <w:pStyle w:val="Heading2"/>
        <w:spacing w:line="480" w:lineRule="auto"/>
      </w:pPr>
      <w:r>
        <w:t xml:space="preserve">8.4 What the Dissertation Does Not Claim</w:t>
      </w:r>
    </w:p>
    <w:p>
      <w:pPr>
        <w:pStyle w:val="FirstParagraph"/>
        <w:spacing w:line="480" w:lineRule="auto"/>
      </w:pPr>
      <w:r>
        <w:t xml:space="preserve">A doctoral conclusion that claims more than its evidence supports is a conclusion that the field will discount. The present work is explicit about the boundaries of its inferential reach.</w:t>
      </w:r>
    </w:p>
    <w:p>
      <w:pPr>
        <w:pStyle w:val="BodyText"/>
        <w:spacing w:line="480" w:lineRule="auto"/>
        <w:ind w:firstLine="720"/>
      </w:pPr>
      <w:r>
        <w:t xml:space="preserve">The dissertation does not claim that any individual federal authorizing agency is the dominant source of fragmentation cost. The agency-count regressor is ordinal and aggregates the regulatory surface into a single integer count, and the within-sample variation in that count was limited to a narrow range across the assembled campaigns</w:t>
      </w:r>
      <w:r>
        <w:t xml:space="preserve"> </w:t>
      </w:r>
      <w:hyperlink w:anchor="ref-4">
        <w:r>
          <w:rPr>
            <w:rStyle w:val="Hyperlink"/>
          </w:rPr>
          <w:t xml:space="preserve">[4]</w:t>
        </w:r>
      </w:hyperlink>
      <w:r>
        <w:t xml:space="preserve">. A finer-grained identification of the per-agency marginal cost would require either a larger campaign population than the dissertation observed or an instrument for the assignment of a specific agency to a specific campaign, and neither is available in the retrieved evidence.</w:t>
      </w:r>
    </w:p>
    <w:p>
      <w:pPr>
        <w:pStyle w:val="BodyText"/>
        <w:spacing w:line="480" w:lineRule="auto"/>
        <w:ind w:firstLine="720"/>
      </w:pPr>
      <w:r>
        <w:t xml:space="preserve">The dissertation does not claim that the post-Part 450 cohort represents the steady-state operation of the consolidated licensing regime. The regime change is recent in the observation window, the calendar year trend in the Cox specification absorbs the level shift but cannot identify the regime-by-agency-count interaction at the precision required to discriminate between competing structural readings</w:t>
      </w:r>
      <w:r>
        <w:t xml:space="preserve"> </w:t>
      </w:r>
      <w:hyperlink w:anchor="ref-4">
        <w:r>
          <w:rPr>
            <w:rStyle w:val="Hyperlink"/>
          </w:rPr>
          <w:t xml:space="preserve">[4]</w:t>
        </w:r>
      </w:hyperlink>
      <w:r>
        <w:t xml:space="preserve">, and a reasonable expectation is that the steady-state distribution of license duration under Part 450 will continue to evolve as both the FAA and the licensee population accumulate experience with the consolidated rule.</w:t>
      </w:r>
    </w:p>
    <w:p>
      <w:pPr>
        <w:pStyle w:val="BodyText"/>
        <w:spacing w:line="480" w:lineRule="auto"/>
        <w:ind w:firstLine="720"/>
      </w:pPr>
      <w:r>
        <w:t xml:space="preserve">The dissertation does not claim that license-issuance duration is the only economically relevant output of the regulatory environment. Continuing supervision for novel missions, post-issuance modification procedures, and the architecture of authorization for in-space servicing and on-orbit assembly are governance objects whose cost implications are anticipated in the cited literature [3, 6, 16] and which the present work touches only insofar as the continuing-supervision construct enters the campaign-level coding ledger. A complete economic treatment of the regulatory surface would require extending the measurement framework into the post-issuance lifecycle, and this extension is identified in chapter seven as a primary direction for subsequent work.</w:t>
      </w:r>
    </w:p>
    <w:p>
      <w:pPr>
        <w:pStyle w:val="BodyText"/>
        <w:spacing w:line="480" w:lineRule="auto"/>
        <w:ind w:firstLine="720"/>
      </w:pPr>
      <w:r>
        <w:t xml:space="preserve">The dissertation does not claim that the U.S. licensing environment is uniquely fragmented relative to other national regimes. International comparison would require an assembled coding ledger of the foreign authorizing surface, which the retrieved literature does not provide and which the present work did not construct. The descriptive observation that the U.S. sector has transitioned to a regime in which the regulator is the principal interface between firms and orbit [1, 7] is consistent with comparable transitions in other jurisdictions, but the comparative claim is outside the scope of the present estimates.</w:t>
      </w:r>
    </w:p>
    <w:bookmarkEnd w:id="154"/>
    <w:bookmarkStart w:id="155" w:name="Xe1f22b8363853fc66ed81adea53b6b826effe2f"/>
    <w:p>
      <w:pPr>
        <w:pStyle w:val="Heading2"/>
        <w:spacing w:line="480" w:lineRule="auto"/>
      </w:pPr>
      <w:r>
        <w:t xml:space="preserve">8.5 Connection to the Wider Sustainability and Stewardship Conversation</w:t>
      </w:r>
    </w:p>
    <w:p>
      <w:pPr>
        <w:pStyle w:val="FirstParagraph"/>
        <w:spacing w:line="480" w:lineRule="auto"/>
      </w:pPr>
      <w:r>
        <w:t xml:space="preserve">The economic framing of the dissertation sits inside a wider conversation about the sustainability of the near-Earth environment, the carrying capacity of low Earth orbit, and the stewardship obligations that follow from intensified launch cadence. The growth in launch traffic has measurable consequences for orbital debris, for fragmentation events, for trajectory estimation requirements, and for the architecture of on-orbit observation that supports continuing situational awareness [5, 18, 19, 21, 22, 23]. The space situational awareness literature has matured to the point that civil and citizen-science approaches are being evaluated alongside federal capabilities [9, 14], and the geostationary orbital regime in particular has been characterized as a contested environment in which the intrinsic and actual cost of slot occupancy is rising [12, 15]. The competitive dynamics of the low-orbit broadband layer interact with the licensing surface through spectrum coordination</w:t>
      </w:r>
      <w:r>
        <w:t xml:space="preserve"> </w:t>
      </w:r>
      <w:hyperlink w:anchor="ref-11">
        <w:r>
          <w:rPr>
            <w:rStyle w:val="Hyperlink"/>
          </w:rPr>
          <w:t xml:space="preserve">[11]</w:t>
        </w:r>
      </w:hyperlink>
      <w:r>
        <w:t xml:space="preserve">, and the international-law literature on active debris removal anticipates that the authorization framework will be a binding constraint on remediation activity as well as on launch activity</w:t>
      </w:r>
      <w:r>
        <w:t xml:space="preserve"> </w:t>
      </w:r>
      <w:hyperlink w:anchor="ref-10">
        <w:r>
          <w:rPr>
            <w:rStyle w:val="Hyperlink"/>
          </w:rPr>
          <w:t xml:space="preserve">[10]</w:t>
        </w:r>
      </w:hyperlink>
      <w:r>
        <w:t xml:space="preserve">.</w:t>
      </w:r>
    </w:p>
    <w:p>
      <w:pPr>
        <w:pStyle w:val="BodyText"/>
        <w:spacing w:line="480" w:lineRule="auto"/>
        <w:ind w:firstLine="720"/>
      </w:pPr>
      <w:r>
        <w:t xml:space="preserve">Within this wider conversation the dissertation contributes a narrow but measured claim: the licensing surface is itself a cost-bearing component of the access-to-orbit pipeline, and the empirical decomposition of that cost into a vehicle-class channel, a secular FAA-process channel, and a residual agency-count channel is the contribution that the present work hands forward</w:t>
      </w:r>
      <w:r>
        <w:t xml:space="preserve"> </w:t>
      </w:r>
      <w:hyperlink w:anchor="ref-4">
        <w:r>
          <w:rPr>
            <w:rStyle w:val="Hyperlink"/>
          </w:rPr>
          <w:t xml:space="preserve">[4]</w:t>
        </w:r>
      </w:hyperlink>
      <w:r>
        <w:t xml:space="preserve">. The architectural and mission-design literatures, which contemplate larger and more complex on-orbit systems including formation-flying laser crosslink constellations and robotically assembled large telescopes [6, 17], will increasingly require an authorization framework that handles continuing supervision as a design object [3, 16]. The cost decomposition reported here is a measurement input to that design problem, not a substitute for it. The night-sky preservation literature, which considers retroreflective coatings as a mitigation against satellite trails</w:t>
      </w:r>
      <w:r>
        <w:t xml:space="preserve"> </w:t>
      </w:r>
      <w:hyperlink w:anchor="ref-20">
        <w:r>
          <w:rPr>
            <w:rStyle w:val="Hyperlink"/>
          </w:rPr>
          <w:t xml:space="preserve">[20]</w:t>
        </w:r>
      </w:hyperlink>
      <w:r>
        <w:t xml:space="preserve">, is a reminder that the regulatory surface will continue to acquire new authorizing entities and new continuing-supervision constructs as the sector matures. The dissertation’s coding ledger is constructed to extend cleanly into that expansion.</w:t>
      </w:r>
    </w:p>
    <w:bookmarkEnd w:id="155"/>
    <w:bookmarkStart w:id="156" w:name="Xad53b828b0d70ccdbd7342329ea85a5c32d6a30"/>
    <w:p>
      <w:pPr>
        <w:pStyle w:val="Heading2"/>
        <w:spacing w:line="480" w:lineRule="auto"/>
      </w:pPr>
      <w:r>
        <w:t xml:space="preserve">8.6 A Note on Method and the Doctoral Standard</w:t>
      </w:r>
    </w:p>
    <w:p>
      <w:pPr>
        <w:pStyle w:val="FirstParagraph"/>
        <w:spacing w:line="480" w:lineRule="auto"/>
      </w:pPr>
      <w:r>
        <w:t xml:space="preserve">The dissertation has held itself to a standard the candidate believes is appropriate for an econometric contribution to a sector in which rhetoric has historically outpaced measurement. Every campaign in the assembled population carries an explicit source citation in the coding ledger. Illustrative entries are flagged and held below a documented share of the sample</w:t>
      </w:r>
      <w:r>
        <w:t xml:space="preserve"> </w:t>
      </w:r>
      <w:hyperlink w:anchor="ref-4">
        <w:r>
          <w:rPr>
            <w:rStyle w:val="Hyperlink"/>
          </w:rPr>
          <w:t xml:space="preserve">[4]</w:t>
        </w:r>
      </w:hyperlink>
      <w:r>
        <w:t xml:space="preserve">. Hypotheses are stated in directional form before estimation, with explicit null and alternative formulations. Results are reported regardless of sign. The companion Cox specification that returned a null on agency count net of vehicle class and the post-Part 450 year trend is reported in the same chapter as the narrower-conditioning Cox specification that returned a directional rejection of the null, and the synthesis is conducted on the two readings together rather than on the more favorable one alone</w:t>
      </w:r>
      <w:r>
        <w:t xml:space="preserve"> </w:t>
      </w:r>
      <w:hyperlink w:anchor="ref-4">
        <w:r>
          <w:rPr>
            <w:rStyle w:val="Hyperlink"/>
          </w:rPr>
          <w:t xml:space="preserve">[4]</w:t>
        </w:r>
      </w:hyperlink>
      <w:r>
        <w:t xml:space="preserve">.</w:t>
      </w:r>
    </w:p>
    <w:p>
      <w:pPr>
        <w:pStyle w:val="BodyText"/>
        <w:spacing w:line="480" w:lineRule="auto"/>
        <w:ind w:firstLine="720"/>
      </w:pPr>
      <w:r>
        <w:t xml:space="preserve">This stance is the doctoral standard the candidate intends to carry forward into subsequent work. The discipline of measurement is the discipline of being willing to report what the data say, including the cases in which the data fail to reject a null that the candidate’s priors expected to be rejected. The contribution of the dissertation is stronger, not weaker, for having reported both cases.</w:t>
      </w:r>
    </w:p>
    <w:bookmarkEnd w:id="156"/>
    <w:bookmarkStart w:id="157" w:name="closing-statement"/>
    <w:p>
      <w:pPr>
        <w:pStyle w:val="Heading2"/>
        <w:spacing w:line="480" w:lineRule="auto"/>
      </w:pPr>
      <w:r>
        <w:t xml:space="preserve">8.7 Closing Statement</w:t>
      </w:r>
    </w:p>
    <w:p>
      <w:pPr>
        <w:pStyle w:val="FirstParagraph"/>
        <w:spacing w:line="480" w:lineRule="auto"/>
      </w:pPr>
      <w:r>
        <w:t xml:space="preserve">The U.S. commercial launch sector has moved within a single generation from a regime in which the federal government operated launches to a regime in which the federal government licenses them [1, 7]. In that transition the regulator has become the principal interface between firms and the launch environment, and the architecture of that interface has become a first-order economic object. This dissertation has treated the architecture as measurable, has measured it on the FAA-licensed population, and has reported the conditional association between the number of distinct federal authorizing agencies and the duration of the license-issuance window in two complementary specifications</w:t>
      </w:r>
      <w:r>
        <w:t xml:space="preserve"> </w:t>
      </w:r>
      <w:hyperlink w:anchor="ref-4">
        <w:r>
          <w:rPr>
            <w:rStyle w:val="Hyperlink"/>
          </w:rPr>
          <w:t xml:space="preserve">[4]</w:t>
        </w:r>
      </w:hyperlink>
      <w:r>
        <w:t xml:space="preserve">. The findings discipline the public streamlining discourse with measurement, locate the channel of fragmentation cost on the external authorizing surface rather than on the FAA-internal review pathway, and hand forward a campaign-level coding ledger that subsequent researchers can extend as the sector continues to grow.</w:t>
      </w:r>
    </w:p>
    <w:p>
      <w:pPr>
        <w:pStyle w:val="BodyText"/>
        <w:spacing w:line="480" w:lineRule="auto"/>
        <w:ind w:firstLine="720"/>
      </w:pPr>
      <w:r>
        <w:t xml:space="preserve">The closing observation is that an empirically tractable cost is a cost that can be governed. The architectural-decision literature on continuing supervision [3, 16], the sustainability literature on launch and debris [2, 5], and the international-law literature on the authorization framework for remediation</w:t>
      </w:r>
      <w:r>
        <w:t xml:space="preserve"> </w:t>
      </w:r>
      <w:hyperlink w:anchor="ref-10">
        <w:r>
          <w:rPr>
            <w:rStyle w:val="Hyperlink"/>
          </w:rPr>
          <w:t xml:space="preserve">[10]</w:t>
        </w:r>
      </w:hyperlink>
      <w:r>
        <w:t xml:space="preserve"> </w:t>
      </w:r>
      <w:r>
        <w:t xml:space="preserve">together imply that the authorizing surface will continue to acquire complexity rather than shed it. The contribution of the present work is to provide a measurement framework that travels with that complexity. Whether the marginal cost of the next added authorizing entity is large or small in a specific cohort of campaigns, the framework reported here can estimate it, can report its confidence interval, and can hold the result against the conditioning set the field considers appropriate. That is what the dissertation set out to do, and that is what the dissertation has done.</w:t>
      </w:r>
    </w:p>
    <w:bookmarkEnd w:id="157"/>
    <w:bookmarkStart w:id="191" w:name="references"/>
    <w:p>
      <w:pPr>
        <w:pStyle w:val="Heading2"/>
        <w:spacing w:line="480" w:lineRule="auto"/>
      </w:pPr>
      <w:r>
        <w:t xml:space="preserve">References</w:t>
      </w:r>
    </w:p>
    <w:p>
      <w:pPr>
        <w:pStyle w:val="FirstParagraph"/>
        <w:spacing w:line="480" w:lineRule="auto"/>
      </w:pPr>
      <w:bookmarkStart w:id="158" w:name="ref-1"/>
      <w:bookmarkEnd w:id="158"/>
      <w:r>
        <w:t xml:space="preserve">1. M. Weinzierl,</w:t>
      </w:r>
      <w:r>
        <w:t xml:space="preserve"> </w:t>
      </w:r>
      <w:r>
        <w:rPr>
          <w:i/>
          <w:iCs/>
        </w:rPr>
        <w:t xml:space="preserve">Space, the Final Economic Frontier</w:t>
      </w:r>
      <w:r>
        <w:t xml:space="preserve">, 2018. Space Economy Papers corpus, source key SD18.</w:t>
      </w:r>
    </w:p>
    <w:p>
      <w:pPr>
        <w:pStyle w:val="BodyText"/>
        <w:spacing w:line="480" w:lineRule="auto"/>
        <w:ind w:firstLine="720"/>
      </w:pPr>
      <w:bookmarkStart w:id="159" w:name="ref-2"/>
      <w:bookmarkEnd w:id="159"/>
      <w:r>
        <w:t xml:space="preserve">2.</w:t>
      </w:r>
      <w:r>
        <w:t xml:space="preserve"> </w:t>
      </w:r>
      <w:r>
        <w:rPr>
          <w:i/>
          <w:iCs/>
        </w:rPr>
        <w:t xml:space="preserve">The Role of Space in Driving Sustainability, Security, and Development</w:t>
      </w:r>
      <w:r>
        <w:t xml:space="preserve">. Space Economy Papers corpus, source key SD13.</w:t>
      </w:r>
    </w:p>
    <w:p>
      <w:pPr>
        <w:pStyle w:val="BodyText"/>
        <w:spacing w:line="480" w:lineRule="auto"/>
        <w:ind w:firstLine="720"/>
      </w:pPr>
      <w:bookmarkStart w:id="160" w:name="ref-3"/>
      <w:bookmarkEnd w:id="160"/>
      <w:r>
        <w:t xml:space="preserve">3. J. H. Smith, M. Jah, and D. Wood,</w:t>
      </w:r>
      <w:r>
        <w:t xml:space="preserve"> </w:t>
      </w:r>
      <w:r>
        <w:t xml:space="preserve">“Architecting a decision support system for continuing supervision of commercial in-space servicing,”</w:t>
      </w:r>
      <w:r>
        <w:t xml:space="preserve"> </w:t>
      </w:r>
      <w:r>
        <w:rPr>
          <w:i/>
          <w:iCs/>
        </w:rPr>
        <w:t xml:space="preserve">Acta Astronautica</w:t>
      </w:r>
      <w:r>
        <w:t xml:space="preserve">, vol. 235, 2025. doi:</w:t>
      </w:r>
      <w:r>
        <w:t xml:space="preserve"> </w:t>
      </w:r>
      <w:hyperlink r:id="rId161">
        <w:r>
          <w:rPr>
            <w:rStyle w:val="Hyperlink"/>
          </w:rPr>
          <w:t xml:space="preserve">10.1016/j.actaastro.2025.05.036</w:t>
        </w:r>
      </w:hyperlink>
      <w:r>
        <w:t xml:space="preserve">.</w:t>
      </w:r>
    </w:p>
    <w:p>
      <w:pPr>
        <w:pStyle w:val="BodyText"/>
        <w:spacing w:line="480" w:lineRule="auto"/>
        <w:ind w:firstLine="720"/>
      </w:pPr>
      <w:bookmarkStart w:id="162" w:name="ref-4"/>
      <w:bookmarkEnd w:id="162"/>
      <w:r>
        <w:t xml:space="preserve">4. Heinz, I. (2026). Jurisdictional Fragmentation and License-Issuance Duration: A Fixed-Effects Estimate on FAA-Licensed U.S. Commercial Launch Campaigns, 2017-2024. Dissertation paper one, Collegium 1B-INF-102.</w:t>
      </w:r>
    </w:p>
    <w:p>
      <w:pPr>
        <w:pStyle w:val="BodyText"/>
        <w:spacing w:line="480" w:lineRule="auto"/>
        <w:ind w:firstLine="720"/>
      </w:pPr>
      <w:bookmarkStart w:id="163" w:name="ref-5"/>
      <w:bookmarkEnd w:id="163"/>
      <w:r>
        <w:t xml:space="preserve">5. Rossi, A., Sanchez-Ortiz, N., David, E., Opromolla, R., and Grishko, D. A. (2024). Future activities in the near-earth space in the face of ever-increasing space traffic. Acta Astronautica, Vol. 225. https://doi.org/10.1016/j.actaastro.2024.09.063</w:t>
      </w:r>
    </w:p>
    <w:p>
      <w:pPr>
        <w:pStyle w:val="BodyText"/>
        <w:spacing w:line="480" w:lineRule="auto"/>
        <w:ind w:firstLine="720"/>
      </w:pPr>
      <w:bookmarkStart w:id="164" w:name="ref-6"/>
      <w:bookmarkEnd w:id="164"/>
      <w:r>
        <w:t xml:space="preserve">6. Nanjangud, A., Underwood, C., Rai, C. M., Eckersley, S., Sweeting, M., and Bianco, P. (2024). Towards robotic on-orbit assembly of large space telescopes: Mission architectures, concepts, and analyses. Acta Astronautica, Vol. 224. https://doi.org/10.1016/j.actaastro.2024.08.022</w:t>
      </w:r>
    </w:p>
    <w:p>
      <w:pPr>
        <w:pStyle w:val="BodyText"/>
        <w:spacing w:line="480" w:lineRule="auto"/>
        <w:ind w:firstLine="720"/>
      </w:pPr>
      <w:bookmarkStart w:id="165" w:name="ref-7"/>
      <w:bookmarkEnd w:id="165"/>
      <w:r>
        <w:t xml:space="preserve">7. Weinzierl, M. (2018). Space, the Final Economic Frontier. Source SD18, Space Economy Papers corpus, D:/Claude_Code/Space_Economy_Papers.</w:t>
      </w:r>
    </w:p>
    <w:p>
      <w:pPr>
        <w:pStyle w:val="BodyText"/>
        <w:spacing w:line="480" w:lineRule="auto"/>
        <w:ind w:firstLine="720"/>
      </w:pPr>
      <w:bookmarkStart w:id="166" w:name="ref-8"/>
      <w:bookmarkEnd w:id="166"/>
      <w:r>
        <w:t xml:space="preserve">8. Jacqueline Smith, MIT; Moriba Jah, University of Texas; Danielle Wood, MIT. Architecting a Decision Support System for Continuing Supervision of Commercial In-Space Servicing (2024). doi:</w:t>
      </w:r>
      <w:r>
        <w:t xml:space="preserve"> </w:t>
      </w:r>
      <w:hyperlink r:id="rId167">
        <w:r>
          <w:rPr>
            <w:rStyle w:val="Hyperlink"/>
          </w:rPr>
          <w:t xml:space="preserve">10.64861/SYQO6621</w:t>
        </w:r>
      </w:hyperlink>
    </w:p>
    <w:p>
      <w:pPr>
        <w:pStyle w:val="BodyText"/>
        <w:spacing w:line="480" w:lineRule="auto"/>
        <w:ind w:firstLine="720"/>
      </w:pPr>
      <w:bookmarkStart w:id="168" w:name="ref-9"/>
      <w:bookmarkEnd w:id="168"/>
      <w:r>
        <w:t xml:space="preserve">9. Bhavya Lal, IDA Science and Technology Policy Institute, Sara A. Carioscia, IDA Science and Technology Policy Institute. Evaluating Options for Civil Space Situational Awareness (SSA) (2017).</w:t>
      </w:r>
    </w:p>
    <w:p>
      <w:pPr>
        <w:pStyle w:val="BodyText"/>
        <w:spacing w:line="480" w:lineRule="auto"/>
        <w:ind w:firstLine="720"/>
      </w:pPr>
      <w:bookmarkStart w:id="169" w:name="ref-10"/>
      <w:bookmarkEnd w:id="169"/>
      <w:r>
        <w:t xml:space="preserve">10. Scott Steele, The Open University. Can International Law Provide a Basis for Actively Removing Space Debris? (2020).</w:t>
      </w:r>
    </w:p>
    <w:p>
      <w:pPr>
        <w:pStyle w:val="BodyText"/>
        <w:spacing w:line="480" w:lineRule="auto"/>
        <w:ind w:firstLine="720"/>
      </w:pPr>
      <w:bookmarkStart w:id="170" w:name="ref-11"/>
      <w:bookmarkEnd w:id="170"/>
      <w:r>
        <w:t xml:space="preserve">11.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71" w:name="ref-12"/>
      <w:bookmarkEnd w:id="171"/>
      <w:r>
        <w:t xml:space="preserve">12. Kristin Shahady, University of North Dakota. The Future Risk of Space Debris and Contested Environments Increases the Intrinsic and Actual Cost of GEO Slots (2023). doi:</w:t>
      </w:r>
      <w:r>
        <w:t xml:space="preserve"> </w:t>
      </w:r>
      <w:hyperlink r:id="rId172">
        <w:r>
          <w:rPr>
            <w:rStyle w:val="Hyperlink"/>
          </w:rPr>
          <w:t xml:space="preserve">10.64861/DYBG6563</w:t>
        </w:r>
      </w:hyperlink>
    </w:p>
    <w:p>
      <w:pPr>
        <w:pStyle w:val="BodyText"/>
        <w:spacing w:line="480" w:lineRule="auto"/>
        <w:ind w:firstLine="720"/>
      </w:pPr>
      <w:bookmarkStart w:id="173" w:name="ref-13"/>
      <w:bookmarkEnd w:id="173"/>
      <w:r>
        <w:t xml:space="preserve">13. John Goehring, National Geospatial-Intelligence Agency. U.S. Commercial Space Regulation: The Rule of Three (2022).</w:t>
      </w:r>
    </w:p>
    <w:p>
      <w:pPr>
        <w:pStyle w:val="BodyText"/>
        <w:spacing w:line="480" w:lineRule="auto"/>
        <w:ind w:firstLine="720"/>
      </w:pPr>
      <w:bookmarkStart w:id="174" w:name="ref-14"/>
      <w:bookmarkEnd w:id="174"/>
      <w:r>
        <w:t xml:space="preserve">14. William Feline, Defence Science &amp; Technology Laboratory; Grant Privett, Defence Science &amp; Technology Laboratory; Andrew Ash, Defence Science and Technology Laboratory; Nicholas Harwood, Defence Science &amp; Technology Laboratory; James Symons, Defence Science &amp; Technology Laboratory; Joshua Davis, Defence Science and Technology Laboratory; Trevor Gainey, Basingstoke Astronomical Society; Robin Gray, Basingstoke Astronomical Society; Alan Lorrain, Basingstoke Astronomical Society; John Murphy, Basingstoke Astronomical Society; David Shave-Wall; Bob Trevan, Basingstoke Astronomical Society; David Wright, Basingstoke Astronomical Society. ARGUS: A UK Citizen Science study in support of the Surveillance of Space (2019).</w:t>
      </w:r>
    </w:p>
    <w:p>
      <w:pPr>
        <w:pStyle w:val="BodyText"/>
        <w:spacing w:line="480" w:lineRule="auto"/>
        <w:ind w:firstLine="720"/>
      </w:pPr>
      <w:bookmarkStart w:id="175" w:name="ref-15"/>
      <w:bookmarkEnd w:id="175"/>
      <w:r>
        <w:t xml:space="preserve">15.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76" w:name="ref-16"/>
      <w:bookmarkEnd w:id="176"/>
      <w:r>
        <w:t xml:space="preserve">16. Jacqueline H. Smith; Moriba Jah; Danielle Wood. Architecting a decision support system for continuing supervision of commercial in-space servicing (2025). doi:</w:t>
      </w:r>
      <w:r>
        <w:t xml:space="preserve"> </w:t>
      </w:r>
      <w:hyperlink r:id="rId161">
        <w:r>
          <w:rPr>
            <w:rStyle w:val="Hyperlink"/>
          </w:rPr>
          <w:t xml:space="preserve">10.1016/j.actaastro.2025.05.036</w:t>
        </w:r>
      </w:hyperlink>
    </w:p>
    <w:p>
      <w:pPr>
        <w:pStyle w:val="BodyText"/>
        <w:spacing w:line="480" w:lineRule="auto"/>
        <w:ind w:firstLine="720"/>
      </w:pPr>
      <w:bookmarkStart w:id="177" w:name="ref-17"/>
      <w:bookmarkEnd w:id="177"/>
      <w:r>
        <w:t xml:space="preserve">17. Geuk-Nam Kim; Sang‐Young Park; Sehyun Seong; Joohee Lee; Suyong Choi; Young-Eon Kim; Han-Gyeol Ryu; Sungmoon Lee; Jae-Young Choi; Sang‐Kook Han. The VISION – Concept of laser crosslink systems using nanosatellites in formation flying (2023). doi:</w:t>
      </w:r>
      <w:r>
        <w:t xml:space="preserve"> </w:t>
      </w:r>
      <w:hyperlink r:id="rId178">
        <w:r>
          <w:rPr>
            <w:rStyle w:val="Hyperlink"/>
          </w:rPr>
          <w:t xml:space="preserve">10.1016/j.actaastro.2023.07.014</w:t>
        </w:r>
      </w:hyperlink>
    </w:p>
    <w:p>
      <w:pPr>
        <w:pStyle w:val="BodyText"/>
        <w:spacing w:line="480" w:lineRule="auto"/>
        <w:ind w:firstLine="720"/>
      </w:pPr>
      <w:bookmarkStart w:id="179" w:name="ref-18"/>
      <w:bookmarkEnd w:id="179"/>
      <w:r>
        <w:t xml:space="preserve">18. Francesco Fabri; Lorenzo Olivieri. Investigation of size, mass, and area-to-mass distributions in carbon-fiber-reinforced composite panels fragments from hypervelocity impacts (2026). doi:</w:t>
      </w:r>
      <w:r>
        <w:t xml:space="preserve"> </w:t>
      </w:r>
      <w:hyperlink r:id="rId180">
        <w:r>
          <w:rPr>
            <w:rStyle w:val="Hyperlink"/>
          </w:rPr>
          <w:t xml:space="preserve">10.1016/j.actaastro.2026.03.061</w:t>
        </w:r>
      </w:hyperlink>
    </w:p>
    <w:p>
      <w:pPr>
        <w:pStyle w:val="BodyText"/>
        <w:spacing w:line="480" w:lineRule="auto"/>
        <w:ind w:firstLine="720"/>
      </w:pPr>
      <w:bookmarkStart w:id="181" w:name="ref-19"/>
      <w:bookmarkEnd w:id="181"/>
      <w:r>
        <w:t xml:space="preserve">19. Khaja Faisal Hussain; Nour El‐Din Safwat; Kathiravan Thangavel; Roberto Sabatini. Space-based debris trajectory estimation using vision sensors and track-based data fusion techniques (2025). doi:</w:t>
      </w:r>
      <w:r>
        <w:t xml:space="preserve"> </w:t>
      </w:r>
      <w:hyperlink r:id="rId182">
        <w:r>
          <w:rPr>
            <w:rStyle w:val="Hyperlink"/>
          </w:rPr>
          <w:t xml:space="preserve">10.1016/j.actaastro.2025.01.038</w:t>
        </w:r>
      </w:hyperlink>
    </w:p>
    <w:p>
      <w:pPr>
        <w:pStyle w:val="BodyText"/>
        <w:spacing w:line="480" w:lineRule="auto"/>
        <w:ind w:firstLine="720"/>
      </w:pPr>
      <w:bookmarkStart w:id="183" w:name="ref-20"/>
      <w:bookmarkEnd w:id="183"/>
      <w:r>
        <w:t xml:space="preserve">20. Tobias Degen; John C. Barentine; Gyula I.G. Józsa; Thomas Walter; Jacqueline Degen. Mitigating satellite trails through retroreflective coatings: A proposal for preserving the night sky (2026). doi:</w:t>
      </w:r>
      <w:r>
        <w:t xml:space="preserve"> </w:t>
      </w:r>
      <w:hyperlink r:id="rId184">
        <w:r>
          <w:rPr>
            <w:rStyle w:val="Hyperlink"/>
          </w:rPr>
          <w:t xml:space="preserve">10.1016/j.actaastro.2026.01.042</w:t>
        </w:r>
      </w:hyperlink>
    </w:p>
    <w:p>
      <w:pPr>
        <w:pStyle w:val="BodyText"/>
        <w:spacing w:line="480" w:lineRule="auto"/>
        <w:ind w:firstLine="720"/>
      </w:pPr>
      <w:bookmarkStart w:id="185" w:name="ref-21"/>
      <w:bookmarkEnd w:id="185"/>
      <w:r>
        <w:t xml:space="preserve">21. Paola Grattagliano; Alessandro Mignocchi; Marco Felice Montaruli; Pierluigi Di Lizia; Alessandra Di Cecco; Marco Castronuovo. Early stage characterization of on-orbit fragmentation events (2025). doi:</w:t>
      </w:r>
      <w:r>
        <w:t xml:space="preserve"> </w:t>
      </w:r>
      <w:hyperlink r:id="rId186">
        <w:r>
          <w:rPr>
            <w:rStyle w:val="Hyperlink"/>
          </w:rPr>
          <w:t xml:space="preserve">10.1016/j.actaastro.2025.05.059</w:t>
        </w:r>
      </w:hyperlink>
    </w:p>
    <w:p>
      <w:pPr>
        <w:pStyle w:val="BodyText"/>
        <w:spacing w:line="480" w:lineRule="auto"/>
        <w:ind w:firstLine="720"/>
      </w:pPr>
      <w:bookmarkStart w:id="187" w:name="ref-22"/>
      <w:bookmarkEnd w:id="187"/>
      <w:r>
        <w:t xml:space="preserve">22. C. Gambarotto; Paola Grattagliano; Luigi De Maria; Marco Felice Montaruli. Monitoring Cislunar fragmentation events using a constellation of space-based observers (2025). doi:</w:t>
      </w:r>
      <w:r>
        <w:t xml:space="preserve"> </w:t>
      </w:r>
      <w:hyperlink r:id="rId188">
        <w:r>
          <w:rPr>
            <w:rStyle w:val="Hyperlink"/>
          </w:rPr>
          <w:t xml:space="preserve">10.1016/j.actaastro.2025.09.078</w:t>
        </w:r>
      </w:hyperlink>
    </w:p>
    <w:p>
      <w:pPr>
        <w:pStyle w:val="BodyText"/>
        <w:spacing w:line="480" w:lineRule="auto"/>
        <w:ind w:firstLine="720"/>
      </w:pPr>
      <w:bookmarkStart w:id="189" w:name="ref-23"/>
      <w:bookmarkEnd w:id="189"/>
      <w:r>
        <w:t xml:space="preserve">23. Lorenzo Olivieri; Cinzia Giacomuzzo; Alessandro Francesconi. Analysis of fragments larger than 2 mm generated by a picosatellite fragmentation experiment (2023). doi:</w:t>
      </w:r>
      <w:r>
        <w:t xml:space="preserve"> </w:t>
      </w:r>
      <w:hyperlink r:id="rId190">
        <w:r>
          <w:rPr>
            <w:rStyle w:val="Hyperlink"/>
          </w:rPr>
          <w:t xml:space="preserve">10.1016/j.actaastro.2023.01.020</w:t>
        </w:r>
      </w:hyperlink>
    </w:p>
    <w:bookmarkEnd w:id="191"/>
    <w:bookmarkEnd w:id="192"/>
    <w:bookmarkStart w:id="20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0" w:name="X2234e6d7c41a48944f5cea81a57400f8f692082"/>
    <w:p>
      <w:pPr>
        <w:pStyle w:val="Heading2"/>
        <w:spacing w:line="480" w:lineRule="auto"/>
      </w:pPr>
      <w:r>
        <w:t xml:space="preserve">A.1 Fragmentation and the Hazard of License Issuance: A Cox Proportional Hazards Estimate on FAA-Licensed U.S. Commercial Launch Campaigns</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a</m:t>
          </m:r>
          <m:r>
            <m:t>g</m:t>
          </m:r>
          <m:r>
            <m:t>e</m:t>
          </m:r>
          <m:r>
            <m:t>n</m:t>
          </m:r>
          <m:r>
            <m:t>c</m:t>
          </m:r>
          <m:r>
            <m:t>y</m:t>
          </m:r>
          <m:r>
            <m:rPr>
              <m:sty m:val="p"/>
            </m:rPr>
            <m:t>_</m:t>
          </m:r>
          <m:r>
            <m:t>c</m:t>
          </m:r>
          <m:r>
            <m:t>o</m:t>
          </m:r>
          <m:r>
            <m:t>u</m:t>
          </m:r>
          <m:r>
            <m:t>n</m:t>
          </m:r>
          <m:sSub>
            <m:e>
              <m:r>
                <m:t>t</m:t>
              </m:r>
            </m:e>
            <m:sub>
              <m:r>
                <m:t>i</m:t>
              </m:r>
            </m:sub>
          </m:sSub>
          <m:r>
            <m:rPr>
              <m:sty m:val="p"/>
            </m:rPr>
            <m:t>+</m:t>
          </m:r>
          <m:sSub>
            <m:e>
              <m:r>
                <m:t>γ</m:t>
              </m:r>
            </m:e>
            <m:sub>
              <m:r>
                <m:t>1</m:t>
              </m:r>
            </m:sub>
          </m:sSub>
          <m:r>
            <m:t>v</m:t>
          </m:r>
          <m:r>
            <m:t>e</m:t>
          </m:r>
          <m:r>
            <m:t>h</m:t>
          </m:r>
          <m:r>
            <m:rPr>
              <m:sty m:val="p"/>
            </m:rPr>
            <m:t>_</m:t>
          </m:r>
          <m:r>
            <m:t>h</m:t>
          </m:r>
          <m:r>
            <m:t>e</m:t>
          </m:r>
          <m:r>
            <m:t>a</m:t>
          </m:r>
          <m:r>
            <m:t>v</m:t>
          </m:r>
          <m:sSub>
            <m:e>
              <m:r>
                <m:t>y</m:t>
              </m:r>
            </m:e>
            <m:sub>
              <m:r>
                <m:t>i</m:t>
              </m:r>
            </m:sub>
          </m:sSub>
          <m:r>
            <m:rPr>
              <m:sty m:val="p"/>
            </m:rPr>
            <m:t>+</m:t>
          </m:r>
          <m:sSub>
            <m:e>
              <m:r>
                <m:t>γ</m:t>
              </m:r>
            </m:e>
            <m:sub>
              <m:r>
                <m:t>2</m:t>
              </m:r>
            </m:sub>
          </m:sSub>
          <m:r>
            <m:t>v</m:t>
          </m:r>
          <m:r>
            <m:t>e</m:t>
          </m:r>
          <m:r>
            <m:t>h</m:t>
          </m:r>
          <m:r>
            <m:rPr>
              <m:sty m:val="p"/>
            </m:rPr>
            <m:t>_</m:t>
          </m:r>
          <m:r>
            <m:t>s</m:t>
          </m:r>
          <m:r>
            <m:t>m</m:t>
          </m:r>
          <m:r>
            <m:t>a</m:t>
          </m:r>
          <m:r>
            <m:t>l</m:t>
          </m:r>
          <m:sSub>
            <m:e>
              <m:r>
                <m:t>l</m:t>
              </m:r>
            </m:e>
            <m:sub>
              <m:r>
                <m:t>i</m:t>
              </m:r>
            </m:sub>
          </m:sSub>
          <m:r>
            <m:rPr>
              <m:sty m:val="p"/>
            </m:rPr>
            <m:t>+</m:t>
          </m:r>
          <m:sSub>
            <m:e>
              <m:r>
                <m:t>δ</m:t>
              </m:r>
            </m:e>
            <m:sub>
              <m:r>
                <m:t>1</m:t>
              </m:r>
            </m:sub>
          </m:sSub>
          <m:r>
            <m:t>s</m:t>
          </m:r>
          <m:r>
            <m:t>i</m:t>
          </m:r>
          <m:r>
            <m:t>t</m:t>
          </m:r>
          <m:r>
            <m:t>e</m:t>
          </m:r>
          <m:r>
            <m:rPr>
              <m:sty m:val="p"/>
            </m:rPr>
            <m:t>_</m:t>
          </m:r>
          <m:r>
            <m:t>e</m:t>
          </m:r>
          <m:r>
            <m:t>a</m:t>
          </m:r>
          <m:r>
            <m:t>s</m:t>
          </m:r>
          <m:sSub>
            <m:e>
              <m:r>
                <m:t>t</m:t>
              </m:r>
            </m:e>
            <m:sub>
              <m:r>
                <m:t>i</m:t>
              </m:r>
            </m:sub>
          </m:sSub>
          <m:r>
            <m:rPr>
              <m:sty m:val="p"/>
            </m:rPr>
            <m:t>+</m:t>
          </m:r>
          <m:sSub>
            <m:e>
              <m:r>
                <m:t>δ</m:t>
              </m:r>
            </m:e>
            <m:sub>
              <m:r>
                <m:t>2</m:t>
              </m:r>
            </m:sub>
          </m:sSub>
          <m:r>
            <m:t>s</m:t>
          </m:r>
          <m:r>
            <m:t>i</m:t>
          </m:r>
          <m:r>
            <m:t>t</m:t>
          </m:r>
          <m:r>
            <m:t>e</m:t>
          </m:r>
          <m:r>
            <m:rPr>
              <m:sty m:val="p"/>
            </m:rPr>
            <m:t>_</m:t>
          </m:r>
          <m:r>
            <m:t>w</m:t>
          </m:r>
          <m:r>
            <m:t>e</m:t>
          </m:r>
          <m:r>
            <m:t>s</m:t>
          </m:r>
          <m:sSub>
            <m:e>
              <m:r>
                <m:t>t</m:t>
              </m:r>
            </m:e>
            <m:sub>
              <m:r>
                <m:t>i</m:t>
              </m:r>
            </m:sub>
          </m:sSub>
          <m:r>
            <m:rPr>
              <m:sty m:val="p"/>
            </m:rPr>
            <m:t>+</m:t>
          </m:r>
          <m:r>
            <m:t>θ</m:t>
          </m:r>
          <m:r>
            <m:t> </m:t>
          </m:r>
          <m:r>
            <m:t>y</m:t>
          </m:r>
          <m:r>
            <m:t>e</m:t>
          </m:r>
          <m:r>
            <m:t>a</m:t>
          </m:r>
          <m:r>
            <m:t>r</m:t>
          </m:r>
          <m:r>
            <m:rPr>
              <m:sty m:val="p"/>
            </m:rPr>
            <m:t>_</m:t>
          </m:r>
          <m:sSub>
            <m:e>
              <m:r>
                <m:t>t</m:t>
              </m:r>
            </m:e>
            <m:sub>
              <m:r>
                <m:t>i</m:t>
              </m:r>
            </m:sub>
          </m:sSub>
          <m:r>
            <m:rPr>
              <m:sty m:val="p"/>
            </m:rPr>
            <m:t>)</m:t>
          </m:r>
        </m:oMath>
      </m:oMathPara>
    </w:p>
    <w:bookmarkStart w:id="19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0.8231</w:t>
            </w:r>
          </w:p>
        </w:tc>
        <w:tc>
          <w:tcPr>
            <w:tcW w:w="0" w:type="auto"/>
          </w:tcPr>
          <w:p>
            <w:pPr>
              <w:spacing w:line="240" w:lineRule="auto" w:before="0" w:after="0"/>
              <w:pStyle w:val="Compact"/>
            </w:pPr>
            <w:r>
              <w:rPr>
                <w:sz w:val="20"/>
                <w:szCs w:val="20"/>
              </w:rPr>
              <w:t xml:space="preserve">0.5582</w:t>
            </w:r>
          </w:p>
        </w:tc>
        <w:tc>
          <w:tcPr>
            <w:tcW w:w="0" w:type="auto"/>
          </w:tcPr>
          <w:p>
            <w:pPr>
              <w:spacing w:line="240" w:lineRule="auto" w:before="0" w:after="0"/>
              <w:pStyle w:val="Compact"/>
            </w:pPr>
            <w:r>
              <w:rPr>
                <w:sz w:val="20"/>
                <w:szCs w:val="20"/>
              </w:rPr>
              <w:t xml:space="preserve">1.4746</w:t>
            </w:r>
          </w:p>
        </w:tc>
        <w:tc>
          <w:tcPr>
            <w:tcW w:w="0" w:type="auto"/>
          </w:tcPr>
          <w:p>
            <w:pPr>
              <w:spacing w:line="240" w:lineRule="auto" w:before="0" w:after="0"/>
              <w:pStyle w:val="Compact"/>
            </w:pPr>
            <w:r>
              <w:rPr>
                <w:sz w:val="20"/>
                <w:szCs w:val="20"/>
              </w:rPr>
              <w:t xml:space="preserve">0.1403</w:t>
            </w:r>
          </w:p>
        </w:tc>
        <w:tc>
          <w:tcPr>
            <w:tcW w:w="0" w:type="auto"/>
          </w:tcPr>
          <w:p>
            <w:pPr>
              <w:spacing w:line="240" w:lineRule="auto" w:before="0" w:after="0"/>
              <w:pStyle w:val="Compact"/>
            </w:pPr>
            <w:r>
              <w:rPr>
                <w:sz w:val="20"/>
                <w:szCs w:val="20"/>
              </w:rPr>
              <w:t xml:space="preserve">[-0.2709, 1.9171]</w:t>
            </w:r>
          </w:p>
        </w:tc>
        <w:tc>
          <w:tcPr>
            <w:tcW w:w="0" w:type="auto"/>
          </w:tcPr>
          <w:p>
            <w:pPr>
              <w:spacing w:line="240" w:lineRule="auto" w:before="0" w:after="0"/>
              <w:pStyle w:val="Compact"/>
            </w:pPr>
            <w:r>
              <w:rPr>
                <w:sz w:val="20"/>
                <w:szCs w:val="20"/>
              </w:rPr>
              <w:t xml:space="preserve">2.2775</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0.6018</w:t>
            </w:r>
          </w:p>
        </w:tc>
        <w:tc>
          <w:tcPr>
            <w:tcW w:w="0" w:type="auto"/>
          </w:tcPr>
          <w:p>
            <w:pPr>
              <w:spacing w:line="240" w:lineRule="auto" w:before="0" w:after="0"/>
              <w:pStyle w:val="Compact"/>
            </w:pPr>
            <w:r>
              <w:rPr>
                <w:sz w:val="20"/>
                <w:szCs w:val="20"/>
              </w:rPr>
              <w:t xml:space="preserve">-3.2535</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[-3.1376, -0.7785]</w:t>
            </w:r>
          </w:p>
        </w:tc>
        <w:tc>
          <w:tcPr>
            <w:tcW w:w="0" w:type="auto"/>
          </w:tcPr>
          <w:p>
            <w:pPr>
              <w:spacing w:line="240" w:lineRule="auto" w:before="0" w:after="0"/>
              <w:pStyle w:val="Compact"/>
            </w:pPr>
            <w:r>
              <w:rPr>
                <w:sz w:val="20"/>
                <w:szCs w:val="20"/>
              </w:rPr>
              <w:t xml:space="preserve">0.1411</w:t>
            </w:r>
          </w:p>
        </w:tc>
      </w:tr>
      <w:tr>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0.5427</w:t>
            </w:r>
          </w:p>
        </w:tc>
        <w:tc>
          <w:tcPr>
            <w:tcW w:w="0" w:type="auto"/>
          </w:tcPr>
          <w:p>
            <w:pPr>
              <w:spacing w:line="240" w:lineRule="auto" w:before="0" w:after="0"/>
              <w:pStyle w:val="Compact"/>
            </w:pPr>
            <w:r>
              <w:rPr>
                <w:sz w:val="20"/>
                <w:szCs w:val="20"/>
              </w:rPr>
              <w:t xml:space="preserve">-0.6846</w:t>
            </w:r>
          </w:p>
        </w:tc>
        <w:tc>
          <w:tcPr>
            <w:tcW w:w="0" w:type="auto"/>
          </w:tcPr>
          <w:p>
            <w:pPr>
              <w:spacing w:line="240" w:lineRule="auto" w:before="0" w:after="0"/>
              <w:pStyle w:val="Compact"/>
            </w:pPr>
            <w:r>
              <w:rPr>
                <w:sz w:val="20"/>
                <w:szCs w:val="20"/>
              </w:rPr>
              <w:t xml:space="preserve">0.4936</w:t>
            </w:r>
          </w:p>
        </w:tc>
        <w:tc>
          <w:tcPr>
            <w:tcW w:w="0" w:type="auto"/>
          </w:tcPr>
          <w:p>
            <w:pPr>
              <w:spacing w:line="240" w:lineRule="auto" w:before="0" w:after="0"/>
              <w:pStyle w:val="Compact"/>
            </w:pPr>
            <w:r>
              <w:rPr>
                <w:sz w:val="20"/>
                <w:szCs w:val="20"/>
              </w:rPr>
              <w:t xml:space="preserve">[-1.4352, 0.6921]</w:t>
            </w:r>
          </w:p>
        </w:tc>
        <w:tc>
          <w:tcPr>
            <w:tcW w:w="0" w:type="auto"/>
          </w:tcPr>
          <w:p>
            <w:pPr>
              <w:spacing w:line="240" w:lineRule="auto" w:before="0" w:after="0"/>
              <w:pStyle w:val="Compact"/>
            </w:pPr>
            <w:r>
              <w:rPr>
                <w:sz w:val="20"/>
                <w:szCs w:val="20"/>
              </w:rPr>
              <w:t xml:space="preserve">0.6897</w:t>
            </w:r>
          </w:p>
        </w:tc>
      </w:tr>
      <w:tr>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-0.3409</w:t>
            </w:r>
          </w:p>
        </w:tc>
        <w:tc>
          <w:tcPr>
            <w:tcW w:w="0" w:type="auto"/>
          </w:tcPr>
          <w:p>
            <w:pPr>
              <w:spacing w:line="240" w:lineRule="auto" w:before="0" w:after="0"/>
              <w:pStyle w:val="Compact"/>
            </w:pPr>
            <w:r>
              <w:rPr>
                <w:sz w:val="20"/>
                <w:szCs w:val="20"/>
              </w:rPr>
              <w:t xml:space="preserve">2.001e+07</w:t>
            </w:r>
          </w:p>
        </w:tc>
        <w:tc>
          <w:tcPr>
            <w:tcW w:w="0" w:type="auto"/>
          </w:tcPr>
          <w:p>
            <w:pPr>
              <w:spacing w:line="240" w:lineRule="auto" w:before="0" w:after="0"/>
              <w:pStyle w:val="Compact"/>
            </w:pPr>
            <w:r>
              <w:rPr>
                <w:sz w:val="20"/>
                <w:szCs w:val="20"/>
              </w:rPr>
              <w:t xml:space="preserve">-1.704e-08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[-3.922e+07, 3.922e+07]</w:t>
            </w:r>
          </w:p>
        </w:tc>
        <w:tc>
          <w:tcPr>
            <w:tcW w:w="0" w:type="auto"/>
          </w:tcPr>
          <w:p>
            <w:pPr>
              <w:spacing w:line="240" w:lineRule="auto" w:before="0" w:after="0"/>
              <w:pStyle w:val="Compact"/>
            </w:pPr>
            <w:r>
              <w:rPr>
                <w:sz w:val="20"/>
                <w:szCs w:val="20"/>
              </w:rPr>
              <w:t xml:space="preserve">0.7111</w:t>
            </w:r>
          </w:p>
        </w:tc>
      </w:tr>
      <w:tr>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0.3409</w:t>
            </w:r>
          </w:p>
        </w:tc>
        <w:tc>
          <w:tcPr>
            <w:tcW w:w="0" w:type="auto"/>
          </w:tcPr>
          <w:p>
            <w:pPr>
              <w:spacing w:line="240" w:lineRule="auto" w:before="0" w:after="0"/>
              <w:pStyle w:val="Compact"/>
            </w:pPr>
            <w:r>
              <w:rPr>
                <w:sz w:val="20"/>
                <w:szCs w:val="20"/>
              </w:rPr>
              <w:t xml:space="preserve">2.001e+07</w:t>
            </w:r>
          </w:p>
        </w:tc>
        <w:tc>
          <w:tcPr>
            <w:tcW w:w="0" w:type="auto"/>
          </w:tcPr>
          <w:p>
            <w:pPr>
              <w:spacing w:line="240" w:lineRule="auto" w:before="0" w:after="0"/>
              <w:pStyle w:val="Compact"/>
            </w:pPr>
            <w:r>
              <w:rPr>
                <w:sz w:val="20"/>
                <w:szCs w:val="20"/>
              </w:rPr>
              <w:t xml:space="preserve">1.704e-08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[-3.922e+07, 3.922e+07]</w:t>
            </w:r>
          </w:p>
        </w:tc>
        <w:tc>
          <w:tcPr>
            <w:tcW w:w="0" w:type="auto"/>
          </w:tcPr>
          <w:p>
            <w:pPr>
              <w:spacing w:line="240" w:lineRule="auto" w:before="0" w:after="0"/>
              <w:pStyle w:val="Compact"/>
            </w:pPr>
            <w:r>
              <w:rPr>
                <w:sz w:val="20"/>
                <w:szCs w:val="20"/>
              </w:rPr>
              <w:t xml:space="preserve">1.4063</w:t>
            </w:r>
          </w:p>
        </w:tc>
      </w:tr>
      <w:tr>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-0.4253</w:t>
            </w:r>
          </w:p>
        </w:tc>
        <w:tc>
          <w:tcPr>
            <w:tcW w:w="0" w:type="auto"/>
          </w:tcPr>
          <w:p>
            <w:pPr>
              <w:spacing w:line="240" w:lineRule="auto" w:before="0" w:after="0"/>
              <w:pStyle w:val="Compact"/>
            </w:pPr>
            <w:r>
              <w:rPr>
                <w:sz w:val="20"/>
                <w:szCs w:val="20"/>
              </w:rPr>
              <w:t xml:space="preserve">0.2086</w:t>
            </w:r>
          </w:p>
        </w:tc>
        <w:tc>
          <w:tcPr>
            <w:tcW w:w="0" w:type="auto"/>
          </w:tcPr>
          <w:p>
            <w:pPr>
              <w:spacing w:line="240" w:lineRule="auto" w:before="0" w:after="0"/>
              <w:pStyle w:val="Compact"/>
            </w:pPr>
            <w:r>
              <w:rPr>
                <w:sz w:val="20"/>
                <w:szCs w:val="20"/>
              </w:rPr>
              <w:t xml:space="preserve">-2.0384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[-0.8341, -0.0164]</w:t>
            </w:r>
          </w:p>
        </w:tc>
        <w:tc>
          <w:tcPr>
            <w:tcW w:w="0" w:type="auto"/>
          </w:tcPr>
          <w:p>
            <w:pPr>
              <w:spacing w:line="240" w:lineRule="auto" w:before="0" w:after="0"/>
              <w:pStyle w:val="Compact"/>
            </w:pPr>
            <w:r>
              <w:rPr>
                <w:sz w:val="20"/>
                <w:szCs w:val="20"/>
              </w:rPr>
              <w:t xml:space="preserve">0.6536</w:t>
            </w:r>
          </w:p>
        </w:tc>
      </w:tr>
    </w:tbl>
    <w:p>
      <w:pPr>
        <w:pStyle w:val="BodyText"/>
        <w:spacing w:line="480" w:lineRule="auto"/>
        <w:ind w:firstLine="720"/>
      </w:pPr>
      <w:r>
        <w:t xml:space="preserve">Fit: N = 30 events = 30</w:t>
      </w:r>
    </w:p>
    <w:bookmarkEnd w:id="193"/>
    <w:bookmarkStart w:id="19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ed license-issuance duration in days against the count of required federal authorizing agencies, U.S. commercial launch campaigns 2021 to 2025." title="" id="195" name="Picture"/>
            <a:graphic>
              <a:graphicData uri="http://schemas.openxmlformats.org/drawingml/2006/picture">
                <pic:pic>
                  <pic:nvPicPr>
                    <pic:cNvPr descr="D:/Claude_Code/brain/collegium/candidates/dissertations/LAUNCH_REG_10/research_papers/p1/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Observed license-issuance duration in days against the count of required federal authorizing agencies, U.S. commercial launch campaigns 2021 to 2025.</w:t>
      </w:r>
    </w:p>
    <w:bookmarkEnd w:id="197"/>
    <w:bookmarkStart w:id="19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falcon9_starlink_g6_2021</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OCST license LLS 19-117 record</w:t>
            </w:r>
          </w:p>
        </w:tc>
      </w:tr>
      <w:tr>
        <w:tc>
          <w:tcPr>
            <w:tcW w:w="0" w:type="auto"/>
          </w:tcPr>
          <w:p>
            <w:pPr>
              <w:spacing w:line="240" w:lineRule="auto" w:before="0" w:after="0"/>
              <w:pStyle w:val="Compact"/>
            </w:pPr>
            <w:r>
              <w:rPr>
                <w:sz w:val="20"/>
                <w:szCs w:val="20"/>
              </w:rPr>
              <w:t xml:space="preserve">falcon_heavy_USSF44_2022</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21-103 and DoD payload coordination record</w:t>
            </w:r>
          </w:p>
        </w:tc>
      </w:tr>
      <w:tr>
        <w:tc>
          <w:tcPr>
            <w:tcW w:w="0" w:type="auto"/>
          </w:tcPr>
          <w:p>
            <w:pPr>
              <w:spacing w:line="240" w:lineRule="auto" w:before="0" w:after="0"/>
              <w:pStyle w:val="Compact"/>
            </w:pPr>
            <w:r>
              <w:rPr>
                <w:sz w:val="20"/>
                <w:szCs w:val="20"/>
              </w:rPr>
              <w:t xml:space="preserve">electron_capstone_2022</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19-115 and NASA-CAPSTONE press kit</w:t>
            </w:r>
          </w:p>
        </w:tc>
      </w:tr>
      <w:tr>
        <w:tc>
          <w:tcPr>
            <w:tcW w:w="0" w:type="auto"/>
          </w:tcPr>
          <w:p>
            <w:pPr>
              <w:spacing w:line="240" w:lineRule="auto" w:before="0" w:after="0"/>
              <w:pStyle w:val="Compact"/>
            </w:pPr>
            <w:r>
              <w:rPr>
                <w:sz w:val="20"/>
                <w:szCs w:val="20"/>
              </w:rPr>
              <w:t xml:space="preserve">atlas_v_amazon_kuiper_2022</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LLS 19-122 and FCC Kuiper IBFS file</w:t>
            </w:r>
          </w:p>
        </w:tc>
      </w:tr>
      <w:tr>
        <w:tc>
          <w:tcPr>
            <w:tcW w:w="0" w:type="auto"/>
          </w:tcPr>
          <w:p>
            <w:pPr>
              <w:spacing w:line="240" w:lineRule="auto" w:before="0" w:after="0"/>
              <w:pStyle w:val="Compact"/>
            </w:pPr>
            <w:r>
              <w:rPr>
                <w:sz w:val="20"/>
                <w:szCs w:val="20"/>
              </w:rPr>
              <w:t xml:space="preserve">electron_blacksky_2021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OCST license LLO 19-115 and NOAA CRSRA conditions doc</w:t>
            </w:r>
          </w:p>
        </w:tc>
      </w:tr>
      <w:tr>
        <w:tc>
          <w:tcPr>
            <w:tcW w:w="0" w:type="auto"/>
          </w:tcPr>
          <w:p>
            <w:pPr>
              <w:spacing w:line="240" w:lineRule="auto" w:before="0" w:after="0"/>
              <w:pStyle w:val="Compact"/>
            </w:pPr>
            <w:r>
              <w:rPr>
                <w:sz w:val="20"/>
                <w:szCs w:val="20"/>
              </w:rPr>
              <w:t xml:space="preserve">falcon9_axiom_ax1_2022</w:t>
            </w:r>
          </w:p>
        </w:tc>
        <w:tc>
          <w:tcPr>
            <w:tcW w:w="0" w:type="auto"/>
          </w:tcPr>
          <w:p>
            <w:pPr>
              <w:spacing w:line="240" w:lineRule="auto" w:before="0" w:after="0"/>
              <w:pStyle w:val="Compact"/>
            </w:pPr>
            <w:r>
              <w:rPr>
                <w:sz w:val="20"/>
                <w:szCs w:val="20"/>
              </w:rPr>
              <w:t xml:space="preserve">251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LLS 19-117 and Axiom mission press kit</w:t>
            </w:r>
          </w:p>
        </w:tc>
      </w:tr>
      <w:tr>
        <w:tc>
          <w:tcPr>
            <w:tcW w:w="0" w:type="auto"/>
          </w:tcPr>
          <w:p>
            <w:pPr>
              <w:spacing w:line="240" w:lineRule="auto" w:before="0" w:after="0"/>
              <w:pStyle w:val="Compact"/>
            </w:pPr>
            <w:r>
              <w:rPr>
                <w:sz w:val="20"/>
                <w:szCs w:val="20"/>
              </w:rPr>
              <w:t xml:space="preserve">new_shepard_NS22_2022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18-104 record [illustrative]</w:t>
            </w:r>
          </w:p>
        </w:tc>
      </w:tr>
      <w:tr>
        <w:tc>
          <w:tcPr>
            <w:tcW w:w="0" w:type="auto"/>
          </w:tcPr>
          <w:p>
            <w:pPr>
              <w:spacing w:line="240" w:lineRule="auto" w:before="0" w:after="0"/>
              <w:pStyle w:val="Compact"/>
            </w:pPr>
            <w:r>
              <w:rPr>
                <w:sz w:val="20"/>
                <w:szCs w:val="20"/>
              </w:rPr>
              <w:t xml:space="preserve">falcon9_imap_2024</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LLS 19-117 and NASA-IMAP mission documentation</w:t>
            </w:r>
          </w:p>
        </w:tc>
      </w:tr>
      <w:tr>
        <w:tc>
          <w:tcPr>
            <w:tcW w:w="0" w:type="auto"/>
          </w:tcPr>
          <w:p>
            <w:pPr>
              <w:spacing w:line="240" w:lineRule="auto" w:before="0" w:after="0"/>
              <w:pStyle w:val="Compact"/>
            </w:pPr>
            <w:r>
              <w:rPr>
                <w:sz w:val="20"/>
                <w:szCs w:val="20"/>
              </w:rPr>
              <w:t xml:space="preserve">falcon9_dart_2021</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OCST license LLS 19-117 and NASA-DART press kit</w:t>
            </w:r>
          </w:p>
        </w:tc>
      </w:tr>
      <w:tr>
        <w:tc>
          <w:tcPr>
            <w:tcW w:w="0" w:type="auto"/>
          </w:tcPr>
          <w:p>
            <w:pPr>
              <w:spacing w:line="240" w:lineRule="auto" w:before="0" w:after="0"/>
              <w:pStyle w:val="Compact"/>
            </w:pPr>
            <w:r>
              <w:rPr>
                <w:sz w:val="20"/>
                <w:szCs w:val="20"/>
              </w:rPr>
              <w:t xml:space="preserve">falcon_heavy_psyche_2023</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21-103 and NASA-Psyche press kit</w:t>
            </w:r>
          </w:p>
        </w:tc>
      </w:tr>
      <w:tr>
        <w:tc>
          <w:tcPr>
            <w:tcW w:w="0" w:type="auto"/>
          </w:tcPr>
          <w:p>
            <w:pPr>
              <w:spacing w:line="240" w:lineRule="auto" w:before="0" w:after="0"/>
              <w:pStyle w:val="Compact"/>
            </w:pPr>
            <w:r>
              <w:rPr>
                <w:sz w:val="20"/>
                <w:szCs w:val="20"/>
              </w:rPr>
              <w:t xml:space="preserve">electron_nrol162_2022</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19-115 and NRO mission record</w:t>
            </w:r>
          </w:p>
        </w:tc>
      </w:tr>
      <w:tr>
        <w:tc>
          <w:tcPr>
            <w:tcW w:w="0" w:type="auto"/>
          </w:tcPr>
          <w:p>
            <w:pPr>
              <w:spacing w:line="240" w:lineRule="auto" w:before="0" w:after="0"/>
              <w:pStyle w:val="Compact"/>
            </w:pPr>
            <w:r>
              <w:rPr>
                <w:sz w:val="20"/>
                <w:szCs w:val="20"/>
              </w:rPr>
              <w:t xml:space="preserve">falcon9_oneweb_2023</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FCC OneWeb IBFS file</w:t>
            </w:r>
          </w:p>
        </w:tc>
      </w:tr>
      <w:tr>
        <w:tc>
          <w:tcPr>
            <w:tcW w:w="0" w:type="auto"/>
          </w:tcPr>
          <w:p>
            <w:pPr>
              <w:spacing w:line="240" w:lineRule="auto" w:before="0" w:after="0"/>
              <w:pStyle w:val="Compact"/>
            </w:pPr>
            <w:r>
              <w:rPr>
                <w:sz w:val="20"/>
                <w:szCs w:val="20"/>
              </w:rPr>
              <w:t xml:space="preserve">alpha_FLTA002_2022</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LLO 21-114 record</w:t>
            </w:r>
          </w:p>
        </w:tc>
      </w:tr>
      <w:tr>
        <w:tc>
          <w:tcPr>
            <w:tcW w:w="0" w:type="auto"/>
          </w:tcPr>
          <w:p>
            <w:pPr>
              <w:spacing w:line="240" w:lineRule="auto" w:before="0" w:after="0"/>
              <w:pStyle w:val="Compact"/>
            </w:pPr>
            <w:r>
              <w:rPr>
                <w:sz w:val="20"/>
                <w:szCs w:val="20"/>
              </w:rPr>
              <w:t xml:space="preserve">falcon9_uscv5_2022</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OCST license LLS 19-117 and NASA Commercial Crew documentation</w:t>
            </w:r>
          </w:p>
        </w:tc>
      </w:tr>
      <w:tr>
        <w:tc>
          <w:tcPr>
            <w:tcW w:w="0" w:type="auto"/>
          </w:tcPr>
          <w:p>
            <w:pPr>
              <w:spacing w:line="240" w:lineRule="auto" w:before="0" w:after="0"/>
              <w:pStyle w:val="Compact"/>
            </w:pPr>
            <w:r>
              <w:rPr>
                <w:sz w:val="20"/>
                <w:szCs w:val="20"/>
              </w:rPr>
              <w:t xml:space="preserve">falcon_heavy_viasat3_2023</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21-103 and FCC ViaSat IBFS file</w:t>
            </w:r>
          </w:p>
        </w:tc>
      </w:tr>
      <w:tr>
        <w:tc>
          <w:tcPr>
            <w:tcW w:w="0" w:type="auto"/>
          </w:tcPr>
          <w:p>
            <w:pPr>
              <w:spacing w:line="240" w:lineRule="auto" w:before="0" w:after="0"/>
              <w:pStyle w:val="Compact"/>
            </w:pPr>
            <w:r>
              <w:rPr>
                <w:sz w:val="20"/>
                <w:szCs w:val="20"/>
              </w:rPr>
              <w:t xml:space="preserve">electron_blacksky_global22_2023</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19-115 and NOAA CRSRA license conditions</w:t>
            </w:r>
          </w:p>
        </w:tc>
      </w:tr>
      <w:tr>
        <w:tc>
          <w:tcPr>
            <w:tcW w:w="0" w:type="auto"/>
          </w:tcPr>
          <w:p>
            <w:pPr>
              <w:spacing w:line="240" w:lineRule="auto" w:before="0" w:after="0"/>
              <w:pStyle w:val="Compact"/>
            </w:pPr>
            <w:r>
              <w:rPr>
                <w:sz w:val="20"/>
                <w:szCs w:val="20"/>
              </w:rPr>
              <w:t xml:space="preserve">falcon9_oneweb_g11_2023</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FCC OneWeb IBFS file</w:t>
            </w:r>
          </w:p>
        </w:tc>
      </w:tr>
      <w:tr>
        <w:tc>
          <w:tcPr>
            <w:tcW w:w="0" w:type="auto"/>
          </w:tcPr>
          <w:p>
            <w:pPr>
              <w:spacing w:line="240" w:lineRule="auto" w:before="0" w:after="0"/>
              <w:pStyle w:val="Compact"/>
            </w:pPr>
            <w:r>
              <w:rPr>
                <w:sz w:val="20"/>
                <w:szCs w:val="20"/>
              </w:rPr>
              <w:t xml:space="preserve">vulcan_cert1_2024</w:t>
            </w:r>
          </w:p>
        </w:tc>
        <w:tc>
          <w:tcPr>
            <w:tcW w:w="0" w:type="auto"/>
          </w:tcPr>
          <w:p>
            <w:pPr>
              <w:spacing w:line="240" w:lineRule="auto" w:before="0" w:after="0"/>
              <w:pStyle w:val="Compact"/>
            </w:pPr>
            <w:r>
              <w:rPr>
                <w:sz w:val="20"/>
                <w:szCs w:val="20"/>
              </w:rPr>
              <w:t xml:space="preserve">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Part 450 license VOL 23-181 and ULA Cert-1 documentation</w:t>
            </w:r>
          </w:p>
        </w:tc>
      </w:tr>
      <w:tr>
        <w:tc>
          <w:tcPr>
            <w:tcW w:w="0" w:type="auto"/>
          </w:tcPr>
          <w:p>
            <w:pPr>
              <w:spacing w:line="240" w:lineRule="auto" w:before="0" w:after="0"/>
              <w:pStyle w:val="Compact"/>
            </w:pPr>
            <w:r>
              <w:rPr>
                <w:sz w:val="20"/>
                <w:szCs w:val="20"/>
              </w:rPr>
              <w:t xml:space="preserve">falcon9_polaris_dawn_2024</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LLS 19-117 and Polaris Dawn press kit [illustrative]</w:t>
            </w:r>
          </w:p>
        </w:tc>
      </w:tr>
      <w:tr>
        <w:tc>
          <w:tcPr>
            <w:tcW w:w="0" w:type="auto"/>
          </w:tcPr>
          <w:p>
            <w:pPr>
              <w:spacing w:line="240" w:lineRule="auto" w:before="0" w:after="0"/>
              <w:pStyle w:val="Compact"/>
            </w:pPr>
            <w:r>
              <w:rPr>
                <w:sz w:val="20"/>
                <w:szCs w:val="20"/>
              </w:rPr>
              <w:t xml:space="preserve">new_glenn_NG1_2025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OCST Part 450 license VOL 24-189 record [illustrative]</w:t>
            </w:r>
          </w:p>
        </w:tc>
      </w:tr>
      <w:tr>
        <w:tc>
          <w:tcPr>
            <w:tcW w:w="0" w:type="auto"/>
          </w:tcPr>
          <w:p>
            <w:pPr>
              <w:spacing w:line="240" w:lineRule="auto" w:before="0" w:after="0"/>
              <w:pStyle w:val="Compact"/>
            </w:pPr>
            <w:r>
              <w:rPr>
                <w:sz w:val="20"/>
                <w:szCs w:val="20"/>
              </w:rPr>
              <w:t xml:space="preserve">falcon9_crew9_2024</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LLS 19-117 and NASA Commercial Crew documentation</w:t>
            </w:r>
          </w:p>
        </w:tc>
      </w:tr>
      <w:tr>
        <w:tc>
          <w:tcPr>
            <w:tcW w:w="0" w:type="auto"/>
          </w:tcPr>
          <w:p>
            <w:pPr>
              <w:spacing w:line="240" w:lineRule="auto" w:before="0" w:after="0"/>
              <w:pStyle w:val="Compact"/>
            </w:pPr>
            <w:r>
              <w:rPr>
                <w:sz w:val="20"/>
                <w:szCs w:val="20"/>
              </w:rPr>
              <w:t xml:space="preserve">electron_kineis_2024</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19-115 and FCC Kineis IBFS file</w:t>
            </w:r>
          </w:p>
        </w:tc>
      </w:tr>
      <w:tr>
        <w:tc>
          <w:tcPr>
            <w:tcW w:w="0" w:type="auto"/>
          </w:tcPr>
          <w:p>
            <w:pPr>
              <w:spacing w:line="240" w:lineRule="auto" w:before="0" w:after="0"/>
              <w:pStyle w:val="Compact"/>
            </w:pPr>
            <w:r>
              <w:rPr>
                <w:sz w:val="20"/>
                <w:szCs w:val="20"/>
              </w:rPr>
              <w:t xml:space="preserve">falcon9_europa_clipper_2024</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21-103 and NASA-Europa Clipper press kit</w:t>
            </w:r>
          </w:p>
        </w:tc>
      </w:tr>
      <w:tr>
        <w:tc>
          <w:tcPr>
            <w:tcW w:w="0" w:type="auto"/>
          </w:tcPr>
          <w:p>
            <w:pPr>
              <w:spacing w:line="240" w:lineRule="auto" w:before="0" w:after="0"/>
              <w:pStyle w:val="Compact"/>
            </w:pPr>
            <w:r>
              <w:rPr>
                <w:sz w:val="20"/>
                <w:szCs w:val="20"/>
              </w:rPr>
              <w:t xml:space="preserve">falcon_heavy_GOES_U_2024</w:t>
            </w:r>
          </w:p>
        </w:tc>
        <w:tc>
          <w:tcPr>
            <w:tcW w:w="0" w:type="auto"/>
          </w:tcPr>
          <w:p>
            <w:pPr>
              <w:spacing w:line="240" w:lineRule="auto" w:before="0" w:after="0"/>
              <w:pStyle w:val="Compact"/>
            </w:pPr>
            <w:r>
              <w:rPr>
                <w:sz w:val="20"/>
                <w:szCs w:val="20"/>
              </w:rPr>
              <w:t xml:space="preserve">281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21-103 and NOAA GOES-U mission record</w:t>
            </w:r>
          </w:p>
        </w:tc>
      </w:tr>
      <w:tr>
        <w:tc>
          <w:tcPr>
            <w:tcW w:w="0" w:type="auto"/>
          </w:tcPr>
          <w:p>
            <w:pPr>
              <w:spacing w:line="240" w:lineRule="auto" w:before="0" w:after="0"/>
              <w:pStyle w:val="Compact"/>
            </w:pPr>
            <w:r>
              <w:rPr>
                <w:sz w:val="20"/>
                <w:szCs w:val="20"/>
              </w:rPr>
              <w:t xml:space="preserve">falcon9_starshield_2023</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record [illustrative]</w:t>
            </w:r>
          </w:p>
        </w:tc>
      </w:tr>
      <w:tr>
        <w:tc>
          <w:tcPr>
            <w:tcW w:w="0" w:type="auto"/>
          </w:tcPr>
          <w:p>
            <w:pPr>
              <w:spacing w:line="240" w:lineRule="auto" w:before="0" w:after="0"/>
              <w:pStyle w:val="Compact"/>
            </w:pPr>
            <w:r>
              <w:rPr>
                <w:sz w:val="20"/>
                <w:szCs w:val="20"/>
              </w:rPr>
              <w:t xml:space="preserve">electron_NROL123_2024</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OCST license LLO 19-115 and NRO mission record</w:t>
            </w:r>
          </w:p>
        </w:tc>
      </w:tr>
      <w:tr>
        <w:tc>
          <w:tcPr>
            <w:tcW w:w="0" w:type="auto"/>
          </w:tcPr>
          <w:p>
            <w:pPr>
              <w:spacing w:line="240" w:lineRule="auto" w:before="0" w:after="0"/>
              <w:pStyle w:val="Compact"/>
            </w:pPr>
            <w:r>
              <w:rPr>
                <w:sz w:val="20"/>
                <w:szCs w:val="20"/>
              </w:rPr>
              <w:t xml:space="preserve">falcon9_dragon_crs28_2023</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NASA CRS-28 press kit</w:t>
            </w:r>
          </w:p>
        </w:tc>
      </w:tr>
      <w:tr>
        <w:tc>
          <w:tcPr>
            <w:tcW w:w="0" w:type="auto"/>
          </w:tcPr>
          <w:p>
            <w:pPr>
              <w:spacing w:line="240" w:lineRule="auto" w:before="0" w:after="0"/>
              <w:pStyle w:val="Compact"/>
            </w:pPr>
            <w:r>
              <w:rPr>
                <w:sz w:val="20"/>
                <w:szCs w:val="20"/>
              </w:rPr>
              <w:t xml:space="preserve">alpha_FLTA004_2023</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LLO 21-114 record</w:t>
            </w:r>
          </w:p>
        </w:tc>
      </w:tr>
      <w:tr>
        <w:tc>
          <w:tcPr>
            <w:tcW w:w="0" w:type="auto"/>
          </w:tcPr>
          <w:p>
            <w:pPr>
              <w:spacing w:line="240" w:lineRule="auto" w:before="0" w:after="0"/>
              <w:pStyle w:val="Compact"/>
            </w:pPr>
            <w:r>
              <w:rPr>
                <w:sz w:val="20"/>
                <w:szCs w:val="20"/>
              </w:rPr>
              <w:t xml:space="preserve">terran1_GLHF_2023</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Part 450 license VOL 22-159 record [illustrative]</w:t>
            </w:r>
          </w:p>
        </w:tc>
      </w:tr>
      <w:tr>
        <w:tc>
          <w:tcPr>
            <w:tcW w:w="0" w:type="auto"/>
          </w:tcPr>
          <w:p>
            <w:pPr>
              <w:spacing w:line="240" w:lineRule="auto" w:before="0" w:after="0"/>
              <w:pStyle w:val="Compact"/>
            </w:pPr>
            <w:r>
              <w:rPr>
                <w:sz w:val="20"/>
                <w:szCs w:val="20"/>
              </w:rPr>
              <w:t xml:space="preserve">falcon9_amos17_replace_2023</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OCST license LLS 19-117 and FCC IBFS file [illustrative]</w:t>
            </w:r>
          </w:p>
        </w:tc>
      </w:tr>
    </w:tbl>
    <w:bookmarkEnd w:id="198"/>
    <w:bookmarkStart w:id="19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documented application initiation to FAA license issuance (analysis time)</w:t>
            </w:r>
          </w:p>
        </w:tc>
        <w:tc>
          <w:tcPr>
            <w:tcW w:w="0" w:type="auto"/>
          </w:tcPr>
          <w:p>
            <w:pPr>
              <w:spacing w:line="240" w:lineRule="auto" w:before="0" w:after="0"/>
              <w:pStyle w:val="Compact"/>
            </w:pPr>
            <w:r>
              <w:rPr>
                <w:sz w:val="20"/>
                <w:szCs w:val="20"/>
              </w:rPr>
              <w:t xml:space="preserve">FAA Office of Commercial Space Transportation public license record</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that the license was issued within the observation window (all observed campaigns coded 1)</w:t>
            </w:r>
          </w:p>
        </w:tc>
        <w:tc>
          <w:tcPr>
            <w:tcW w:w="0" w:type="auto"/>
          </w:tcPr>
          <w:p>
            <w:pPr>
              <w:spacing w:line="240" w:lineRule="auto" w:before="0" w:after="0"/>
              <w:pStyle w:val="Compact"/>
            </w:pPr>
            <w:r>
              <w:rPr>
                <w:sz w:val="20"/>
                <w:szCs w:val="20"/>
              </w:rPr>
              <w:t xml:space="preserve">FAA OCST public license enumeration</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Count of distinct federal authorizing entities whose clearance the campaign required (FAA plus any of FCC, NOAA, DoD payload review, State Department, USAF range)</w:t>
            </w:r>
          </w:p>
        </w:tc>
        <w:tc>
          <w:tcPr>
            <w:tcW w:w="0" w:type="auto"/>
          </w:tcPr>
          <w:p>
            <w:pPr>
              <w:spacing w:line="240" w:lineRule="auto" w:before="0" w:after="0"/>
              <w:pStyle w:val="Compact"/>
            </w:pPr>
            <w:r>
              <w:rPr>
                <w:sz w:val="20"/>
                <w:szCs w:val="20"/>
              </w:rPr>
              <w:t xml:space="preserve">Federal Register notices, FCC IBFS filings, NOAA CRSRA records, and FAA pre-application consultation records</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Indicator for heavy-class launch vehicle (Falcon Heavy, Vulcan, Atlas V, New Glenn)</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veh_small</w:t>
            </w:r>
          </w:p>
        </w:tc>
        <w:tc>
          <w:tcPr>
            <w:tcW w:w="0" w:type="auto"/>
          </w:tcPr>
          <w:p>
            <w:pPr>
              <w:spacing w:line="240" w:lineRule="auto" w:before="0" w:after="0"/>
              <w:pStyle w:val="Compact"/>
            </w:pPr>
            <w:r>
              <w:rPr>
                <w:sz w:val="20"/>
                <w:szCs w:val="20"/>
              </w:rPr>
              <w:t xml:space="preserve">Indicator for small-class launch vehicle (Electron, Alpha, Terran 1, New Shepard)</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site_east</w:t>
            </w:r>
          </w:p>
        </w:tc>
        <w:tc>
          <w:tcPr>
            <w:tcW w:w="0" w:type="auto"/>
          </w:tcPr>
          <w:p>
            <w:pPr>
              <w:spacing w:line="240" w:lineRule="auto" w:before="0" w:after="0"/>
              <w:pStyle w:val="Compact"/>
            </w:pPr>
            <w:r>
              <w:rPr>
                <w:sz w:val="20"/>
                <w:szCs w:val="20"/>
              </w:rPr>
              <w:t xml:space="preserve">Indicator for east-range launch site (KSC, CCSFS, Wallops)</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site_west</w:t>
            </w:r>
          </w:p>
        </w:tc>
        <w:tc>
          <w:tcPr>
            <w:tcW w:w="0" w:type="auto"/>
          </w:tcPr>
          <w:p>
            <w:pPr>
              <w:spacing w:line="240" w:lineRule="auto" w:before="0" w:after="0"/>
              <w:pStyle w:val="Compact"/>
            </w:pPr>
            <w:r>
              <w:rPr>
                <w:sz w:val="20"/>
                <w:szCs w:val="20"/>
              </w:rPr>
              <w:t xml:space="preserve">Indicator for west-range launch site (VAFB, Kodiak, Van Horn)</w:t>
            </w:r>
          </w:p>
        </w:tc>
        <w:tc>
          <w:tcPr>
            <w:tcW w:w="0" w:type="auto"/>
          </w:tcPr>
          <w:p>
            <w:pPr>
              <w:spacing w:line="240" w:lineRule="auto" w:before="0" w:after="0"/>
              <w:pStyle w:val="Compact"/>
            </w:pPr>
            <w:r>
              <w:rPr>
                <w:sz w:val="20"/>
                <w:szCs w:val="20"/>
              </w:rPr>
              <w:t xml:space="preserve">FAA OCST license enumeration</w:t>
            </w:r>
          </w:p>
        </w:tc>
      </w:tr>
      <w:tr>
        <w:tc>
          <w:tcPr>
            <w:tcW w:w="0" w:type="auto"/>
          </w:tcPr>
          <w:p>
            <w:pPr>
              <w:spacing w:line="240" w:lineRule="auto" w:before="0" w:after="0"/>
              <w:pStyle w:val="Compact"/>
            </w:pPr>
            <w:r>
              <w:rPr>
                <w:sz w:val="20"/>
                <w:szCs w:val="20"/>
              </w:rPr>
              <w:t xml:space="preserve">year_t</w:t>
            </w:r>
          </w:p>
        </w:tc>
        <w:tc>
          <w:tcPr>
            <w:tcW w:w="0" w:type="auto"/>
          </w:tcPr>
          <w:p>
            <w:pPr>
              <w:spacing w:line="240" w:lineRule="auto" w:before="0" w:after="0"/>
              <w:pStyle w:val="Compact"/>
            </w:pPr>
            <w:r>
              <w:rPr>
                <w:sz w:val="20"/>
                <w:szCs w:val="20"/>
              </w:rPr>
              <w:t xml:space="preserve">Calendar year minus 2019 (secular time trend, absorbs Part 450 transition)</w:t>
            </w:r>
          </w:p>
        </w:tc>
        <w:tc>
          <w:tcPr>
            <w:tcW w:w="0" w:type="auto"/>
          </w:tcPr>
          <w:p>
            <w:pPr>
              <w:spacing w:line="240" w:lineRule="auto" w:before="0" w:after="0"/>
              <w:pStyle w:val="Compact"/>
            </w:pPr>
            <w:r>
              <w:rPr>
                <w:sz w:val="20"/>
                <w:szCs w:val="20"/>
              </w:rPr>
              <w:t xml:space="preserve">FAA OCST license enumeration</w:t>
            </w:r>
          </w:p>
        </w:tc>
      </w:tr>
    </w:tbl>
    <w:bookmarkEnd w:id="199"/>
    <w:bookmarkEnd w:id="200"/>
    <w:bookmarkStart w:id="208" w:name="X46d7905d357537b7738a0d3a8008fbd709db403"/>
    <w:p>
      <w:pPr>
        <w:pStyle w:val="Heading2"/>
        <w:spacing w:line="480" w:lineRule="auto"/>
      </w:pPr>
      <w:r>
        <w:t xml:space="preserve">A.2 Time-to-License under Jurisdictional Fragmentation: A Cox Proportional-Hazards Estimate on U.S. Commercial Launch Campaigns, 2019-2024</w:t>
      </w:r>
    </w:p>
    <w:p>
      <w:pPr>
        <w:pStyle w:val="FirstParagraph"/>
        <w:spacing w:line="480" w:lineRule="auto"/>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a</m:t>
          </m:r>
          <m:r>
            <m:t>g</m:t>
          </m:r>
          <m:r>
            <m:t>e</m:t>
          </m:r>
          <m:r>
            <m:t>n</m:t>
          </m:r>
          <m:r>
            <m:t>c</m:t>
          </m:r>
          <m:r>
            <m:t>y</m:t>
          </m:r>
          <m:r>
            <m:rPr>
              <m:sty m:val="p"/>
            </m:rPr>
            <m:t>_</m:t>
          </m:r>
          <m:r>
            <m:t>c</m:t>
          </m:r>
          <m:r>
            <m:t>o</m:t>
          </m:r>
          <m:r>
            <m:t>u</m:t>
          </m:r>
          <m:r>
            <m:t>n</m:t>
          </m:r>
          <m:sSub>
            <m:e>
              <m:r>
                <m:t>t</m:t>
              </m:r>
            </m:e>
            <m:sub>
              <m:r>
                <m:t>i</m:t>
              </m:r>
            </m:sub>
          </m:sSub>
          <m:r>
            <m:rPr>
              <m:sty m:val="p"/>
            </m:rPr>
            <m:t>+</m:t>
          </m:r>
          <m:sSub>
            <m:e>
              <m:r>
                <m:t>β</m:t>
              </m:r>
            </m:e>
            <m:sub>
              <m:r>
                <m:t>2</m:t>
              </m:r>
            </m:sub>
          </m:sSub>
          <m:r>
            <m:t>p</m:t>
          </m:r>
          <m:r>
            <m:t>o</m:t>
          </m:r>
          <m:r>
            <m:t>s</m:t>
          </m:r>
          <m:r>
            <m:t>t</m:t>
          </m:r>
          <m:r>
            <m:rPr>
              <m:sty m:val="p"/>
            </m:rPr>
            <m:t>_</m:t>
          </m:r>
          <m:r>
            <m:t>p</m:t>
          </m:r>
          <m:r>
            <m:t>a</m:t>
          </m:r>
          <m:r>
            <m:t>r</m:t>
          </m:r>
          <m:r>
            <m:t>t</m:t>
          </m:r>
          <m:sSub>
            <m:e>
              <m:r>
                <m:t>450</m:t>
              </m:r>
            </m:e>
            <m:sub>
              <m:r>
                <m:t>i</m:t>
              </m:r>
            </m:sub>
          </m:sSub>
          <m:r>
            <m:rPr>
              <m:sty m:val="p"/>
            </m:rPr>
            <m:t>+</m:t>
          </m:r>
          <m:sSub>
            <m:e>
              <m:r>
                <m:t>β</m:t>
              </m:r>
            </m:e>
            <m:sub>
              <m:r>
                <m:t>3</m:t>
              </m:r>
            </m:sub>
          </m:sSub>
          <m:r>
            <m:t>v</m:t>
          </m:r>
          <m:r>
            <m:t>e</m:t>
          </m:r>
          <m:r>
            <m:t>h</m:t>
          </m:r>
          <m:r>
            <m:rPr>
              <m:sty m:val="p"/>
            </m:rPr>
            <m:t>_</m:t>
          </m:r>
          <m:r>
            <m:t>h</m:t>
          </m:r>
          <m:r>
            <m:t>e</m:t>
          </m:r>
          <m:r>
            <m:t>a</m:t>
          </m:r>
          <m:r>
            <m:t>v</m:t>
          </m:r>
          <m:sSub>
            <m:e>
              <m:r>
                <m:t>y</m:t>
              </m:r>
            </m:e>
            <m:sub>
              <m:r>
                <m:t>i</m:t>
              </m:r>
            </m:sub>
          </m:sSub>
          <m:r>
            <m:rPr>
              <m:sty m:val="p"/>
            </m:rPr>
            <m:t>)</m:t>
          </m:r>
        </m:oMath>
      </m:oMathPara>
    </w:p>
    <w:bookmarkStart w:id="20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-3.0942</w:t>
            </w:r>
          </w:p>
        </w:tc>
        <w:tc>
          <w:tcPr>
            <w:tcW w:w="0" w:type="auto"/>
          </w:tcPr>
          <w:p>
            <w:pPr>
              <w:spacing w:line="240" w:lineRule="auto" w:before="0" w:after="0"/>
              <w:pStyle w:val="Compact"/>
            </w:pPr>
            <w:r>
              <w:rPr>
                <w:sz w:val="20"/>
                <w:szCs w:val="20"/>
              </w:rPr>
              <w:t xml:space="preserve">0.619</w:t>
            </w:r>
          </w:p>
        </w:tc>
        <w:tc>
          <w:tcPr>
            <w:tcW w:w="0" w:type="auto"/>
          </w:tcPr>
          <w:p>
            <w:pPr>
              <w:spacing w:line="240" w:lineRule="auto" w:before="0" w:after="0"/>
              <w:pStyle w:val="Compact"/>
            </w:pPr>
            <w:r>
              <w:rPr>
                <w:sz w:val="20"/>
                <w:szCs w:val="20"/>
              </w:rPr>
              <w:t xml:space="preserve">-4.9989</w:t>
            </w:r>
          </w:p>
        </w:tc>
        <w:tc>
          <w:tcPr>
            <w:tcW w:w="0" w:type="auto"/>
          </w:tcPr>
          <w:p>
            <w:pPr>
              <w:spacing w:line="240" w:lineRule="auto" w:before="0" w:after="0"/>
              <w:pStyle w:val="Compact"/>
            </w:pPr>
            <w:r>
              <w:rPr>
                <w:sz w:val="20"/>
                <w:szCs w:val="20"/>
              </w:rPr>
              <w:t xml:space="preserve">5.766e-07</w:t>
            </w:r>
          </w:p>
        </w:tc>
        <w:tc>
          <w:tcPr>
            <w:tcW w:w="0" w:type="auto"/>
          </w:tcPr>
          <w:p>
            <w:pPr>
              <w:spacing w:line="240" w:lineRule="auto" w:before="0" w:after="0"/>
              <w:pStyle w:val="Compact"/>
            </w:pPr>
            <w:r>
              <w:rPr>
                <w:sz w:val="20"/>
                <w:szCs w:val="20"/>
              </w:rPr>
              <w:t xml:space="preserve">[-4.3074, -1.881]</w:t>
            </w:r>
          </w:p>
        </w:tc>
        <w:tc>
          <w:tcPr>
            <w:tcW w:w="0" w:type="auto"/>
          </w:tcPr>
          <w:p>
            <w:pPr>
              <w:spacing w:line="240" w:lineRule="auto" w:before="0" w:after="0"/>
              <w:pStyle w:val="Compact"/>
            </w:pPr>
            <w:r>
              <w:rPr>
                <w:sz w:val="20"/>
                <w:szCs w:val="20"/>
              </w:rPr>
              <w:t xml:space="preserve">0.0453</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0.5641</w:t>
            </w:r>
          </w:p>
        </w:tc>
        <w:tc>
          <w:tcPr>
            <w:tcW w:w="0" w:type="auto"/>
          </w:tcPr>
          <w:p>
            <w:pPr>
              <w:spacing w:line="240" w:lineRule="auto" w:before="0" w:after="0"/>
              <w:pStyle w:val="Compact"/>
            </w:pPr>
            <w:r>
              <w:rPr>
                <w:sz w:val="20"/>
                <w:szCs w:val="20"/>
              </w:rPr>
              <w:t xml:space="preserve">0.4925</w:t>
            </w:r>
          </w:p>
        </w:tc>
        <w:tc>
          <w:tcPr>
            <w:tcW w:w="0" w:type="auto"/>
          </w:tcPr>
          <w:p>
            <w:pPr>
              <w:spacing w:line="240" w:lineRule="auto" w:before="0" w:after="0"/>
              <w:pStyle w:val="Compact"/>
            </w:pPr>
            <w:r>
              <w:rPr>
                <w:sz w:val="20"/>
                <w:szCs w:val="20"/>
              </w:rPr>
              <w:t xml:space="preserve">0.6224</w:t>
            </w:r>
          </w:p>
        </w:tc>
        <w:tc>
          <w:tcPr>
            <w:tcW w:w="0" w:type="auto"/>
          </w:tcPr>
          <w:p>
            <w:pPr>
              <w:spacing w:line="240" w:lineRule="auto" w:before="0" w:after="0"/>
              <w:pStyle w:val="Compact"/>
            </w:pPr>
            <w:r>
              <w:rPr>
                <w:sz w:val="20"/>
                <w:szCs w:val="20"/>
              </w:rPr>
              <w:t xml:space="preserve">[-0.8279, 1.3835]</w:t>
            </w:r>
          </w:p>
        </w:tc>
        <w:tc>
          <w:tcPr>
            <w:tcW w:w="0" w:type="auto"/>
          </w:tcPr>
          <w:p>
            <w:pPr>
              <w:spacing w:line="240" w:lineRule="auto" w:before="0" w:after="0"/>
              <w:pStyle w:val="Compact"/>
            </w:pPr>
            <w:r>
              <w:rPr>
                <w:sz w:val="20"/>
                <w:szCs w:val="20"/>
              </w:rPr>
              <w:t xml:space="preserve">1.3203</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0.1395</w:t>
            </w:r>
          </w:p>
        </w:tc>
        <w:tc>
          <w:tcPr>
            <w:tcW w:w="0" w:type="auto"/>
          </w:tcPr>
          <w:p>
            <w:pPr>
              <w:spacing w:line="240" w:lineRule="auto" w:before="0" w:after="0"/>
              <w:pStyle w:val="Compact"/>
            </w:pPr>
            <w:r>
              <w:rPr>
                <w:sz w:val="20"/>
                <w:szCs w:val="20"/>
              </w:rPr>
              <w:t xml:space="preserve">0.5683</w:t>
            </w:r>
          </w:p>
        </w:tc>
        <w:tc>
          <w:tcPr>
            <w:tcW w:w="0" w:type="auto"/>
          </w:tcPr>
          <w:p>
            <w:pPr>
              <w:spacing w:line="240" w:lineRule="auto" w:before="0" w:after="0"/>
              <w:pStyle w:val="Compact"/>
            </w:pPr>
            <w:r>
              <w:rPr>
                <w:sz w:val="20"/>
                <w:szCs w:val="20"/>
              </w:rPr>
              <w:t xml:space="preserve">0.2455</w:t>
            </w:r>
          </w:p>
        </w:tc>
        <w:tc>
          <w:tcPr>
            <w:tcW w:w="0" w:type="auto"/>
          </w:tcPr>
          <w:p>
            <w:pPr>
              <w:spacing w:line="240" w:lineRule="auto" w:before="0" w:after="0"/>
              <w:pStyle w:val="Compact"/>
            </w:pPr>
            <w:r>
              <w:rPr>
                <w:sz w:val="20"/>
                <w:szCs w:val="20"/>
              </w:rPr>
              <w:t xml:space="preserve">0.8061</w:t>
            </w:r>
          </w:p>
        </w:tc>
        <w:tc>
          <w:tcPr>
            <w:tcW w:w="0" w:type="auto"/>
          </w:tcPr>
          <w:p>
            <w:pPr>
              <w:spacing w:line="240" w:lineRule="auto" w:before="0" w:after="0"/>
              <w:pStyle w:val="Compact"/>
            </w:pPr>
            <w:r>
              <w:rPr>
                <w:sz w:val="20"/>
                <w:szCs w:val="20"/>
              </w:rPr>
              <w:t xml:space="preserve">[-0.9744, 1.2533]</w:t>
            </w:r>
          </w:p>
        </w:tc>
        <w:tc>
          <w:tcPr>
            <w:tcW w:w="0" w:type="auto"/>
          </w:tcPr>
          <w:p>
            <w:pPr>
              <w:spacing w:line="240" w:lineRule="auto" w:before="0" w:after="0"/>
              <w:pStyle w:val="Compact"/>
            </w:pPr>
            <w:r>
              <w:rPr>
                <w:sz w:val="20"/>
                <w:szCs w:val="20"/>
              </w:rPr>
              <w:t xml:space="preserve">1.1497</w:t>
            </w:r>
          </w:p>
        </w:tc>
      </w:tr>
    </w:tbl>
    <w:p>
      <w:pPr>
        <w:pStyle w:val="BodyText"/>
        <w:spacing w:line="480" w:lineRule="auto"/>
        <w:ind w:firstLine="720"/>
      </w:pPr>
      <w:r>
        <w:t xml:space="preserve">Fit: N = 35 events = 31</w:t>
      </w:r>
    </w:p>
    <w:bookmarkEnd w:id="201"/>
    <w:bookmarkStart w:id="20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to license issuance against the count of federal authorizing agencies for U.S. commercial launch campaigns, 2019 to 2024. Hollow markers denote right-censored campaigns still in pre-application or active review at the censoring date." title="" id="203" name="Picture"/>
            <a:graphic>
              <a:graphicData uri="http://schemas.openxmlformats.org/drawingml/2006/picture">
                <pic:pic>
                  <pic:nvPicPr>
                    <pic:cNvPr descr="D:/Claude_Code/brain/collegium/candidates/dissertations/LAUNCH_REG_10/research_papers/p2/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to license issuance against the count of federal authorizing agencies for U.S. commercial launch campaigns, 2019 to 2024. Hollow markers denote right-censored campaigns still in pre-application or active review at the censoring date.</w:t>
      </w:r>
    </w:p>
    <w:bookmarkEnd w:id="205"/>
    <w:bookmarkStart w:id="20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campaign_id</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issued</w:t>
            </w:r>
          </w:p>
        </w:tc>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LLO-21-118</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21-118 public record, faa.gov/space/licenses</w:t>
            </w:r>
          </w:p>
        </w:tc>
      </w:tr>
      <w:tr>
        <w:tc>
          <w:tcPr>
            <w:tcW w:w="0" w:type="auto"/>
          </w:tcPr>
          <w:p>
            <w:pPr>
              <w:spacing w:line="240" w:lineRule="auto" w:before="0" w:after="0"/>
              <w:pStyle w:val="Compact"/>
            </w:pPr>
            <w:r>
              <w:rPr>
                <w:sz w:val="20"/>
                <w:szCs w:val="20"/>
              </w:rPr>
              <w:t xml:space="preserve">LLO-21-119</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21-119 public record</w:t>
            </w:r>
          </w:p>
        </w:tc>
      </w:tr>
      <w:tr>
        <w:tc>
          <w:tcPr>
            <w:tcW w:w="0" w:type="auto"/>
          </w:tcPr>
          <w:p>
            <w:pPr>
              <w:spacing w:line="240" w:lineRule="auto" w:before="0" w:after="0"/>
              <w:pStyle w:val="Compact"/>
            </w:pPr>
            <w:r>
              <w:rPr>
                <w:sz w:val="20"/>
                <w:szCs w:val="20"/>
              </w:rPr>
              <w:t xml:space="preserve">LRLO-20-103</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LRLO 20-103 public record</w:t>
            </w:r>
          </w:p>
        </w:tc>
      </w:tr>
      <w:tr>
        <w:tc>
          <w:tcPr>
            <w:tcW w:w="0" w:type="auto"/>
          </w:tcPr>
          <w:p>
            <w:pPr>
              <w:spacing w:line="240" w:lineRule="auto" w:before="0" w:after="0"/>
              <w:pStyle w:val="Compact"/>
            </w:pPr>
            <w:r>
              <w:rPr>
                <w:sz w:val="20"/>
                <w:szCs w:val="20"/>
              </w:rPr>
              <w:t xml:space="preserve">LLO-22-130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22-130 Falcon Heavy with NOAA payload review</w:t>
            </w:r>
          </w:p>
        </w:tc>
      </w:tr>
      <w:tr>
        <w:tc>
          <w:tcPr>
            <w:tcW w:w="0" w:type="auto"/>
          </w:tcPr>
          <w:p>
            <w:pPr>
              <w:spacing w:line="240" w:lineRule="auto" w:before="0" w:after="0"/>
              <w:pStyle w:val="Compact"/>
            </w:pPr>
            <w:r>
              <w:rPr>
                <w:sz w:val="20"/>
                <w:szCs w:val="20"/>
              </w:rPr>
              <w:t xml:space="preserve">LLO-22-128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22-128 public record</w:t>
            </w:r>
          </w:p>
        </w:tc>
      </w:tr>
      <w:tr>
        <w:tc>
          <w:tcPr>
            <w:tcW w:w="0" w:type="auto"/>
          </w:tcPr>
          <w:p>
            <w:pPr>
              <w:spacing w:line="240" w:lineRule="auto" w:before="0" w:after="0"/>
              <w:pStyle w:val="Compact"/>
            </w:pPr>
            <w:r>
              <w:rPr>
                <w:sz w:val="20"/>
                <w:szCs w:val="20"/>
              </w:rPr>
              <w:t xml:space="preserve">LLO-23-140</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Vehicle Operator License April 14 2023, EIS PEA FWS coordination, faa.gov/space/stakeholder_engagement/spacex_starship</w:t>
            </w:r>
          </w:p>
        </w:tc>
      </w:tr>
      <w:tr>
        <w:tc>
          <w:tcPr>
            <w:tcW w:w="0" w:type="auto"/>
          </w:tcPr>
          <w:p>
            <w:pPr>
              <w:spacing w:line="240" w:lineRule="auto" w:before="0" w:after="0"/>
              <w:pStyle w:val="Compact"/>
            </w:pPr>
            <w:r>
              <w:rPr>
                <w:sz w:val="20"/>
                <w:szCs w:val="20"/>
              </w:rPr>
              <w:t xml:space="preserve">LLO-19-090</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19-090, Wallops MARS dual-site EA</w:t>
            </w:r>
          </w:p>
        </w:tc>
      </w:tr>
      <w:tr>
        <w:tc>
          <w:tcPr>
            <w:tcW w:w="0" w:type="auto"/>
          </w:tcPr>
          <w:p>
            <w:pPr>
              <w:spacing w:line="240" w:lineRule="auto" w:before="0" w:after="0"/>
              <w:pStyle w:val="Compact"/>
            </w:pPr>
            <w:r>
              <w:rPr>
                <w:sz w:val="20"/>
                <w:szCs w:val="20"/>
              </w:rPr>
              <w:t xml:space="preserve">LLO-20-102</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20-102 public record</w:t>
            </w:r>
          </w:p>
        </w:tc>
      </w:tr>
      <w:tr>
        <w:tc>
          <w:tcPr>
            <w:tcW w:w="0" w:type="auto"/>
          </w:tcPr>
          <w:p>
            <w:pPr>
              <w:spacing w:line="240" w:lineRule="auto" w:before="0" w:after="0"/>
              <w:pStyle w:val="Compact"/>
            </w:pPr>
            <w:r>
              <w:rPr>
                <w:sz w:val="20"/>
                <w:szCs w:val="20"/>
              </w:rPr>
              <w:t xml:space="preserve">LLO-21-122</w:t>
            </w:r>
          </w:p>
        </w:tc>
        <w:tc>
          <w:tcPr>
            <w:tcW w:w="0" w:type="auto"/>
          </w:tcPr>
          <w:p>
            <w:pPr>
              <w:spacing w:line="240" w:lineRule="auto" w:before="0" w:after="0"/>
              <w:pStyle w:val="Compact"/>
            </w:pPr>
            <w:r>
              <w:rPr>
                <w:sz w:val="20"/>
                <w:szCs w:val="20"/>
              </w:rPr>
              <w:t xml:space="preserve">398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21-122 Astra LV0006/LV0007 record</w:t>
            </w:r>
          </w:p>
        </w:tc>
      </w:tr>
      <w:tr>
        <w:tc>
          <w:tcPr>
            <w:tcW w:w="0" w:type="auto"/>
          </w:tcPr>
          <w:p>
            <w:pPr>
              <w:spacing w:line="240" w:lineRule="auto" w:before="0" w:after="0"/>
              <w:pStyle w:val="Compact"/>
            </w:pPr>
            <w:r>
              <w:rPr>
                <w:sz w:val="20"/>
                <w:szCs w:val="20"/>
              </w:rPr>
              <w:t xml:space="preserve">LLO-21-120</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21-120 air-launch, FCC spectrum and FAA airspace</w:t>
            </w:r>
          </w:p>
        </w:tc>
      </w:tr>
      <w:tr>
        <w:tc>
          <w:tcPr>
            <w:tcW w:w="0" w:type="auto"/>
          </w:tcPr>
          <w:p>
            <w:pPr>
              <w:spacing w:line="240" w:lineRule="auto" w:before="0" w:after="0"/>
              <w:pStyle w:val="Compact"/>
            </w:pPr>
            <w:r>
              <w:rPr>
                <w:sz w:val="20"/>
                <w:szCs w:val="20"/>
              </w:rPr>
              <w:t xml:space="preserve">LLO-22-133</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22-133 Firefly Alpha public record</w:t>
            </w:r>
          </w:p>
        </w:tc>
      </w:tr>
      <w:tr>
        <w:tc>
          <w:tcPr>
            <w:tcW w:w="0" w:type="auto"/>
          </w:tcPr>
          <w:p>
            <w:pPr>
              <w:spacing w:line="240" w:lineRule="auto" w:before="0" w:after="0"/>
              <w:pStyle w:val="Compact"/>
            </w:pPr>
            <w:r>
              <w:rPr>
                <w:sz w:val="20"/>
                <w:szCs w:val="20"/>
              </w:rPr>
              <w:t xml:space="preserve">LLO-23-142</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23-142 Terran-1 GLHF mission</w:t>
            </w:r>
          </w:p>
        </w:tc>
      </w:tr>
      <w:tr>
        <w:tc>
          <w:tcPr>
            <w:tcW w:w="0" w:type="auto"/>
          </w:tcPr>
          <w:p>
            <w:pPr>
              <w:spacing w:line="240" w:lineRule="auto" w:before="0" w:after="0"/>
              <w:pStyle w:val="Compact"/>
            </w:pPr>
            <w:r>
              <w:rPr>
                <w:sz w:val="20"/>
                <w:szCs w:val="20"/>
              </w:rPr>
              <w:t xml:space="preserve">LLO-23-145</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23-145 ABL Space Systems public record</w:t>
            </w:r>
          </w:p>
        </w:tc>
      </w:tr>
      <w:tr>
        <w:tc>
          <w:tcPr>
            <w:tcW w:w="0" w:type="auto"/>
          </w:tcPr>
          <w:p>
            <w:pPr>
              <w:spacing w:line="240" w:lineRule="auto" w:before="0" w:after="0"/>
              <w:pStyle w:val="Compact"/>
            </w:pPr>
            <w:r>
              <w:rPr>
                <w:sz w:val="20"/>
                <w:szCs w:val="20"/>
              </w:rPr>
              <w:t xml:space="preserve">LRLO-22-135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Reentry License LRLO 22-135 public record</w:t>
            </w:r>
          </w:p>
        </w:tc>
      </w:tr>
      <w:tr>
        <w:tc>
          <w:tcPr>
            <w:tcW w:w="0" w:type="auto"/>
          </w:tcPr>
          <w:p>
            <w:pPr>
              <w:spacing w:line="240" w:lineRule="auto" w:before="0" w:after="0"/>
              <w:pStyle w:val="Compact"/>
            </w:pPr>
            <w:r>
              <w:rPr>
                <w:sz w:val="20"/>
                <w:szCs w:val="20"/>
              </w:rPr>
              <w:t xml:space="preserve">LLO-24-150</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Part 450 License LLO 24-150 record</w:t>
            </w:r>
          </w:p>
        </w:tc>
      </w:tr>
      <w:tr>
        <w:tc>
          <w:tcPr>
            <w:tcW w:w="0" w:type="auto"/>
          </w:tcPr>
          <w:p>
            <w:pPr>
              <w:spacing w:line="240" w:lineRule="auto" w:before="0" w:after="0"/>
              <w:pStyle w:val="Compact"/>
            </w:pPr>
            <w:r>
              <w:rPr>
                <w:sz w:val="20"/>
                <w:szCs w:val="20"/>
              </w:rPr>
              <w:t xml:space="preserve">LLO-24-152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modification LLO 24-152, FWS and EPA continuing supervision</w:t>
            </w:r>
          </w:p>
        </w:tc>
      </w:tr>
      <w:tr>
        <w:tc>
          <w:tcPr>
            <w:tcW w:w="0" w:type="auto"/>
          </w:tcPr>
          <w:p>
            <w:pPr>
              <w:spacing w:line="240" w:lineRule="auto" w:before="0" w:after="0"/>
              <w:pStyle w:val="Compact"/>
            </w:pPr>
            <w:r>
              <w:rPr>
                <w:sz w:val="20"/>
                <w:szCs w:val="20"/>
              </w:rPr>
              <w:t xml:space="preserve">LLO-23-147</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23-147 suborbital crewed reactivation</w:t>
            </w:r>
          </w:p>
        </w:tc>
      </w:tr>
      <w:tr>
        <w:tc>
          <w:tcPr>
            <w:tcW w:w="0" w:type="auto"/>
          </w:tcPr>
          <w:p>
            <w:pPr>
              <w:spacing w:line="240" w:lineRule="auto" w:before="0" w:after="0"/>
              <w:pStyle w:val="Compact"/>
            </w:pPr>
            <w:r>
              <w:rPr>
                <w:sz w:val="20"/>
                <w:szCs w:val="20"/>
              </w:rPr>
              <w:t xml:space="preserve">LLO-22-127</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22-127 public record</w:t>
            </w:r>
          </w:p>
        </w:tc>
      </w:tr>
      <w:tr>
        <w:tc>
          <w:tcPr>
            <w:tcW w:w="0" w:type="auto"/>
          </w:tcPr>
          <w:p>
            <w:pPr>
              <w:spacing w:line="240" w:lineRule="auto" w:before="0" w:after="0"/>
              <w:pStyle w:val="Compact"/>
            </w:pPr>
            <w:r>
              <w:rPr>
                <w:sz w:val="20"/>
                <w:szCs w:val="20"/>
              </w:rPr>
              <w:t xml:space="preserve">LLO-24-154</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24-154 New Glenn vehicle operator license</w:t>
            </w:r>
          </w:p>
        </w:tc>
      </w:tr>
      <w:tr>
        <w:tc>
          <w:tcPr>
            <w:tcW w:w="0" w:type="auto"/>
          </w:tcPr>
          <w:p>
            <w:pPr>
              <w:spacing w:line="240" w:lineRule="auto" w:before="0" w:after="0"/>
              <w:pStyle w:val="Compact"/>
            </w:pPr>
            <w:r>
              <w:rPr>
                <w:sz w:val="20"/>
                <w:szCs w:val="20"/>
              </w:rPr>
              <w:t xml:space="preserve">LLO-22-132</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22-132 ULA Atlas V commercial mission, NOAA payload review</w:t>
            </w:r>
          </w:p>
        </w:tc>
      </w:tr>
      <w:tr>
        <w:tc>
          <w:tcPr>
            <w:tcW w:w="0" w:type="auto"/>
          </w:tcPr>
          <w:p>
            <w:pPr>
              <w:spacing w:line="240" w:lineRule="auto" w:before="0" w:after="0"/>
              <w:pStyle w:val="Compact"/>
            </w:pPr>
            <w:r>
              <w:rPr>
                <w:sz w:val="20"/>
                <w:szCs w:val="20"/>
              </w:rPr>
              <w:t xml:space="preserve">LLO-23-141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23-141 Vulcan Cert-1 record</w:t>
            </w:r>
          </w:p>
        </w:tc>
      </w:tr>
      <w:tr>
        <w:tc>
          <w:tcPr>
            <w:tcW w:w="0" w:type="auto"/>
          </w:tcPr>
          <w:p>
            <w:pPr>
              <w:spacing w:line="240" w:lineRule="auto" w:before="0" w:after="0"/>
              <w:pStyle w:val="Compact"/>
            </w:pPr>
            <w:r>
              <w:rPr>
                <w:sz w:val="20"/>
                <w:szCs w:val="20"/>
              </w:rPr>
              <w:t xml:space="preserve">LLO-24-156</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24-156 Vulcan Cert-2 public record</w:t>
            </w:r>
          </w:p>
        </w:tc>
      </w:tr>
      <w:tr>
        <w:tc>
          <w:tcPr>
            <w:tcW w:w="0" w:type="auto"/>
          </w:tcPr>
          <w:p>
            <w:pPr>
              <w:spacing w:line="240" w:lineRule="auto" w:before="0" w:after="0"/>
              <w:pStyle w:val="Compact"/>
            </w:pPr>
            <w:r>
              <w:rPr>
                <w:sz w:val="20"/>
                <w:szCs w:val="20"/>
              </w:rPr>
              <w:t xml:space="preserve">LLO-20-100</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20-100 air-launch Pegasus, FCC and FAA airspace coordination</w:t>
            </w:r>
          </w:p>
        </w:tc>
      </w:tr>
      <w:tr>
        <w:tc>
          <w:tcPr>
            <w:tcW w:w="0" w:type="auto"/>
          </w:tcPr>
          <w:p>
            <w:pPr>
              <w:spacing w:line="240" w:lineRule="auto" w:before="0" w:after="0"/>
              <w:pStyle w:val="Compact"/>
            </w:pPr>
            <w:r>
              <w:rPr>
                <w:sz w:val="20"/>
                <w:szCs w:val="20"/>
              </w:rPr>
              <w:t xml:space="preserve">LLO-21-125</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21-125 Astra east-coast operations</w:t>
            </w:r>
          </w:p>
        </w:tc>
      </w:tr>
      <w:tr>
        <w:tc>
          <w:tcPr>
            <w:tcW w:w="0" w:type="auto"/>
          </w:tcPr>
          <w:p>
            <w:pPr>
              <w:spacing w:line="240" w:lineRule="auto" w:before="0" w:after="0"/>
              <w:pStyle w:val="Compact"/>
            </w:pPr>
            <w:r>
              <w:rPr>
                <w:sz w:val="20"/>
                <w:szCs w:val="20"/>
              </w:rPr>
              <w:t xml:space="preserve">LLO-22-138</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22-138 Electron Virginia operations</w:t>
            </w:r>
          </w:p>
        </w:tc>
      </w:tr>
      <w:tr>
        <w:tc>
          <w:tcPr>
            <w:tcW w:w="0" w:type="auto"/>
          </w:tcPr>
          <w:p>
            <w:pPr>
              <w:spacing w:line="240" w:lineRule="auto" w:before="0" w:after="0"/>
              <w:pStyle w:val="Compact"/>
            </w:pPr>
            <w:r>
              <w:rPr>
                <w:sz w:val="20"/>
                <w:szCs w:val="20"/>
              </w:rPr>
              <w:t xml:space="preserve">LLO-23-143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23-143 Firefly second-flight public record</w:t>
            </w:r>
          </w:p>
        </w:tc>
      </w:tr>
      <w:tr>
        <w:tc>
          <w:tcPr>
            <w:tcW w:w="0" w:type="auto"/>
          </w:tcPr>
          <w:p>
            <w:pPr>
              <w:spacing w:line="240" w:lineRule="auto" w:before="0" w:after="0"/>
              <w:pStyle w:val="Compact"/>
            </w:pPr>
            <w:r>
              <w:rPr>
                <w:sz w:val="20"/>
                <w:szCs w:val="20"/>
              </w:rPr>
              <w:t xml:space="preserve">LLO-24-158</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24-158 routine Electron mission</w:t>
            </w:r>
          </w:p>
        </w:tc>
      </w:tr>
      <w:tr>
        <w:tc>
          <w:tcPr>
            <w:tcW w:w="0" w:type="auto"/>
          </w:tcPr>
          <w:p>
            <w:pPr>
              <w:spacing w:line="240" w:lineRule="auto" w:before="0" w:after="0"/>
              <w:pStyle w:val="Compact"/>
            </w:pPr>
            <w:r>
              <w:rPr>
                <w:sz w:val="20"/>
                <w:szCs w:val="20"/>
              </w:rPr>
              <w:t xml:space="preserve">LLO-24-160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24-160 Falcon Heavy Part 450 conversion</w:t>
            </w:r>
          </w:p>
        </w:tc>
      </w:tr>
      <w:tr>
        <w:tc>
          <w:tcPr>
            <w:tcW w:w="0" w:type="auto"/>
          </w:tcPr>
          <w:p>
            <w:pPr>
              <w:spacing w:line="240" w:lineRule="auto" w:before="0" w:after="0"/>
              <w:pStyle w:val="Compact"/>
            </w:pPr>
            <w:r>
              <w:rPr>
                <w:sz w:val="20"/>
                <w:szCs w:val="20"/>
              </w:rPr>
              <w:t xml:space="preserve">LLO-23-148</w:t>
            </w:r>
          </w:p>
        </w:tc>
        <w:tc>
          <w:tcPr>
            <w:tcW w:w="0" w:type="auto"/>
          </w:tcPr>
          <w:p>
            <w:pPr>
              <w:spacing w:line="240" w:lineRule="auto" w:before="0" w:after="0"/>
              <w:pStyle w:val="Compact"/>
            </w:pPr>
            <w:r>
              <w:rPr>
                <w:sz w:val="20"/>
                <w:szCs w:val="20"/>
              </w:rPr>
              <w:t xml:space="preserve">455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FAA OCST application docket Stoke Space Nova, Part 450 pre-application records</w:t>
            </w:r>
          </w:p>
        </w:tc>
      </w:tr>
      <w:tr>
        <w:tc>
          <w:tcPr>
            <w:tcW w:w="0" w:type="auto"/>
          </w:tcPr>
          <w:p>
            <w:pPr>
              <w:spacing w:line="240" w:lineRule="auto" w:before="0" w:after="0"/>
              <w:pStyle w:val="Compact"/>
            </w:pPr>
            <w:r>
              <w:rPr>
                <w:sz w:val="20"/>
                <w:szCs w:val="20"/>
              </w:rPr>
              <w:t xml:space="preserve">LLO-24-162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FAA OCST docket Vast booster review, novel-mission profile</w:t>
            </w:r>
          </w:p>
        </w:tc>
      </w:tr>
      <w:tr>
        <w:tc>
          <w:tcPr>
            <w:tcW w:w="0" w:type="auto"/>
          </w:tcPr>
          <w:p>
            <w:pPr>
              <w:spacing w:line="240" w:lineRule="auto" w:before="0" w:after="0"/>
              <w:pStyle w:val="Compact"/>
            </w:pPr>
            <w:r>
              <w:rPr>
                <w:sz w:val="20"/>
                <w:szCs w:val="20"/>
              </w:rPr>
              <w:t xml:space="preserve">LLO-22-136</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FAA OCST docket Aevum air-launch, FAA airspace coordination</w:t>
            </w:r>
          </w:p>
        </w:tc>
      </w:tr>
      <w:tr>
        <w:tc>
          <w:tcPr>
            <w:tcW w:w="0" w:type="auto"/>
          </w:tcPr>
          <w:p>
            <w:pPr>
              <w:spacing w:line="240" w:lineRule="auto" w:before="0" w:after="0"/>
              <w:pStyle w:val="Compact"/>
            </w:pPr>
            <w:r>
              <w:rPr>
                <w:sz w:val="20"/>
                <w:szCs w:val="20"/>
              </w:rPr>
              <w:t xml:space="preserve">LLO-24-164</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24-164 Terran R pre-application docket</w:t>
            </w:r>
          </w:p>
        </w:tc>
      </w:tr>
      <w:tr>
        <w:tc>
          <w:tcPr>
            <w:tcW w:w="0" w:type="auto"/>
          </w:tcPr>
          <w:p>
            <w:pPr>
              <w:spacing w:line="240" w:lineRule="auto" w:before="0" w:after="0"/>
              <w:pStyle w:val="Compact"/>
            </w:pPr>
            <w:r>
              <w:rPr>
                <w:sz w:val="20"/>
                <w:szCs w:val="20"/>
              </w:rPr>
              <w:t xml:space="preserve">LLO-21-124</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21-124 routine Falcon 9 west-coast</w:t>
            </w:r>
          </w:p>
        </w:tc>
      </w:tr>
      <w:tr>
        <w:tc>
          <w:tcPr>
            <w:tcW w:w="0" w:type="auto"/>
          </w:tcPr>
          <w:p>
            <w:pPr>
              <w:spacing w:line="240" w:lineRule="auto" w:before="0" w:after="0"/>
              <w:pStyle w:val="Compact"/>
            </w:pPr>
            <w:r>
              <w:rPr>
                <w:sz w:val="20"/>
                <w:szCs w:val="20"/>
              </w:rPr>
              <w:t xml:space="preserve">LLO-22-129</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22-129 routine Starlink mission</w:t>
            </w:r>
          </w:p>
        </w:tc>
      </w:tr>
      <w:tr>
        <w:tc>
          <w:tcPr>
            <w:tcW w:w="0" w:type="auto"/>
          </w:tcPr>
          <w:p>
            <w:pPr>
              <w:spacing w:line="240" w:lineRule="auto" w:before="0" w:after="0"/>
              <w:pStyle w:val="Compact"/>
            </w:pPr>
            <w:r>
              <w:rPr>
                <w:sz w:val="20"/>
                <w:szCs w:val="20"/>
              </w:rPr>
              <w:t xml:space="preserve">LLO-23-146</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23-146 routine Falcon 9 mission</w:t>
            </w:r>
          </w:p>
        </w:tc>
      </w:tr>
    </w:tbl>
    <w:bookmarkEnd w:id="206"/>
    <w:bookmarkStart w:id="20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documented application initiation to FAA license issuance or, for right-censored cases, to the end of observation (31 December 2024)</w:t>
            </w:r>
          </w:p>
        </w:tc>
        <w:tc>
          <w:tcPr>
            <w:tcW w:w="0" w:type="auto"/>
          </w:tcPr>
          <w:p>
            <w:pPr>
              <w:spacing w:line="240" w:lineRule="auto" w:before="0" w:after="0"/>
              <w:pStyle w:val="Compact"/>
            </w:pPr>
            <w:r>
              <w:rPr>
                <w:sz w:val="20"/>
                <w:szCs w:val="20"/>
              </w:rPr>
              <w:t xml:space="preserve">FAA Office of Commercial Space Transportation public license record and pre-application docket</w:t>
            </w:r>
          </w:p>
        </w:tc>
      </w:tr>
      <w:tr>
        <w:tc>
          <w:tcPr>
            <w:tcW w:w="0" w:type="auto"/>
          </w:tcPr>
          <w:p>
            <w:pPr>
              <w:spacing w:line="240" w:lineRule="auto" w:before="0" w:after="0"/>
              <w:pStyle w:val="Compact"/>
            </w:pPr>
            <w:r>
              <w:rPr>
                <w:sz w:val="20"/>
                <w:szCs w:val="20"/>
              </w:rPr>
              <w:t xml:space="preserve">issued</w:t>
            </w:r>
          </w:p>
        </w:tc>
        <w:tc>
          <w:tcPr>
            <w:tcW w:w="0" w:type="auto"/>
          </w:tcPr>
          <w:p>
            <w:pPr>
              <w:spacing w:line="240" w:lineRule="auto" w:before="0" w:after="0"/>
              <w:pStyle w:val="Compact"/>
            </w:pPr>
            <w:r>
              <w:rPr>
                <w:sz w:val="20"/>
                <w:szCs w:val="20"/>
              </w:rPr>
              <w:t xml:space="preserve">Event indicator equal to 1 if a launch or vehicle-operator license was issued within the observation window, 0 if the application remained in pre-application or under active review at the censoring date</w:t>
            </w:r>
          </w:p>
        </w:tc>
        <w:tc>
          <w:tcPr>
            <w:tcW w:w="0" w:type="auto"/>
          </w:tcPr>
          <w:p>
            <w:pPr>
              <w:spacing w:line="240" w:lineRule="auto" w:before="0" w:after="0"/>
              <w:pStyle w:val="Compact"/>
            </w:pPr>
            <w:r>
              <w:rPr>
                <w:sz w:val="20"/>
                <w:szCs w:val="20"/>
              </w:rPr>
              <w:t xml:space="preserve">FAA OCST license register; pre-application dockets</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Count of distinct federal authorizing entities whose clearance the campaign required (FAA plus any of FCC, NOAA CRSRA, EPA, USFWS, BIS, State DDTC, range-host service)</w:t>
            </w:r>
          </w:p>
        </w:tc>
        <w:tc>
          <w:tcPr>
            <w:tcW w:w="0" w:type="auto"/>
          </w:tcPr>
          <w:p>
            <w:pPr>
              <w:spacing w:line="240" w:lineRule="auto" w:before="0" w:after="0"/>
              <w:pStyle w:val="Compact"/>
            </w:pPr>
            <w:r>
              <w:rPr>
                <w:sz w:val="20"/>
                <w:szCs w:val="20"/>
              </w:rPr>
              <w:t xml:space="preserve">Federal Register notices; FAA pre-application consultation records; FCC IBFS docket; NOAA NESDIS license register</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Indicator equal to 1 if the application proceeded under the consolidated 14 CFR Part 450 regime (effective March 2021), 0 if it proceeded under Parts 415 or 431</w:t>
            </w:r>
          </w:p>
        </w:tc>
        <w:tc>
          <w:tcPr>
            <w:tcW w:w="0" w:type="auto"/>
          </w:tcPr>
          <w:p>
            <w:pPr>
              <w:spacing w:line="240" w:lineRule="auto" w:before="0" w:after="0"/>
              <w:pStyle w:val="Compact"/>
            </w:pPr>
            <w:r>
              <w:rPr>
                <w:sz w:val="20"/>
                <w:szCs w:val="20"/>
              </w:rPr>
              <w:t xml:space="preserve">14 CFR Part 450 effective date; FAA AST license register</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Indicator for heavy-class launch vehicle (Falcon Heavy, Starship, New Glenn, Vulcan, Atlas V, Terran R)</w:t>
            </w:r>
          </w:p>
        </w:tc>
        <w:tc>
          <w:tcPr>
            <w:tcW w:w="0" w:type="auto"/>
          </w:tcPr>
          <w:p>
            <w:pPr>
              <w:spacing w:line="240" w:lineRule="auto" w:before="0" w:after="0"/>
              <w:pStyle w:val="Compact"/>
            </w:pPr>
            <w:r>
              <w:rPr>
                <w:sz w:val="20"/>
                <w:szCs w:val="20"/>
              </w:rPr>
              <w:t xml:space="preserve">FAA OCST license enumeration</w:t>
            </w:r>
          </w:p>
        </w:tc>
      </w:tr>
    </w:tbl>
    <w:bookmarkEnd w:id="207"/>
    <w:bookmarkEnd w:id="208"/>
    <w:bookmarkEnd w:id="20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4" Type="http://schemas.openxmlformats.org/officeDocument/2006/relationships/image" Target="media/rId194.png"/><Relationship Id="rId202" Type="http://schemas.openxmlformats.org/officeDocument/2006/relationships/image" Target="media/rId202.png"/><Relationship Id="rId190" Type="http://schemas.openxmlformats.org/officeDocument/2006/relationships/hyperlink" Target="https://doi.org/10.1016/j.actaastro.2023.01.020" TargetMode="External"/><Relationship Id="rId178" Type="http://schemas.openxmlformats.org/officeDocument/2006/relationships/hyperlink" Target="https://doi.org/10.1016/j.actaastro.2023.07.014" TargetMode="External"/><Relationship Id="rId182" Type="http://schemas.openxmlformats.org/officeDocument/2006/relationships/hyperlink" Target="https://doi.org/10.1016/j.actaastro.2025.01.038" TargetMode="External"/><Relationship Id="rId161" Type="http://schemas.openxmlformats.org/officeDocument/2006/relationships/hyperlink" Target="https://doi.org/10.1016/j.actaastro.2025.05.036" TargetMode="External"/><Relationship Id="rId186" Type="http://schemas.openxmlformats.org/officeDocument/2006/relationships/hyperlink" Target="https://doi.org/10.1016/j.actaastro.2025.05.059" TargetMode="External"/><Relationship Id="rId188" Type="http://schemas.openxmlformats.org/officeDocument/2006/relationships/hyperlink" Target="https://doi.org/10.1016/j.actaastro.2025.09.078" TargetMode="External"/><Relationship Id="rId184" Type="http://schemas.openxmlformats.org/officeDocument/2006/relationships/hyperlink" Target="https://doi.org/10.1016/j.actaastro.2026.01.042" TargetMode="External"/><Relationship Id="rId180" Type="http://schemas.openxmlformats.org/officeDocument/2006/relationships/hyperlink" Target="https://doi.org/10.1016/j.actaastro.2026.03.061" TargetMode="External"/><Relationship Id="rId172" Type="http://schemas.openxmlformats.org/officeDocument/2006/relationships/hyperlink" Target="https://doi.org/10.64861/DYBG6563" TargetMode="External"/><Relationship Id="rId167" Type="http://schemas.openxmlformats.org/officeDocument/2006/relationships/hyperlink" Target="https://doi.org/10.64861/SYQO6621" TargetMode="External"/></Relationships>
</file>

<file path=word/_rels/footnotes.xml.rels><?xml version='1.0' encoding='UTF-8' standalone='yes'?>
<Relationships xmlns="http://schemas.openxmlformats.org/package/2006/relationships"><Relationship Id="rId190" Type="http://schemas.openxmlformats.org/officeDocument/2006/relationships/hyperlink" Target="https://doi.org/10.1016/j.actaastro.2023.01.020" TargetMode="External"/><Relationship Id="rId178" Type="http://schemas.openxmlformats.org/officeDocument/2006/relationships/hyperlink" Target="https://doi.org/10.1016/j.actaastro.2023.07.014" TargetMode="External"/><Relationship Id="rId182" Type="http://schemas.openxmlformats.org/officeDocument/2006/relationships/hyperlink" Target="https://doi.org/10.1016/j.actaastro.2025.01.038" TargetMode="External"/><Relationship Id="rId161" Type="http://schemas.openxmlformats.org/officeDocument/2006/relationships/hyperlink" Target="https://doi.org/10.1016/j.actaastro.2025.05.036" TargetMode="External"/><Relationship Id="rId186" Type="http://schemas.openxmlformats.org/officeDocument/2006/relationships/hyperlink" Target="https://doi.org/10.1016/j.actaastro.2025.05.059" TargetMode="External"/><Relationship Id="rId188" Type="http://schemas.openxmlformats.org/officeDocument/2006/relationships/hyperlink" Target="https://doi.org/10.1016/j.actaastro.2025.09.078" TargetMode="External"/><Relationship Id="rId184" Type="http://schemas.openxmlformats.org/officeDocument/2006/relationships/hyperlink" Target="https://doi.org/10.1016/j.actaastro.2026.01.042" TargetMode="External"/><Relationship Id="rId180" Type="http://schemas.openxmlformats.org/officeDocument/2006/relationships/hyperlink" Target="https://doi.org/10.1016/j.actaastro.2026.03.061" TargetMode="External"/><Relationship Id="rId172" Type="http://schemas.openxmlformats.org/officeDocument/2006/relationships/hyperlink" Target="https://doi.org/10.64861/DYBG6563" TargetMode="External"/><Relationship Id="rId167" Type="http://schemas.openxmlformats.org/officeDocument/2006/relationships/hyperlink" Target="https://doi.org/10.64861/SYQO66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Jurisdictional Fragmentation Cost: Does Multi-Agency Licensing Add Measurable Delay and Capital Penalty to U.S. Commercial Launch Activity?</dc:title>
  <dc:creator>Ibrahim Heinz (1B-INF-102)</dc:creator>
  <cp:keywords/>
  <dcterms:created xsi:type="dcterms:W3CDTF">2026-07-02T16:04:28Z</dcterms:created>
  <dcterms:modified xsi:type="dcterms:W3CDTF">2026-07-02T16:04:28Z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