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LAUNCH INSURANCE PRICING AS A REVEALED RISK SIGNAL: DO PREMIUMS LEAD OR LAG REGULATORY ACTION?</w:t>
      </w:r>
    </w:p>
    <w:p>
      <w:pPr>
        <w:jc w:val="center"/>
      </w:pPr>
    </w:p>
    <w:p>
      <w:pPr>
        <w:jc w:val="center"/>
      </w:pPr>
      <w:r>
        <w:rPr>
          <w:rFonts w:ascii="Times New Roman" w:hAnsi="Times New Roman"/>
          <w:sz w:val="24"/>
        </w:rPr>
        <w:t>by</w:t>
      </w:r>
    </w:p>
    <w:p>
      <w:pPr>
        <w:jc w:val="center"/>
      </w:pPr>
      <w:r>
        <w:rPr>
          <w:rFonts w:ascii="Times New Roman" w:hAnsi="Times New Roman"/>
          <w:b/>
          <w:sz w:val="28"/>
        </w:rPr>
        <w:t>Oscar Holloway</w:t>
      </w:r>
    </w:p>
    <w:p>
      <w:pPr>
        <w:jc w:val="center"/>
      </w:pPr>
      <w:r>
        <w:rPr>
          <w:rFonts w:ascii="Times New Roman" w:hAnsi="Times New Roman"/>
          <w:sz w:val="24"/>
        </w:rPr>
        <w:t>1B-INF-119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why-it-matters-now"/>
    <w:p>
      <w:pPr>
        <w:pStyle w:val="Heading2"/>
        <w:spacing w:line="480" w:lineRule="auto"/>
      </w:pPr>
      <w:r>
        <w:t xml:space="preserve">1.1 The Problem and Why It Matters Now</w:t>
      </w:r>
    </w:p>
    <w:p>
      <w:pPr>
        <w:pStyle w:val="FirstParagraph"/>
        <w:spacing w:line="480" w:lineRule="auto"/>
      </w:pPr>
      <w:r>
        <w:t xml:space="preserve">Commercial launch insurance is, in a narrow technical sense, a market in residual risk. Underwriters quote premium rates only after vehicle engineering, range safety practice, and the licensing regime have absorbed every reduction in failure probability that those instruments can offer. What remains, and what is sold, is the priced expectation of loss across the launch event and the early on-orbit life of the payload. That priced expectation is therefore an aggregator. It compresses the private judgments of brokers, syndicates, and reinsurers about how much of the residual the regulator has already retired and how much continues to migrate into the launch manifest as vehicles, payloads, and orbital regimes evolve. Because the market reprices that residual on a rolling basis, and because the resulting price is observable in broker reports and trade press disclosures, the premium rate stands as one of the few quantitative revealed signals of how risk capital reads the regulatory environment.</w:t>
      </w:r>
    </w:p>
    <w:p>
      <w:pPr>
        <w:pStyle w:val="BodyText"/>
        <w:spacing w:line="480" w:lineRule="auto"/>
        <w:ind w:firstLine="720"/>
      </w:pPr>
      <w:r>
        <w:t xml:space="preserve">The substantive question for this dissertation is whether that revealed signal precedes or follows the discrete regulatory actions that licensing authorities take under the United States commercial launch licensing regime and its counterparts. If premiums lead regulatory action, then the underwriting market is doing forward-looking work that regulators could legitimately monitor, and the price curve becomes a candidate input to rulemaking calendars and oversight reviews. If premiums lag, then the regulatory apparatus itself is the leading information source, and insurance is a downstream confirmation rather than an early warning. The distinction is governance-shaped. The two cases imply different architectures for how the Federal Aviation Administration Office of Commercial Space Transportation, the Federal Communications Commission, and the agencies that procure or rely on commercial launch services should weight pricing data in their own deliberations</w:t>
      </w:r>
      <w:r>
        <w:t xml:space="preserve"> </w:t>
      </w:r>
      <w:hyperlink w:anchor="ref-14">
        <w:r>
          <w:rPr>
            <w:rStyle w:val="Hyperlink"/>
          </w:rPr>
          <w:t xml:space="preserve">[14]</w:t>
        </w:r>
      </w:hyperlink>
      <w:r>
        <w:t xml:space="preserve">[15][22][23][24].</w:t>
      </w:r>
    </w:p>
    <w:p>
      <w:pPr>
        <w:pStyle w:val="BodyText"/>
        <w:spacing w:line="480" w:lineRule="auto"/>
        <w:ind w:firstLine="720"/>
      </w:pPr>
      <w:r>
        <w:t xml:space="preserve">The question matters now for three reasons that the literature has begun to surface without resolving. The first is the regulatory phase. The 2020 promulgation of 14 CFR Part 450 streamlined the United States launch licensing regime and changed the texture of the regulatory series available to study. The Part 450 final rule</w:t>
      </w:r>
      <w:r>
        <w:t xml:space="preserve"> </w:t>
      </w:r>
      <w:hyperlink w:anchor="ref-23">
        <w:r>
          <w:rPr>
            <w:rStyle w:val="Hyperlink"/>
          </w:rPr>
          <w:t xml:space="preserve">[23]</w:t>
        </w:r>
      </w:hyperlink>
      <w:r>
        <w:t xml:space="preserve"> </w:t>
      </w:r>
      <w:r>
        <w:t xml:space="preserve">and the parallel FCC Part 25 modernization proceedings</w:t>
      </w:r>
      <w:r>
        <w:t xml:space="preserve"> </w:t>
      </w:r>
      <w:hyperlink w:anchor="ref-24">
        <w:r>
          <w:rPr>
            <w:rStyle w:val="Hyperlink"/>
          </w:rPr>
          <w:t xml:space="preserve">[24]</w:t>
        </w:r>
      </w:hyperlink>
      <w:r>
        <w:t xml:space="preserve"> </w:t>
      </w:r>
      <w:r>
        <w:t xml:space="preserve">together create a structural break in the regulatory record that any lead-lag design must accommodate honestly. The second reason is loss experience. The Shahady analysis of geostationary slots reports that contested-environment and debris exposures are now embedded in pricing for high-value missions, and that the intrinsic cost of operating in such regimes has risen in ways not fully explained by vehicle reliability alone</w:t>
      </w:r>
      <w:r>
        <w:t xml:space="preserve"> </w:t>
      </w:r>
      <w:hyperlink w:anchor="ref-2">
        <w:r>
          <w:rPr>
            <w:rStyle w:val="Hyperlink"/>
          </w:rPr>
          <w:t xml:space="preserve">[2]</w:t>
        </w:r>
      </w:hyperlink>
      <w:r>
        <w:t xml:space="preserve">[10][21]. The McKnight projection that uncontrolled collision risk above roughly 1.5 percent per year would render premiums unsustainable provides the limiting case in which regulatory inaction is itself priced</w:t>
      </w:r>
      <w:r>
        <w:t xml:space="preserve"> </w:t>
      </w:r>
      <w:hyperlink w:anchor="ref-9">
        <w:r>
          <w:rPr>
            <w:rStyle w:val="Hyperlink"/>
          </w:rPr>
          <w:t xml:space="preserve">[9]</w:t>
        </w:r>
      </w:hyperlink>
      <w:r>
        <w:t xml:space="preserve">[20][29]. The third reason is institutional. Government Accountability Office assessments have begun to read the launch insurance market as a window into systemic exposure that NASA and FAA AST should monitor as part of their oversight responsibilities</w:t>
      </w:r>
      <w:r>
        <w:t xml:space="preserve"> </w:t>
      </w:r>
      <w:hyperlink w:anchor="ref-16">
        <w:r>
          <w:rPr>
            <w:rStyle w:val="Hyperlink"/>
          </w:rPr>
          <w:t xml:space="preserve">[16]</w:t>
        </w:r>
      </w:hyperlink>
      <w:r>
        <w:t xml:space="preserve">[25]. The Harrison survey of international perspectives, although primarily concerned with security questions, documents that the insurance market by 2019 had reached a state widely characterized as unsustainable relative to absorbed loss experience</w:t>
      </w:r>
      <w:r>
        <w:t xml:space="preserve"> </w:t>
      </w:r>
      <w:hyperlink w:anchor="ref-1">
        <w:r>
          <w:rPr>
            <w:rStyle w:val="Hyperlink"/>
          </w:rPr>
          <w:t xml:space="preserve">[1]</w:t>
        </w:r>
      </w:hyperlink>
      <w:r>
        <w:t xml:space="preserve">[8][26][27]. Across these strands the underlying claim is consistent. Premiums encode information about the residual risk that the regulator has not yet retired, and that information is relevant to public decisions. What no source closes is the directional question.</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For the National Aeronautics and Space Administration, the directional question is not academic. NASA is a launch buyer at scale. The agency procures rides for science, exploration, and Earth-observing payloads on commercial vehicles whose insurance pricing enters mission risk reviews and shapes the assumed posture for third-party liability, on-orbit replacement, and contingency. When premiums lead regulatory action, NASA mission directors have an informational instrument that can be read in advance of formal rule changes, which in turn affects how the agency phases independent reviews, how it negotiates indemnification, and how it sets reserves on multi-launch campaigns. The GAO portfolio assessments document that NASA major projects already carry insurance and indemnification assumptions that depend on market conditions, and the assessments themselves treat market hardening or softening as a material risk factor</w:t>
      </w:r>
      <w:r>
        <w:t xml:space="preserve"> </w:t>
      </w:r>
      <w:hyperlink w:anchor="ref-16">
        <w:r>
          <w:rPr>
            <w:rStyle w:val="Hyperlink"/>
          </w:rPr>
          <w:t xml:space="preserve">[16]</w:t>
        </w:r>
      </w:hyperlink>
      <w:r>
        <w:t xml:space="preserve">[25].</w:t>
      </w:r>
    </w:p>
    <w:p>
      <w:pPr>
        <w:pStyle w:val="BodyText"/>
        <w:spacing w:line="480" w:lineRule="auto"/>
        <w:ind w:firstLine="720"/>
      </w:pPr>
      <w:r>
        <w:t xml:space="preserve">For the Jet Propulsion Laboratory the stakes are sharper still. JPL flies high-value, low-cadence missions whose payload values are large multiples of the launch service price and whose schedule margin is narrow. A premium hardening that lags a regulatory action arrives too late to be useful for JPL planners, who must commit to launch service contracts and mission insurance positions years in advance of flight. A premium signal that leads regulatory action, in contrast, would be operationally consequential for JPL because it would allow Laboratory planners to anticipate licensing-driven launch availability and to phase mission readiness reviews against a leading market indicator. The recompete posture that the agency now occupies, with renewed scrutiny of the Laboratory’s risk reserves, sharpens the value of any leading signal that can reduce schedule and cost variance on flagship missions. The Sanchez-Ortiz outreach analysis on space traffic management argues that the institutional space community has been slow to incorporate revealed-risk pricing into its planning practices</w:t>
      </w:r>
      <w:r>
        <w:t xml:space="preserve"> </w:t>
      </w:r>
      <w:hyperlink w:anchor="ref-17">
        <w:r>
          <w:rPr>
            <w:rStyle w:val="Hyperlink"/>
          </w:rPr>
          <w:t xml:space="preserve">[17]</w:t>
        </w:r>
      </w:hyperlink>
      <w:r>
        <w:t xml:space="preserve">[36], and the David et al. work on multi-stakeholder collaboration reaches a similar conclusion in the sustainability domain</w:t>
      </w:r>
      <w:r>
        <w:t xml:space="preserve"> </w:t>
      </w:r>
      <w:hyperlink w:anchor="ref-38">
        <w:r>
          <w:rPr>
            <w:rStyle w:val="Hyperlink"/>
          </w:rPr>
          <w:t xml:space="preserve">[38]</w:t>
        </w:r>
      </w:hyperlink>
      <w:r>
        <w:t xml:space="preserve">. The Trucco, Paravano, and Locatelli framing of the risk landscape across space economy trends makes the case directly that the pricing infrastructure carries information that institutional planners have under-used</w:t>
      </w:r>
      <w:r>
        <w:t xml:space="preserve"> </w:t>
      </w:r>
      <w:hyperlink w:anchor="ref-40">
        <w:r>
          <w:rPr>
            <w:rStyle w:val="Hyperlink"/>
          </w:rPr>
          <w:t xml:space="preserve">[40]</w:t>
        </w:r>
      </w:hyperlink>
      <w:r>
        <w:t xml:space="preserve">. JPL is the institution that would most concretely benefit from closing that gap.</w:t>
      </w:r>
    </w:p>
    <w:p>
      <w:pPr>
        <w:pStyle w:val="BodyText"/>
        <w:spacing w:line="480" w:lineRule="auto"/>
        <w:ind w:firstLine="720"/>
      </w:pPr>
      <w:r>
        <w:t xml:space="preserve">The stakes are not narrowly procurement. The agency is also a regulator-adjacent actor whose mishap investigation findings, payload safety reviews, and range safety practice influence the discrete actions that the FAA AST series records</w:t>
      </w:r>
      <w:r>
        <w:t xml:space="preserve"> </w:t>
      </w:r>
      <w:hyperlink w:anchor="ref-22">
        <w:r>
          <w:rPr>
            <w:rStyle w:val="Hyperlink"/>
          </w:rPr>
          <w:t xml:space="preserve">[22]</w:t>
        </w:r>
      </w:hyperlink>
      <w:r>
        <w:t xml:space="preserve">. NASA’s oversight posture and the launch insurance market are therefore co-located in the same information environment, and the directional question between them shapes how NASA can read its own influence on the market. If NASA-relevant safety findings move premiums before they appear in the FAA AST record, NASA itself becomes a leading instrument whose interventions are priced ahead of formal action. If premiums lag FAA AST actions even after NASA findings, then NASA’s influence on the market operates only through the regulator’s channel, and the agency’s communications strategy with brokers and underwriters takes on different importance.</w:t>
      </w:r>
    </w:p>
    <w:bookmarkEnd w:id="62"/>
    <w:bookmarkStart w:id="63" w:name="X3349e7f55dd49bd29eba8e1832cd30374b3c216"/>
    <w:p>
      <w:pPr>
        <w:pStyle w:val="Heading2"/>
        <w:spacing w:line="480" w:lineRule="auto"/>
      </w:pPr>
      <w:r>
        <w:t xml:space="preserve">1.3 The Gap Between Domain Literature and Method Literature</w:t>
      </w:r>
    </w:p>
    <w:p>
      <w:pPr>
        <w:pStyle w:val="FirstParagraph"/>
        <w:spacing w:line="480" w:lineRule="auto"/>
      </w:pPr>
      <w:r>
        <w:t xml:space="preserve">The literature that frames the substantive question and the literature that supplies the econometric method do not currently meet. Three strands of domain literature touch the question. The AMOS technical literature characterizes the qualitative state of the launch insurance market, the shifts in premium rates in response to clustered failures, and the increasingly debris-stressed environment in which premiums are now quoted</w:t>
      </w:r>
      <w:r>
        <w:t xml:space="preserve"> </w:t>
      </w:r>
      <w:hyperlink w:anchor="ref-1">
        <w:r>
          <w:rPr>
            <w:rStyle w:val="Hyperlink"/>
          </w:rPr>
          <w:t xml:space="preserve">[1]</w:t>
        </w:r>
      </w:hyperlink>
      <w:r>
        <w:t xml:space="preserve">[2][8][9][10][20][21][26][27][28][29]. The space-economy literature names regulatory hurdles and launch failures as joint risk drivers, models orbital capacity as a priced economic instrument, and identifies revealed pricing as a candidate input to governance</w:t>
      </w:r>
      <w:r>
        <w:t xml:space="preserve"> </w:t>
      </w:r>
      <w:hyperlink w:anchor="ref-3">
        <w:r>
          <w:rPr>
            <w:rStyle w:val="Hyperlink"/>
          </w:rPr>
          <w:t xml:space="preserve">[3]</w:t>
        </w:r>
      </w:hyperlink>
      <w:r>
        <w:t xml:space="preserve">[4][5][6]. The architectural and sustainability literature in the broader Acta Astronautica corpus argues for safety regulation that reduces accident risk and for incentive structures that price risk into orbital access</w:t>
      </w:r>
      <w:r>
        <w:t xml:space="preserve"> </w:t>
      </w:r>
      <w:hyperlink w:anchor="ref-17">
        <w:r>
          <w:rPr>
            <w:rStyle w:val="Hyperlink"/>
          </w:rPr>
          <w:t xml:space="preserve">[17]</w:t>
        </w:r>
      </w:hyperlink>
      <w:r>
        <w:t xml:space="preserve">[30][31][33][34][35][36][37][38][39][40][41][42]. Each of these strands implies that the launch insurance signal carries information about the regulatory environment, but none of them runs a directional test of that implication.</w:t>
      </w:r>
    </w:p>
    <w:p>
      <w:pPr>
        <w:pStyle w:val="BodyText"/>
        <w:spacing w:line="480" w:lineRule="auto"/>
        <w:ind w:firstLine="720"/>
      </w:pPr>
      <w:r>
        <w:t xml:space="preserve">On the method side, the econometric literature on lead-lag identification is mature. Vector autoregression, Granger causality testing, structural break detection, and the Toda-Yamamoto procedure for accommodating possible non-stationarity in mixed-order series are all standard tools. The instrumentation problem of how to identify causal direction between two endogenous time series when both respond to a shared latent risk environment is well understood. Yet none of the retrieved domain literature uses these tools on the launch insurance and regulatory series jointly. The Swiss Re sigma reviews</w:t>
      </w:r>
      <w:r>
        <w:t xml:space="preserve"> </w:t>
      </w:r>
      <w:hyperlink w:anchor="ref-18">
        <w:r>
          <w:rPr>
            <w:rStyle w:val="Hyperlink"/>
          </w:rPr>
          <w:t xml:space="preserve">[18]</w:t>
        </w:r>
      </w:hyperlink>
      <w:r>
        <w:t xml:space="preserve">[19] and the broker year-end reports</w:t>
      </w:r>
      <w:r>
        <w:t xml:space="preserve"> </w:t>
      </w:r>
      <w:hyperlink w:anchor="ref-11">
        <w:r>
          <w:rPr>
            <w:rStyle w:val="Hyperlink"/>
          </w:rPr>
          <w:t xml:space="preserve">[11]</w:t>
        </w:r>
      </w:hyperlink>
      <w:r>
        <w:t xml:space="preserve">[12][13] discuss the premium series in narrative terms but do not run lag-structured econometric tests against the regulatory record. The FAA AST compendia</w:t>
      </w:r>
      <w:r>
        <w:t xml:space="preserve"> </w:t>
      </w:r>
      <w:hyperlink w:anchor="ref-14">
        <w:r>
          <w:rPr>
            <w:rStyle w:val="Hyperlink"/>
          </w:rPr>
          <w:t xml:space="preserve">[14]</w:t>
        </w:r>
      </w:hyperlink>
      <w:r>
        <w:t xml:space="preserve">[22] discuss licensing activity in narrative terms without referencing the insurance series. The GAO oversight reports</w:t>
      </w:r>
      <w:r>
        <w:t xml:space="preserve"> </w:t>
      </w:r>
      <w:hyperlink w:anchor="ref-16">
        <w:r>
          <w:rPr>
            <w:rStyle w:val="Hyperlink"/>
          </w:rPr>
          <w:t xml:space="preserve">[16]</w:t>
        </w:r>
      </w:hyperlink>
      <w:r>
        <w:t xml:space="preserve">[25] reference market hardening qualitatively without testing its temporal relationship to specific rulemaking milestones.</w:t>
      </w:r>
    </w:p>
    <w:p>
      <w:pPr>
        <w:pStyle w:val="BodyText"/>
        <w:spacing w:line="480" w:lineRule="auto"/>
        <w:ind w:firstLine="720"/>
      </w:pPr>
      <w:r>
        <w:t xml:space="preserve">Two preliminary papers by the present candidate begin to address the gap and motivate the dissertation’s posture. The first, a 27-year OLS exercise on the average premium rate against a regulatory intensity index and reliability covariates, finds that heritage flights and trailing failure counts dominate the regulatory variables in explaining premium movement, which is consistent with a lag interpretation under a parsimonious specification. The second, a 22-year OLS exercise that codes a regulatory-burden index from FAA AST compendia, FCC Part 25 docket activity, and the Part 450 rulemaking record, finds a large negative coefficient on the regulatory burden index after controlling for global launches and loss ratio, which is consistent with a lead interpretation under a different specification. The two results disagree because they pose different questions. Neither is a lag-structured test of predictive precedence in the sense that Granger causality identifies. The contribution of this dissertation, framed against those two preliminary results, is to deliver the directional test that the OLS exercises cannot.</w:t>
      </w:r>
    </w:p>
    <w:p>
      <w:pPr>
        <w:pStyle w:val="BodyText"/>
        <w:spacing w:line="480" w:lineRule="auto"/>
        <w:ind w:firstLine="720"/>
      </w:pPr>
      <w:r>
        <w:t xml:space="preserve">The gap is therefore not a gap in the existence of either literature. It is a gap in their meeting. Domain knowledge supplies the variables and the institutional logic for why pricing should respond to or anticipate regulation. Method knowledge supplies the toolkit for testing temporal precedence with appropriate controls and break accommodation. No retrieved source in the AMOS, Acta Astronautica, and Space Economy Papers brain trust runs that joint analysis on the launch insurance and regulatory series. Closing the gap is the work of this dissertation.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dissertation’s contribution is one directional test, stated as a single null hypothesis. Let the quarterly observation unit be the launch quarter from the first quarter of 2000 through the fourth quarter of 2025. Let the premium series be the quarter-over-quarter change in the volume-weighted average launch insurance premium rate, expressed as a percentage of insured value and aggregated across all commercial launches in the quarter from the broker series</w:t>
      </w:r>
      <w:r>
        <w:t xml:space="preserve"> </w:t>
      </w:r>
      <w:hyperlink w:anchor="ref-11">
        <w:r>
          <w:rPr>
            <w:rStyle w:val="Hyperlink"/>
          </w:rPr>
          <w:t xml:space="preserve">[11]</w:t>
        </w:r>
      </w:hyperlink>
      <w:r>
        <w:t xml:space="preserve">[12][13][18][19]. Let the regulatory series be a count of discrete regulatory actions per quarter under the United States commercial launch licensing regime, drawn from the FAA AST compendia and the Federal Register</w:t>
      </w:r>
      <w:r>
        <w:t xml:space="preserve"> </w:t>
      </w:r>
      <w:hyperlink w:anchor="ref-14">
        <w:r>
          <w:rPr>
            <w:rStyle w:val="Hyperlink"/>
          </w:rPr>
          <w:t xml:space="preserve">[14]</w:t>
        </w:r>
      </w:hyperlink>
      <w:r>
        <w:t xml:space="preserve">[15][22][23][24]. Let the exogenous controls be the quarterly launch count, the quarterly mishap count, and the aggregate insured value in the quarter.</w:t>
      </w:r>
    </w:p>
    <w:p>
      <w:pPr>
        <w:pStyle w:val="BodyText"/>
        <w:spacing w:line="480" w:lineRule="auto"/>
        <w:ind w:firstLine="720"/>
      </w:pPr>
      <w:r>
        <w:t xml:space="preserve">The null hypothesis H0 is that movements in the launch insurance premium rate index do not Granger-cause regulatory actions in the commercial launch licensing regime at lags of one through four quarters, conditioning on launch count, mishap count, and aggregate insured value, with structural breaks at the Commercial Space Launch Amendments Act of 2004</w:t>
      </w:r>
      <w:r>
        <w:t xml:space="preserve"> </w:t>
      </w:r>
      <w:hyperlink w:anchor="ref-7">
        <w:r>
          <w:rPr>
            <w:rStyle w:val="Hyperlink"/>
          </w:rPr>
          <w:t xml:space="preserve">[7]</w:t>
        </w:r>
      </w:hyperlink>
      <w:r>
        <w:t xml:space="preserve"> </w:t>
      </w:r>
      <w:r>
        <w:t xml:space="preserve">and at the Part 450 final rule of 2020</w:t>
      </w:r>
      <w:r>
        <w:t xml:space="preserve"> </w:t>
      </w:r>
      <w:hyperlink w:anchor="ref-23">
        <w:r>
          <w:rPr>
            <w:rStyle w:val="Hyperlink"/>
          </w:rPr>
          <w:t xml:space="preserve">[23]</w:t>
        </w:r>
      </w:hyperlink>
      <w:r>
        <w:t xml:space="preserve"> </w:t>
      </w:r>
      <w:r>
        <w:t xml:space="preserve">accommodated through partitioned estimation. The alternative H1 is that movements in the premium rate index Granger-cause regulatory actions at one or more lags in the one-to-four-quarter window under the same controls and break accommodation. The test is run in both directions on a bivariate vector autoregression with exogenous covariates, using the Toda-Yamamoto procedure to accommodate possible non-stationarity in the mixed-order series without pre-differencing the regulatory count.</w:t>
      </w:r>
    </w:p>
    <w:p>
      <w:pPr>
        <w:pStyle w:val="BodyText"/>
        <w:spacing w:line="480" w:lineRule="auto"/>
        <w:ind w:firstLine="720"/>
      </w:pPr>
      <w:r>
        <w:t xml:space="preserve">The contribution is falsifiable in the strict sense. Rejection of H0 in favor of H1 establishes that premiums are a leading revealed-risk signal for the regulatory series at the tested lags under the stated controls. Failure to reject H0 combined with rejection of the symmetric null in which regulatory actions Granger-cause premium movement establishes that the regulatory apparatus leads the market. Failure to reject either null establishes that the two information streams are contemporaneous and that neither dominates as a leading indicator at the tested resolution. A finding of bidirectional Granger causality establishes that the two series mutually inform each other and that neither can be read as an independent leading signal of the other without explicit identification of a structural instrument.</w:t>
      </w:r>
    </w:p>
    <w:p>
      <w:pPr>
        <w:pStyle w:val="BodyText"/>
        <w:spacing w:line="480" w:lineRule="auto"/>
        <w:ind w:firstLine="720"/>
      </w:pPr>
      <w:r>
        <w:t xml:space="preserve">Three robustness exercises bound the inference. First, the premium rate level is substituted for the quarter-over-quarter change to test sensitivity to the differencing choice. Second, the panel is restricted to United States launches only and then to the European Space Agency-licensed subset separately, to test whether the directional finding is regime-specific. Third, a placebo test is run on the heavy-lift regime, where the insurance market is thinly traded and where the premium signal should attenuate under the underlying logic. A finding that the lead-lag structure is invariant across these exercises strengthens the directional claim. A finding that the structure is fragile to any one exercise narrows the claim to the regimes in which it holds.</w:t>
      </w:r>
    </w:p>
    <w:p>
      <w:pPr>
        <w:pStyle w:val="BodyText"/>
        <w:spacing w:line="480" w:lineRule="auto"/>
        <w:ind w:firstLine="720"/>
      </w:pPr>
      <w:r>
        <w:t xml:space="preserve">The contribution claims only predictive precedence. Granger causality is a statement about whether one series helps forecast another given the controls, and the dissertation does not assert a structural causal interpretation in the absence of an instrument. The claim is operationally useful even at that limited register, because NASA and JPL planners need a forecasting instrument, not a structural model of underwriter cognition, to phase reviews and reserves.</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seven chapters. Chapter 2 reviews the domain literature on launch insurance pricing, the regulatory record, and the space-economy treatment of revealed-risk signals, drawing on the AMOS, Acta Astronautica, and Space Economy Papers brain trust</w:t>
      </w:r>
      <w:r>
        <w:t xml:space="preserve"> </w:t>
      </w:r>
      <w:hyperlink w:anchor="ref-1">
        <w:r>
          <w:rPr>
            <w:rStyle w:val="Hyperlink"/>
          </w:rPr>
          <w:t xml:space="preserve">[1]</w:t>
        </w:r>
      </w:hyperlink>
      <w:r>
        <w:t xml:space="preserve">[2][3][4][5][6][8][9][10][17][20][21][26][27][28][29][30][31][33][34][35][36][37][38][39][40][41][42] and the broker and reinsurer series</w:t>
      </w:r>
      <w:r>
        <w:t xml:space="preserve"> </w:t>
      </w:r>
      <w:hyperlink w:anchor="ref-11">
        <w:r>
          <w:rPr>
            <w:rStyle w:val="Hyperlink"/>
          </w:rPr>
          <w:t xml:space="preserve">[11]</w:t>
        </w:r>
      </w:hyperlink>
      <w:r>
        <w:t xml:space="preserve">[12][13][18][19]. The chapter situates the gap that the dissertation closes and makes explicit the institutional logic that motivates the directional test.</w:t>
      </w:r>
    </w:p>
    <w:p>
      <w:pPr>
        <w:pStyle w:val="BodyText"/>
        <w:spacing w:line="480" w:lineRule="auto"/>
        <w:ind w:firstLine="720"/>
      </w:pPr>
      <w:r>
        <w:t xml:space="preserve">Chapter 3 develops the theoretical frame in which premium movement and regulatory action are jointly determined. The chapter draws the underwriting-theoretic argument that premiums price expected loss, capital cost, and tail uncertainty, and contrasts it with the thin-market argument that premiums track realized loss and observable reliability. The frame is structured so that H0 and H1 can be read as competing predictions about which mechanism dominates at the tested lags.</w:t>
      </w:r>
    </w:p>
    <w:p>
      <w:pPr>
        <w:pStyle w:val="BodyText"/>
        <w:spacing w:line="480" w:lineRule="auto"/>
        <w:ind w:firstLine="720"/>
      </w:pPr>
      <w:r>
        <w:t xml:space="preserve">Chapter 4 specifies the data construction, the variable definitions, and the provenance gate that every series must pass. The chapter documents the FAA AST and Federal Register extraction protocol, the broker and Swiss Re premium series, the multiple imputation procedure for the disclosure gap in the trade press record, the structural break dating, and the placebo regime. The chapter closes with a missingness audit and a replication appendix outline.</w:t>
      </w:r>
    </w:p>
    <w:p>
      <w:pPr>
        <w:pStyle w:val="BodyText"/>
        <w:spacing w:line="480" w:lineRule="auto"/>
        <w:ind w:firstLine="720"/>
      </w:pPr>
      <w:r>
        <w:t xml:space="preserve">Chapter 5 specifies the econometric method. The chapter develops the bivariate vector autoregression with exogenous covariates, the Toda-Yamamoto procedure for the Granger tests, the partitioned estimation strategy across the 2004 and 2020 breaks, and the robustness suite. The chapter states the inferential thresholds and the multiple-testing adjustment rule before any estimation is run.</w:t>
      </w:r>
    </w:p>
    <w:p>
      <w:pPr>
        <w:pStyle w:val="BodyText"/>
        <w:spacing w:line="480" w:lineRule="auto"/>
        <w:ind w:firstLine="720"/>
      </w:pPr>
      <w:r>
        <w:t xml:space="preserve">Chapter 6 presents the results. The chapter reports the Granger statistics in both directions across the lag window, the partitioned estimates across the structural breaks, and the robustness exercises. The chapter resolves the disagreement between the two preliminary OLS exercises by showing which specification choices drive which conclusion and by reporting the directional finding that the lag-structured test supports.</w:t>
      </w:r>
    </w:p>
    <w:p>
      <w:pPr>
        <w:pStyle w:val="BodyText"/>
        <w:spacing w:line="480" w:lineRule="auto"/>
        <w:ind w:firstLine="720"/>
      </w:pPr>
      <w:r>
        <w:t xml:space="preserve">Chapter 7 draws the institutional implications. The chapter translates the directional finding into recommendations for NASA, for JPL, for FAA AST oversight practice, and for the GAO portfolio reviews, taking care to limit the recommendations to the inferential register that Granger causality supports. The chapter closes with the limitations of the present design and an explicit research agenda for the vehicle-level pricing panel and the international comparison that the present dissertation cannot deliver.</w:t>
      </w:r>
    </w:p>
    <w:p>
      <w:pPr>
        <w:pStyle w:val="BodyText"/>
        <w:spacing w:line="480" w:lineRule="auto"/>
        <w:ind w:firstLine="720"/>
      </w:pPr>
      <w:r>
        <w:t xml:space="preserve">The contribution is narrow by construction. The dissertation does not propose a new regulatory regime, a new pricing model, or a new architectural treatment of the launch insurance market. It tests one directional hypothesis with care, against real-world data with traceable provenance, using methods that are standard in the broader econometric literature but new to the joint analysis of launch insurance pricing and the regulatory record. The narrowness is deliberate. The value of a falsifiable contribution to NASA and JPL planners is precisely that it can be relied on within its register, and the register is set by the rigor with which the directional test is run.</w:t>
      </w:r>
    </w:p>
    <w:bookmarkEnd w:id="65"/>
    <w:bookmarkEnd w:id="66"/>
    <w:bookmarkStart w:id="80"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This chapter reviews two bodies of scholarship that bear on the central question of the dissertation, namely whether commercial launch insurance premium rates lead or lag discrete regulatory action in the United States commercial launch licensing regime. The first body is the domain technical literature on space risk, debris, contested orbital environments, regulatory architecture, and the qualitative behavior of the launch and on-orbit insurance market. The second body is the cliometric and econometric methodology literature appropriate to lead-lag testing on short macro panels, in particular vector autoregressive identification under possible non-stationarity, Granger causality testing on count and intensity series, and structural-break methods for short windows that contain known legal discontinuities. The two literatures have not been joined. The domain literature describes premium movement and regulatory pressure as parallel phenomena without testing their temporal precedence, and the cliometric literature supplies the directional-test tools without having been applied to launch insurance and regulatory action. The synthesis offered in section 2.4 frames that disjunction as the empirical gap that the dissertation is designed to close.</w:t>
      </w:r>
    </w:p>
    <w:p>
      <w:pPr>
        <w:pStyle w:val="BodyText"/>
        <w:spacing w:line="480" w:lineRule="auto"/>
        <w:ind w:firstLine="720"/>
      </w:pPr>
      <w:r>
        <w:t xml:space="preserve">Three orienting commitments structure the review. First, the review treats published trade and conference characterizations of the insurance market as observable expert priors against which any econometric construct of a premium series must be validated, not as substitutes for that series. Second, the review treats regulatory action as a measurable count and intensity object whose construction is itself a methodological choice with consequences for identification. Third, the review reads each domain source for what it contributes to identification, not merely for what it asserts about the state of the market, because the eventual lead-lag test is an identification problem before it is a substantive one.</w:t>
      </w:r>
    </w:p>
    <w:bookmarkEnd w:id="67"/>
    <w:bookmarkStart w:id="73" w:name="the-domain-technical-literature"/>
    <w:p>
      <w:pPr>
        <w:pStyle w:val="Heading2"/>
        <w:spacing w:line="480" w:lineRule="auto"/>
      </w:pPr>
      <w:r>
        <w:t xml:space="preserve">2.2 The Domain Technical Literature</w:t>
      </w:r>
    </w:p>
    <w:bookmarkStart w:id="68" w:name="Xb14a006ae05e522c39a8ac7c0472e07eaeb79f1"/>
    <w:p>
      <w:pPr>
        <w:pStyle w:val="Heading3"/>
        <w:spacing w:line="480" w:lineRule="auto"/>
      </w:pPr>
      <w:r>
        <w:t xml:space="preserve">2.2.1 The State of the Launch and On-Orbit Insurance Market</w:t>
      </w:r>
    </w:p>
    <w:p>
      <w:pPr>
        <w:pStyle w:val="FirstParagraph"/>
        <w:spacing w:line="480" w:lineRule="auto"/>
      </w:pPr>
      <w:r>
        <w:t xml:space="preserve">The domain literature establishes three propositions that frame the empirical question. The first is that commercial launch and on-orbit insurance premium rates by the end of the 2010s had reached levels that practitioners characterized as unsustainable relative to the loss experience the market had absorbed, with the corollary that the share of in-orbit assets carrying coverage had itself become a meaningful systemic indicator</w:t>
      </w:r>
      <w:r>
        <w:t xml:space="preserve"> </w:t>
      </w:r>
      <w:hyperlink w:anchor="ref-1">
        <w:r>
          <w:rPr>
            <w:rStyle w:val="Hyperlink"/>
          </w:rPr>
          <w:t xml:space="preserve">[1]</w:t>
        </w:r>
      </w:hyperlink>
      <w:r>
        <w:t xml:space="preserve">[27]. The Harrison characterization, presented in the AMOS technical forum, is significant because it offers a coherent expert-prior account of the market across a long window and because it grounds the claim that the insurance signal carries information beyond the engineering reliability record alone</w:t>
      </w:r>
      <w:r>
        <w:t xml:space="preserve"> </w:t>
      </w:r>
      <w:hyperlink w:anchor="ref-1">
        <w:r>
          <w:rPr>
            <w:rStyle w:val="Hyperlink"/>
          </w:rPr>
          <w:t xml:space="preserve">[1]</w:t>
        </w:r>
      </w:hyperlink>
      <w:r>
        <w:t xml:space="preserve">[8][26][27]. The second proposition is that the premium structure of the geostationary regime now embeds a substantial component attributable to the contested and debris-stressed character of the orbital environment, a component that is not fully explained by the reliability history of the launch vehicle that placed the asset on station</w:t>
      </w:r>
      <w:r>
        <w:t xml:space="preserve"> </w:t>
      </w:r>
      <w:hyperlink w:anchor="ref-2">
        <w:r>
          <w:rPr>
            <w:rStyle w:val="Hyperlink"/>
          </w:rPr>
          <w:t xml:space="preserve">[2]</w:t>
        </w:r>
      </w:hyperlink>
      <w:r>
        <w:t xml:space="preserve">[4][10][21][28]. The Shahady analysis offers the explicit econometric intuition that a premium covering a mission to a degraded orbital regime must price a future-loss expectation that is not yet realized in the loss history, and therefore that the premium is an indicator of forward expectation rather than a backward-looking accounting object</w:t>
      </w:r>
      <w:r>
        <w:t xml:space="preserve"> </w:t>
      </w:r>
      <w:hyperlink w:anchor="ref-2">
        <w:r>
          <w:rPr>
            <w:rStyle w:val="Hyperlink"/>
          </w:rPr>
          <w:t xml:space="preserve">[2]</w:t>
        </w:r>
      </w:hyperlink>
      <w:r>
        <w:t xml:space="preserve">[4][10][21][28]. The third proposition, advanced by McKnight in 2010 and reinforced by subsequent debris-environment analyses, is that there is a threshold structure to the relationship between debris-induced collision risk and insurance premium rates such that once expected annual collision risk exceeds a particular level the premium curve becomes unsustainable</w:t>
      </w:r>
      <w:r>
        <w:t xml:space="preserve"> </w:t>
      </w:r>
      <w:hyperlink w:anchor="ref-3">
        <w:r>
          <w:rPr>
            <w:rStyle w:val="Hyperlink"/>
          </w:rPr>
          <w:t xml:space="preserve">[3]</w:t>
        </w:r>
      </w:hyperlink>
      <w:r>
        <w:t xml:space="preserve">[9][20][29]. The McKnight projection is a particularly clean statement of the reverse causal logic that motivates the present dissertation, namely that the absence of regulatory action against debris growth is itself priced by the underwriting market in the form of a rising premium curve</w:t>
      </w:r>
      <w:r>
        <w:t xml:space="preserve"> </w:t>
      </w:r>
      <w:hyperlink w:anchor="ref-3">
        <w:r>
          <w:rPr>
            <w:rStyle w:val="Hyperlink"/>
          </w:rPr>
          <w:t xml:space="preserve">[3]</w:t>
        </w:r>
      </w:hyperlink>
      <w:r>
        <w:t xml:space="preserve">[9][20][29].</w:t>
      </w:r>
    </w:p>
    <w:p>
      <w:pPr>
        <w:pStyle w:val="BodyText"/>
        <w:spacing w:line="480" w:lineRule="auto"/>
        <w:ind w:firstLine="720"/>
      </w:pPr>
      <w:r>
        <w:t xml:space="preserve">The McKnight work has been read by subsequent authors as evidence that the insurance market is forward-looking with respect to engineering and environmental risks that are observable to the analyst but not yet realized in the loss history</w:t>
      </w:r>
      <w:r>
        <w:t xml:space="preserve"> </w:t>
      </w:r>
      <w:hyperlink w:anchor="ref-3">
        <w:r>
          <w:rPr>
            <w:rStyle w:val="Hyperlink"/>
          </w:rPr>
          <w:t xml:space="preserve">[3]</w:t>
        </w:r>
      </w:hyperlink>
      <w:r>
        <w:t xml:space="preserve">[9][20][29]. That reading aligns with an efficient-market view in which the premium aggregates private information about the residual risk that neither vehicle design nor regulation has retired, and is the theoretical position against which the dissertation tests its empirical findings.</w:t>
      </w:r>
    </w:p>
    <w:bookmarkEnd w:id="68"/>
    <w:bookmarkStart w:id="69" w:name="X66a78b123dd1d1ff94ed208b679b1d3768eb18a"/>
    <w:p>
      <w:pPr>
        <w:pStyle w:val="Heading3"/>
        <w:spacing w:line="480" w:lineRule="auto"/>
      </w:pPr>
      <w:r>
        <w:t xml:space="preserve">2.2.2 The Architectural and Sustainability Literature</w:t>
      </w:r>
    </w:p>
    <w:p>
      <w:pPr>
        <w:pStyle w:val="FirstParagraph"/>
        <w:spacing w:line="480" w:lineRule="auto"/>
      </w:pPr>
      <w:r>
        <w:t xml:space="preserve">A second strand of the domain literature concerns the architecture of the orbital environment, the carrying capacity of the regimes used by commercial operators, and the question of how regulatory and economic instruments might price the externalities that those operators create</w:t>
      </w:r>
      <w:r>
        <w:t xml:space="preserve"> </w:t>
      </w:r>
      <w:hyperlink w:anchor="ref-4">
        <w:r>
          <w:rPr>
            <w:rStyle w:val="Hyperlink"/>
          </w:rPr>
          <w:t xml:space="preserve">[4]</w:t>
        </w:r>
      </w:hyperlink>
      <w:r>
        <w:t xml:space="preserve">[5][6]. Stilwell argues that the question of orbital capacity must be analyzed as an economic instrument problem rather than as a purely engineering problem, because the binding constraint on space activity is not the physical volume of the regime but the willingness of operators to bear the marginal cost of contributing to congestion</w:t>
      </w:r>
      <w:r>
        <w:t xml:space="preserve"> </w:t>
      </w:r>
      <w:hyperlink w:anchor="ref-4">
        <w:r>
          <w:rPr>
            <w:rStyle w:val="Hyperlink"/>
          </w:rPr>
          <w:t xml:space="preserve">[4]</w:t>
        </w:r>
      </w:hyperlink>
      <w:r>
        <w:t xml:space="preserve">. The implication for the present review is direct. If economic instruments including launch and orbital-use pricing are the natural policy lever for capacity management, then the insurance premium rate is one of the few continuously updated and arms-length prices available to the policymaker and is therefore a natural object of measurement</w:t>
      </w:r>
      <w:r>
        <w:t xml:space="preserve"> </w:t>
      </w:r>
      <w:hyperlink w:anchor="ref-4">
        <w:r>
          <w:rPr>
            <w:rStyle w:val="Hyperlink"/>
          </w:rPr>
          <w:t xml:space="preserve">[4]</w:t>
        </w:r>
      </w:hyperlink>
      <w:r>
        <w:t xml:space="preserve">. The complementary literature on the broader role of space in sustainability and security extends the same argument, characterizing safety regulation as a mechanism for reducing accident risk and therefore for shifting the long-run premium curve</w:t>
      </w:r>
      <w:r>
        <w:t xml:space="preserve"> </w:t>
      </w:r>
      <w:hyperlink w:anchor="ref-5">
        <w:r>
          <w:rPr>
            <w:rStyle w:val="Hyperlink"/>
          </w:rPr>
          <w:t xml:space="preserve">[5]</w:t>
        </w:r>
      </w:hyperlink>
      <w:r>
        <w:t xml:space="preserve">. The architectural socio-technological transformation literature provides a more abstract framing of how space-use norms evolve under combined regulatory and market pressure, and is the source of the typology used in section 2.4 to distinguish leading from lagging signals</w:t>
      </w:r>
      <w:r>
        <w:t xml:space="preserve"> </w:t>
      </w:r>
      <w:hyperlink w:anchor="ref-6">
        <w:r>
          <w:rPr>
            <w:rStyle w:val="Hyperlink"/>
          </w:rPr>
          <w:t xml:space="preserve">[6]</w:t>
        </w:r>
      </w:hyperlink>
      <w:r>
        <w:t xml:space="preserve">.</w:t>
      </w:r>
    </w:p>
    <w:p>
      <w:pPr>
        <w:pStyle w:val="BodyText"/>
        <w:spacing w:line="480" w:lineRule="auto"/>
        <w:ind w:firstLine="720"/>
      </w:pPr>
      <w:r>
        <w:t xml:space="preserve">The Open Cosmos Economic Analysis identifies regulatory hurdles and launch failures jointly as forecasted drivers of space-economy risk, treating the two as substitutes rather than as distinct information streams</w:t>
      </w:r>
      <w:r>
        <w:t xml:space="preserve"> </w:t>
      </w:r>
      <w:hyperlink w:anchor="ref-3">
        <w:r>
          <w:rPr>
            <w:rStyle w:val="Hyperlink"/>
          </w:rPr>
          <w:t xml:space="preserve">[3]</w:t>
        </w:r>
      </w:hyperlink>
      <w:r>
        <w:t xml:space="preserve">. The dissertation departs from that joint treatment by insisting that the temporal precedence of the two streams is itself the question of interest. If the premium rate moves before the regulatory hurdle is codified, the two are not substitutes but sequential indicators of the same underlying systemic exposure, and the policy implication is that the premium series can be monitored as a leading indicator of the regulatory cycle</w:t>
      </w:r>
      <w:r>
        <w:t xml:space="preserve"> </w:t>
      </w:r>
      <w:hyperlink w:anchor="ref-3">
        <w:r>
          <w:rPr>
            <w:rStyle w:val="Hyperlink"/>
          </w:rPr>
          <w:t xml:space="preserve">[3]</w:t>
        </w:r>
      </w:hyperlink>
      <w:r>
        <w:t xml:space="preserve">[4].</w:t>
      </w:r>
    </w:p>
    <w:bookmarkEnd w:id="69"/>
    <w:bookmarkStart w:id="70" w:name="X8012480f8f13ad0a4a3e9680b41c2916b1ddcc7"/>
    <w:p>
      <w:pPr>
        <w:pStyle w:val="Heading3"/>
        <w:spacing w:line="480" w:lineRule="auto"/>
      </w:pPr>
      <w:r>
        <w:t xml:space="preserve">2.2.3 The Space Traffic and Situational Awareness Literature</w:t>
      </w:r>
    </w:p>
    <w:p>
      <w:pPr>
        <w:pStyle w:val="FirstParagraph"/>
        <w:spacing w:line="480" w:lineRule="auto"/>
      </w:pPr>
      <w:r>
        <w:t xml:space="preserve">A third strand of the domain literature concerns the architecture and operations of space situational awareness, space traffic management, and the data-aggregation regimes that support both</w:t>
      </w:r>
      <w:r>
        <w:t xml:space="preserve"> </w:t>
      </w:r>
      <w:hyperlink w:anchor="ref-17">
        <w:r>
          <w:rPr>
            <w:rStyle w:val="Hyperlink"/>
          </w:rPr>
          <w:t xml:space="preserve">[17]</w:t>
        </w:r>
      </w:hyperlink>
      <w:r>
        <w:t xml:space="preserve">[30][31][33][34][36]. Sanchez-Ortiz and colleagues document the outreach apparatus surrounding space traffic management and the institutional structures through which regulatory and operational information is transmitted to operators</w:t>
      </w:r>
      <w:r>
        <w:t xml:space="preserve"> </w:t>
      </w:r>
      <w:hyperlink w:anchor="ref-17">
        <w:r>
          <w:rPr>
            <w:rStyle w:val="Hyperlink"/>
          </w:rPr>
          <w:t xml:space="preserve">[17]</w:t>
        </w:r>
      </w:hyperlink>
      <w:r>
        <w:t xml:space="preserve">[36]. Zamoum and colleagues advance a complete situational awareness scheme for a sustainable low Earth orbit that combines data aggregation with in-orbit inspection</w:t>
      </w:r>
      <w:r>
        <w:t xml:space="preserve"> </w:t>
      </w:r>
      <w:hyperlink w:anchor="ref-30">
        <w:r>
          <w:rPr>
            <w:rStyle w:val="Hyperlink"/>
          </w:rPr>
          <w:t xml:space="preserve">[30]</w:t>
        </w:r>
      </w:hyperlink>
      <w:r>
        <w:t xml:space="preserve">. Latif and colleagues, with co-authorship that includes Stilwell, sketch an artificial intelligence enabled space battle management system built on a quantum resilient blockchain, a contribution that matters here because it characterizes the kind of data infrastructure on which a future continuously priced premium series could be built</w:t>
      </w:r>
      <w:r>
        <w:t xml:space="preserve"> </w:t>
      </w:r>
      <w:hyperlink w:anchor="ref-31">
        <w:r>
          <w:rPr>
            <w:rStyle w:val="Hyperlink"/>
          </w:rPr>
          <w:t xml:space="preserve">[31]</w:t>
        </w:r>
      </w:hyperlink>
      <w:r>
        <w:t xml:space="preserve">. Friedel and colleagues describe the orbital debris and space situational awareness activity at the NASA Heliophysics Division, which establishes that the regulatory and scientific infrastructure for measuring the relevant exposures is in place</w:t>
      </w:r>
      <w:r>
        <w:t xml:space="preserve"> </w:t>
      </w:r>
      <w:hyperlink w:anchor="ref-33">
        <w:r>
          <w:rPr>
            <w:rStyle w:val="Hyperlink"/>
          </w:rPr>
          <w:t xml:space="preserve">[33]</w:t>
        </w:r>
      </w:hyperlink>
      <w:r>
        <w:t xml:space="preserve">. Bold documents the laser remote maneuver of space debris at the Space Environment Research Center, a contribution that the dissertation reads as evidence that the technical instruments for retiring tail risk exist and that any premium curve that does not respond to their deployment may be reading the regulatory environment rather than the engineering one</w:t>
      </w:r>
      <w:r>
        <w:t xml:space="preserve"> </w:t>
      </w:r>
      <w:hyperlink w:anchor="ref-34">
        <w:r>
          <w:rPr>
            <w:rStyle w:val="Hyperlink"/>
          </w:rPr>
          <w:t xml:space="preserve">[34]</w:t>
        </w:r>
      </w:hyperlink>
      <w:r>
        <w:t xml:space="preserve">.</w:t>
      </w:r>
    </w:p>
    <w:p>
      <w:pPr>
        <w:pStyle w:val="BodyText"/>
        <w:spacing w:line="480" w:lineRule="auto"/>
        <w:ind w:firstLine="720"/>
      </w:pPr>
      <w:r>
        <w:t xml:space="preserve">The Wang and colleagues price-based information routing analysis is significant because it advances the conceptual claim that price signals can themselves be a coordination mechanism in complex space-based networks, and therefore that the premium-rate series of the launch insurance market is one instance of a broader class of price-based coordination instruments that the literature has already begun to theorize</w:t>
      </w:r>
      <w:r>
        <w:t xml:space="preserve"> </w:t>
      </w:r>
      <w:hyperlink w:anchor="ref-32">
        <w:r>
          <w:rPr>
            <w:rStyle w:val="Hyperlink"/>
          </w:rPr>
          <w:t xml:space="preserve">[32]</w:t>
        </w:r>
      </w:hyperlink>
      <w:r>
        <w:t xml:space="preserve">. The dissertation takes that conceptual claim seriously by treating the premium rate as an information object whose temporal structure is itself testable.</w:t>
      </w:r>
    </w:p>
    <w:bookmarkEnd w:id="70"/>
    <w:bookmarkStart w:id="71" w:name="the-economic-and-risk-framing-literature"/>
    <w:p>
      <w:pPr>
        <w:pStyle w:val="Heading3"/>
        <w:spacing w:line="480" w:lineRule="auto"/>
      </w:pPr>
      <w:r>
        <w:t xml:space="preserve">2.2.4 The Economic and Risk-Framing Literature</w:t>
      </w:r>
    </w:p>
    <w:p>
      <w:pPr>
        <w:pStyle w:val="FirstParagraph"/>
        <w:spacing w:line="480" w:lineRule="auto"/>
      </w:pPr>
      <w:r>
        <w:t xml:space="preserve">A fourth strand concerns the economic value of on-orbit services, the dynamics of risk in the space economy more broadly, and the architectures by which commercial actors are entering the market</w:t>
      </w:r>
      <w:r>
        <w:t xml:space="preserve"> </w:t>
      </w:r>
      <w:hyperlink w:anchor="ref-35">
        <w:r>
          <w:rPr>
            <w:rStyle w:val="Hyperlink"/>
          </w:rPr>
          <w:t xml:space="preserve">[35]</w:t>
        </w:r>
      </w:hyperlink>
      <w:r>
        <w:t xml:space="preserve">[37][38][39][40][41][42]. Liu and colleagues offer an economic value analysis of on-orbit servicing for geosynchronous communication satellites, a contribution that anchors the magnitude of the insured exposures relevant to the present study</w:t>
      </w:r>
      <w:r>
        <w:t xml:space="preserve"> </w:t>
      </w:r>
      <w:hyperlink w:anchor="ref-35">
        <w:r>
          <w:rPr>
            <w:rStyle w:val="Hyperlink"/>
          </w:rPr>
          <w:t xml:space="preserve">[35]</w:t>
        </w:r>
      </w:hyperlink>
      <w:r>
        <w:t xml:space="preserve">. McKeown and colleagues examine how potential space resources markets should be evaluated, contributing a methodology for treating thin and emerging markets that is directly relevant to the launch insurance market in periods of structural change</w:t>
      </w:r>
      <w:r>
        <w:t xml:space="preserve"> </w:t>
      </w:r>
      <w:hyperlink w:anchor="ref-37">
        <w:r>
          <w:rPr>
            <w:rStyle w:val="Hyperlink"/>
          </w:rPr>
          <w:t xml:space="preserve">[37]</w:t>
        </w:r>
      </w:hyperlink>
      <w:r>
        <w:t xml:space="preserve">. David and colleagues discuss incentive-based mechanisms for multi-stakeholder collaboration on space sustainability, a contribution that matters because it characterizes the kind of policy instrument that the dissertation expects to interact with the premium series</w:t>
      </w:r>
      <w:r>
        <w:t xml:space="preserve"> </w:t>
      </w:r>
      <w:hyperlink w:anchor="ref-38">
        <w:r>
          <w:rPr>
            <w:rStyle w:val="Hyperlink"/>
          </w:rPr>
          <w:t xml:space="preserve">[38]</w:t>
        </w:r>
      </w:hyperlink>
      <w:r>
        <w:t xml:space="preserve">. Osipova and colleagues sketch the architecture of CubeSat constellations for messaging services in a manner that matters for the present review because it characterizes the heterogeneity of the launch manifest and therefore the dispersion of the insured exposures across mission types</w:t>
      </w:r>
      <w:r>
        <w:t xml:space="preserve"> </w:t>
      </w:r>
      <w:hyperlink w:anchor="ref-39">
        <w:r>
          <w:rPr>
            <w:rStyle w:val="Hyperlink"/>
          </w:rPr>
          <w:t xml:space="preserve">[39]</w:t>
        </w:r>
      </w:hyperlink>
      <w:r>
        <w:t xml:space="preserve">.</w:t>
      </w:r>
    </w:p>
    <w:p>
      <w:pPr>
        <w:pStyle w:val="BodyText"/>
        <w:spacing w:line="480" w:lineRule="auto"/>
        <w:ind w:firstLine="720"/>
      </w:pPr>
      <w:r>
        <w:t xml:space="preserve">Trucco, Paravano, and Locatelli frame the dynamics of the risk landscape amid space economy trends, which is the single most direct contribution in the domain literature to the question of how the underlying risk environment of the space economy is changing under combined regulatory and commercial pressure</w:t>
      </w:r>
      <w:r>
        <w:t xml:space="preserve"> </w:t>
      </w:r>
      <w:hyperlink w:anchor="ref-40">
        <w:r>
          <w:rPr>
            <w:rStyle w:val="Hyperlink"/>
          </w:rPr>
          <w:t xml:space="preserve">[40]</w:t>
        </w:r>
      </w:hyperlink>
      <w:r>
        <w:t xml:space="preserve">. The Trucco analysis is read here as a domain-side complement to the cliometric framing introduced in section 2.3, because it offers a structured vocabulary for the kinds of risk shifts that an econometric lead-lag test must be able to detect. Dorrington and Olsen offer parametric economic modeling of asteroid mining architectures that, although outside the immediate launch insurance question, establishes a methodological pattern of treating space economic activity through formal parametric models against which the present dissertation can be located</w:t>
      </w:r>
      <w:r>
        <w:t xml:space="preserve"> </w:t>
      </w:r>
      <w:hyperlink w:anchor="ref-41">
        <w:r>
          <w:rPr>
            <w:rStyle w:val="Hyperlink"/>
          </w:rPr>
          <w:t xml:space="preserve">[41]</w:t>
        </w:r>
      </w:hyperlink>
      <w:r>
        <w:t xml:space="preserve">. Barato and colleagues investigate the strategies for small satellite access to a defined low Earth orbit, contributing the heterogeneity in launch costs and reliability profiles that is implicit in any aggregate premium series</w:t>
      </w:r>
      <w:r>
        <w:t xml:space="preserve"> </w:t>
      </w:r>
      <w:hyperlink w:anchor="ref-42">
        <w:r>
          <w:rPr>
            <w:rStyle w:val="Hyperlink"/>
          </w:rPr>
          <w:t xml:space="preserve">[42]</w:t>
        </w:r>
      </w:hyperlink>
      <w:r>
        <w:t xml:space="preserve">.</w:t>
      </w:r>
    </w:p>
    <w:bookmarkEnd w:id="71"/>
    <w:bookmarkStart w:id="72" w:name="what-the-domain-literature-establishes"/>
    <w:p>
      <w:pPr>
        <w:pStyle w:val="Heading3"/>
        <w:spacing w:line="480" w:lineRule="auto"/>
      </w:pPr>
      <w:r>
        <w:t xml:space="preserve">2.2.5 What the Domain Literature Establishes</w:t>
      </w:r>
    </w:p>
    <w:p>
      <w:pPr>
        <w:pStyle w:val="FirstParagraph"/>
        <w:spacing w:line="480" w:lineRule="auto"/>
      </w:pPr>
      <w:r>
        <w:t xml:space="preserve">Taken together, the domain literature establishes that the launch insurance premium rate is a meaningful object of measurement, that its movements are widely expected to carry information about the residual risk in the system, and that the regulatory environment is one of the inputs into that residual</w:t>
      </w:r>
      <w:r>
        <w:t xml:space="preserve"> </w:t>
      </w:r>
      <w:hyperlink w:anchor="ref-1">
        <w:r>
          <w:rPr>
            <w:rStyle w:val="Hyperlink"/>
          </w:rPr>
          <w:t xml:space="preserve">[1]</w:t>
        </w:r>
      </w:hyperlink>
      <w:r>
        <w:t xml:space="preserve">[2][3][4][5][6][9][10][17][20][21][27][28][29][30][31][32][33][34][35][36][37][38][39][40][41][42]. What the domain literature does not do is test the directional relationship between premium movement and regulatory action. Every characterization in the AMOS corpus and in the Acta Astronautica corpus reviewed here is either a qualitative claim about the state of the market, a cross-sectional point estimate of the premium attributable to a particular environmental factor, or a forward projection of how the premium curve would respond to a future change in the engineering or environmental regime. The temporal precedence of premium movement and regulatory action is not estimated.</w:t>
      </w:r>
    </w:p>
    <w:bookmarkEnd w:id="72"/>
    <w:bookmarkEnd w:id="73"/>
    <w:bookmarkStart w:id="78"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second body of literature reviewed here is the methodology literature appropriate to a lead-lag test of two short macro time series on which one is a continuously valued rate and the other is a count or intensity index. The dissertation reads the methodology literature for three constructs. The first is the vector autoregressive framework with exogenous controls, the second is the Granger causality test as a statement about predictive precedence, and the third is the structural-break and non-stationarity machinery that allows both to be applied responsibly to a short window containing known legal discontinuities.</w:t>
      </w:r>
    </w:p>
    <w:bookmarkStart w:id="74" w:name="Xaa66ccf2ed1c1111a178dcbe9a9fb6ef2d804b5"/>
    <w:p>
      <w:pPr>
        <w:pStyle w:val="Heading3"/>
        <w:spacing w:line="480" w:lineRule="auto"/>
      </w:pPr>
      <w:r>
        <w:t xml:space="preserve">2.3.1 The Vector Autoregression with Exogenous Controls</w:t>
      </w:r>
    </w:p>
    <w:p>
      <w:pPr>
        <w:pStyle w:val="FirstParagraph"/>
        <w:spacing w:line="480" w:lineRule="auto"/>
      </w:pPr>
      <w:r>
        <w:t xml:space="preserve">The vector autoregressive specification with exogenous controls is the natural estimator for the lead-lag question because it treats both the premium series and the regulatory series as endogenous to the system while admitting the launch count, mishap count, and aggregate insured value as exogenous controls. The methodology literature on vector autoregression has been developed and applied across many empirical domains, including the broader risk and capacity framing literature represented here by Trucco, Paravano, and Locatelli</w:t>
      </w:r>
      <w:r>
        <w:t xml:space="preserve"> </w:t>
      </w:r>
      <w:hyperlink w:anchor="ref-40">
        <w:r>
          <w:rPr>
            <w:rStyle w:val="Hyperlink"/>
          </w:rPr>
          <w:t xml:space="preserve">[40]</w:t>
        </w:r>
      </w:hyperlink>
      <w:r>
        <w:t xml:space="preserve"> </w:t>
      </w:r>
      <w:r>
        <w:t xml:space="preserve">and by the price-based information routing argument of Wang and colleagues</w:t>
      </w:r>
      <w:r>
        <w:t xml:space="preserve"> </w:t>
      </w:r>
      <w:hyperlink w:anchor="ref-32">
        <w:r>
          <w:rPr>
            <w:rStyle w:val="Hyperlink"/>
          </w:rPr>
          <w:t xml:space="preserve">[32]</w:t>
        </w:r>
      </w:hyperlink>
      <w:r>
        <w:t xml:space="preserve">. The dissertation reads the Wang and colleagues contribution as offering the theoretical claim that the price signal carries information that aggregates across many decentralized agents, which is the empirical content that a vector autoregression on the premium series should be able to detect</w:t>
      </w:r>
      <w:r>
        <w:t xml:space="preserve"> </w:t>
      </w:r>
      <w:hyperlink w:anchor="ref-32">
        <w:r>
          <w:rPr>
            <w:rStyle w:val="Hyperlink"/>
          </w:rPr>
          <w:t xml:space="preserve">[32]</w:t>
        </w:r>
      </w:hyperlink>
      <w:r>
        <w:t xml:space="preserve">. The Trucco analysis is read as the substantive risk-framing complement that justifies the choice of controls in the exogenous block, because it identifies the kinds of macro risk shifts that the controls must absorb if the residual variation in the premium series is to be attributable to information about the regulatory environment</w:t>
      </w:r>
      <w:r>
        <w:t xml:space="preserve"> </w:t>
      </w:r>
      <w:hyperlink w:anchor="ref-40">
        <w:r>
          <w:rPr>
            <w:rStyle w:val="Hyperlink"/>
          </w:rPr>
          <w:t xml:space="preserve">[40]</w:t>
        </w:r>
      </w:hyperlink>
      <w:r>
        <w:t xml:space="preserve">.</w:t>
      </w:r>
    </w:p>
    <w:p>
      <w:pPr>
        <w:pStyle w:val="BodyText"/>
        <w:spacing w:line="480" w:lineRule="auto"/>
        <w:ind w:firstLine="720"/>
      </w:pPr>
      <w:r>
        <w:t xml:space="preserve">The two papers attached to this dissertation provide internal evidence about the behavior of the vector autoregression with exogenous controls on this domain. Paper one estimates a parsimonious ordinary least squares specification on twenty seven annual observations from 1998 through 2024 and reports that the heritage flights average and the trailing five year failure count dominate the regulatory intensity index in explaining the average commercial launch insurance premium rate, with an adjusted coefficient of determination of 0.986 and an F statistic of 489.6 on the joint regressors. Paper two estimates an alternative specification on twenty two annual observations from 2003 through 2024 and reports that the regulatory burden index carries a negative coefficient of approximately negative twenty point five points with a p value below 0.001, while the realized loss ratio is not statistically distinguishable from zero. The two findings are not directly contradictory because the two specifications use different windows, different controls, and different constructions of the regulatory series. They jointly establish that the specification choice carries substantial weight in this domain, and they are the empirical motivation for the more disciplined vector autoregressive design adopted in the dissertation.</w:t>
      </w:r>
    </w:p>
    <w:bookmarkEnd w:id="74"/>
    <w:bookmarkStart w:id="75" w:name="Xdd87460b5a8df9f5def6e94c4c2186f98219b56"/>
    <w:p>
      <w:pPr>
        <w:pStyle w:val="Heading3"/>
        <w:spacing w:line="480" w:lineRule="auto"/>
      </w:pPr>
      <w:r>
        <w:t xml:space="preserve">2.3.2 Granger Causality on Mixed Continuous and Count Series</w:t>
      </w:r>
    </w:p>
    <w:p>
      <w:pPr>
        <w:pStyle w:val="FirstParagraph"/>
        <w:spacing w:line="480" w:lineRule="auto"/>
      </w:pPr>
      <w:r>
        <w:t xml:space="preserve">The Granger causality test, as a statement about predictive precedence conditional on observable controls, is the natural inferential instrument for the dissertation. The literature reviewed here treats Granger causality as an applied tool rather than as a structural causal claim, and the dissertation adopts that posture explicitly. The cliometric tradition relevant to the present design has long acknowledged that Granger causality on mixed continuous and count series introduces specific complications, principally that differencing a count series to enforce stationarity destroys interpretable information about the level of regulatory activity. The dissertation adopts the Toda-Yamamoto procedure for that reason, because it accommodates possible non-stationarity without pre-differencing and because it is the procedure most defensible against the specific objection that the regulatory series is non-differenceable in the conventional sense.</w:t>
      </w:r>
    </w:p>
    <w:p>
      <w:pPr>
        <w:pStyle w:val="BodyText"/>
        <w:spacing w:line="480" w:lineRule="auto"/>
        <w:ind w:firstLine="720"/>
      </w:pPr>
      <w:r>
        <w:t xml:space="preserve">The two attached papers indirectly support the application of a Granger-style test by establishing that the premium series exhibits enough variation to be informative and that the regulatory series, however constructed, carries enough independent information to be tested. The disagreement between the two papers about the sign and magnitude of the regulatory coefficient is itself an argument for moving to a bivariate Granger framework, because that framework places the temporal structure of the two series at the center of the test rather than treating the regulatory series as a single conditioning variable.</w:t>
      </w:r>
    </w:p>
    <w:bookmarkEnd w:id="75"/>
    <w:bookmarkStart w:id="76" w:name="Xb2f902850031063229409bc89ef4355d72b09f2"/>
    <w:p>
      <w:pPr>
        <w:pStyle w:val="Heading3"/>
        <w:spacing w:line="480" w:lineRule="auto"/>
      </w:pPr>
      <w:r>
        <w:t xml:space="preserve">2.3.3 Structural Breaks and Short-Window Identification</w:t>
      </w:r>
    </w:p>
    <w:p>
      <w:pPr>
        <w:pStyle w:val="FirstParagraph"/>
        <w:spacing w:line="480" w:lineRule="auto"/>
      </w:pPr>
      <w:r>
        <w:t xml:space="preserve">The methodology literature on structural breaks is the third construct that the dissertation must take seriously. The 2000 through 2025 window contains at least two known discontinuities in the regulatory regime that the analyst can locate ex ante. The Commercial Space Launch Amendments Act of 2004 is the first, codifying the participant indemnification and informed consent architecture that subsequently shaped the insurance demand for human-rated missions</w:t>
      </w:r>
      <w:r>
        <w:t xml:space="preserve"> </w:t>
      </w:r>
      <w:hyperlink w:anchor="ref-7">
        <w:r>
          <w:rPr>
            <w:rStyle w:val="Hyperlink"/>
          </w:rPr>
          <w:t xml:space="preserve">[7]</w:t>
        </w:r>
      </w:hyperlink>
      <w:r>
        <w:t xml:space="preserve">. The Part 450 streamlined launch and reentry license requirements rule of 2020 is the second, restructuring the licensing apparatus around a performance-based architecture</w:t>
      </w:r>
      <w:r>
        <w:t xml:space="preserve"> </w:t>
      </w:r>
      <w:hyperlink w:anchor="ref-23">
        <w:r>
          <w:rPr>
            <w:rStyle w:val="Hyperlink"/>
          </w:rPr>
          <w:t xml:space="preserve">[23]</w:t>
        </w:r>
      </w:hyperlink>
      <w:r>
        <w:t xml:space="preserve">. The Federal Communications Commission Part 25 streamlining proceedings provide a parallel discontinuity for the satellite licensing layer</w:t>
      </w:r>
      <w:r>
        <w:t xml:space="preserve"> </w:t>
      </w:r>
      <w:hyperlink w:anchor="ref-24">
        <w:r>
          <w:rPr>
            <w:rStyle w:val="Hyperlink"/>
          </w:rPr>
          <w:t xml:space="preserve">[24]</w:t>
        </w:r>
      </w:hyperlink>
      <w:r>
        <w:t xml:space="preserve">. The methodology literature requires that the analyst either include indicator variables for these breaks or partition the panel around them and re-estimate the system on each subsample.</w:t>
      </w:r>
    </w:p>
    <w:p>
      <w:pPr>
        <w:pStyle w:val="BodyText"/>
        <w:spacing w:line="480" w:lineRule="auto"/>
        <w:ind w:firstLine="720"/>
      </w:pPr>
      <w:r>
        <w:t xml:space="preserve">The two attached papers offer different treatments of the legal break of 2004. Paper one includes an explicit post-2004 indicator and reports that the indicator is not statistically distinguishable from zero once heritage and failures are in the model. Paper two does not include a post-2004 indicator and reports a substantial negative coefficient on the regulatory burden index. The dissertation reads the disagreement as evidence that the legal break must be modeled, either as an indicator or as a partition, and that the regulatory burden index should not be expected to absorb the break absent that structure.</w:t>
      </w:r>
    </w:p>
    <w:p>
      <w:pPr>
        <w:pStyle w:val="BodyText"/>
        <w:spacing w:line="480" w:lineRule="auto"/>
        <w:ind w:firstLine="720"/>
      </w:pPr>
      <w:r>
        <w:t xml:space="preserve">The Federal Aviation Administration Office of Commercial Space Transportation annual compendia of commercial space transportation provide the primary data on the discrete regulatory actions whose temporal structure the dissertation will test</w:t>
      </w:r>
      <w:r>
        <w:t xml:space="preserve"> </w:t>
      </w:r>
      <w:hyperlink w:anchor="ref-14">
        <w:r>
          <w:rPr>
            <w:rStyle w:val="Hyperlink"/>
          </w:rPr>
          <w:t xml:space="preserve">[14]</w:t>
        </w:r>
      </w:hyperlink>
      <w:r>
        <w:t xml:space="preserve">[22]. The Federal Register entries on commercial space transportation, including the Federal Aviation Administration commercial space transportation rulemakings and the Federal Communications Commission Part 25 rulemakings from 1998 to 2024, provide the supplementary regulatory series that the robustness suite will require</w:t>
      </w:r>
      <w:r>
        <w:t xml:space="preserve"> </w:t>
      </w:r>
      <w:hyperlink w:anchor="ref-15">
        <w:r>
          <w:rPr>
            <w:rStyle w:val="Hyperlink"/>
          </w:rPr>
          <w:t xml:space="preserve">[15]</w:t>
        </w:r>
      </w:hyperlink>
      <w:r>
        <w:t xml:space="preserve">[24]. The Government Accountability Office reports on the National Aeronautics and Space Administration major project assessments and on Federal Aviation Administration commercial space transportation oversight provide the qualitative validation of the regulatory series against an independent expert source</w:t>
      </w:r>
      <w:r>
        <w:t xml:space="preserve"> </w:t>
      </w:r>
      <w:hyperlink w:anchor="ref-16">
        <w:r>
          <w:rPr>
            <w:rStyle w:val="Hyperlink"/>
          </w:rPr>
          <w:t xml:space="preserve">[16]</w:t>
        </w:r>
      </w:hyperlink>
      <w:r>
        <w:t xml:space="preserve">[25].</w:t>
      </w:r>
    </w:p>
    <w:bookmarkEnd w:id="76"/>
    <w:bookmarkStart w:id="77" w:name="the-construction-of-the-premium-series"/>
    <w:p>
      <w:pPr>
        <w:pStyle w:val="Heading3"/>
        <w:spacing w:line="480" w:lineRule="auto"/>
      </w:pPr>
      <w:r>
        <w:t xml:space="preserve">2.3.4 The Construction of the Premium Series</w:t>
      </w:r>
    </w:p>
    <w:p>
      <w:pPr>
        <w:pStyle w:val="FirstParagraph"/>
        <w:spacing w:line="480" w:lineRule="auto"/>
      </w:pPr>
      <w:r>
        <w:t xml:space="preserve">The premium series is itself a methodological object whose construction is the precondition for any lead-lag test. The Marsh McLennan space projects insurance reports and the subsequent Marsh McLennan space insurance outlooks are the primary trade-source data on the volume-weighted average launch insurance premium rate, supplemented by the Aon space insurance updates and Aon space sector briefings</w:t>
      </w:r>
      <w:r>
        <w:t xml:space="preserve"> </w:t>
      </w:r>
      <w:hyperlink w:anchor="ref-11">
        <w:r>
          <w:rPr>
            <w:rStyle w:val="Hyperlink"/>
          </w:rPr>
          <w:t xml:space="preserve">[11]</w:t>
        </w:r>
      </w:hyperlink>
      <w:r>
        <w:t xml:space="preserve">[12][13]. The Swiss Re Institute sigma reviews of space insurance, covering the early 2000s through the early 2020s, provide the principal independent series against which the broker reports can be cross-validated</w:t>
      </w:r>
      <w:r>
        <w:t xml:space="preserve"> </w:t>
      </w:r>
      <w:hyperlink w:anchor="ref-18">
        <w:r>
          <w:rPr>
            <w:rStyle w:val="Hyperlink"/>
          </w:rPr>
          <w:t xml:space="preserve">[18]</w:t>
        </w:r>
      </w:hyperlink>
      <w:r>
        <w:t xml:space="preserve">[19]. The dissertation reads the Swiss Re sigma series as the most defensible single source for the continuously valued premium rate, with the broker reports serving as the source for the categorical structure of the placements and as the principal qualitative validation.</w:t>
      </w:r>
    </w:p>
    <w:p>
      <w:pPr>
        <w:pStyle w:val="BodyText"/>
        <w:spacing w:line="480" w:lineRule="auto"/>
        <w:ind w:firstLine="720"/>
      </w:pPr>
      <w:r>
        <w:t xml:space="preserve">The two attached papers offer different constructions of the premium series, paper one drawing principally on Marsh McLennan and Aon and paper two drawing principally on Swiss Re sigma reviews and Aon and Marsh year-end space market updates. The dissertation will use the union of these sources, applying multiple imputation for the placements not covered by all sources, and will report the sensitivity of the lead-lag test to the choice of imputation procedure.</w:t>
      </w:r>
    </w:p>
    <w:bookmarkEnd w:id="77"/>
    <w:bookmarkEnd w:id="78"/>
    <w:bookmarkStart w:id="79" w:name="synthesis-and-the-gap"/>
    <w:p>
      <w:pPr>
        <w:pStyle w:val="Heading2"/>
        <w:spacing w:line="480" w:lineRule="auto"/>
      </w:pPr>
      <w:r>
        <w:t xml:space="preserve">2.4 Synthesis and the Gap</w:t>
      </w:r>
    </w:p>
    <w:p>
      <w:pPr>
        <w:pStyle w:val="FirstParagraph"/>
        <w:spacing w:line="480" w:lineRule="auto"/>
      </w:pPr>
      <w:r>
        <w:t xml:space="preserve">The two literatures meet at a single empirical question that neither has answered. The domain literature establishes that the premium rate is a meaningful object of measurement and that its movements are widely expected to carry information about residual systemic risk including the regulatory environment</w:t>
      </w:r>
      <w:r>
        <w:t xml:space="preserve"> </w:t>
      </w:r>
      <w:hyperlink w:anchor="ref-1">
        <w:r>
          <w:rPr>
            <w:rStyle w:val="Hyperlink"/>
          </w:rPr>
          <w:t xml:space="preserve">[1]</w:t>
        </w:r>
      </w:hyperlink>
      <w:r>
        <w:t xml:space="preserve">[2][3][4][5][6][9][10][17][20][21][27][28][29][30][31][32][33][34][35][36][37][38][39][40]. The cliometric and econometric methodology literature supplies the directional-test machinery, the vector autoregressive specification with exogenous controls, the Toda-Yamamoto procedure for Granger causality testing under possible non-stationarity, and the structural-break apparatus required for a short window containing known legal discontinuities. The two literatures have not been joined.</w:t>
      </w:r>
    </w:p>
    <w:p>
      <w:pPr>
        <w:pStyle w:val="BodyText"/>
        <w:spacing w:line="480" w:lineRule="auto"/>
        <w:ind w:firstLine="720"/>
      </w:pPr>
      <w:r>
        <w:t xml:space="preserve">The gap can be stated in three parts. First, no source in the domain literature reviewed here estimates the directional relationship between premium movement and regulatory action. The AMOS contributions characterize the state of the market and project forward</w:t>
      </w:r>
      <w:r>
        <w:t xml:space="preserve"> </w:t>
      </w:r>
      <w:hyperlink w:anchor="ref-1">
        <w:r>
          <w:rPr>
            <w:rStyle w:val="Hyperlink"/>
          </w:rPr>
          <w:t xml:space="preserve">[1]</w:t>
        </w:r>
      </w:hyperlink>
      <w:r>
        <w:t xml:space="preserve">[2][3][9][10][20][21][27][28][29]. The Acta Astronautica contributions characterize the risk landscape and the architecture of space activity but do not estimate temporal precedence between insurance and regulation</w:t>
      </w:r>
      <w:r>
        <w:t xml:space="preserve"> </w:t>
      </w:r>
      <w:hyperlink w:anchor="ref-17">
        <w:r>
          <w:rPr>
            <w:rStyle w:val="Hyperlink"/>
          </w:rPr>
          <w:t xml:space="preserve">[17]</w:t>
        </w:r>
      </w:hyperlink>
      <w:r>
        <w:t xml:space="preserve">[30][31][32][33][34][35][36][37][38][39][40][41][42]. The Space Economy Papers corpus identifies regulation and reliability as joint risk drivers but does not test their temporal precedence</w:t>
      </w:r>
      <w:r>
        <w:t xml:space="preserve"> </w:t>
      </w:r>
      <w:hyperlink w:anchor="ref-3">
        <w:r>
          <w:rPr>
            <w:rStyle w:val="Hyperlink"/>
          </w:rPr>
          <w:t xml:space="preserve">[3]</w:t>
        </w:r>
      </w:hyperlink>
      <w:r>
        <w:t xml:space="preserve">[4][5][6]. Second, no source in the cliometric and econometric methodology literature reviewed here has been applied to launch insurance and regulatory action in the commercial launch licensing regime. The instruments exist and have been validated in other domains, but their application to the present question is novel. Third, the two attached papers internal to this dissertation establish that the specification choice carries substantial weight in this domain and therefore that a disciplined identification strategy is required, in particular the bivariate vector autoregressive framework with exogenous controls and the Toda-Yamamoto Granger causality test on the two series.</w:t>
      </w:r>
    </w:p>
    <w:p>
      <w:pPr>
        <w:pStyle w:val="BodyText"/>
        <w:spacing w:line="480" w:lineRule="auto"/>
        <w:ind w:firstLine="720"/>
      </w:pPr>
      <w:r>
        <w:t xml:space="preserve">The dissertation closes this gap by constructing the premium series and the regulatory series from the obtainable data and applying the directional test in a manner that is consistent with the methodology literature and that is disciplined against the structural breaks the domain literature has identified</w:t>
      </w:r>
      <w:r>
        <w:t xml:space="preserve"> </w:t>
      </w:r>
      <w:hyperlink w:anchor="ref-7">
        <w:r>
          <w:rPr>
            <w:rStyle w:val="Hyperlink"/>
          </w:rPr>
          <w:t xml:space="preserve">[7]</w:t>
        </w:r>
      </w:hyperlink>
      <w:r>
        <w:t xml:space="preserve">[14][15][16][22][23][24][25]. The substantive contribution is a directional answer to whether the premium rate Granger-causes regulatory action in the commercial launch licensing regime, conditional on launch count, mishap count, and aggregate insured value. The methodological contribution is the construction of the premium and regulatory series in a form that can be subjected to that test, with multiple imputation for the placements not covered by all trade sources and with an explicit treatment of the Commercial Space Launch Amendments Act of 2004 and the Part 450 streamlined launch and reentry license requirements rule of 2020 as the principal structural breaks</w:t>
      </w:r>
      <w:r>
        <w:t xml:space="preserve"> </w:t>
      </w:r>
      <w:hyperlink w:anchor="ref-7">
        <w:r>
          <w:rPr>
            <w:rStyle w:val="Hyperlink"/>
          </w:rPr>
          <w:t xml:space="preserve">[7]</w:t>
        </w:r>
      </w:hyperlink>
      <w:r>
        <w:t xml:space="preserve">[23].</w:t>
      </w:r>
    </w:p>
    <w:p>
      <w:pPr>
        <w:pStyle w:val="BodyText"/>
        <w:spacing w:line="480" w:lineRule="auto"/>
        <w:ind w:firstLine="720"/>
      </w:pPr>
      <w:r>
        <w:t xml:space="preserve">The literature reviewed here therefore supports both the substantive importance of the question and the methodological tractability of its answer. The domain literature establishes that the premium rate carries information that policymakers should care about</w:t>
      </w:r>
      <w:r>
        <w:t xml:space="preserve"> </w:t>
      </w:r>
      <w:hyperlink w:anchor="ref-1">
        <w:r>
          <w:rPr>
            <w:rStyle w:val="Hyperlink"/>
          </w:rPr>
          <w:t xml:space="preserve">[1]</w:t>
        </w:r>
      </w:hyperlink>
      <w:r>
        <w:t xml:space="preserve">[2][3][4][9][10][20][21][27][28][29][32][40]. The methodology literature supplies the instruments that can extract that information in a defensible directional form. The dissertation is the joining of the two.</w:t>
      </w:r>
    </w:p>
    <w:bookmarkEnd w:id="79"/>
    <w:bookmarkEnd w:id="80"/>
    <w:bookmarkStart w:id="89" w:name="Xcfcc00a3ded59aed0c781c16bfc121f2a509603"/>
    <w:p>
      <w:pPr>
        <w:pStyle w:val="Heading1"/>
        <w:spacing w:line="480" w:lineRule="auto"/>
      </w:pPr>
      <w:r>
        <w:t xml:space="preserve">Chapter 3. Theoretical Framework and Hypotheses</w:t>
      </w:r>
    </w:p>
    <w:bookmarkStart w:id="81" w:name="purpose-of-the-chapter"/>
    <w:p>
      <w:pPr>
        <w:pStyle w:val="Heading2"/>
        <w:spacing w:line="480" w:lineRule="auto"/>
      </w:pPr>
      <w:r>
        <w:t xml:space="preserve">3.1 Purpose of the Chapter</w:t>
      </w:r>
    </w:p>
    <w:p>
      <w:pPr>
        <w:pStyle w:val="FirstParagraph"/>
        <w:spacing w:line="480" w:lineRule="auto"/>
      </w:pPr>
      <w:r>
        <w:t xml:space="preserve">The empirical question of this dissertation is whether commercial launch insurance premium rates lead, lag, or co-move with discrete regulatory actions in the United States commercial launch licensing regime. The two preceding chapters established the policy stakes, surveyed the qualitative insurance-market commentary in the AMOS technical literature, and reviewed the space-economy literature that names regulation and reliability as joint determinants of launch risk. This chapter develops the theoretical scaffolding that converts those policy stakes and that literature into a falsifiable directional test. The chapter proceeds in five movements. It first reconstructs the underwriting decision problem and shows why the premium rate is, in principle, an informationally rich signal. It then specifies the regulatory decision problem and identifies the channels through which licensing authorities themselves generate information. It next articulates the causal mechanism that would, under plausible market microstructure assumptions, cause one stream to anticipate the other. It then formalizes the predictive-precedence test that operationalizes the question. The chapter closes with the formal statement of the null and alternative hypotheses, the auxiliary symmetric hypotheses required to interpret the result, and the boundary conditions under which the theoretical framework is expected to hold.</w:t>
      </w:r>
    </w:p>
    <w:bookmarkEnd w:id="81"/>
    <w:bookmarkStart w:id="82" w:name="Xc267330c6704a043de46d8fe316a1be9341112e"/>
    <w:p>
      <w:pPr>
        <w:pStyle w:val="Heading2"/>
        <w:spacing w:line="480" w:lineRule="auto"/>
      </w:pPr>
      <w:r>
        <w:t xml:space="preserve">3.2 The Underwriting Decision as an Information Aggregation Problem</w:t>
      </w:r>
    </w:p>
    <w:p>
      <w:pPr>
        <w:pStyle w:val="FirstParagraph"/>
        <w:spacing w:line="480" w:lineRule="auto"/>
      </w:pPr>
      <w:r>
        <w:t xml:space="preserve">Commercial launch underwriters quote a premium rate as the sum of an actuarial expected loss component, a capital cost component, and a load that compensates the underwriter for information asymmetry and tail uncertainty. The Swiss Re institutional reviews of the space insurance market document this decomposition explicitly for the period in which the modern launch insurance market took its present shape, and they note that the loss component itself is reconstructed from a small population of historical flights, which forces underwriters to lean heavily on judgmental inputs about vehicle heritage, manufacturer reputation, and the licensing environment of the launching state [18, 19]. The same institutional commentary appears in the Marsh McLennan placements summary and the Aon ISB sector briefings, which jointly document that placement-by-placement pricing in this market is set against a backdrop of fewer than thirty wholesale capacity providers and a global flight rate that, until the most recent years of the window, did not exceed one hundred orbital launches per year [11, 12, 13].</w:t>
      </w:r>
    </w:p>
    <w:p>
      <w:pPr>
        <w:pStyle w:val="BodyText"/>
        <w:spacing w:line="480" w:lineRule="auto"/>
        <w:ind w:firstLine="720"/>
      </w:pPr>
      <w:r>
        <w:t xml:space="preserve">Three properties of this market are relevant for the theoretical framework. The first is that the underwriting decision is forward looking by construction. Premiums are quoted before the insured flight occurs, and the underwriter is compensated only if the realized loss distribution over the duration of the policy is consistent with the assumed distribution at quotation. The underwriter therefore has an economic incentive to incorporate any information that affects the future loss distribution, including information about the regulatory trajectory of the launching state, into the rate. Harrison observed in the AMOS proceedings that the share of in-orbit assets carrying coverage and the qualitative state of premium rates had by 2019 become a meaningful systemic indicator precisely because the underwriting decision integrates loss expectations across reliability, third-party liability, and the legal exposure created by the licensing regime [1, 8].</w:t>
      </w:r>
    </w:p>
    <w:p>
      <w:pPr>
        <w:pStyle w:val="BodyText"/>
        <w:spacing w:line="480" w:lineRule="auto"/>
        <w:ind w:firstLine="720"/>
      </w:pPr>
      <w:r>
        <w:t xml:space="preserve">The second property is that the underwriting decision is, in a narrow sense, a market test of beliefs. An underwriter who prices a vehicle aggressively against an evolving regulatory environment commits capital to that view. If the view is wrong, capacity providers exit, retrocession terms tighten, and the wholesale rate moves. The market mechanism is therefore disciplined by survival, and the resulting rate is a revealed signal in the strict sense of the term. Shahady’s discussion of the geostationary regime is instructive on this point. Shahady shows that GEO-slot insurance premiums already embed expectations about debris density and contested-environment costs that are not yet codified in any treaty or rule, and that the premium component attributable to those expectations exceeds the share that can be reconstructed from vehicle reliability alone [2, 10, 21, 28]. If a market that prices an environment as contested before any treaty addresses contestation is plausibly forward looking, then the same market should, by the same logic, price the trajectory of domestic licensing rules before those rules are codified.</w:t>
      </w:r>
    </w:p>
    <w:p>
      <w:pPr>
        <w:pStyle w:val="BodyText"/>
        <w:spacing w:line="480" w:lineRule="auto"/>
        <w:ind w:firstLine="720"/>
      </w:pPr>
      <w:r>
        <w:t xml:space="preserve">The third property is that the market is thin and capital constrained. McKnight’s projection that collision risks above approximately 1.5 percent per year would drive premiums to unsustainable levels formalizes the asymmetric capacity response that thin markets exhibit when expected loss rises [9, 20, 29]. The same thinness implies that a small number of placements can move the wholesale rate substantially, that the rate is sensitive to the entry and exit of capacity providers, and that the implied informational efficiency of the market is bounded above by the volume of capital available to discipline mispricing. The theoretical framework therefore treats the launch insurance market as a forward-looking but capacity-constrained signal whose informational content is real but not unlimited.</w:t>
      </w:r>
    </w:p>
    <w:bookmarkEnd w:id="82"/>
    <w:bookmarkStart w:id="83" w:name="X62f2d01c1a6cac9dcf09f0cba11ad644a343d02"/>
    <w:p>
      <w:pPr>
        <w:pStyle w:val="Heading2"/>
        <w:spacing w:line="480" w:lineRule="auto"/>
      </w:pPr>
      <w:r>
        <w:t xml:space="preserve">3.3 The Regulatory Decision as a Parallel Information Stream</w:t>
      </w:r>
    </w:p>
    <w:p>
      <w:pPr>
        <w:pStyle w:val="FirstParagraph"/>
        <w:spacing w:line="480" w:lineRule="auto"/>
      </w:pPr>
      <w:r>
        <w:t xml:space="preserve">The regulatory side of the question is structurally different. The Federal Aviation Administration Office of Commercial Space Transportation acts under the statutory authority of the Commercial Space Launch Act and its amendments, including the Commercial Space Launch Amendments Act of 2004, and produces a discrete sequence of licensing decisions, mishap investigation openings and closings, license issuances and modifications, and rule-making milestones [7, 14, 15, 22]. Each of these actions is the visible terminus of an internal information process that draws on engineering review, accident data, public comment, and inter-agency coordination. The Federal Register entries on commercial space transportation between 1998 and 2024 record the public-facing portion of that process, and the 14 CFR Part 450 streamlined launch and reentry licensing final rule of 2020 is the most consequential single action in the modern window [15, 23]. Parallel proceedings at the Federal Communications Commission under 47 CFR Part 25 and the oversight findings of the Government Accountability Office in GAO-23-105561, GAO-24-106767, and GAO-25-107591 supply additional regulatory signal in the same period [24, 25].</w:t>
      </w:r>
    </w:p>
    <w:p>
      <w:pPr>
        <w:pStyle w:val="BodyText"/>
        <w:spacing w:line="480" w:lineRule="auto"/>
        <w:ind w:firstLine="720"/>
      </w:pPr>
      <w:r>
        <w:t xml:space="preserve">The regulatory stream differs from the insurance stream on three dimensions that are theoretically important. First, the regulatory stream is lumpy. A rule-making milestone occurs as a discrete event at the conclusion of a multi-year process, and the public record between milestones is comparatively quiet. The insurance stream, in contrast, is approximately continuous because placements occur whenever launches occur and pricing updates between placements through quoted indications. Second, the regulatory stream is procedurally constrained. The Administrative Procedure Act and the public comment periods that attach to substantive rulemaking impose minimum durations between the moment a problem is identified inside the agency and the moment a rule is published. The insurance stream is not procedurally constrained in the same way, although it is constrained by capacity availability and by the renewal cadence of treaty programs. Third, the regulatory stream is, in part, retrospective. Mishap investigations open after a failure occurs and close after the investigation completes, and rule-making is frequently a codification of practices that have already become market norms. The insurance stream is, in part, prospective by construction, because the underwriter is paid in advance and pays out on a future event.</w:t>
      </w:r>
    </w:p>
    <w:p>
      <w:pPr>
        <w:pStyle w:val="BodyText"/>
        <w:spacing w:line="480" w:lineRule="auto"/>
        <w:ind w:firstLine="720"/>
      </w:pPr>
      <w:r>
        <w:t xml:space="preserve">These structural differences imply that the two streams encode partially overlapping but non-identical information sets. The underwriting stream encodes the union of public regulatory signal and private actuarial and underwriting judgment. The regulatory stream encodes the union of public mishap data, private agency engineering review, and the political and inter-agency coordination process that converts internal review into a published action. The two streams overlap on public mishap data and on the public portion of agency engineering disclosures. They diverge on private underwriting judgment, which is unique to insurance, and on private agency review, which is unique to regulation. The empirical question of which stream leads is therefore a question about which of these private information sets is, in the modern window, the more informative.</w:t>
      </w:r>
    </w:p>
    <w:bookmarkEnd w:id="83"/>
    <w:bookmarkStart w:id="84" w:name="the-causal-mechanism"/>
    <w:p>
      <w:pPr>
        <w:pStyle w:val="Heading2"/>
        <w:spacing w:line="480" w:lineRule="auto"/>
      </w:pPr>
      <w:r>
        <w:t xml:space="preserve">3.4 The Causal Mechanism</w:t>
      </w:r>
    </w:p>
    <w:p>
      <w:pPr>
        <w:pStyle w:val="FirstParagraph"/>
        <w:spacing w:line="480" w:lineRule="auto"/>
      </w:pPr>
      <w:r>
        <w:t xml:space="preserve">The theoretical framework predicts that the temporal precedence of the two streams will be determined by the relative speed at which each stream can convert new information into a publicly observable signal. Three mechanisms operate.</w:t>
      </w:r>
    </w:p>
    <w:p>
      <w:pPr>
        <w:pStyle w:val="BodyText"/>
        <w:spacing w:line="480" w:lineRule="auto"/>
        <w:ind w:firstLine="720"/>
      </w:pPr>
      <w:r>
        <w:t xml:space="preserve">The first mechanism is the procedural-asymmetry mechanism. Because the regulatory stream is procedurally constrained by the Administrative Procedure Act and by inter-agency coordination requirements, while the insurance stream is constrained primarily by capacity availability and the renewal cycle of treaty programs, the underwriting market can in principle reprice within weeks of receiving new information, while the regulatory apparatus typically requires twelve to thirty-six months to convert the same information into a published rule. The procedural-asymmetry mechanism therefore predicts that, when both streams receive a common shock from a public mishap, the insurance stream will move first.</w:t>
      </w:r>
    </w:p>
    <w:p>
      <w:pPr>
        <w:pStyle w:val="BodyText"/>
        <w:spacing w:line="480" w:lineRule="auto"/>
        <w:ind w:firstLine="720"/>
      </w:pPr>
      <w:r>
        <w:t xml:space="preserve">The second mechanism is the private-information mechanism. Underwriters maintain confidential relationships with vehicle manufacturers and launch operators that give them access to engineering data that is not available to the regulator until a mishap is investigated. The Marsh McLennan and Aon institutional disclosures document this access pattern for the post-2010 period and note that it produces underwriting movements that are not preceded by any public regulatory signal [11, 12, 13]. The private-information mechanism therefore predicts that, when new information enters the underwriting stream through a private channel, the insurance stream will move before any regulatory signal is observable at all.</w:t>
      </w:r>
    </w:p>
    <w:p>
      <w:pPr>
        <w:pStyle w:val="BodyText"/>
        <w:spacing w:line="480" w:lineRule="auto"/>
        <w:ind w:firstLine="720"/>
      </w:pPr>
      <w:r>
        <w:t xml:space="preserve">The third mechanism is the regulatory-anticipation mechanism. Because rulemaking is procedurally costly, regulators face an incentive to disclose their direction of travel in advance through speeches, advisory notices, and inter-agency coordination memoranda. The insurance stream, observing these advance disclosures, can reprice in anticipation of the published rule. Under the regulatory-anticipation mechanism, the insurance stream moves before the published rule even when the underlying information originates inside the agency, because the agency itself prefers an orderly market reaction over a discontinuous one.</w:t>
      </w:r>
    </w:p>
    <w:p>
      <w:pPr>
        <w:pStyle w:val="BodyText"/>
        <w:spacing w:line="480" w:lineRule="auto"/>
        <w:ind w:firstLine="720"/>
      </w:pPr>
      <w:r>
        <w:t xml:space="preserve">The three mechanisms point in the same direction on the central question. Each predicts that, when the two streams encode the same underlying shift in expected loss, the insurance stream will move first. The framework’s primary prediction is therefore that premium movements Granger-cause regulatory actions, in the predictive-precedence sense formalized below, after conditioning on observable launch and loss covariates that absorb the common public signal. The framework also admits a counter-prediction. If the regulatory stream is itself the dominant information source, because the agency’s engineering review is sufficiently superior to private underwriting judgment that the agency learns about emerging systemic risk before underwriters do, then the regulatory stream should move first. The two predictions are not symmetric in their policy implications. The first implies that licensing authorities should monitor the insurance market as a leading indicator. The second implies that insurance prices are a confirming signal of regulatory progress rather than a forward indicator. The empirical test must therefore be capable of distinguishing the two cases and of recognizing the third case, in which the two streams are contemporaneous because they each receive the common public signal at the same speed.</w:t>
      </w:r>
    </w:p>
    <w:bookmarkEnd w:id="84"/>
    <w:bookmarkStart w:id="85" w:name="from-mechanism-to-predictive-precedence"/>
    <w:p>
      <w:pPr>
        <w:pStyle w:val="Heading2"/>
        <w:spacing w:line="480" w:lineRule="auto"/>
      </w:pPr>
      <w:r>
        <w:t xml:space="preserve">3.5 From Mechanism to Predictive Precedence</w:t>
      </w:r>
    </w:p>
    <w:p>
      <w:pPr>
        <w:pStyle w:val="FirstParagraph"/>
        <w:spacing w:line="480" w:lineRule="auto"/>
      </w:pPr>
      <w:r>
        <w:t xml:space="preserve">The theoretical framework does not assert a structural causal claim in the sense that intervention on the premium rate would change the regulatory action. Such a claim would require an instrument that shifts premiums without operating through the same information channels that operate on regulators, and no such instrument is plausibly available in the launch insurance market. The framework instead asserts a predictive-precedence claim. Predictive precedence in the sense of Granger is the proposition that the history of one series helps predict the future of the other after conditioning on the history of the second series and on observable controls. It is a statement about information flow rather than about structural intervention, and it is the appropriate operationalization of the policy question because the policy question is itself about whether one signal is informative about the other in advance of its arrival.</w:t>
      </w:r>
    </w:p>
    <w:p>
      <w:pPr>
        <w:pStyle w:val="BodyText"/>
        <w:spacing w:line="480" w:lineRule="auto"/>
        <w:ind w:firstLine="720"/>
      </w:pPr>
      <w:r>
        <w:t xml:space="preserve">The translation of the three mechanisms into a Granger-precedence prediction proceeds as follows. Let the premium rate index in quarter t be denoted P_t and the count of regulatory actions in quarter t be denoted R_t. Let X_t denote the vector of contemporaneous and lagged exogenous controls, comprising launch count, mishap count, and aggregate insured value. The procedural-asymmetry mechanism predicts that, conditional on X_t, lagged values of P up to lag four quarters carry information about R_t that is not contained in lagged values of R. The private-information mechanism predicts the same precedence with a possibly shorter lag, on the order of one to two quarters, because private engineering disclosures move the rate quickly. The regulatory-anticipation mechanism predicts precedence at lags between two and four quarters, because the advance disclosure horizon of the agency is on the same order. The framework therefore predicts Granger-precedence of P over R at lags of one to four quarters and is agnostic about the precise lag within that range. The auxiliary symmetric prediction, required to distinguish the leading-signal case from the contemporaneous case, is that lagged values of R should not, conditional on X_t, carry information about P_t at the same lag horizon. A finding of bidirectional precedence is interpretable as a contemporaneous-information case in which neither stream dominates.</w:t>
      </w:r>
    </w:p>
    <w:bookmarkEnd w:id="85"/>
    <w:bookmarkStart w:id="86" w:name="the-formal-hypotheses"/>
    <w:p>
      <w:pPr>
        <w:pStyle w:val="Heading2"/>
        <w:spacing w:line="480" w:lineRule="auto"/>
      </w:pPr>
      <w:r>
        <w:t xml:space="preserve">3.6 The Formal Hypotheses</w:t>
      </w:r>
    </w:p>
    <w:p>
      <w:pPr>
        <w:pStyle w:val="FirstParagraph"/>
        <w:spacing w:line="480" w:lineRule="auto"/>
      </w:pPr>
      <w:r>
        <w:t xml:space="preserve">The framework supports a primary null and alternative hypothesis pair, an auxiliary symmetric pair, and a set of conditional refinements that the empirical chapter will operationalize.</w:t>
      </w:r>
    </w:p>
    <w:p>
      <w:pPr>
        <w:pStyle w:val="BodyText"/>
        <w:spacing w:line="480" w:lineRule="auto"/>
        <w:ind w:firstLine="720"/>
      </w:pPr>
      <w:r>
        <w:rPr>
          <w:b/>
          <w:bCs/>
        </w:rPr>
        <w:t xml:space="preserve">H0 (primary null).</w:t>
      </w:r>
      <w:r>
        <w:t xml:space="preserve"> </w:t>
      </w:r>
      <w:r>
        <w:t xml:space="preserve">Movements in the launch insurance premium rate index do not Granger-cause regulatory actions in the United States commercial launch licensing regime at lags of one to four quarters, after conditioning on contemporaneous launch counts, observed mishap counts, and aggregate insured value. Formally, in a bivariate vector autoregression with exogenous covariates of the form</w:t>
      </w:r>
    </w:p>
    <w:p>
      <w:pPr>
        <w:pStyle w:val="BodyText"/>
        <w:spacing w:line="480" w:lineRule="auto"/>
        <w:ind w:firstLine="720"/>
      </w:pPr>
      <w:r>
        <w:t xml:space="preserve">R_t = alpha_0 + sum over j of alpha_j R_{t-j} + sum over j of beta_j P_{t-j} + gamma’ X_t + epsilon_t,</w:t>
      </w:r>
    </w:p>
    <w:p>
      <w:pPr>
        <w:pStyle w:val="BodyText"/>
        <w:spacing w:line="480" w:lineRule="auto"/>
        <w:ind w:firstLine="720"/>
      </w:pPr>
      <w:r>
        <w:t xml:space="preserve">the joint restriction beta_1 = beta_2 = beta_3 = beta_4 = 0 is consistent with the data.</w:t>
      </w:r>
    </w:p>
    <w:p>
      <w:pPr>
        <w:pStyle w:val="BodyText"/>
        <w:spacing w:line="480" w:lineRule="auto"/>
        <w:ind w:firstLine="720"/>
      </w:pPr>
      <w:r>
        <w:rPr>
          <w:b/>
          <w:bCs/>
        </w:rPr>
        <w:t xml:space="preserve">H1 (primary alternative).</w:t>
      </w:r>
      <w:r>
        <w:t xml:space="preserve"> </w:t>
      </w:r>
      <w:r>
        <w:t xml:space="preserve">Movements in the launch insurance premium rate index Granger-cause regulatory actions in the United States commercial launch licensing regime at one or more lags between one and four quarters, after conditioning on the same covariates. Formally, the joint restriction beta_1 = beta_2 = beta_3 = beta_4 = 0 is rejected at conventional thresholds.</w:t>
      </w:r>
    </w:p>
    <w:p>
      <w:pPr>
        <w:pStyle w:val="BodyText"/>
        <w:spacing w:line="480" w:lineRule="auto"/>
        <w:ind w:firstLine="720"/>
      </w:pPr>
      <w:r>
        <w:t xml:space="preserve">Rejection of H0 in favor of H1 is the directional finding that premiums constitute a leading revealed-risk signal. The substantive interpretation of that finding, under the mechanism developed in section 3.4, is that the underwriting market converts new information about expected loss into a publicly observable signal before the regulatory apparatus completes the procedural process required to publish a corresponding action.</w:t>
      </w:r>
    </w:p>
    <w:p>
      <w:pPr>
        <w:pStyle w:val="BodyText"/>
        <w:spacing w:line="480" w:lineRule="auto"/>
        <w:ind w:firstLine="720"/>
      </w:pPr>
      <w:r>
        <w:t xml:space="preserve">The interpretation of the result depends on the outcome of the auxiliary symmetric test.</w:t>
      </w:r>
    </w:p>
    <w:p>
      <w:pPr>
        <w:pStyle w:val="BodyText"/>
        <w:spacing w:line="480" w:lineRule="auto"/>
        <w:ind w:firstLine="720"/>
      </w:pPr>
      <w:r>
        <w:rPr>
          <w:b/>
          <w:bCs/>
        </w:rPr>
        <w:t xml:space="preserve">H0’ (auxiliary symmetric null).</w:t>
      </w:r>
      <w:r>
        <w:t xml:space="preserve"> </w:t>
      </w:r>
      <w:r>
        <w:t xml:space="preserve">Movements in the count of regulatory actions do not Granger-cause movements in the launch insurance premium rate index at the same lag horizon, conditioning on the same controls. Formally, in the symmetric VARX equation for P_t, the joint restriction on the lagged R coefficients is consistent with the data.</w:t>
      </w:r>
    </w:p>
    <w:p>
      <w:pPr>
        <w:pStyle w:val="BodyText"/>
        <w:spacing w:line="480" w:lineRule="auto"/>
        <w:ind w:firstLine="720"/>
      </w:pPr>
      <w:r>
        <w:rPr>
          <w:b/>
          <w:bCs/>
        </w:rPr>
        <w:t xml:space="preserve">H1’ (auxiliary symmetric alternative).</w:t>
      </w:r>
      <w:r>
        <w:t xml:space="preserve"> </w:t>
      </w:r>
      <w:r>
        <w:t xml:space="preserve">Movements in the count of regulatory actions Granger-cause movements in the premium rate index at one or more lags between one and four quarters, conditioning on the same controls.</w:t>
      </w:r>
    </w:p>
    <w:p>
      <w:pPr>
        <w:pStyle w:val="BodyText"/>
        <w:spacing w:line="480" w:lineRule="auto"/>
        <w:ind w:firstLine="720"/>
      </w:pPr>
      <w:r>
        <w:t xml:space="preserve">The four possible joint outcomes of the primary and auxiliary tests partition the policy interpretation space. If H0 is rejected and H0’ is not rejected, the insurance stream leads and the framework’s primary prediction is supported. If H0 is not rejected and H0’ is rejected, the regulatory stream leads, and the substantive interpretation is the second-tradition view documented in the first research paper, under which premiums lag codified regulation and confirm rather than forecast it. If both nulls are rejected, the two streams are mutually informative and neither dominates as a leading indicator. If neither null is rejected, the two streams are best characterized as contemporaneous receivers of a common public signal, and the policy implication is that neither stream is preferable to the other as an early indicator.</w:t>
      </w:r>
    </w:p>
    <w:bookmarkEnd w:id="86"/>
    <w:bookmarkStart w:id="87" w:name="boundary-conditions-and-scope"/>
    <w:p>
      <w:pPr>
        <w:pStyle w:val="Heading2"/>
        <w:spacing w:line="480" w:lineRule="auto"/>
      </w:pPr>
      <w:r>
        <w:t xml:space="preserve">3.7 Boundary Conditions and Scope</w:t>
      </w:r>
    </w:p>
    <w:p>
      <w:pPr>
        <w:pStyle w:val="FirstParagraph"/>
        <w:spacing w:line="480" w:lineRule="auto"/>
      </w:pPr>
      <w:r>
        <w:t xml:space="preserve">The framework is bounded by four conditions that the empirical chapters will revisit.</w:t>
      </w:r>
    </w:p>
    <w:p>
      <w:pPr>
        <w:pStyle w:val="BodyText"/>
        <w:spacing w:line="480" w:lineRule="auto"/>
        <w:ind w:firstLine="720"/>
      </w:pPr>
      <w:r>
        <w:t xml:space="preserve">First, the framework presumes that the launch insurance market is thick enough during the 2000 through 2025 window to support the underwriting-as-information-aggregation premise. The Swiss Re sigma reviews and the Marsh and Aon institutional series document that this premise holds for commercial low-Earth-orbit and geostationary placements throughout the window [11, 12, 13, 18, 19]. The premise is weaker for heavy-lift placements where the market is thinly traded, and the prospectus accordingly specifies a placebo test on the heavy-lift regime where the leading-signal coefficient should attenuate if the underwriting-as-information premise is the operative mechanism.</w:t>
      </w:r>
    </w:p>
    <w:p>
      <w:pPr>
        <w:pStyle w:val="BodyText"/>
        <w:spacing w:line="480" w:lineRule="auto"/>
        <w:ind w:firstLine="720"/>
      </w:pPr>
      <w:r>
        <w:t xml:space="preserve">Second, the framework presumes that the regulatory series is approximately exogenous to the premium series in the structural sense that regulators do not condition their published actions on the insurance market itself. This presumption is testable. If the auxiliary symmetric null is rejected, the framework must absorb the possibility that the regulatory apparatus is responding to insurance signal, which would complicate the predictive-precedence interpretation. The empirical chapter accordingly reports the symmetric test alongside the primary test.</w:t>
      </w:r>
    </w:p>
    <w:p>
      <w:pPr>
        <w:pStyle w:val="BodyText"/>
        <w:spacing w:line="480" w:lineRule="auto"/>
        <w:ind w:firstLine="720"/>
      </w:pPr>
      <w:r>
        <w:t xml:space="preserve">Third, the framework presumes that the 2000 through 2025 window is sufficiently stationary in its institutional structure to support a single-regime analysis. The introduction of the Commercial Space Launch Amendments Act in 2004</w:t>
      </w:r>
      <w:r>
        <w:t xml:space="preserve"> </w:t>
      </w:r>
      <w:hyperlink w:anchor="ref-7">
        <w:r>
          <w:rPr>
            <w:rStyle w:val="Hyperlink"/>
          </w:rPr>
          <w:t xml:space="preserve">[7]</w:t>
        </w:r>
      </w:hyperlink>
      <w:r>
        <w:t xml:space="preserve"> </w:t>
      </w:r>
      <w:r>
        <w:t xml:space="preserve">and the transition to 14 CFR Part 450 in 2020</w:t>
      </w:r>
      <w:r>
        <w:t xml:space="preserve"> </w:t>
      </w:r>
      <w:hyperlink w:anchor="ref-23">
        <w:r>
          <w:rPr>
            <w:rStyle w:val="Hyperlink"/>
          </w:rPr>
          <w:t xml:space="preserve">[23]</w:t>
        </w:r>
      </w:hyperlink>
      <w:r>
        <w:t xml:space="preserve"> </w:t>
      </w:r>
      <w:r>
        <w:t xml:space="preserve">are the two confirmed structural breaks. The empirical chapter partitions the panel around these breaks and reports the precedence test within each sub-period.</w:t>
      </w:r>
    </w:p>
    <w:p>
      <w:pPr>
        <w:pStyle w:val="BodyText"/>
        <w:spacing w:line="480" w:lineRule="auto"/>
        <w:ind w:firstLine="720"/>
      </w:pPr>
      <w:r>
        <w:t xml:space="preserve">Fourth, the framework restricts its causal claim to predictive precedence and does not assert a structural causal relationship. The dissertation does not have an instrument that shifts premiums without also shifting the information set available to regulators, and it does not assert that policy interventions on the premium rate would change the regulatory output. The substantive claim is informational. The substantive policy implication of a successful rejection of H0 is that the launch insurance market is the appropriate first place to look for emerging systemic exposure, not that the insurance market is the structural cause of regulatory action.</w:t>
      </w:r>
    </w:p>
    <w:bookmarkEnd w:id="87"/>
    <w:bookmarkStart w:id="88" w:name="summary"/>
    <w:p>
      <w:pPr>
        <w:pStyle w:val="Heading2"/>
        <w:spacing w:line="480" w:lineRule="auto"/>
      </w:pPr>
      <w:r>
        <w:t xml:space="preserve">3.8 Summary</w:t>
      </w:r>
    </w:p>
    <w:p>
      <w:pPr>
        <w:pStyle w:val="FirstParagraph"/>
        <w:spacing w:line="480" w:lineRule="auto"/>
      </w:pPr>
      <w:r>
        <w:t xml:space="preserve">The chapter has established that the launch insurance market is, in principle, a forward-looking signal whose informational content is disciplined by capital at risk, that the regulatory apparatus is a parallel but procedurally constrained signal, and that three independent mechanisms predict that the insurance stream will move first when the two streams encode the same underlying shift in expected loss. The chapter has translated these mechanisms into a predictive-precedence test and has stated the primary null H0, the primary alternative H1, the auxiliary symmetric null H0’, and the auxiliary symmetric alternative H1’ that jointly partition the policy interpretation space. The next chapter operationalizes these hypotheses in the bivariate vector autoregression with exogenous covariates specified in the prospectus, deploys the Toda-Yamamoto procedure to accommodate the possible non-stationarity of the regulatory count series, and reports the precedence tests across the full window and across the sub-periods defined by the two confirmed structural breaks.</w:t>
      </w:r>
    </w:p>
    <w:bookmarkEnd w:id="88"/>
    <w:bookmarkEnd w:id="89"/>
    <w:bookmarkStart w:id="101" w:name="chapter-4.-data-and-measurement"/>
    <w:p>
      <w:pPr>
        <w:pStyle w:val="Heading1"/>
        <w:spacing w:line="480" w:lineRule="auto"/>
      </w:pPr>
      <w:r>
        <w:t xml:space="preserve">Chapter 4. Data and Measurement</w:t>
      </w:r>
    </w:p>
    <w:bookmarkStart w:id="90" w:name="purpose-of-the-chapter-1"/>
    <w:p>
      <w:pPr>
        <w:pStyle w:val="Heading2"/>
        <w:spacing w:line="480" w:lineRule="auto"/>
      </w:pPr>
      <w:r>
        <w:t xml:space="preserve">4.1 Purpose of the Chapter</w:t>
      </w:r>
    </w:p>
    <w:p>
      <w:pPr>
        <w:pStyle w:val="FirstParagraph"/>
        <w:spacing w:line="480" w:lineRule="auto"/>
      </w:pPr>
      <w:r>
        <w:t xml:space="preserve">This chapter documents the empirical foundation of the dissertation. It specifies the datasets used in the two component papers, their authoritative sources, the unit of analysis at which each variable is measured, and the construction rules by which each variable is derived from primary records. The chapter is written so that a reader equipped with the cited public archives could, in principle, reconstruct every series used in the regressions reported in the two research papers and in the planned panel extension. The intent is that the measurement layer of the dissertation be auditable in its entirety, with no quantity in the empirical chapters that does not trace to a published record.</w:t>
      </w:r>
    </w:p>
    <w:p>
      <w:pPr>
        <w:pStyle w:val="BodyText"/>
        <w:spacing w:line="480" w:lineRule="auto"/>
        <w:ind w:firstLine="720"/>
      </w:pPr>
      <w:r>
        <w:t xml:space="preserve">The two component papers share an underlying empirical posture but differ in window, dependent variable construction, and the operationalization of the regulatory channel. Paper One estimates an ordinary least squares model of the annual average commercial launch insurance premium rate from 1998 through 2024 against a regulatory intensity index, a trailing failure count, a heritage flights average, and a post 2004 indicator that absorbs the discrete legal break introduced by the Commercial Space Launch Amendments Act</w:t>
      </w:r>
      <w:r>
        <w:t xml:space="preserve"> </w:t>
      </w:r>
      <w:hyperlink w:anchor="ref-7">
        <w:r>
          <w:rPr>
            <w:rStyle w:val="Hyperlink"/>
          </w:rPr>
          <w:t xml:space="preserve">[7]</w:t>
        </w:r>
      </w:hyperlink>
      <w:r>
        <w:t xml:space="preserve">. Paper Two estimates a parallel ordinary least squares model on a slightly narrower 2003 through 2024 window, replacing the trailing failure construction with an industry loss ratio and the heritage construction with global orbital launches, and recoding the regulatory channel as a hand coded regulatory burden index normalized to a 2003 baseline. The two papers therefore represent two construction choices over the same underlying market record, and the present chapter treats both constructions as objects of measurement in their own right. The full panel extension proposed in the dissertation prospectus pushes the resolution to the launch quarter and adds a regulatory event count partitioned by act type, but the measurement primitives below are sufficient to define each of those quarterly variables as aggregations of the same primary records.</w:t>
      </w:r>
    </w:p>
    <w:bookmarkEnd w:id="90"/>
    <w:bookmarkStart w:id="91" w:name="unit-of-analysis"/>
    <w:p>
      <w:pPr>
        <w:pStyle w:val="Heading2"/>
        <w:spacing w:line="480" w:lineRule="auto"/>
      </w:pPr>
      <w:r>
        <w:t xml:space="preserve">4.2 Unit of Analysis</w:t>
      </w:r>
    </w:p>
    <w:p>
      <w:pPr>
        <w:pStyle w:val="FirstParagraph"/>
        <w:spacing w:line="480" w:lineRule="auto"/>
      </w:pPr>
      <w:r>
        <w:t xml:space="preserve">The unit of analysis in Paper One is the calendar year of commercial launch activity worldwide, indexed from 1998 through 2024, yielding twenty seven annual observations. Paper Two uses the same calendar year unit but begins in 2003 to align the dependent variable to the first sigma review that reports a composite global premium rate on the methodology that has since been continued by the Swiss Re Institute, and accordingly carries twenty two annual observations</w:t>
      </w:r>
      <w:r>
        <w:t xml:space="preserve"> </w:t>
      </w:r>
      <w:hyperlink w:anchor="ref-18">
        <w:r>
          <w:rPr>
            <w:rStyle w:val="Hyperlink"/>
          </w:rPr>
          <w:t xml:space="preserve">[18]</w:t>
        </w:r>
      </w:hyperlink>
      <w:r>
        <w:t xml:space="preserve">. The dissertation extension defined in the prospectus refines the unit to the launch quarter from 2000 through 2025, indexing one hundred and four quarters. The quarterly aggregation is necessary to identify lead lag structure at policy relevant horizons of one to four quarters, which the annual panels cannot identify by construction. All three units are nested. The quarterly panel collapses to the annual panel of Paper One by summing flow variables within calendar year and to the annual panel of Paper Two by restricting the start year and substituting the alternate dependent variable construction. Variables that enter both papers are constructed at the finest available primary resolution and then aggregated to the unit of analysis required by the specification.</w:t>
      </w:r>
    </w:p>
    <w:bookmarkEnd w:id="91"/>
    <w:bookmarkStart w:id="92" w:name="authoritative-sources"/>
    <w:p>
      <w:pPr>
        <w:pStyle w:val="Heading2"/>
        <w:spacing w:line="480" w:lineRule="auto"/>
      </w:pPr>
      <w:r>
        <w:t xml:space="preserve">4.3 Authoritative Sources</w:t>
      </w:r>
    </w:p>
    <w:p>
      <w:pPr>
        <w:pStyle w:val="FirstParagraph"/>
        <w:spacing w:line="480" w:lineRule="auto"/>
      </w:pPr>
      <w:r>
        <w:t xml:space="preserve">Four authoritative source families underlie the dissertation. They are listed here once and referenced throughout the variable construction sections that follow.</w:t>
      </w:r>
    </w:p>
    <w:p>
      <w:pPr>
        <w:pStyle w:val="BodyText"/>
        <w:spacing w:line="480" w:lineRule="auto"/>
        <w:ind w:firstLine="720"/>
      </w:pPr>
      <w:r>
        <w:t xml:space="preserve">The first authoritative family is the Federal Aviation Administration Office of Commercial Space Transportation Annual Compendium of Commercial Space Transportation, in the editions covering 2003 through 2024</w:t>
      </w:r>
      <w:r>
        <w:t xml:space="preserve"> </w:t>
      </w:r>
      <w:hyperlink w:anchor="ref-14">
        <w:r>
          <w:rPr>
            <w:rStyle w:val="Hyperlink"/>
          </w:rPr>
          <w:t xml:space="preserve">[14]</w:t>
        </w:r>
      </w:hyperlink>
      <w:r>
        <w:t xml:space="preserve">[22]. The Compendium is the canonical United States public record of commercial launch licensing activity. It reports, by year and where relevant by license, the count of active launch licenses, the count of license issuances and modifications, the count of mishap investigations opened and closed, the count of orbital launches conducted under the United States licensing regime, the count and identity of launch vehicles certified for commercial use, and the cumulative flight heritage of each active vehicle family. The Compendium is the source of record for the regulatory action series, the trailing failure count, the heritage flights average, the active license count, and the United States subset of the global launch count.</w:t>
      </w:r>
    </w:p>
    <w:p>
      <w:pPr>
        <w:pStyle w:val="BodyText"/>
        <w:spacing w:line="480" w:lineRule="auto"/>
        <w:ind w:firstLine="720"/>
      </w:pPr>
      <w:r>
        <w:t xml:space="preserve">The second authoritative family is the Federal Register, queried through the Office of the Federal Register electronic system for entries touching commercial space transportation under the agencies of the Federal Aviation Administration Office of Commercial Space Transportation and the Federal Communications Commission Part 25 docket</w:t>
      </w:r>
      <w:r>
        <w:t xml:space="preserve"> </w:t>
      </w:r>
      <w:hyperlink w:anchor="ref-15">
        <w:r>
          <w:rPr>
            <w:rStyle w:val="Hyperlink"/>
          </w:rPr>
          <w:t xml:space="preserve">[15]</w:t>
        </w:r>
      </w:hyperlink>
      <w:r>
        <w:t xml:space="preserve">. The 2020 final rule at 85 FR 79566, which promulgated 14 CFR Part 450 on streamlined launch and reentry license requirements, enters the regulatory channel as a discrete codified event and as a component of the regulatory burden index that distinguishes Paper Two from Paper One</w:t>
      </w:r>
      <w:r>
        <w:t xml:space="preserve"> </w:t>
      </w:r>
      <w:hyperlink w:anchor="ref-23">
        <w:r>
          <w:rPr>
            <w:rStyle w:val="Hyperlink"/>
          </w:rPr>
          <w:t xml:space="preserve">[23]</w:t>
        </w:r>
      </w:hyperlink>
      <w:r>
        <w:t xml:space="preserve">. The Federal Communications Commission Part 25 streamlining proceedings under docket 11 149 and order FCC 18 159 are included on the same basis</w:t>
      </w:r>
      <w:r>
        <w:t xml:space="preserve"> </w:t>
      </w:r>
      <w:hyperlink w:anchor="ref-24">
        <w:r>
          <w:rPr>
            <w:rStyle w:val="Hyperlink"/>
          </w:rPr>
          <w:t xml:space="preserve">[24]</w:t>
        </w:r>
      </w:hyperlink>
      <w:r>
        <w:t xml:space="preserve">.</w:t>
      </w:r>
    </w:p>
    <w:p>
      <w:pPr>
        <w:pStyle w:val="BodyText"/>
        <w:spacing w:line="480" w:lineRule="auto"/>
        <w:ind w:firstLine="720"/>
      </w:pPr>
      <w:r>
        <w:t xml:space="preserve">The third authoritative family is the published commercial insurance market record. Three publishers are used. The Marsh McLennan Space Projects Insurance Report and the successor Marsh McLennan Space Insurance Outlook are the sources of record for the broker level commentary on premium rate movement and on the composite premium rate as a percentage of insured value</w:t>
      </w:r>
      <w:r>
        <w:t xml:space="preserve"> </w:t>
      </w:r>
      <w:hyperlink w:anchor="ref-11">
        <w:r>
          <w:rPr>
            <w:rStyle w:val="Hyperlink"/>
          </w:rPr>
          <w:t xml:space="preserve">[11]</w:t>
        </w:r>
      </w:hyperlink>
      <w:r>
        <w:t xml:space="preserve">[12]. The Aon ISB Space Insurance Update and the successor Aon Space Sector Briefing are the parallel publications from the second broker</w:t>
      </w:r>
      <w:r>
        <w:t xml:space="preserve"> </w:t>
      </w:r>
      <w:hyperlink w:anchor="ref-13">
        <w:r>
          <w:rPr>
            <w:rStyle w:val="Hyperlink"/>
          </w:rPr>
          <w:t xml:space="preserve">[13]</w:t>
        </w:r>
      </w:hyperlink>
      <w:r>
        <w:t xml:space="preserve">. The Swiss Re Institute sigma series, in the editions reviewing space insurance from sigma 1 2004 and sigma 2 2005 forward through the natural catastrophes and space insurance series of 2010 through 2021, is the source of record for the composite global premium rate that is the dependent variable of Paper Two</w:t>
      </w:r>
      <w:r>
        <w:t xml:space="preserve"> </w:t>
      </w:r>
      <w:hyperlink w:anchor="ref-18">
        <w:r>
          <w:rPr>
            <w:rStyle w:val="Hyperlink"/>
          </w:rPr>
          <w:t xml:space="preserve">[18]</w:t>
        </w:r>
      </w:hyperlink>
      <w:r>
        <w:t xml:space="preserve">[19]. The three publishers are independent of one another and are used in conjunction so that each annual figure entering the dependent variable can be cross checked against at least one secondary publication, with the source actually used in any year recorded in the source column of the workbook so that the citation chain is fully reconstructible.</w:t>
      </w:r>
    </w:p>
    <w:p>
      <w:pPr>
        <w:pStyle w:val="BodyText"/>
        <w:spacing w:line="480" w:lineRule="auto"/>
        <w:ind w:firstLine="720"/>
      </w:pPr>
      <w:r>
        <w:t xml:space="preserve">The fourth authoritative family is the Government Accountability Office oversight literature on the National Aeronautics and Space Administration major project portfolio and on the Federal Aviation Administration Office of Commercial Space Transportation. The relevant reports are GAO 23 105561, GAO 24 106767, and GAO 25 107591, the last of which is used to corroborate the qualitative direction of the post 2022 insurance market characterization in the two annual cells of the Paper One premium series that are marked illustrative</w:t>
      </w:r>
      <w:r>
        <w:t xml:space="preserve"> </w:t>
      </w:r>
      <w:hyperlink w:anchor="ref-10">
        <w:r>
          <w:rPr>
            <w:rStyle w:val="Hyperlink"/>
          </w:rPr>
          <w:t xml:space="preserve">[10]</w:t>
        </w:r>
      </w:hyperlink>
      <w:r>
        <w:t xml:space="preserve">[16][25]. The Government Accountability Office literature also enters the dissertation indirectly as a check on the realism of the regulatory burden index, because regulatory action that is reported in the oversight literature but not in the Compendium triggers a manual review of the index for the affected year.</w:t>
      </w:r>
    </w:p>
    <w:p>
      <w:pPr>
        <w:pStyle w:val="BodyText"/>
        <w:spacing w:line="480" w:lineRule="auto"/>
        <w:ind w:firstLine="720"/>
      </w:pPr>
      <w:r>
        <w:t xml:space="preserve">Two additional citation families appear in the prospectus and in the two papers and are catalogued here for completeness. The AMOS technical literature on the qualitative state of the space insurance market and on the cost structure of geostationary slot insurance is used to validate the directional movement of the constructed premium series at the annual level and is not used to construct any quantitative variable directly</w:t>
      </w:r>
      <w:r>
        <w:t xml:space="preserve"> </w:t>
      </w:r>
      <w:hyperlink w:anchor="ref-1">
        <w:r>
          <w:rPr>
            <w:rStyle w:val="Hyperlink"/>
          </w:rPr>
          <w:t xml:space="preserve">[1]</w:t>
        </w:r>
      </w:hyperlink>
      <w:r>
        <w:t xml:space="preserve">[2][8][20][21][26][27][28]. The McKnight projection on the relationship between collision risk and premium rate enters the theory chapter as motivation for the loss ratio channel and is not used to construct any quantitative variable</w:t>
      </w:r>
      <w:r>
        <w:t xml:space="preserve"> </w:t>
      </w:r>
      <w:hyperlink w:anchor="ref-3">
        <w:r>
          <w:rPr>
            <w:rStyle w:val="Hyperlink"/>
          </w:rPr>
          <w:t xml:space="preserve">[3]</w:t>
        </w:r>
      </w:hyperlink>
      <w:r>
        <w:t xml:space="preserve">[9][29]. The Acta Astronautica outreach literature on space traffic management is used to validate the regulatory channel against a parallel international stream and is not used to construct any quantitative variable</w:t>
      </w:r>
      <w:r>
        <w:t xml:space="preserve"> </w:t>
      </w:r>
      <w:hyperlink w:anchor="ref-17">
        <w:r>
          <w:rPr>
            <w:rStyle w:val="Hyperlink"/>
          </w:rPr>
          <w:t xml:space="preserve">[17]</w:t>
        </w:r>
      </w:hyperlink>
      <w:r>
        <w:t xml:space="preserve">[36].</w:t>
      </w:r>
    </w:p>
    <w:bookmarkEnd w:id="92"/>
    <w:bookmarkStart w:id="93" w:name="construction-of-the-dependent-variable"/>
    <w:p>
      <w:pPr>
        <w:pStyle w:val="Heading2"/>
        <w:spacing w:line="480" w:lineRule="auto"/>
      </w:pPr>
      <w:r>
        <w:t xml:space="preserve">4.4 Construction of the Dependent Variable</w:t>
      </w:r>
    </w:p>
    <w:p>
      <w:pPr>
        <w:pStyle w:val="FirstParagraph"/>
        <w:spacing w:line="480" w:lineRule="auto"/>
      </w:pPr>
      <w:r>
        <w:t xml:space="preserve">The dependent variable in both papers is the commercial launch insurance premium rate expressed as a percentage of insured value. The construction differs between the two papers in the publisher hierarchy used and in the treatment of years for which the broker level publications do not yet report a calendar year figure.</w:t>
      </w:r>
    </w:p>
    <w:p>
      <w:pPr>
        <w:pStyle w:val="BodyText"/>
        <w:spacing w:line="480" w:lineRule="auto"/>
        <w:ind w:firstLine="720"/>
      </w:pPr>
      <w:r>
        <w:t xml:space="preserve">In Paper One the dependent variable is the annual average commercial launch insurance premium rate as a percent of insured value, drawn primarily from the Marsh McLennan Space Projects Insurance Report and the successor Marsh McLennan Space Insurance Outlook, with the Aon ISB Space Insurance Update and the Aon Space Sector Briefing entering when the Marsh series does not report a figure for the year in question [5 in Paper One, mapped to refs pool 11 and 12][6 in Paper One, mapped to refs pool 12][7 in Paper One, mapped to refs pool 13]. The construction rule is that the Marsh figure is preferred when available, the Aon figure is substituted when Marsh is silent for the year, and the average of Marsh and Aon is used when the two publishers disagree by more than fifty basis points in the same year. The dependent variable is recorded to two decimal places. Two recent rows for calendar 2023 and 2024 are marked illustrative in the workbook source column because neither Marsh nor Aon publish a calendar 2023 or 2024 average rate at the resolution required for inclusion as a clean observation, and the values used are linearly interpolated against the published 2022 figure and the 2024 oversight narrative on insurance market conditions reported in GAO 25 107591</w:t>
      </w:r>
      <w:r>
        <w:t xml:space="preserve"> </w:t>
      </w:r>
      <w:hyperlink w:anchor="ref-10">
        <w:r>
          <w:rPr>
            <w:rStyle w:val="Hyperlink"/>
          </w:rPr>
          <w:t xml:space="preserve">[10]</w:t>
        </w:r>
      </w:hyperlink>
      <w:r>
        <w:t xml:space="preserve">. The illustrative share is below ten percent of observations.</w:t>
      </w:r>
    </w:p>
    <w:p>
      <w:pPr>
        <w:pStyle w:val="BodyText"/>
        <w:spacing w:line="480" w:lineRule="auto"/>
        <w:ind w:firstLine="720"/>
      </w:pPr>
      <w:r>
        <w:t xml:space="preserve">In Paper Two the dependent variable is the composite global launch insurance premium rate reported in the Swiss Re Institute sigma reviews and in the Aon and Marsh year end Space Market Updates</w:t>
      </w:r>
      <w:r>
        <w:t xml:space="preserve"> </w:t>
      </w:r>
      <w:hyperlink w:anchor="ref-18">
        <w:r>
          <w:rPr>
            <w:rStyle w:val="Hyperlink"/>
          </w:rPr>
          <w:t xml:space="preserve">[18]</w:t>
        </w:r>
      </w:hyperlink>
      <w:r>
        <w:t xml:space="preserve">[19]. The Swiss Re sigma series is preferred when available because the sigma methodology is consistent across years and is the publisher most likely to be cited by the parallel literature as the reference series. The Aon and Marsh year end updates enter as the second tier source. The construction rule is that the Swiss Re figure is preferred, the Aon or Marsh figure is substituted when Swiss Re is silent, and the average is used when the two disagree by more than fifty basis points. Two cells are marked illustrative where the underlying broker publication was not retrievable, and both are clearly flagged in the workbook source column. The illustrative share is again below ten percent of cells.</w:t>
      </w:r>
    </w:p>
    <w:p>
      <w:pPr>
        <w:pStyle w:val="BodyText"/>
        <w:spacing w:line="480" w:lineRule="auto"/>
        <w:ind w:firstLine="720"/>
      </w:pPr>
      <w:r>
        <w:t xml:space="preserve">The construction primitives below the annual aggregation are the publicly disclosed individual launch insurance placements reported in the trade press across the window, with the broker level publications providing the volume weighted annual aggregation that enters the dissertation as the dependent variable. The dissertation does not attempt to reconstruct the volume weighting from the underlying placements because the volume weights used by the brokers are not published. The trade press disclosures are used only to validate the directional movement of the broker published annual aggregate.</w:t>
      </w:r>
    </w:p>
    <w:bookmarkEnd w:id="93"/>
    <w:bookmarkStart w:id="94" w:name="construction-of-the-regulatory-channel"/>
    <w:p>
      <w:pPr>
        <w:pStyle w:val="Heading2"/>
        <w:spacing w:line="480" w:lineRule="auto"/>
      </w:pPr>
      <w:r>
        <w:t xml:space="preserve">4.5 Construction of the Regulatory Channel</w:t>
      </w:r>
    </w:p>
    <w:p>
      <w:pPr>
        <w:pStyle w:val="FirstParagraph"/>
        <w:spacing w:line="480" w:lineRule="auto"/>
      </w:pPr>
      <w:r>
        <w:t xml:space="preserve">The regulatory channel is operationalized in two different ways in the two papers, and in a third way in the dissertation panel extension, and the three operationalizations are catalogued separately.</w:t>
      </w:r>
    </w:p>
    <w:p>
      <w:pPr>
        <w:pStyle w:val="BodyText"/>
        <w:spacing w:line="480" w:lineRule="auto"/>
        <w:ind w:firstLine="720"/>
      </w:pPr>
      <w:r>
        <w:t xml:space="preserve">In Paper One the regulatory channel is a regulatory intensity index constructed annually from two primary records. The first record is the count of regulatory actions reported in the Federal Aviation Administration Office of Commercial Space Transportation Annual Compendium, with each license issuance, license modification, mishap investigation opening, mishap investigation closing, and rule making milestone counted as a single regulatory action</w:t>
      </w:r>
      <w:r>
        <w:t xml:space="preserve"> </w:t>
      </w:r>
      <w:hyperlink w:anchor="ref-14">
        <w:r>
          <w:rPr>
            <w:rStyle w:val="Hyperlink"/>
          </w:rPr>
          <w:t xml:space="preserve">[14]</w:t>
        </w:r>
      </w:hyperlink>
      <w:r>
        <w:t xml:space="preserve">. The second record is the count of Federal Register entries touching commercial space transportation under the Office of Commercial Space Transportation and Federal Communications Commission Part 25 dockets for the calendar year</w:t>
      </w:r>
      <w:r>
        <w:t xml:space="preserve"> </w:t>
      </w:r>
      <w:hyperlink w:anchor="ref-15">
        <w:r>
          <w:rPr>
            <w:rStyle w:val="Hyperlink"/>
          </w:rPr>
          <w:t xml:space="preserve">[15]</w:t>
        </w:r>
      </w:hyperlink>
      <w:r>
        <w:t xml:space="preserve">. The regulatory intensity index is the sum of the two counts, normalized to its 1998 value. A post 2004 indicator is constructed as a binary variable taking the value zero in calendar years 1998 through 2003 and the value one in calendar years 2004 through 2024, with the discrete break aligned to the enactment of the Commercial Space Launch Amendments Act</w:t>
      </w:r>
      <w:r>
        <w:t xml:space="preserve"> </w:t>
      </w:r>
      <w:hyperlink w:anchor="ref-7">
        <w:r>
          <w:rPr>
            <w:rStyle w:val="Hyperlink"/>
          </w:rPr>
          <w:t xml:space="preserve">[7]</w:t>
        </w:r>
      </w:hyperlink>
      <w:r>
        <w:t xml:space="preserve">.</w:t>
      </w:r>
    </w:p>
    <w:p>
      <w:pPr>
        <w:pStyle w:val="BodyText"/>
        <w:spacing w:line="480" w:lineRule="auto"/>
        <w:ind w:firstLine="720"/>
      </w:pPr>
      <w:r>
        <w:t xml:space="preserve">In Paper Two the regulatory channel is a regulatory burden index hand coded from the same Compendium and Federal Register sources but recoded to capture the substantive content of the rule activity rather than its raw count. The construction rule begins from the 2003 calendar year, which is normalized to a value of one. Each subsequent year is recoded by reviewing the rule activity in the Compendium and the Federal Register for that year and assigning a continuous score that captures whether the rule activity tightened, loosened, or left unchanged the substantive burden faced by a commercial launch licensee. The 14 CFR Part 450 final rule of 2020, which streamlined launch and reentry license requirements, is coded as a substantive loosening of the licensee facing burden notwithstanding that it expanded the absolute count of regulatory pages, on the construction principle that the substantive content of the rule is the criterion of interest</w:t>
      </w:r>
      <w:r>
        <w:t xml:space="preserve"> </w:t>
      </w:r>
      <w:hyperlink w:anchor="ref-23">
        <w:r>
          <w:rPr>
            <w:rStyle w:val="Hyperlink"/>
          </w:rPr>
          <w:t xml:space="preserve">[23]</w:t>
        </w:r>
      </w:hyperlink>
      <w:r>
        <w:t xml:space="preserve">. The Federal Communications Commission Part 25 streamlining proceedings under docket 11 149 and order FCC 18 159 are coded on the same principle</w:t>
      </w:r>
      <w:r>
        <w:t xml:space="preserve"> </w:t>
      </w:r>
      <w:hyperlink w:anchor="ref-24">
        <w:r>
          <w:rPr>
            <w:rStyle w:val="Hyperlink"/>
          </w:rPr>
          <w:t xml:space="preserve">[24]</w:t>
        </w:r>
      </w:hyperlink>
      <w:r>
        <w:t xml:space="preserve">. The resulting regulatory burden index is an ordinal scalar compressed onto a continuous scale.</w:t>
      </w:r>
    </w:p>
    <w:p>
      <w:pPr>
        <w:pStyle w:val="BodyText"/>
        <w:spacing w:line="480" w:lineRule="auto"/>
        <w:ind w:firstLine="720"/>
      </w:pPr>
      <w:r>
        <w:t xml:space="preserve">In the dissertation panel extension the regulatory channel is recoded a third time at the launch quarter resolution as three separate count series, in keeping with the prospectus. The first count is mishap investigation openings and closings per quarter, drawn from the Compendium and timestamped to the day of the underlying action</w:t>
      </w:r>
      <w:r>
        <w:t xml:space="preserve"> </w:t>
      </w:r>
      <w:hyperlink w:anchor="ref-14">
        <w:r>
          <w:rPr>
            <w:rStyle w:val="Hyperlink"/>
          </w:rPr>
          <w:t xml:space="preserve">[14]</w:t>
        </w:r>
      </w:hyperlink>
      <w:r>
        <w:t xml:space="preserve">. The second count is license issuances and modifications per quarter, drawn from the same source. The third count is rule making milestones per quarter, drawn from the Federal Register search and including notices of proposed rule making, final rules, and effective dates</w:t>
      </w:r>
      <w:r>
        <w:t xml:space="preserve"> </w:t>
      </w:r>
      <w:hyperlink w:anchor="ref-15">
        <w:r>
          <w:rPr>
            <w:rStyle w:val="Hyperlink"/>
          </w:rPr>
          <w:t xml:space="preserve">[15]</w:t>
        </w:r>
      </w:hyperlink>
      <w:r>
        <w:t xml:space="preserve">. The three counts are entered separately as endogenous variables in the vector autoregression with exogenous covariates that the prospectus specifies. A continuous regulatory intensity index, constructed as the sum of the three counts smoothed over a rolling four quarter window, enters the robustness suite as a substitute for the count partition.</w:t>
      </w:r>
    </w:p>
    <w:bookmarkEnd w:id="94"/>
    <w:bookmarkStart w:id="95" w:name="construction-of-the-reliability-channel"/>
    <w:p>
      <w:pPr>
        <w:pStyle w:val="Heading2"/>
        <w:spacing w:line="480" w:lineRule="auto"/>
      </w:pPr>
      <w:r>
        <w:t xml:space="preserve">4.6 Construction of the Reliability Channel</w:t>
      </w:r>
    </w:p>
    <w:p>
      <w:pPr>
        <w:pStyle w:val="FirstParagraph"/>
        <w:spacing w:line="480" w:lineRule="auto"/>
      </w:pPr>
      <w:r>
        <w:t xml:space="preserve">The reliability channel enters the two papers in different forms.</w:t>
      </w:r>
    </w:p>
    <w:p>
      <w:pPr>
        <w:pStyle w:val="BodyText"/>
        <w:spacing w:line="480" w:lineRule="auto"/>
        <w:ind w:firstLine="720"/>
      </w:pPr>
      <w:r>
        <w:t xml:space="preserve">In Paper One the reliability channel is constructed from two variables drawn from the Federal Aviation Administration Compendium failure tables</w:t>
      </w:r>
      <w:r>
        <w:t xml:space="preserve"> </w:t>
      </w:r>
      <w:hyperlink w:anchor="ref-14">
        <w:r>
          <w:rPr>
            <w:rStyle w:val="Hyperlink"/>
          </w:rPr>
          <w:t xml:space="preserve">[14]</w:t>
        </w:r>
      </w:hyperlink>
      <w:r>
        <w:t xml:space="preserve">. The first variable is the trailing five year failure count, defined as the sum of orbital launch failures involving commercial launch vehicles across the five calendar years ending in the year of observation. A failure is counted when the Compendium failure table records a vehicle failure to reach intended orbit, regardless of whether the payload was recovered or the mission was subsequently re flown. The second variable is the heritage flights average, defined as the average across active commercial launch vehicle families of the cumulative number of flights conducted by the family through the year of observation. A vehicle family is treated as active if the Compendium licensing table records at least one license issuance or modification for the family in the year of observation or in the three preceding calendar years. The heritage flights average therefore declines when a new vehicle family enters service and rises when established families continue to fly without the entry of new families.</w:t>
      </w:r>
    </w:p>
    <w:p>
      <w:pPr>
        <w:pStyle w:val="BodyText"/>
        <w:spacing w:line="480" w:lineRule="auto"/>
        <w:ind w:firstLine="720"/>
      </w:pPr>
      <w:r>
        <w:t xml:space="preserve">In Paper Two the reliability channel is constructed as the industry loss ratio for space risks, taken directly from the Swiss Re sigma series and from the Aon and Marsh year end Space Market Updates</w:t>
      </w:r>
      <w:r>
        <w:t xml:space="preserve"> </w:t>
      </w:r>
      <w:hyperlink w:anchor="ref-18">
        <w:r>
          <w:rPr>
            <w:rStyle w:val="Hyperlink"/>
          </w:rPr>
          <w:t xml:space="preserve">[18]</w:t>
        </w:r>
      </w:hyperlink>
      <w:r>
        <w:t xml:space="preserve">[19]. The loss ratio is recorded as the ratio of claims paid in the calendar year to gross premium written in the calendar year, expressed as a percentage. The publisher hierarchy follows the dependent variable construction in Paper Two, with Swiss Re preferred and the broker publications substituted when Swiss Re is silent.</w:t>
      </w:r>
    </w:p>
    <w:p>
      <w:pPr>
        <w:pStyle w:val="BodyText"/>
        <w:spacing w:line="480" w:lineRule="auto"/>
        <w:ind w:firstLine="720"/>
      </w:pPr>
      <w:r>
        <w:t xml:space="preserve">In the dissertation panel extension the reliability channel is recoded at the launch quarter resolution. The trailing failure count of Paper One is reconstructed as a rolling twenty quarter sum of orbital launch failures involving commercial launch vehicles, drawn from the Compendium failure tables and timestamped to the quarter of the failure event</w:t>
      </w:r>
      <w:r>
        <w:t xml:space="preserve"> </w:t>
      </w:r>
      <w:hyperlink w:anchor="ref-14">
        <w:r>
          <w:rPr>
            <w:rStyle w:val="Hyperlink"/>
          </w:rPr>
          <w:t xml:space="preserve">[14]</w:t>
        </w:r>
      </w:hyperlink>
      <w:r>
        <w:t xml:space="preserve">. The heritage flights average is recoded as a rolling four quarter average across active commercial launch vehicle families. The loss ratio is not used in the quarterly panel because no publisher reports the loss ratio at a quarterly frequency.</w:t>
      </w:r>
    </w:p>
    <w:bookmarkEnd w:id="95"/>
    <w:bookmarkStart w:id="96" w:name="construction-of-the-exposure-controls"/>
    <w:p>
      <w:pPr>
        <w:pStyle w:val="Heading2"/>
        <w:spacing w:line="480" w:lineRule="auto"/>
      </w:pPr>
      <w:r>
        <w:t xml:space="preserve">4.7 Construction of the Exposure Controls</w:t>
      </w:r>
    </w:p>
    <w:p>
      <w:pPr>
        <w:pStyle w:val="FirstParagraph"/>
        <w:spacing w:line="480" w:lineRule="auto"/>
      </w:pPr>
      <w:r>
        <w:t xml:space="preserve">Two exposure controls enter the empirical specifications. The first is the count of global orbital launches in the calendar year, taken from the Federal Aviation Administration Compendium global launch table cross checked against the published launch logs of the major launch service providers</w:t>
      </w:r>
      <w:r>
        <w:t xml:space="preserve"> </w:t>
      </w:r>
      <w:hyperlink w:anchor="ref-14">
        <w:r>
          <w:rPr>
            <w:rStyle w:val="Hyperlink"/>
          </w:rPr>
          <w:t xml:space="preserve">[14]</w:t>
        </w:r>
      </w:hyperlink>
      <w:r>
        <w:t xml:space="preserve">. The construction rule is that the Compendium count is preferred and the published launch logs of the major launch service providers are used to verify the Compendium count, with any disagreement of more than two launches in a calendar year triggering a manual review of the underlying records. The second exposure control is the aggregate insured value across commercial launches in the calendar year, which the State of the Satellite Industry Report published by the Satellite Industry Association reports as an annual aggregate together with annual launch counts and qualitative commentary on the launch insurance market. The annual cadence of the Satellite Industry Association report is interpolated to quarterly resolution in the dissertation panel extension using the Compendium launch manifest as the quarterly weighting variable.</w:t>
      </w:r>
    </w:p>
    <w:bookmarkEnd w:id="96"/>
    <w:bookmarkStart w:id="97" w:name="variable-reconciliation-across-papers"/>
    <w:p>
      <w:pPr>
        <w:pStyle w:val="Heading2"/>
        <w:spacing w:line="480" w:lineRule="auto"/>
      </w:pPr>
      <w:r>
        <w:t xml:space="preserve">4.8 Variable Reconciliation Across Papers</w:t>
      </w:r>
    </w:p>
    <w:p>
      <w:pPr>
        <w:pStyle w:val="FirstParagraph"/>
        <w:spacing w:line="480" w:lineRule="auto"/>
      </w:pPr>
      <w:r>
        <w:t xml:space="preserve">Three reconciliation issues across the two papers deserve explicit attention. First, the dependent variable in Paper One and the dependent variable in Paper Two are not identical even though they are both labelled premium rates. Paper One reports the Marsh and Aon annual average rate on insured value, while Paper Two reports the Swiss Re composite global premium rate. The two series are correlated but not identical and the dissertation does not pool them. The robustness suite of the panel extension substitutes one for the other to test whether the directional findings are sensitive to the publisher hierarchy. Second, the regulatory intensity index of Paper One and the regulatory burden index of Paper Two are constructed from the same underlying records but differ in the coding rule. The dissertation panel extension drops both compressed indices in favour of the disaggregated three count partition, and the two compressed indices then enter the robustness suite as alternative specifications. Third, the trailing five year failure count of Paper One and the loss ratio of Paper Two are conceptually distinct measures of reliability, and the dissertation panel extension carries both forward at the quarterly resolution where the underlying records support it.</w:t>
      </w:r>
    </w:p>
    <w:bookmarkEnd w:id="97"/>
    <w:bookmarkStart w:id="98" w:name="X6fda13a81480d179ae6f909d5989ab438924d6e"/>
    <w:p>
      <w:pPr>
        <w:pStyle w:val="Heading2"/>
        <w:spacing w:line="480" w:lineRule="auto"/>
      </w:pPr>
      <w:r>
        <w:t xml:space="preserve">4.9 Missing Data, Imputation, and Illustrative Cells</w:t>
      </w:r>
    </w:p>
    <w:p>
      <w:pPr>
        <w:pStyle w:val="FirstParagraph"/>
        <w:spacing w:line="480" w:lineRule="auto"/>
      </w:pPr>
      <w:r>
        <w:t xml:space="preserve">Two distinct categories of missing data appear in the dissertation. The first is missingness in the dependent variable in the most recent calendar years, which arises because the broker level publishers report on a multi year lag and have not yet published a calendar 2023 or 2024 average rate at the resolution required for clean inclusion in Paper One. The treatment is linear interpolation against the published 2022 figure and the 2024 oversight narrative in GAO 25 107591, with the affected cells flagged as illustrative in the workbook source column</w:t>
      </w:r>
      <w:r>
        <w:t xml:space="preserve"> </w:t>
      </w:r>
      <w:hyperlink w:anchor="ref-10">
        <w:r>
          <w:rPr>
            <w:rStyle w:val="Hyperlink"/>
          </w:rPr>
          <w:t xml:space="preserve">[10]</w:t>
        </w:r>
      </w:hyperlink>
      <w:r>
        <w:t xml:space="preserve">[16]. The illustrative share is below ten percent of observations. The second is missingness in the underlying launch insurance placements that would, in principle, enter the volume weighted aggregate construction at the launch level. Approximately seventy percent of commercial launches in the window have publicly disclosed premium rate information through the trade press, and the remaining thirty percent require imputation. The dissertation panel extension specifies a multiple imputation procedure conditional on vehicle, payload class, and orbital regime, drawn from the underlying placement record. The imputation is run only on the quarterly extension and not on the annual specifications of Papers One and Two.</w:t>
      </w:r>
    </w:p>
    <w:bookmarkEnd w:id="98"/>
    <w:bookmarkStart w:id="99" w:name="reproducibility-and-source-tracing"/>
    <w:p>
      <w:pPr>
        <w:pStyle w:val="Heading2"/>
        <w:spacing w:line="480" w:lineRule="auto"/>
      </w:pPr>
      <w:r>
        <w:t xml:space="preserve">4.10 Reproducibility and Source Tracing</w:t>
      </w:r>
    </w:p>
    <w:p>
      <w:pPr>
        <w:pStyle w:val="FirstParagraph"/>
        <w:spacing w:line="480" w:lineRule="auto"/>
      </w:pPr>
      <w:r>
        <w:t xml:space="preserve">Every variable in the dissertation traces to a published record with a citable identifier. The workbook underlying each of the two papers carries a source column that records, for each cell, the publisher and edition from which the value was drawn. Cells that required interpolation or imputation are flagged in the source column with the construction rule used and the publisher of the anchoring narrative. The regulatory action counts are reconstructible from the Federal Aviation Administration Compendium editions cited in the bibliography and from the Federal Register search records</w:t>
      </w:r>
      <w:r>
        <w:t xml:space="preserve"> </w:t>
      </w:r>
      <w:hyperlink w:anchor="ref-14">
        <w:r>
          <w:rPr>
            <w:rStyle w:val="Hyperlink"/>
          </w:rPr>
          <w:t xml:space="preserve">[14]</w:t>
        </w:r>
      </w:hyperlink>
      <w:r>
        <w:t xml:space="preserve">[15][22]. The reliability variables are reconstructible from the Compendium failure tables and from the Swiss Re sigma series</w:t>
      </w:r>
      <w:r>
        <w:t xml:space="preserve"> </w:t>
      </w:r>
      <w:hyperlink w:anchor="ref-14">
        <w:r>
          <w:rPr>
            <w:rStyle w:val="Hyperlink"/>
          </w:rPr>
          <w:t xml:space="preserve">[14]</w:t>
        </w:r>
      </w:hyperlink>
      <w:r>
        <w:t xml:space="preserve">[18][19]. The dependent variable is reconstructible from the Marsh, Aon, and Swiss Re publications in the cited editions</w:t>
      </w:r>
      <w:r>
        <w:t xml:space="preserve"> </w:t>
      </w:r>
      <w:hyperlink w:anchor="ref-11">
        <w:r>
          <w:rPr>
            <w:rStyle w:val="Hyperlink"/>
          </w:rPr>
          <w:t xml:space="preserve">[11]</w:t>
        </w:r>
      </w:hyperlink>
      <w:r>
        <w:t xml:space="preserve">[12][13][18][19]. The dissertation panel extension defined in the prospectus inherits the same source tracing protocol with the additional requirement that each quarterly observation carry a timestamp record back to the day of the underlying primary action where the primary action is dated and to the quarter of publication where the primary record is published on a quarterly cadence.</w:t>
      </w:r>
    </w:p>
    <w:bookmarkEnd w:id="99"/>
    <w:bookmarkStart w:id="100" w:name="summary-of-the-measurement-layer"/>
    <w:p>
      <w:pPr>
        <w:pStyle w:val="Heading2"/>
        <w:spacing w:line="480" w:lineRule="auto"/>
      </w:pPr>
      <w:r>
        <w:t xml:space="preserve">4.11 Summary of the Measurement Layer</w:t>
      </w:r>
    </w:p>
    <w:p>
      <w:pPr>
        <w:pStyle w:val="FirstParagraph"/>
        <w:spacing w:line="480" w:lineRule="auto"/>
      </w:pPr>
      <w:r>
        <w:t xml:space="preserve">The measurement layer of the dissertation rests on four authoritative source families, two operationalizations of the regulatory channel that are reconciled in the panel extension into a three count partition, two operationalizations of the reliability channel that are likewise reconciled in the panel extension, and two exposure controls that are stable across all three specifications. The unit of analysis is the calendar year in the two component papers and the launch quarter in the dissertation extension. The construction rules are auditable in their entirety and the missingness is bounded below ten percent of observations in the two component papers. The regulatory channel reconciliation across the three specifications is the most consequential measurement choice in the dissertation, because the three count partition at the quarterly resolution is the construction that supports the Granger causality test that the prospectus identifies as the falsifiable contribution of the dissertation. The next chapter turns from the measurement layer to the identification strategy that is built on it.</w:t>
      </w:r>
    </w:p>
    <w:bookmarkEnd w:id="100"/>
    <w:bookmarkEnd w:id="101"/>
    <w:bookmarkStart w:id="109" w:name="chapter-5.-methods-and-identification"/>
    <w:p>
      <w:pPr>
        <w:pStyle w:val="Heading1"/>
        <w:spacing w:line="480" w:lineRule="auto"/>
      </w:pPr>
      <w:r>
        <w:t xml:space="preserve">Chapter 5. Methods and Identification</w:t>
      </w:r>
    </w:p>
    <w:bookmarkStart w:id="102" w:name="overview-of-the-estimation-strategy"/>
    <w:p>
      <w:pPr>
        <w:pStyle w:val="Heading2"/>
        <w:spacing w:line="480" w:lineRule="auto"/>
      </w:pPr>
      <w:r>
        <w:t xml:space="preserve">5.1 Overview of the Estimation Strategy</w:t>
      </w:r>
    </w:p>
    <w:p>
      <w:pPr>
        <w:pStyle w:val="FirstParagraph"/>
        <w:spacing w:line="480" w:lineRule="auto"/>
      </w:pPr>
      <w:r>
        <w:t xml:space="preserve">The empirical question posed by this dissertation is directional. Do movements in the commercial launch insurance premium rate index Granger-cause discrete regulatory actions in the United States commercial launch licensing regime, or does the regulatory series Granger-cause premium movement, or are the two series contemporaneous, This chapter sets out the econometric apparatus that operationalizes that question, the identifying assumptions on which the apparatus rests, and the threats to validity that condition the interpretation of any rejection or non-rejection of the null. The chapter does three things in sequence. It specifies the estimators, beginning with the workhorse ordinary least squares regression used in the two companion research papers and proceeding to the bivariate vector autoregression with exogenous covariates, the Toda-Yamamoto adaptation that accommodates non-stationarity without pre-differencing the regulatory count series, and the auxiliary single-equation specifications that supply convergent evidence. It then articulates the identification strategy, distinguishing predictive precedence in the Granger sense from structural causation and locating the design within the policy frame supplied by the Commercial Space Launch Amendments Act of 2004</w:t>
      </w:r>
      <w:r>
        <w:t xml:space="preserve"> </w:t>
      </w:r>
      <w:hyperlink w:anchor="ref-7">
        <w:r>
          <w:rPr>
            <w:rStyle w:val="Hyperlink"/>
          </w:rPr>
          <w:t xml:space="preserve">[7]</w:t>
        </w:r>
      </w:hyperlink>
      <w:r>
        <w:t xml:space="preserve">, the 14 CFR Part 450 final rule of 2020</w:t>
      </w:r>
      <w:r>
        <w:t xml:space="preserve"> </w:t>
      </w:r>
      <w:hyperlink w:anchor="ref-23">
        <w:r>
          <w:rPr>
            <w:rStyle w:val="Hyperlink"/>
          </w:rPr>
          <w:t xml:space="preserve">[23]</w:t>
        </w:r>
      </w:hyperlink>
      <w:r>
        <w:t xml:space="preserve">, and the FCC Part 25 streamlining proceedings</w:t>
      </w:r>
      <w:r>
        <w:t xml:space="preserve"> </w:t>
      </w:r>
      <w:hyperlink w:anchor="ref-24">
        <w:r>
          <w:rPr>
            <w:rStyle w:val="Hyperlink"/>
          </w:rPr>
          <w:t xml:space="preserve">[24]</w:t>
        </w:r>
      </w:hyperlink>
      <w:r>
        <w:t xml:space="preserve">. It closes by enumerating the threats to validity and the manner in which each threat is bounded by design choices, robustness analyses, or explicit acknowledgement.</w:t>
      </w:r>
    </w:p>
    <w:p>
      <w:pPr>
        <w:pStyle w:val="BodyText"/>
        <w:spacing w:line="480" w:lineRule="auto"/>
        <w:ind w:firstLine="720"/>
      </w:pPr>
      <w:r>
        <w:t xml:space="preserve">The estimation strategy is layered intentionally. The two prior research papers established that an ordinary least squares specification on annual data can recover statistically meaningful coefficients on regulatory and reliability covariates, with the first paper showing that heritage and trailing failures dominate the regulatory term once both are in the model and the second paper showing that a regulatory-burden index carries a large and significant negative coefficient on the premium rate after controlling for losses and launch volume. Those two results are descriptive and directional rather than causal. The Toda-Yamamoto vector autoregression that this chapter specifies is the first design in the dissertation that adjudicates the lead-lag question on its own terms. The single-equation specifications are retained because they discipline the multivariate model and supply a transparent benchmark against which the more flexible specification can be read.</w:t>
      </w:r>
    </w:p>
    <w:bookmarkEnd w:id="102"/>
    <w:bookmarkStart w:id="103" w:name="Xc540e1e333e0581effec14b62d49faa81cbb565"/>
    <w:p>
      <w:pPr>
        <w:pStyle w:val="Heading2"/>
        <w:spacing w:line="480" w:lineRule="auto"/>
      </w:pPr>
      <w:r>
        <w:t xml:space="preserve">5.2 The Workhorse Single-Equation Specification</w:t>
      </w:r>
    </w:p>
    <w:p>
      <w:pPr>
        <w:pStyle w:val="FirstParagraph"/>
        <w:spacing w:line="480" w:lineRule="auto"/>
      </w:pPr>
      <w:r>
        <w:t xml:space="preserve">The first estimator is a single-equation ordinary least squares regression of the premium rate on a vector of regulatory and reliability covariates. The dependent variable is the quarter-over-quarter change in the volume-weighted average launch insurance premium rate, expressed as a percentage of insured value, aggregated across all commercial launches in the quarter. The regressor vector contains the contemporaneous regulatory-intensity index, the trailing four-quarter count of orbital launch failures, the heritage flights average across active vehicle families, the natural logarithm of aggregate insured value, and a post-Part-450 indicator that switches at the effective date of the final rule</w:t>
      </w:r>
      <w:r>
        <w:t xml:space="preserve"> </w:t>
      </w:r>
      <w:hyperlink w:anchor="ref-23">
        <w:r>
          <w:rPr>
            <w:rStyle w:val="Hyperlink"/>
          </w:rPr>
          <w:t xml:space="preserve">[23]</w:t>
        </w:r>
      </w:hyperlink>
      <w:r>
        <w:t xml:space="preserve">. The specification follows the parsimonious template used in the prior research papers and reported across the broader insurance commentary in the AMOS literature</w:t>
      </w:r>
      <w:r>
        <w:t xml:space="preserve"> </w:t>
      </w:r>
      <w:hyperlink w:anchor="ref-1">
        <w:r>
          <w:rPr>
            <w:rStyle w:val="Hyperlink"/>
          </w:rPr>
          <w:t xml:space="preserve">[1]</w:t>
        </w:r>
      </w:hyperlink>
      <w:r>
        <w:t xml:space="preserve">[2][9].</w:t>
      </w:r>
    </w:p>
    <w:p>
      <w:pPr>
        <w:pStyle w:val="BodyText"/>
        <w:spacing w:line="480" w:lineRule="auto"/>
        <w:ind w:firstLine="720"/>
      </w:pPr>
      <w:r>
        <w:t xml:space="preserve">Inference uses heteroskedasticity-consistent standard errors of the HC1 variety. The annual specification used in the second research paper produced an adjusted coefficient of determination of 0.702 and a regulatory coefficient distinguishable from zero at conventional thresholds. The quarterly specification reported in this chapter is expected to weaken the regulatory term because the regulatory series is far sparser at the quarterly cadence than at the annual cadence, and because the quarterly premium series introduces measurement noise that the annual series averages out. The single-equation estimator therefore functions as a descriptive baseline, not as the design that adjudicates the directional question. The role of the single-equation estimator is to verify that the sign and order of magnitude of the coefficients in the multivariate model are consistent with the pattern reported in the two prior papers, and to flag any quarter in which the residuals exceed three standard deviations of the within-window distribution.</w:t>
      </w:r>
    </w:p>
    <w:bookmarkEnd w:id="103"/>
    <w:bookmarkStart w:id="104" w:name="Xe9d61c0a8e5e6831926f82ca2913363483485d2"/>
    <w:p>
      <w:pPr>
        <w:pStyle w:val="Heading2"/>
        <w:spacing w:line="480" w:lineRule="auto"/>
      </w:pPr>
      <w:r>
        <w:t xml:space="preserve">5.3 The Bivariate Vector Autoregression with Exogenous Covariates</w:t>
      </w:r>
    </w:p>
    <w:p>
      <w:pPr>
        <w:pStyle w:val="FirstParagraph"/>
        <w:spacing w:line="480" w:lineRule="auto"/>
      </w:pPr>
      <w:r>
        <w:t xml:space="preserve">The directional question is adjudicated by a bivariate vector autoregression with exogenous covariates. The endogenous block contains the premium rate change series and a regulatory-action count series. The regulatory-action count partitions discrete actions into three subseries that are summed for the headline specification and disaggregated for robustness: mishap investigation openings and closings, license issuances and modifications under 14 CFR Part 450 and its predecessors</w:t>
      </w:r>
      <w:r>
        <w:t xml:space="preserve"> </w:t>
      </w:r>
      <w:hyperlink w:anchor="ref-22">
        <w:r>
          <w:rPr>
            <w:rStyle w:val="Hyperlink"/>
          </w:rPr>
          <w:t xml:space="preserve">[22]</w:t>
        </w:r>
      </w:hyperlink>
      <w:r>
        <w:t xml:space="preserve">[23], and rule-making milestones in the commercial launch licensing regime drawn from the Federal Register</w:t>
      </w:r>
      <w:r>
        <w:t xml:space="preserve"> </w:t>
      </w:r>
      <w:hyperlink w:anchor="ref-15">
        <w:r>
          <w:rPr>
            <w:rStyle w:val="Hyperlink"/>
          </w:rPr>
          <w:t xml:space="preserve">[15]</w:t>
        </w:r>
      </w:hyperlink>
      <w:r>
        <w:t xml:space="preserve">. The exogenous block contains the quarterly launch count, the quarterly mishap count, the log of aggregate insured value, and a constant.</w:t>
      </w:r>
    </w:p>
    <w:p>
      <w:pPr>
        <w:pStyle w:val="BodyText"/>
        <w:spacing w:line="480" w:lineRule="auto"/>
        <w:ind w:firstLine="720"/>
      </w:pPr>
      <w:r>
        <w:t xml:space="preserve">The system is estimated at lags one through four quarters. Lag selection follows the Akaike, Hannan-Quinn, and Schwarz information criteria, with the modal selection adopted for the headline specification and the alternatives carried into the robustness suite. Granger causality tests are run in both directions on the lag-augmented system. The null in the headline direction is that the lagged premium-change terms do not improve the conditional forecast of the regulatory-action count beyond the information in its own lags and in the exogenous covariates. Rejection of the null at the conventional five percent level establishes that premium movement predictively precedes regulatory action over the chosen horizon. The reverse direction tests whether regulatory action predictively precedes premium movement. The four possible outcomes are unidirectional premium-to-regulator causality, unidirectional regulator-to-premium causality, bidirectional causality, and no detectable directional relationship.</w:t>
      </w:r>
    </w:p>
    <w:p>
      <w:pPr>
        <w:pStyle w:val="BodyText"/>
        <w:spacing w:line="480" w:lineRule="auto"/>
        <w:ind w:firstLine="720"/>
      </w:pPr>
      <w:r>
        <w:t xml:space="preserve">Because the regulatory series is a non-negative integer count with low quarterly cell values and the premium-change series is a real-valued continuous index, the standard VARX framework is supplemented with a count-data variant in the robustness suite. The count-data variant estimates the regulatory equation as a fixed-effects negative binomial regression with the premium-change lags as regressors and the exogenous block as controls. The two estimators are reported side by side so that any inferential weight resting on the count-versus-continuous treatment of the regulatory series is transparent.</w:t>
      </w:r>
    </w:p>
    <w:bookmarkEnd w:id="104"/>
    <w:bookmarkStart w:id="105" w:name="X19f6c1a53c2ca5d3a3ad63d263d03e5d4b4704e"/>
    <w:p>
      <w:pPr>
        <w:pStyle w:val="Heading2"/>
        <w:spacing w:line="480" w:lineRule="auto"/>
      </w:pPr>
      <w:r>
        <w:t xml:space="preserve">5.4 Toda-Yamamoto and the Non-Stationarity Problem</w:t>
      </w:r>
    </w:p>
    <w:p>
      <w:pPr>
        <w:pStyle w:val="FirstParagraph"/>
        <w:spacing w:line="480" w:lineRule="auto"/>
      </w:pPr>
      <w:r>
        <w:t xml:space="preserve">The Toda-Yamamoto procedure is adopted because the unit-root properties of the two series are not the same and pre-differencing the regulatory count series would discard information about the discrete nature of regulatory action. Augmented Dickey-Fuller and Phillips-Perron tests are run on the premium-change series, the premium-level series, and each of the three regulatory subseries. The Toda-Yamamoto approach proceeds in four steps. First, the maximum order of integration across the included series is determined and denoted as d-max. Second, the lag order p of the system is selected on the levels of the series using the standard information criteria. Third, the system is estimated as a vector autoregression in levels at lag order p plus d-max. Fourth, Granger causality is tested as a Wald test on the first p coefficient matrices only, with the additional d-max lags retained but excluded from the test. The Wald statistic in this construction is asymptotically chi-squared distributed even when one or more series is non-stationary, which is the property that motivates the choice.</w:t>
      </w:r>
    </w:p>
    <w:p>
      <w:pPr>
        <w:pStyle w:val="BodyText"/>
        <w:spacing w:line="480" w:lineRule="auto"/>
        <w:ind w:firstLine="720"/>
      </w:pPr>
      <w:r>
        <w:t xml:space="preserve">The Toda-Yamamoto specification is the headline directional estimator for the dissertation. The standard VARX in differences is retained as a robustness check and is reported with full Granger causality output at lags one through four. The two estimators should agree on direction and approximate magnitude when the underlying data generating process is well represented by either. Disagreement between the two is itself informative and is treated as a finding rather than as a nuisance.</w:t>
      </w:r>
    </w:p>
    <w:bookmarkEnd w:id="105"/>
    <w:bookmarkStart w:id="106" w:name="identification"/>
    <w:p>
      <w:pPr>
        <w:pStyle w:val="Heading2"/>
        <w:spacing w:line="480" w:lineRule="auto"/>
      </w:pPr>
      <w:r>
        <w:t xml:space="preserve">5.5 Identification</w:t>
      </w:r>
    </w:p>
    <w:p>
      <w:pPr>
        <w:pStyle w:val="FirstParagraph"/>
        <w:spacing w:line="480" w:lineRule="auto"/>
      </w:pPr>
      <w:r>
        <w:t xml:space="preserve">Identification in this design rests on three pillars. The first pillar is the predictive precedence interpretation of Granger causality. The Granger causality test is a statement about whether one series improves the conditional forecast of another, given the information set of past values and contemporaneous controls. The dissertation makes no structural causal claim from the Granger result alone. It claims that premium movement either does or does not contain information that improves the forecast of regulatory action beyond what the regulator’s own past behavior and the launch and loss covariates already contain. This framing is conservative and is defensible without an instrument.</w:t>
      </w:r>
    </w:p>
    <w:p>
      <w:pPr>
        <w:pStyle w:val="BodyText"/>
        <w:spacing w:line="480" w:lineRule="auto"/>
        <w:ind w:firstLine="720"/>
      </w:pPr>
      <w:r>
        <w:t xml:space="preserve">The second pillar is the exogeneity of the control block. The quarterly launch count is treated as exogenous because launches are scheduled on multi-year horizons by mission planners and are not materially repriced by quarterly premium movement</w:t>
      </w:r>
      <w:r>
        <w:t xml:space="preserve"> </w:t>
      </w:r>
      <w:hyperlink w:anchor="ref-22">
        <w:r>
          <w:rPr>
            <w:rStyle w:val="Hyperlink"/>
          </w:rPr>
          <w:t xml:space="preserve">[22]</w:t>
        </w:r>
      </w:hyperlink>
      <w:r>
        <w:t xml:space="preserve">. The quarterly mishap count is treated as exogenous to the premium-change series at the contemporaneous horizon because mishap occurrence is a physical event whose timing is set by the launch sequence and not by the underwriting cycle, even though premiums respond to mishaps with a short lag. The log of aggregate insured value is treated as exogenous in the same conditional sense because it is dominated at the quarterly horizon by the manifest of high-value missions, which is set by mission contracting rather than by the underwriting market. Each of these exogeneity assumptions is examined explicitly in the threats-to-validity section and is supported by the empirical pattern in the FAA AST Annual Compendia</w:t>
      </w:r>
      <w:r>
        <w:t xml:space="preserve"> </w:t>
      </w:r>
      <w:hyperlink w:anchor="ref-14">
        <w:r>
          <w:rPr>
            <w:rStyle w:val="Hyperlink"/>
          </w:rPr>
          <w:t xml:space="preserve">[14]</w:t>
        </w:r>
      </w:hyperlink>
      <w:r>
        <w:t xml:space="preserve">[22].</w:t>
      </w:r>
    </w:p>
    <w:p>
      <w:pPr>
        <w:pStyle w:val="BodyText"/>
        <w:spacing w:line="480" w:lineRule="auto"/>
        <w:ind w:firstLine="720"/>
      </w:pPr>
      <w:r>
        <w:t xml:space="preserve">The third pillar is the discreteness of the regulatory action series. Regulatory actions in the commercial launch licensing regime are discrete events with timestamped Federal Register entries</w:t>
      </w:r>
      <w:r>
        <w:t xml:space="preserve"> </w:t>
      </w:r>
      <w:hyperlink w:anchor="ref-15">
        <w:r>
          <w:rPr>
            <w:rStyle w:val="Hyperlink"/>
          </w:rPr>
          <w:t xml:space="preserve">[15]</w:t>
        </w:r>
      </w:hyperlink>
      <w:r>
        <w:t xml:space="preserve"> </w:t>
      </w:r>
      <w:r>
        <w:t xml:space="preserve">and FAA AST records</w:t>
      </w:r>
      <w:r>
        <w:t xml:space="preserve"> </w:t>
      </w:r>
      <w:hyperlink w:anchor="ref-14">
        <w:r>
          <w:rPr>
            <w:rStyle w:val="Hyperlink"/>
          </w:rPr>
          <w:t xml:space="preserve">[14]</w:t>
        </w:r>
      </w:hyperlink>
      <w:r>
        <w:t xml:space="preserve">[22]. The dissertation does not interpolate, smooth, or otherwise modify the regulatory series at the quarterly cadence beyond the partitioning described in section 5.3. The identifying assumption is that the timing of these discrete actions is informative about the regulatory cycle and that the count at the quarterly cadence is a sufficient statistic for the intensity of regulatory attention over the quarter. The continuous regulatory-intensity index used in the robustness suite relaxes the sufficient-statistic assumption and tests whether the directional result is sensitive to the discrete-versus-continuous treatment of the regulatory side.</w:t>
      </w:r>
    </w:p>
    <w:p>
      <w:pPr>
        <w:pStyle w:val="BodyText"/>
        <w:spacing w:line="480" w:lineRule="auto"/>
        <w:ind w:firstLine="720"/>
      </w:pPr>
      <w:r>
        <w:t xml:space="preserve">The Commercial Space Launch Amendments Act of 2004</w:t>
      </w:r>
      <w:r>
        <w:t xml:space="preserve"> </w:t>
      </w:r>
      <w:hyperlink w:anchor="ref-7">
        <w:r>
          <w:rPr>
            <w:rStyle w:val="Hyperlink"/>
          </w:rPr>
          <w:t xml:space="preserve">[7]</w:t>
        </w:r>
      </w:hyperlink>
      <w:r>
        <w:t xml:space="preserve"> </w:t>
      </w:r>
      <w:r>
        <w:t xml:space="preserve">and the 14 CFR Part 450 final rule of 2020</w:t>
      </w:r>
      <w:r>
        <w:t xml:space="preserve"> </w:t>
      </w:r>
      <w:hyperlink w:anchor="ref-23">
        <w:r>
          <w:rPr>
            <w:rStyle w:val="Hyperlink"/>
          </w:rPr>
          <w:t xml:space="preserve">[23]</w:t>
        </w:r>
      </w:hyperlink>
      <w:r>
        <w:t xml:space="preserve"> </w:t>
      </w:r>
      <w:r>
        <w:t xml:space="preserve">are treated as structural breaks rather than as identifying instruments. Neither event provides exogenous variation in premium pricing because the underwriting market anticipated both well in advance, as documented in the Marsh McLennan and Aon broker commentary</w:t>
      </w:r>
      <w:r>
        <w:t xml:space="preserve"> </w:t>
      </w:r>
      <w:hyperlink w:anchor="ref-11">
        <w:r>
          <w:rPr>
            <w:rStyle w:val="Hyperlink"/>
          </w:rPr>
          <w:t xml:space="preserve">[11]</w:t>
        </w:r>
      </w:hyperlink>
      <w:r>
        <w:t xml:space="preserve">[12][13] and in the Swiss Re sigma reviews</w:t>
      </w:r>
      <w:r>
        <w:t xml:space="preserve"> </w:t>
      </w:r>
      <w:hyperlink w:anchor="ref-18">
        <w:r>
          <w:rPr>
            <w:rStyle w:val="Hyperlink"/>
          </w:rPr>
          <w:t xml:space="preserve">[18]</w:t>
        </w:r>
      </w:hyperlink>
      <w:r>
        <w:t xml:space="preserve">[19]. The events are used to partition the panel for structural break tests and to define the post-Part-450 indicator in the single-equation specification.</w:t>
      </w:r>
    </w:p>
    <w:bookmarkEnd w:id="106"/>
    <w:bookmarkStart w:id="107" w:name="threats-to-validity-and-their-bounding"/>
    <w:p>
      <w:pPr>
        <w:pStyle w:val="Heading2"/>
        <w:spacing w:line="480" w:lineRule="auto"/>
      </w:pPr>
      <w:r>
        <w:t xml:space="preserve">5.6 Threats to Validity and Their Bounding</w:t>
      </w:r>
    </w:p>
    <w:p>
      <w:pPr>
        <w:pStyle w:val="FirstParagraph"/>
        <w:spacing w:line="480" w:lineRule="auto"/>
      </w:pPr>
      <w:r>
        <w:t xml:space="preserve">Six threats to validity are material. Each is named, characterized, and bounded by a specific design choice.</w:t>
      </w:r>
    </w:p>
    <w:p>
      <w:pPr>
        <w:pStyle w:val="BodyText"/>
        <w:spacing w:line="480" w:lineRule="auto"/>
        <w:ind w:firstLine="720"/>
      </w:pPr>
      <w:r>
        <w:t xml:space="preserve">The first threat is selection in the premium disclosure series. Premium rate disclosures in the trade press are not random. Successful placements at favorable rates are more likely to be reported than placements at punitive rates, and certain operators disclose more consistently than others. The bounding strategy is multiple imputation on the missing-at-random assumption conditional on vehicle, payload class, orbital regime, and insured value. The imputation model is estimated separately and the headline VARX is run on each of ten imputed datasets, with the Rubin combining rules used to produce final standard errors. The residual concern is selection on unobservables, which the multiple imputation procedure cannot neutralize. The dissertation acknowledges this residual concern and does not claim that the directional result is robust to selection on the unobserved component of the premium pricing decision.</w:t>
      </w:r>
    </w:p>
    <w:p>
      <w:pPr>
        <w:pStyle w:val="BodyText"/>
        <w:spacing w:line="480" w:lineRule="auto"/>
        <w:ind w:firstLine="720"/>
      </w:pPr>
      <w:r>
        <w:t xml:space="preserve">The second threat is measurement error in the regulatory-intensity construction. The count of discrete actions is mechanically reproducible from the Federal Register and FAA AST records</w:t>
      </w:r>
      <w:r>
        <w:t xml:space="preserve"> </w:t>
      </w:r>
      <w:hyperlink w:anchor="ref-14">
        <w:r>
          <w:rPr>
            <w:rStyle w:val="Hyperlink"/>
          </w:rPr>
          <w:t xml:space="preserve">[14]</w:t>
        </w:r>
      </w:hyperlink>
      <w:r>
        <w:t xml:space="preserve">[15][22], but it does not capture the intensity of regulatory attention between actions. A long mishap investigation that culminates in a single closure entry contributes only one count, yet the intensity of regulatory attention over the investigation is substantial. The bounding strategy is the continuous regulatory-intensity index in the robustness suite, which assigns weighted intensity scores to open investigations, pending rule-makings, and active license modifications across each quarter. The continuous index is hand-coded against the same primary sources and is documented in an appendix. Disagreement between the count-based and index-based results is reported as a finding.</w:t>
      </w:r>
    </w:p>
    <w:p>
      <w:pPr>
        <w:pStyle w:val="BodyText"/>
        <w:spacing w:line="480" w:lineRule="auto"/>
        <w:ind w:firstLine="720"/>
      </w:pPr>
      <w:r>
        <w:t xml:space="preserve">The third threat is the predictive-versus-structural confound. Granger causality establishes predictive precedence and not structural causation. A finding that premium movement Granger-causes regulatory action is consistent with the underwriting market correctly anticipating regulatory action, but it is also consistent with both series responding to a third factor that the control block does not capture. The bounding strategy is the explicit conditioning of the Granger test on the launch count, mishap count, and aggregate insured value, which absorb the principal third-factor candidates documented in the broker literature</w:t>
      </w:r>
      <w:r>
        <w:t xml:space="preserve"> </w:t>
      </w:r>
      <w:hyperlink w:anchor="ref-11">
        <w:r>
          <w:rPr>
            <w:rStyle w:val="Hyperlink"/>
          </w:rPr>
          <w:t xml:space="preserve">[11]</w:t>
        </w:r>
      </w:hyperlink>
      <w:r>
        <w:t xml:space="preserve">[12][13] and the Swiss Re reviews</w:t>
      </w:r>
      <w:r>
        <w:t xml:space="preserve"> </w:t>
      </w:r>
      <w:hyperlink w:anchor="ref-18">
        <w:r>
          <w:rPr>
            <w:rStyle w:val="Hyperlink"/>
          </w:rPr>
          <w:t xml:space="preserve">[18]</w:t>
        </w:r>
      </w:hyperlink>
      <w:r>
        <w:t xml:space="preserve">[19]. The dissertation interprets a rejection of the null as predictive precedence and does not extend the interpretation to structural causation.</w:t>
      </w:r>
    </w:p>
    <w:p>
      <w:pPr>
        <w:pStyle w:val="BodyText"/>
        <w:spacing w:line="480" w:lineRule="auto"/>
        <w:ind w:firstLine="720"/>
      </w:pPr>
      <w:r>
        <w:t xml:space="preserve">The fourth threat is structural breaks in the 2000 through 2025 window. The introduction of new launch vehicle classes, the transition to Part 450 licensing</w:t>
      </w:r>
      <w:r>
        <w:t xml:space="preserve"> </w:t>
      </w:r>
      <w:hyperlink w:anchor="ref-23">
        <w:r>
          <w:rPr>
            <w:rStyle w:val="Hyperlink"/>
          </w:rPr>
          <w:t xml:space="preserve">[23]</w:t>
        </w:r>
      </w:hyperlink>
      <w:r>
        <w:t xml:space="preserve">, and the rapid expansion of small-satellite launch cadence documented in Barato et al. </w:t>
      </w:r>
      <w:hyperlink w:anchor="ref-42">
        <w:r>
          <w:rPr>
            <w:rStyle w:val="Hyperlink"/>
          </w:rPr>
          <w:t xml:space="preserve">[42]</w:t>
        </w:r>
      </w:hyperlink>
      <w:r>
        <w:t xml:space="preserve"> </w:t>
      </w:r>
      <w:r>
        <w:t xml:space="preserve">all introduce potential structural breaks in either the premium series, the regulatory series, or both. The bounding strategy is a Bai-Perron structural break test on the residuals of the single-equation specification, with the panel partitioned around any confirmed break. The headline VARX is then run on each partition separately and on the full panel with break dummies. A finding that survives partitioning is treated as more credible than a finding that depends on the full-panel pooling.</w:t>
      </w:r>
    </w:p>
    <w:p>
      <w:pPr>
        <w:pStyle w:val="BodyText"/>
        <w:spacing w:line="480" w:lineRule="auto"/>
        <w:ind w:firstLine="720"/>
      </w:pPr>
      <w:r>
        <w:t xml:space="preserve">The fifth threat is the thinness of the launch insurance market. The market is small, concentrated, and dominated by a handful of reinsurers and broker placements, as the Marsh and Aon commentary documents</w:t>
      </w:r>
      <w:r>
        <w:t xml:space="preserve"> </w:t>
      </w:r>
      <w:hyperlink w:anchor="ref-11">
        <w:r>
          <w:rPr>
            <w:rStyle w:val="Hyperlink"/>
          </w:rPr>
          <w:t xml:space="preserve">[11]</w:t>
        </w:r>
      </w:hyperlink>
      <w:r>
        <w:t xml:space="preserve">[12][13]. Thin markets can exhibit price stickiness that distorts the apparent timing of premium movement relative to underlying risk, and capacity shocks unrelated to the United States regulatory regime can move premiums for reasons that the design treats as noise. The bounding strategy is the inclusion of a heavy-lift placebo regime in the robustness suite, in which the insurance market is thinly traded and the directional signal should attenuate. A finding that is comparably strong in the placebo regime and in the headline regime is treated as evidence of a thin-market artifact rather than as a substantive directional result. McKnight’s projection that orbital debris risk would drive premium rates to unsustainable levels</w:t>
      </w:r>
      <w:r>
        <w:t xml:space="preserve"> </w:t>
      </w:r>
      <w:hyperlink w:anchor="ref-9">
        <w:r>
          <w:rPr>
            <w:rStyle w:val="Hyperlink"/>
          </w:rPr>
          <w:t xml:space="preserve">[9]</w:t>
        </w:r>
      </w:hyperlink>
      <w:r>
        <w:t xml:space="preserve">[20][29] supplies an independent benchmark against which any apparent premium drift unrelated to United States regulatory action can be checked.</w:t>
      </w:r>
    </w:p>
    <w:p>
      <w:pPr>
        <w:pStyle w:val="BodyText"/>
        <w:spacing w:line="480" w:lineRule="auto"/>
        <w:ind w:firstLine="720"/>
      </w:pPr>
      <w:r>
        <w:t xml:space="preserve">The sixth threat is the conflation of United States regulatory action with regulation elsewhere. The premium series is global because launches are insured in a global market, but the regulatory series is United States only. Foreign regulatory action, particularly under the European Space Agency licensing arrangements and under the emerging European Union space act framework, may move global premiums for reasons that the United States regulatory series cannot capture. The bounding strategy is the restriction of the headline VARX to United States launches in one robustness variant, and the substitution of a European Space Agency-licensed subset in a second variant. The dissertation reports both. If the directional result holds only in the United States subset and not in the European subset, the interpretation is that the result is jurisdiction-specific. If the directional result holds in both, the interpretation is that the underwriting market reads regulatory signals across jurisdictions.</w:t>
      </w:r>
    </w:p>
    <w:bookmarkEnd w:id="107"/>
    <w:bookmarkStart w:id="108" w:name="X7cc47dabd0e1ca9eb8e724aac80ec6b51bbf2cc"/>
    <w:p>
      <w:pPr>
        <w:pStyle w:val="Heading2"/>
        <w:spacing w:line="480" w:lineRule="auto"/>
      </w:pPr>
      <w:r>
        <w:t xml:space="preserve">5.7 Auxiliary Estimators and Convergent Evidence</w:t>
      </w:r>
    </w:p>
    <w:p>
      <w:pPr>
        <w:pStyle w:val="FirstParagraph"/>
        <w:spacing w:line="480" w:lineRule="auto"/>
      </w:pPr>
      <w:r>
        <w:t xml:space="preserve">Three auxiliary estimators are reported alongside the Toda-Yamamoto and VARX specifications. The first is the negative binomial single-equation regression of the regulatory count on lagged premium changes and the exogenous block, which provides a count-data specific check on the directional result. The second is a local projections specification in the Jorda style, estimated separately for each horizon from one to eight quarters, which traces the impulse response of regulatory action to a one-percentage-point shock to the premium change series without imposing the full vector autoregressive structure. The third is a state-space specification in which the premium-change series is decomposed into a smooth trend and a transitory component and the directional test is run on the transitory component alone. The state-space specification is included because the broker and reinsurance literatures suggest that premium rate movement contains a slow capacity-cycle component that may not be directionally informative about regulatory action and a transitory component that may be more informative</w:t>
      </w:r>
      <w:r>
        <w:t xml:space="preserve"> </w:t>
      </w:r>
      <w:hyperlink w:anchor="ref-11">
        <w:r>
          <w:rPr>
            <w:rStyle w:val="Hyperlink"/>
          </w:rPr>
          <w:t xml:space="preserve">[11]</w:t>
        </w:r>
      </w:hyperlink>
      <w:r>
        <w:t xml:space="preserve">[12][13][18][19].</w:t>
      </w:r>
    </w:p>
    <w:p>
      <w:pPr>
        <w:pStyle w:val="BodyText"/>
        <w:spacing w:line="480" w:lineRule="auto"/>
        <w:ind w:firstLine="720"/>
      </w:pPr>
      <w:r>
        <w:t xml:space="preserve">Convergent evidence from the three auxiliary estimators, together with the Toda-Yamamoto and standard VARX results, provides the basis on which the dissertation will rest its directional claim in Chapter 6 and will frame its policy interpretation in Chapter 7. The threshold for a credible directional finding is agreement of the Toda-Yamamoto headline result with at least two of the three auxiliary specifications and with the structural-break-partitioned VARX. Disagreement among the estimators is reported as a finding and is interpreted as evidence that the lead-lag relationship is more conditional than the headline test alone can adjudicate. The framing borrows from the conditioning logic developed for risk landscape dynamics in the space economy literature</w:t>
      </w:r>
      <w:r>
        <w:t xml:space="preserve"> </w:t>
      </w:r>
      <w:hyperlink w:anchor="ref-40">
        <w:r>
          <w:rPr>
            <w:rStyle w:val="Hyperlink"/>
          </w:rPr>
          <w:t xml:space="preserve">[40]</w:t>
        </w:r>
      </w:hyperlink>
      <w:r>
        <w:t xml:space="preserve"> </w:t>
      </w:r>
      <w:r>
        <w:t xml:space="preserve">and from the multi-stakeholder incentive design articulated by David and colleagues</w:t>
      </w:r>
      <w:r>
        <w:t xml:space="preserve"> </w:t>
      </w:r>
      <w:hyperlink w:anchor="ref-38">
        <w:r>
          <w:rPr>
            <w:rStyle w:val="Hyperlink"/>
          </w:rPr>
          <w:t xml:space="preserve">[38]</w:t>
        </w:r>
      </w:hyperlink>
      <w:r>
        <w:t xml:space="preserve">, both of which emphasize that price-based signals in space markets are conditional on the institutional environment in which they are read.</w:t>
      </w:r>
    </w:p>
    <w:p>
      <w:pPr>
        <w:pStyle w:val="BodyText"/>
        <w:spacing w:line="480" w:lineRule="auto"/>
        <w:ind w:firstLine="720"/>
      </w:pPr>
      <w:r>
        <w:t xml:space="preserve">The design as a whole is conservative. It privileges directional precedence over structural causation, parsimony over flexibility, and convergent evidence across estimators over the headline result of any single estimator. The interpretation in subsequent chapters proceeds on that conservative basis.</w:t>
      </w:r>
    </w:p>
    <w:bookmarkEnd w:id="108"/>
    <w:bookmarkEnd w:id="109"/>
    <w:bookmarkStart w:id="114"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estimation exercises that together address the central question of the dissertation, namely whether commercial launch insurance premiums lead or lag regulatory action in the United States commercial launch licensing regime. The chapter is organized around the two papers in sequence. Paper 1 estimates an ordinary least squares specification on twenty seven annual observations covering 1998 through 2024, regressing the average commercial launch insurance premium rate on a regulatory intensity index, a trailing five year failure count, an average heritage flights term, and a post 2004 indicator that captures the discrete legal break of the Commercial Space Launch Amendments Act</w:t>
      </w:r>
      <w:r>
        <w:t xml:space="preserve"> </w:t>
      </w:r>
      <w:hyperlink w:anchor="ref-7">
        <w:r>
          <w:rPr>
            <w:rStyle w:val="Hyperlink"/>
          </w:rPr>
          <w:t xml:space="preserve">[7]</w:t>
        </w:r>
      </w:hyperlink>
      <w:r>
        <w:t xml:space="preserve">. Paper 2 estimates a parallel specification on twenty two annual observations covering 2003 through 2024, regressing the composite global launch insurance premium rate on a hand coded regulatory burden index, the industry loss ratio, and the global orbital launch count. Both estimators are ordinary least squares with heteroskedasticity consistent inference using the HC1 correction. The chapter reports the exact coefficients, standard errors, and p values returned by the estimator runs, characterizes the model fits, evaluates the signs and magnitudes against the prior expectations stated in the design, and works through what each finding implies for the lead lag question. The two specifications are read in dialogue at the end of the chapter because their results are not contradictory; they answer the same question at different observational frequencies and against different operationalizations of the regulatory signal, and the resulting tension is itself a substantive result rather than a methodological embarrassment.</w:t>
      </w:r>
    </w:p>
    <w:bookmarkStart w:id="110" w:name="Xacec5a26abad5752df936a2ad528ad6f98b0825"/>
    <w:p>
      <w:pPr>
        <w:pStyle w:val="Heading2"/>
        <w:spacing w:line="480" w:lineRule="auto"/>
      </w:pPr>
      <w:r>
        <w:t xml:space="preserve">6.1 Paper 1 Results: Reliability Dominance over Regulatory Intensity</w:t>
      </w:r>
    </w:p>
    <w:p>
      <w:pPr>
        <w:pStyle w:val="FirstParagraph"/>
        <w:spacing w:line="480" w:lineRule="auto"/>
      </w:pPr>
      <w:r>
        <w:t xml:space="preserve">The Paper 1 estimator returns a model of striking explanatory strength on twenty seven annual observations. The coefficient of determination is 0.9879 and the adjusted coefficient of determination is 0.9857, which means that the four regressors and the constant jointly account for very nearly all of the observed variation in the annual average commercial launch insurance premium rate over the 1998 through 2024 window. The joint F statistic is 489.63 with a p value of 3.77 times ten to the minus twenty one, which is so far below any conventional rejection threshold that the joint null of all slope coefficients equaling zero can be dismissed without qualification. A fit of this magnitude on an annual time series of this length is unusual and deserves an immediate diagnostic note. Two readings are possible. The first is that the underlying premium series is in fact a tight function of the included covariates, principally heritage and failures, and that the model has correctly captured the data generating process at the annual frequency. The second is that the small sample of twenty seven observations is being absorbed by four regressors and a constant, flattering the fit while concealing collinearity. The discussion in Section 6.4 returns to this point because the structure of the individual coefficients adjudicates between the two readings.</w:t>
      </w:r>
    </w:p>
    <w:p>
      <w:pPr>
        <w:pStyle w:val="BodyText"/>
        <w:spacing w:line="480" w:lineRule="auto"/>
        <w:ind w:firstLine="720"/>
      </w:pPr>
      <w:r>
        <w:t xml:space="preserve">The constant of the Paper 1 specification is 35.3664 with a standard error of 3.7832 and a p value rounded to zero in the estimator output. The constant has an interpretable substantive reading at the zero point of the four regressors, but the zero point is far outside the observed support of the data because no year in the sample has zero heritage flights, zero accumulated failures, and a zero valued regulatory intensity index. The constant therefore functions primarily as a level adjustment that places the predicted premium rate in the range of the observed series. A predicted premium rate of roughly thirty five points before the contributions of the slope terms is consistent with the elevated rate environment of the late 1990s when heritage flights for the dominant commercial vehicles were still accumulating.</w:t>
      </w:r>
    </w:p>
    <w:p>
      <w:pPr>
        <w:pStyle w:val="BodyText"/>
        <w:spacing w:line="480" w:lineRule="auto"/>
        <w:ind w:firstLine="720"/>
      </w:pPr>
      <w:r>
        <w:t xml:space="preserve">The heritage flights average coefficient is the largest single finding of Paper 1. The estimated value is negative 1.0913 with a standard error of 0.1842 and a p value rounded to zero. The interpretation is direct. Holding regulatory intensity, the trailing failure count, and the post 2004 indicator fixed, each additional unit of the average heritage flights term is associated with a decline of approximately 1.09 percentage points in the annual average premium rate. Because the heritage flights average ranges across the sample from roughly five to roughly thirty across vehicle families, this single coefficient implies a swing of approximately twenty seven percentage points in the predicted premium rate as the commercial fleet matures across the window. The standard error of 0.1842 yields a t ratio of approximately negative 5.93, which corresponds to a p value far below any conventional threshold, and the estimate is therefore distinguishable from zero with high confidence. The substantive reading is that the insurance market in this window prices accumulated flight experience as the dominant signal of vehicle reliability, and that as fleets mature the premium curve compresses by an amount that is both statistically robust and economically large.</w:t>
      </w:r>
    </w:p>
    <w:p>
      <w:pPr>
        <w:pStyle w:val="BodyText"/>
        <w:spacing w:line="480" w:lineRule="auto"/>
        <w:ind w:firstLine="720"/>
      </w:pPr>
      <w:r>
        <w:t xml:space="preserve">The trailing five year cumulative failure count coefficient is 0.6655 with a standard error of 0.1965 and a p value of 0.0007. The sign is positive as theory predicts, and the magnitude is substantial. Each additional accumulated failure in the trailing five year window is associated with an increase of approximately 0.67 percentage points in the annual average premium rate, holding the other covariates fixed. The standard error gives a t ratio of approximately 3.39, which clears the conventional rejection threshold at the one percent level. The estimated coefficient is roughly six tenths the absolute magnitude of the heritage term but acts in the opposite direction, which is the canonical structure of a reliability priced insurance market in which positive flight experience compresses premiums and negative flight experience expands them. The combination of these two terms produces the dominant explanatory structure of the model, and the high adjusted coefficient of determination is in substantial part the joint work of these two reliability covariates.</w:t>
      </w:r>
    </w:p>
    <w:p>
      <w:pPr>
        <w:pStyle w:val="BodyText"/>
        <w:spacing w:line="480" w:lineRule="auto"/>
        <w:ind w:firstLine="720"/>
      </w:pPr>
      <w:r>
        <w:t xml:space="preserve">The regulatory intensity index coefficient is the most interesting finding of Paper 1 because it is the one that bears most directly on the lead lag question that the dissertation poses. The estimated value is 1.1963 with a standard error of 0.8535 and a p value of 0.161. Three observations follow. First, the point estimate is positive rather than negative. Under the leading signal interpretation, in which the insurance market anticipates regulatory tightening and compresses premiums in advance of the codification of new rules, the expected sign on a contemporaneous regulatory intensity index is negative, because the years in which the regulatory apparatus is most active should be precisely the years in which the market has already priced down the residual risk. The observed positive sign is therefore inconsistent with the strong form of the leading signal hypothesis. Second, the standard error of 0.8535 yields a t ratio of approximately 1.40, which does not clear the conventional rejection threshold at the ten percent level, and the p value of 0.161 confirms that the estimated coefficient is not distinguishable from zero at conventional thresholds. The honest reading is that, conditional on heritage and failures, regulatory intensity does not carry independent explanatory weight at the annual frequency. Third, the failure to reach significance does not by itself confirm the lagging interpretation either, because the regulatory intensity index is plausibly collinear with the heritage flights average over the post 2004 portion of the sample where the commercial fleet matured concurrently with the accumulation of Part 450 era rule making activity</w:t>
      </w:r>
      <w:r>
        <w:t xml:space="preserve"> </w:t>
      </w:r>
      <w:hyperlink w:anchor="ref-23">
        <w:r>
          <w:rPr>
            <w:rStyle w:val="Hyperlink"/>
          </w:rPr>
          <w:t xml:space="preserve">[23]</w:t>
        </w:r>
      </w:hyperlink>
      <w:r>
        <w:t xml:space="preserve">. The combination of a wrong sign point estimate and a high p value is consistent with two reconcilable explanations, namely either that the regulatory channel does not move premiums independently in this window or that the regulatory channel is real but is statistically absorbed by the heritage term, and the present specification cannot adjudicate between the two without additional structural restrictions.</w:t>
      </w:r>
    </w:p>
    <w:p>
      <w:pPr>
        <w:pStyle w:val="BodyText"/>
        <w:spacing w:line="480" w:lineRule="auto"/>
        <w:ind w:firstLine="720"/>
      </w:pPr>
      <w:r>
        <w:t xml:space="preserve">The post 2004 indicator coefficient is negative 0.2112 with a standard error of 0.6735 and a p value of 0.7539. The point estimate is small in absolute magnitude and the p value indicates that the estimate is not statistically distinguishable from zero. The interpretation of the indicator was that the discrete legal break in 2004, marked by the Commercial Space Launch Amendments Act, should absorb a level shift in the premium rate that operates independently of the smooth accumulation of rule making captured by the regulatory intensity index</w:t>
      </w:r>
      <w:r>
        <w:t xml:space="preserve"> </w:t>
      </w:r>
      <w:hyperlink w:anchor="ref-7">
        <w:r>
          <w:rPr>
            <w:rStyle w:val="Hyperlink"/>
          </w:rPr>
          <w:t xml:space="preserve">[7]</w:t>
        </w:r>
      </w:hyperlink>
      <w:r>
        <w:t xml:space="preserve">. The estimated coefficient does not support a level shift interpretation. The honest reading is that, once heritage and failures are in the model, there is no additional level shift attributable to the post 2004 legal regime that the data identify. This is consistent with a view in which the substantive content of the 2004 statute operated through its downstream effects on flight cadence and reliability rather than through a direct repricing of the insurance market in its enactment year</w:t>
      </w:r>
      <w:r>
        <w:t xml:space="preserve"> </w:t>
      </w:r>
      <w:hyperlink w:anchor="ref-22">
        <w:r>
          <w:rPr>
            <w:rStyle w:val="Hyperlink"/>
          </w:rPr>
          <w:t xml:space="preserve">[22]</w:t>
        </w:r>
      </w:hyperlink>
      <w:r>
        <w:t xml:space="preserve">.</w:t>
      </w:r>
    </w:p>
    <w:p>
      <w:pPr>
        <w:pStyle w:val="BodyText"/>
        <w:spacing w:line="480" w:lineRule="auto"/>
        <w:ind w:firstLine="720"/>
      </w:pPr>
      <w:r>
        <w:t xml:space="preserve">Taken together, the four Paper 1 coefficients describe a premium rate that is, in this annual sample, tightly explained by accumulated flight experience and by the trailing failure count and only weakly and ambiguously associated with the regulatory variables. The two reliability terms account for the structure of the fit, the two regulatory terms do not clear conventional significance thresholds, and the point estimate on the contemporaneous regulatory intensity index has the wrong sign for a leading signal interpretation. The Paper 1 result therefore lends support to the lag hypothesis, in which insurance pricing tracks the realized record of reliability and confirms rather than anticipates the regulatory cycle.</w:t>
      </w:r>
    </w:p>
    <w:bookmarkEnd w:id="110"/>
    <w:bookmarkStart w:id="111" w:name="X5bf2476e6c828addea47ca3262ad77dfc266630"/>
    <w:p>
      <w:pPr>
        <w:pStyle w:val="Heading2"/>
        <w:spacing w:line="480" w:lineRule="auto"/>
      </w:pPr>
      <w:r>
        <w:t xml:space="preserve">6.2 Paper 2 Results: Regulatory Burden, Volume, and the Quiet Loss Ratio</w:t>
      </w:r>
    </w:p>
    <w:p>
      <w:pPr>
        <w:pStyle w:val="FirstParagraph"/>
        <w:spacing w:line="480" w:lineRule="auto"/>
      </w:pPr>
      <w:r>
        <w:t xml:space="preserve">The Paper 2 estimator returns a model of more modest but still substantial explanatory strength on twenty two annual observations. The coefficient of determination is 0.7444 and the adjusted coefficient of determination is 0.7018, which means that the three regressors and the constant jointly account for approximately seventy four percent of the variation in the composite global launch insurance premium rate across the 2003 through 2024 window. The joint F statistic is 17.93 with a p value of 1.21 times ten to the minus five, which is well below conventional rejection thresholds and confirms that the joint null of all slope coefficients equaling zero is rejected. The fit is materially weaker than the Paper 1 fit but is consistent with what is typical for a short annual macro time series in which a hand coded ordinal index is one of the principal regressors. The lower fit also reflects the fact that the composite global premium series used in Paper 2 is a different operationalization from the annual average commercial premium rate used in Paper 1, and the global series is noisier because it aggregates across regimes and brokers</w:t>
      </w:r>
      <w:r>
        <w:t xml:space="preserve"> </w:t>
      </w:r>
      <w:hyperlink w:anchor="ref-18">
        <w:r>
          <w:rPr>
            <w:rStyle w:val="Hyperlink"/>
          </w:rPr>
          <w:t xml:space="preserve">[18]</w:t>
        </w:r>
      </w:hyperlink>
      <w:r>
        <w:t xml:space="preserve">[19].</w:t>
      </w:r>
    </w:p>
    <w:p>
      <w:pPr>
        <w:pStyle w:val="BodyText"/>
        <w:spacing w:line="480" w:lineRule="auto"/>
        <w:ind w:firstLine="720"/>
      </w:pPr>
      <w:r>
        <w:t xml:space="preserve">The constant of the Paper 2 specification is 27.9243 with a standard error of 3.4075 and a p value rounded to zero. The substantive reading at the zero of all three regressors is again outside the observed support of the data, because the regulatory burden index is normalized to 1.0 in 2003 rather than to zero, and global launches are never zero in the window. The constant places the predicted premium rate at roughly twenty eight points in the absence of variation attributable to the included covariates, which is consistent with the elevated early 2000s rate environment described in the broker commentary</w:t>
      </w:r>
      <w:r>
        <w:t xml:space="preserve"> </w:t>
      </w:r>
      <w:hyperlink w:anchor="ref-11">
        <w:r>
          <w:rPr>
            <w:rStyle w:val="Hyperlink"/>
          </w:rPr>
          <w:t xml:space="preserve">[11]</w:t>
        </w:r>
      </w:hyperlink>
      <w:r>
        <w:t xml:space="preserve">[13].</w:t>
      </w:r>
    </w:p>
    <w:p>
      <w:pPr>
        <w:pStyle w:val="BodyText"/>
        <w:spacing w:line="480" w:lineRule="auto"/>
        <w:ind w:firstLine="720"/>
      </w:pPr>
      <w:r>
        <w:t xml:space="preserve">The regulatory burden index coefficient is the headline finding of Paper 2. The estimated value is negative 20.5488 with a standard error of 4.1842 and a p value rounded to zero. The sign is negative as theory predicts under the leading signal interpretation, the magnitude is large in economic terms, and the standard error is small enough to make the estimate distinguishable from zero with very high confidence. The t ratio implied by these numbers is approximately negative 4.91, which is far below conventional rejection thresholds at the one percent level. The substantive reading is that a one unit movement of the hand coded regulatory burden index, which on the chosen normalization is approximately the distance between the 2003 baseline and the 2024 endpoint, is associated with a compression of the composite global premium rate of approximately twenty point five percentage points, holding the loss ratio and global launches fixed</w:t>
      </w:r>
      <w:r>
        <w:t xml:space="preserve"> </w:t>
      </w:r>
      <w:hyperlink w:anchor="ref-22">
        <w:r>
          <w:rPr>
            <w:rStyle w:val="Hyperlink"/>
          </w:rPr>
          <w:t xml:space="preserve">[22]</w:t>
        </w:r>
      </w:hyperlink>
      <w:r>
        <w:t xml:space="preserve">[23][24]. This is a large effect, and three caveats are appropriate. First, the regulatory burden index is an ordinal construct rather than a measured quantity, so the unit of the index is a researcher choice rather than a natural unit, and the magnitude of the coefficient must be read against the chosen normalization. Second, the regulatory burden index increases approximately monotonically across the sample, which raises the possibility that the index is functioning in part as a time trend that absorbs other secular drivers of premium compression. Third, the negative sign and high statistical confidence on this term are in sharp contrast to the positive sign and statistical non significance of the regulatory intensity index in Paper 1, and the dialogue between these two findings is the substantive heart of the dissertation.</w:t>
      </w:r>
    </w:p>
    <w:p>
      <w:pPr>
        <w:pStyle w:val="BodyText"/>
        <w:spacing w:line="480" w:lineRule="auto"/>
        <w:ind w:firstLine="720"/>
      </w:pPr>
      <w:r>
        <w:t xml:space="preserve">The global launches coefficient is 0.0639 with a standard error of 0.0216 and a p value of 0.0031. The sign is positive, the magnitude implies that an additional one hundred orbital launches per year is associated with approximately 6.4 premium points of upward pressure on the composite rate, and the t ratio of approximately 2.95 clears the conventional rejection threshold at the one percent level. The substantive reading is that, after controlling for regulatory burden and loss experience, the growth of launch cadence absorbs insurance capacity faster than the capacity pool recovers, producing the volume driven hardening that the underwriting commentary documents</w:t>
      </w:r>
      <w:r>
        <w:t xml:space="preserve"> </w:t>
      </w:r>
      <w:hyperlink w:anchor="ref-11">
        <w:r>
          <w:rPr>
            <w:rStyle w:val="Hyperlink"/>
          </w:rPr>
          <w:t xml:space="preserve">[11]</w:t>
        </w:r>
      </w:hyperlink>
      <w:r>
        <w:t xml:space="preserve">[12]. The economic interpretation is consistent with a market in which the regulatory dividend, in the sense of the compression attributable to the regulatory burden index, is partially offset by the volume penalty attributable to launch growth. The two terms together imply that the net direction of the premium curve depends on the relative pace of regulatory tightening and launch cadence growth, and a continuation of the post 2020 trajectory of accelerating cadence without further regulatory tightening would, on the strength of these coefficients, predict a premium hardening over the next several years.</w:t>
      </w:r>
    </w:p>
    <w:p>
      <w:pPr>
        <w:pStyle w:val="BodyText"/>
        <w:spacing w:line="480" w:lineRule="auto"/>
        <w:ind w:firstLine="720"/>
      </w:pPr>
      <w:r>
        <w:t xml:space="preserve">The loss ratio coefficient is 0.0171 with a standard error of 0.0136 and a p value of 0.2098. The sign is positive as theory predicts, the magnitude is small, and the standard error is large enough that the estimate does not clear the conventional rejection threshold at the ten percent level. The t ratio of approximately 1.26 confirms that the loss ratio coefficient is not distinguishable from zero at conventional thresholds. This is the more interesting null result of Paper 2, because the loss ratio is the canonical realized loss measure that an actuarial pricing model would expect to dominate the premium response. The fact that, in this specification and this window, the loss ratio does not move the premium curve once the regulatory burden index and the launch volume term are included is a substantive finding. The honest reading is that underwriters in this window appear to have priced expected loss rather than realized loss, which is the behavior expected of a forward looking market that anticipates the residual risk rather than reconstructing it from the trailing loss record. This reading is consistent with the leading signal interpretation that motivated the design and provides a direct counterweight to the Paper 1 finding that reliability covariates dominate at the annual frequency.</w:t>
      </w:r>
    </w:p>
    <w:p>
      <w:pPr>
        <w:pStyle w:val="BodyText"/>
        <w:spacing w:line="480" w:lineRule="auto"/>
        <w:ind w:firstLine="720"/>
      </w:pPr>
      <w:r>
        <w:t xml:space="preserve">Taken together, the three Paper 2 slope coefficients describe a premium rate that is strongly compressed by the regulatory burden index, strongly expanded by global launch volume, and not measurably responsive to the realized loss ratio. The fit is materially weaker than Paper 1, but the structure of the individual coefficients is more sharply consistent with the leading signal interpretation than the Paper 1 structure was. The Paper 2 result therefore lends support to the lead hypothesis, in which insurance pricing reflects forward expectations of regulatory substance and moves before the realized loss record has caught up.</w:t>
      </w:r>
    </w:p>
    <w:bookmarkEnd w:id="111"/>
    <w:bookmarkStart w:id="112" w:name="X7f37fbfc80e2c6d54e0b4b06b185e58de198a27"/>
    <w:p>
      <w:pPr>
        <w:pStyle w:val="Heading2"/>
        <w:spacing w:line="480" w:lineRule="auto"/>
      </w:pPr>
      <w:r>
        <w:t xml:space="preserve">6.3 Effect Sizes and Robustness of the Coefficient Structure</w:t>
      </w:r>
    </w:p>
    <w:p>
      <w:pPr>
        <w:pStyle w:val="FirstParagraph"/>
        <w:spacing w:line="480" w:lineRule="auto"/>
      </w:pPr>
      <w:r>
        <w:t xml:space="preserve">The effect sizes of the principal coefficients deserve a short separate treatment because the two papers report estimates on different operationalizations of the regulatory signal, and a direct comparison of the negative twenty point five from Paper 2 with the positive one point two from Paper 1 would be misleading without attention to the units of each index. In Paper 1 the regulatory intensity index moves across a range of approximately three units across the sample, so the implied total contribution of the regulatory term to the predicted premium rate, evaluated at the point estimate, is on the order of three and a half percentage points, with a confidence interval that comfortably spans zero. In Paper 2 the regulatory burden index moves across a range of approximately one unit by construction, so the implied total contribution of the regulatory term, evaluated at the point estimate, is on the order of twenty percentage points, with a confidence interval that is tightly bounded below zero. The two specifications therefore disagree not only on the sign of the regulatory channel but on the magnitude of its contribution, and the disagreement is structural rather than incidental.</w:t>
      </w:r>
    </w:p>
    <w:p>
      <w:pPr>
        <w:pStyle w:val="BodyText"/>
        <w:spacing w:line="480" w:lineRule="auto"/>
        <w:ind w:firstLine="720"/>
      </w:pPr>
      <w:r>
        <w:t xml:space="preserve">The reliability channel effect sizes are more straightforward. In Paper 1 the heritage flights average swings the predicted premium rate by approximately twenty seven percentage points across the observed range, and the trailing failure count swings it by approximately five to seven percentage points depending on the era. These are the dominant effects in the Paper 1 specification. In Paper 2 the launch volume term swings the predicted rate by approximately ten percentage points across the observed range of global launches, which is a meaningful contribution but is smaller than the regulatory contribution. The loss ratio swings the predicted rate by less than one percentage point across the observed range and is not distinguishable from zero. The reliability and volume channels therefore carry substantial weight in both specifications but enter with different relative magnitudes.</w:t>
      </w:r>
    </w:p>
    <w:p>
      <w:pPr>
        <w:pStyle w:val="BodyText"/>
        <w:spacing w:line="480" w:lineRule="auto"/>
        <w:ind w:firstLine="720"/>
      </w:pPr>
      <w:r>
        <w:t xml:space="preserve">The fits of the two models, taken with the structure of the standard errors, also deserve attention. The Paper 1 adjusted coefficient of determination of 0.9857 is suspiciously high for a short annual time series and is a flag for collinearity between the heritage term and the regulatory intensity term, both of which trend upward across the post 2004 portion of the sample. The Paper 2 adjusted coefficient of determination of 0.7018 is more typical for a short macro panel and is less susceptible to a collinearity reading. The standard errors in both models are HC1 robust, which is appropriate for the small sample and the likely heteroskedasticity of an annual premium series that aggregates across heterogeneous vehicle families</w:t>
      </w:r>
      <w:r>
        <w:t xml:space="preserve"> </w:t>
      </w:r>
      <w:hyperlink w:anchor="ref-11">
        <w:r>
          <w:rPr>
            <w:rStyle w:val="Hyperlink"/>
          </w:rPr>
          <w:t xml:space="preserve">[11]</w:t>
        </w:r>
      </w:hyperlink>
      <w:r>
        <w:t xml:space="preserve">[12][18][19]. The use of HC1 inference rather than parametric inference is conservative in the small sample, and the fact that the principal Paper 2 coefficients clear conventional thresholds under HC1 is therefore a stronger result than it would be under naive parametric inference.</w:t>
      </w:r>
    </w:p>
    <w:bookmarkEnd w:id="112"/>
    <w:bookmarkStart w:id="113" w:name="what-the-two-papers-say-together"/>
    <w:p>
      <w:pPr>
        <w:pStyle w:val="Heading2"/>
        <w:spacing w:line="480" w:lineRule="auto"/>
      </w:pPr>
      <w:r>
        <w:t xml:space="preserve">6.4 What the Two Papers Say Together</w:t>
      </w:r>
    </w:p>
    <w:p>
      <w:pPr>
        <w:pStyle w:val="FirstParagraph"/>
        <w:spacing w:line="480" w:lineRule="auto"/>
      </w:pPr>
      <w:r>
        <w:t xml:space="preserve">The two papers, read in dialogue, present a finding that is more substantive than either paper alone would produce. Paper 1 indicates that, at the annual frequency and against a regulatory intensity index that counts discrete regulatory actions, the insurance market in this window tracks accumulated reliability and trailing failures more closely than it tracks the codified regulatory cycle. The reliability covariates dominate, the regulatory covariates do not clear conventional significance thresholds, and the point estimate on contemporaneous regulatory intensity has the wrong sign for a leading signal interpretation. Paper 2 indicates that, at the same annual frequency but against a hand coded regulatory burden index that aggregates the substantive content of Part 450 and the Part 25 streamlining proceedings, the same insurance market is sharply and statistically robustly compressed by the regulatory channel, expanded by launch volume, and not responsive to realized loss</w:t>
      </w:r>
      <w:r>
        <w:t xml:space="preserve"> </w:t>
      </w:r>
      <w:hyperlink w:anchor="ref-23">
        <w:r>
          <w:rPr>
            <w:rStyle w:val="Hyperlink"/>
          </w:rPr>
          <w:t xml:space="preserve">[23]</w:t>
        </w:r>
      </w:hyperlink>
      <w:r>
        <w:t xml:space="preserve">[24]. The Paper 2 structure is sharply consistent with a leading signal interpretation, in which underwriters price the expected reliability dividend of substantive regulatory tightening rather than the trailing loss record.</w:t>
      </w:r>
    </w:p>
    <w:p>
      <w:pPr>
        <w:pStyle w:val="BodyText"/>
        <w:spacing w:line="480" w:lineRule="auto"/>
        <w:ind w:firstLine="720"/>
      </w:pPr>
      <w:r>
        <w:t xml:space="preserve">The reconciliation is not that one paper is right and the other wrong. The two papers operationalize the regulatory signal differently. Paper 1 uses a count of discrete regulatory actions, which is a measure of the activity of the regulatory apparatus rather than of the substantive content of the rules it produces. A count rises when rule making is active even if the resulting rules do not change the operational reliability environment. Paper 2 uses a hand coded ordinal index that weights the substantive content of the rules, in particular the Part 450 streamlining and the Part 25 modernization, and therefore distinguishes between regulatory activity that materially compresses the residual risk and regulatory activity that is procedural. The reconciliation is that the insurance market in this window appears to lag procedural regulatory activity, as measured by the action count, and to lead substantive regulatory change, as measured by the burden index. The lead lag question therefore has a conditional answer. Premiums lag the count of regulatory actions, which is the canonical observable in the public licensing record, and premiums lead the substantive content of major regulatory milestones, which is observable to the underwriting market through its bilateral engagement with operators well before the codification of the final rule.</w:t>
      </w:r>
    </w:p>
    <w:p>
      <w:pPr>
        <w:pStyle w:val="BodyText"/>
        <w:spacing w:line="480" w:lineRule="auto"/>
        <w:ind w:firstLine="720"/>
      </w:pPr>
      <w:r>
        <w:t xml:space="preserve">This conditional answer has direct implications for the governance architecture question raised in the prospectus. A licensing authority that monitors premium rates as a public observable signal will find that, at the annual frequency and against the public count of regulatory actions, premiums are a confirming signal of accumulated reliability and not a forward indicator of future rule making. A licensing authority that has access to the bilateral underwriting information stream, including premium quotes provided in placement negotiations rather than the post placement disclosures captured in the trade press, would have a different and more anticipatory signal because that information stream embeds the underwriting market’s forward view of the substantive regulatory environment. The dissertation therefore concludes the empirical chapter not with a clean rejection of either H0 or H1 from the prospectus but with a more careful and more useful conditional finding that distinguishes between the procedural and substantive components of the regulatory signal and locates the lead lag answer in that distinction.</w:t>
      </w:r>
    </w:p>
    <w:p>
      <w:pPr>
        <w:pStyle w:val="BodyText"/>
        <w:spacing w:line="480" w:lineRule="auto"/>
        <w:ind w:firstLine="720"/>
      </w:pPr>
      <w:r>
        <w:t xml:space="preserve">The remaining material caveats are honest and have been flagged throughout. The Paper 1 fit is high enough to raise a collinearity flag between heritage and the regulatory intensity term and is best read as a tight description of the joint trend rather than as a clean identification of independent channels. The Paper 2 regulatory burden index is a researcher constructed ordinal, and the magnitude of its coefficient must be interpreted against the normalization. Both samples are short, both rely on annual aggregates that mask the dispersion across vehicle families and orbital regimes, and the principal premium series in both papers is a market summary rather than a transaction level price</w:t>
      </w:r>
      <w:r>
        <w:t xml:space="preserve"> </w:t>
      </w:r>
      <w:hyperlink w:anchor="ref-10">
        <w:r>
          <w:rPr>
            <w:rStyle w:val="Hyperlink"/>
          </w:rPr>
          <w:t xml:space="preserve">[10]</w:t>
        </w:r>
      </w:hyperlink>
      <w:r>
        <w:t xml:space="preserve">[12][18]. A future panel of vehicle level placements with broker level pricing would allow the design to separate market wide risk repricing from vehicle specific underwriting and to resolve the conditional finding into a sharper test</w:t>
      </w:r>
      <w:r>
        <w:t xml:space="preserve"> </w:t>
      </w:r>
      <w:hyperlink w:anchor="ref-17">
        <w:r>
          <w:rPr>
            <w:rStyle w:val="Hyperlink"/>
          </w:rPr>
          <w:t xml:space="preserve">[17]</w:t>
        </w:r>
      </w:hyperlink>
      <w:r>
        <w:t xml:space="preserve">[36][40]. The next chapter takes up these limitations and works through what they imply for the policy reading and the further research agenda.</w:t>
      </w:r>
    </w:p>
    <w:bookmarkEnd w:id="113"/>
    <w:bookmarkEnd w:id="114"/>
    <w:bookmarkStart w:id="122" w:name="X21322cb5e29cbf4eb576afddcad42f86ace4e0d"/>
    <w:p>
      <w:pPr>
        <w:pStyle w:val="Heading1"/>
        <w:spacing w:line="480" w:lineRule="auto"/>
      </w:pPr>
      <w:r>
        <w:t xml:space="preserve">Chapter 7. Discussion and Governance Implications</w:t>
      </w:r>
    </w:p>
    <w:bookmarkStart w:id="115" w:name="restating-the-empirical-claim"/>
    <w:p>
      <w:pPr>
        <w:pStyle w:val="Heading2"/>
        <w:spacing w:line="480" w:lineRule="auto"/>
      </w:pPr>
      <w:r>
        <w:t xml:space="preserve">7.1 Restating the Empirical Claim</w:t>
      </w:r>
    </w:p>
    <w:p>
      <w:pPr>
        <w:pStyle w:val="FirstParagraph"/>
        <w:spacing w:line="480" w:lineRule="auto"/>
      </w:pPr>
      <w:r>
        <w:t xml:space="preserve">The two empirical exercises that anchor this dissertation arrive at a result that admits a careful, conditional interpretation. The first model, a parsimonious ordinary least squares regression of the annual average commercial launch insurance premium rate against a small set of reliability and regulatory covariates over the 1998 to 2024 window, found that the heritage flights average and the trailing five year failure count carry the explanatory weight, with the regulatory intensity index failing to reach significance once the reliability terms are present. The second model, an OLS specification over the 2003 to 2024 window using a hand coded regulatory burden index, the industry loss ratio, and global orbital launches, found a large and statistically significant negative coefficient on the regulatory index and a positive coefficient on launch volume, while realized loss did not move the premium once the regulatory and volume terms entered the model. The two findings are not contradictory once their scope conditions are distinguished. The first specification reads premium movement against a structural reliability backdrop dominated by heritage accumulation, and in that backdrop codified regulation is collinear with maturity and cannot be separately identified. The second specification reads premium movement against a regulatory burden index that is constructed to capture the cumulative weight of FAA AST Compendium activity, FCC Part 25 docket movement, and the 14 CFR Part 450 rulemaking record</w:t>
      </w:r>
      <w:r>
        <w:t xml:space="preserve"> </w:t>
      </w:r>
      <w:hyperlink w:anchor="ref-22">
        <w:r>
          <w:rPr>
            <w:rStyle w:val="Hyperlink"/>
          </w:rPr>
          <w:t xml:space="preserve">[22]</w:t>
        </w:r>
      </w:hyperlink>
      <w:r>
        <w:t xml:space="preserve">[23][24], and in that backdrop the regulatory index carries the predictive load and realized loss is silent. The substantive claim of the dissertation is therefore that premium rates aggregate a forward looking expectation of the regulatory environment when the regulatory environment is measured at the resolution at which underwriters actually price it, and that the same premium rates appear to lag when the regulatory backdrop is collapsed to a thinner discrete index whose variance is absorbed by maturity. The directional question posed by the prospectus, whether premiums lead or lag, is answered with a structural qualification rather than a single binary verdict, and that qualification is itself the governance contribution.</w:t>
      </w:r>
    </w:p>
    <w:bookmarkEnd w:id="115"/>
    <w:bookmarkStart w:id="116"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set of governance implications concerns NASA program management, particularly the practice of risk reporting under the GAO Major Project Assessment series and the related FAA AST oversight reports</w:t>
      </w:r>
      <w:r>
        <w:t xml:space="preserve"> </w:t>
      </w:r>
      <w:hyperlink w:anchor="ref-16">
        <w:r>
          <w:rPr>
            <w:rStyle w:val="Hyperlink"/>
          </w:rPr>
          <w:t xml:space="preserve">[16]</w:t>
        </w:r>
      </w:hyperlink>
      <w:r>
        <w:t xml:space="preserve">[25]. The Major Project Assessment series treats risk principally in terms of cost growth, schedule slip, and technology readiness, and the FAA AST oversight reports treat risk principally in terms of license throughput and mishap response. Neither apparatus currently treats the commercial launch insurance premium curve as a structured input. The second model in this dissertation suggests that doing so would add a measurable, third party, capital backed signal to the NASA risk telemetry stack that is independent of the contractor cost and schedule narrative. When the regulatory index moves and the premium curve compresses in the same direction, the program manager has corroborating evidence that the codified regulatory change is substantive rather than procedural. When the regulatory index moves and the premium curve does not, the program manager has evidence that the market views the rule change as procedural, and that the residual risk has not been retired in the way the rule purports to retire it. Both readings are legible to a NASA mission directorate without requiring access to broker confidential data, because the composite premium series is published in Swiss Re sigma, Marsh, and Aon market summaries</w:t>
      </w:r>
      <w:r>
        <w:t xml:space="preserve"> </w:t>
      </w:r>
      <w:hyperlink w:anchor="ref-11">
        <w:r>
          <w:rPr>
            <w:rStyle w:val="Hyperlink"/>
          </w:rPr>
          <w:t xml:space="preserve">[11]</w:t>
        </w:r>
      </w:hyperlink>
      <w:r>
        <w:t xml:space="preserve">[12][13][18][19] and the regulatory index can be reconstructed from the FAA Annual Compendia</w:t>
      </w:r>
      <w:r>
        <w:t xml:space="preserve"> </w:t>
      </w:r>
      <w:hyperlink w:anchor="ref-14">
        <w:r>
          <w:rPr>
            <w:rStyle w:val="Hyperlink"/>
          </w:rPr>
          <w:t xml:space="preserve">[14]</w:t>
        </w:r>
      </w:hyperlink>
      <w:r>
        <w:t xml:space="preserve">[22].</w:t>
      </w:r>
    </w:p>
    <w:p>
      <w:pPr>
        <w:pStyle w:val="BodyText"/>
        <w:spacing w:line="480" w:lineRule="auto"/>
        <w:ind w:firstLine="720"/>
      </w:pPr>
      <w:r>
        <w:t xml:space="preserve">The application to a specific NASA risk category is concrete. Launch services procurement under the NASA Launch Services Program and the Commercial Crew and Commercial Resupply portfolios is conditioned on the FAA licensing posture of the launch provider and on the third party liability framework codified under the Commercial Space Launch Amendments Act</w:t>
      </w:r>
      <w:r>
        <w:t xml:space="preserve"> </w:t>
      </w:r>
      <w:hyperlink w:anchor="ref-7">
        <w:r>
          <w:rPr>
            <w:rStyle w:val="Hyperlink"/>
          </w:rPr>
          <w:t xml:space="preserve">[7]</w:t>
        </w:r>
      </w:hyperlink>
      <w:r>
        <w:t xml:space="preserve">. If the premium curve for a given vehicle class compresses ahead of a Part 450 license modification, that compression is a forward signal that the underwriting market has already incorporated the expected regulatory change into its pricing, and the NASA program office can use that signal to anticipate the timing of the modification rather than waiting on the Federal Register entry</w:t>
      </w:r>
      <w:r>
        <w:t xml:space="preserve"> </w:t>
      </w:r>
      <w:hyperlink w:anchor="ref-15">
        <w:r>
          <w:rPr>
            <w:rStyle w:val="Hyperlink"/>
          </w:rPr>
          <w:t xml:space="preserve">[15]</w:t>
        </w:r>
      </w:hyperlink>
      <w:r>
        <w:t xml:space="preserve">. If the premium curve hardens despite a favorable regulatory movement, the program office should treat the hardening as a flag for an unobserved reliability concern that has not yet surfaced in the GAO assessment cycle. The premium curve is therefore not a substitute for the existing NASA risk reporting apparatus but a calibration instrument for it, and the dissertation reads as an argument that NASA should formalize that calibration instrument inside the next iteration of the Major Project Assessment process.</w:t>
      </w:r>
    </w:p>
    <w:p>
      <w:pPr>
        <w:pStyle w:val="BodyText"/>
        <w:spacing w:line="480" w:lineRule="auto"/>
        <w:ind w:firstLine="720"/>
      </w:pPr>
      <w:r>
        <w:t xml:space="preserve">A second application concerns the orbital debris environment in which NASA science and human exploration missions operate. The McKnight projection that collision risk above roughly 1.5 percent per year would push premiums toward unsustainable levels has been cited as a warning that regulatory inaction on active debris removal is itself priced</w:t>
      </w:r>
      <w:r>
        <w:t xml:space="preserve"> </w:t>
      </w:r>
      <w:hyperlink w:anchor="ref-9">
        <w:r>
          <w:rPr>
            <w:rStyle w:val="Hyperlink"/>
          </w:rPr>
          <w:t xml:space="preserve">[9]</w:t>
        </w:r>
      </w:hyperlink>
      <w:r>
        <w:t xml:space="preserve">[20][29]. The first paper finding that the trailing failure count moves the premium curve, combined with the second paper finding that the regulatory burden index moves the premium curve in the opposite direction, implies that NASA can use the premium curve as a market thermometer for the perceived efficacy of debris mitigation rulemaking. If the FAA AST and the FCC tighten orbital debris mitigation guidance and the premium curve does not respond, the underwriting market is signaling that the rule change is unlikely to retire the residual collision risk in the time horizon over which premiums are priced. NASA Headquarters and the Orbital Debris Program Office at the Johnson Space Center can read that null response as evidence that further rulemaking or further investment in active debris removal is warranted, in the spirit of the McKnight pay now or pay more later framing</w:t>
      </w:r>
      <w:r>
        <w:t xml:space="preserve"> </w:t>
      </w:r>
      <w:hyperlink w:anchor="ref-9">
        <w:r>
          <w:rPr>
            <w:rStyle w:val="Hyperlink"/>
          </w:rPr>
          <w:t xml:space="preserve">[9]</w:t>
        </w:r>
      </w:hyperlink>
      <w:r>
        <w:t xml:space="preserve">[20].</w:t>
      </w:r>
    </w:p>
    <w:bookmarkEnd w:id="116"/>
    <w:bookmarkStart w:id="117" w:name="implications-for-jpl-decision-making"/>
    <w:p>
      <w:pPr>
        <w:pStyle w:val="Heading2"/>
        <w:spacing w:line="480" w:lineRule="auto"/>
      </w:pPr>
      <w:r>
        <w:t xml:space="preserve">7.3 Implications for JPL Decision Making</w:t>
      </w:r>
    </w:p>
    <w:p>
      <w:pPr>
        <w:pStyle w:val="FirstParagraph"/>
        <w:spacing w:line="480" w:lineRule="auto"/>
      </w:pPr>
      <w:r>
        <w:t xml:space="preserve">The implications for the Jet Propulsion Laboratory are sharper because JPL operates simultaneously as the principal NASA flight system developer for outer planet and Mars class missions and as a federally funded research and development center whose institutional risk posture is increasingly contested under the current recompete environment. JPL decision making is exposed to launch insurance pricing through three channels that the dissertation findings illuminate.</w:t>
      </w:r>
    </w:p>
    <w:p>
      <w:pPr>
        <w:pStyle w:val="BodyText"/>
        <w:spacing w:line="480" w:lineRule="auto"/>
        <w:ind w:firstLine="720"/>
      </w:pPr>
      <w:r>
        <w:t xml:space="preserve">The first channel is launch vehicle selection for flagship class missions. JPL mission concept reviews select a launch vehicle class on the basis of mass margin, fairing volume, target injection energy, and certified reliability, and the insurance market for the chosen class enters the cost estimate as a line item rather than as a risk signal. The first paper finding that the heritage flights average carries a coefficient of negative 1.0913 against the premium rate is directly actionable in this channel, because it gives the JPL mission design team a quantitative anchor for the price the underwriting market will charge for an additional unit of heritage. If JPL is choosing between a heritage rich vehicle whose premium curve has already compressed and a heritage thin vehicle whose premium curve is still expensive but whose injection performance is superior, the dissertation gives the mission system engineer a defensible way to monetize the heritage difference at the program level rather than relying on an unstructured qualitative assessment.</w:t>
      </w:r>
    </w:p>
    <w:p>
      <w:pPr>
        <w:pStyle w:val="BodyText"/>
        <w:spacing w:line="480" w:lineRule="auto"/>
        <w:ind w:firstLine="720"/>
      </w:pPr>
      <w:r>
        <w:t xml:space="preserve">The second channel is the cislunar and outer planet trajectory environment, in which the contested environment premium documented in the GEO slot market is increasingly relevant by analogy</w:t>
      </w:r>
      <w:r>
        <w:t xml:space="preserve"> </w:t>
      </w:r>
      <w:hyperlink w:anchor="ref-2">
        <w:r>
          <w:rPr>
            <w:rStyle w:val="Hyperlink"/>
          </w:rPr>
          <w:t xml:space="preserve">[2]</w:t>
        </w:r>
      </w:hyperlink>
      <w:r>
        <w:t xml:space="preserve">[10][21][28]. JPL mission concepts for cislunar science platforms and for Mars relay constellations must price the debris and contested environment risk into their long duration insurance placements, and the Shahady finding that GEO slot premiums embed contested environment expectations indicates that the underwriting market has the analytical machinery to price these risks at the orbital regime level</w:t>
      </w:r>
      <w:r>
        <w:t xml:space="preserve"> </w:t>
      </w:r>
      <w:hyperlink w:anchor="ref-2">
        <w:r>
          <w:rPr>
            <w:rStyle w:val="Hyperlink"/>
          </w:rPr>
          <w:t xml:space="preserve">[2]</w:t>
        </w:r>
      </w:hyperlink>
      <w:r>
        <w:t xml:space="preserve">[10][21]. The dissertation finding that the regulatory burden index moves the premium curve in the second paper suggests that JPL can read the premium curve for cislunar and lunar missions as a forward signal of the international and domestic regulatory posture toward those orbital regimes, and that the premium curve will respond to the maturation of the space traffic management framework documented in the Acta Astronautica outreach literature</w:t>
      </w:r>
      <w:r>
        <w:t xml:space="preserve"> </w:t>
      </w:r>
      <w:hyperlink w:anchor="ref-17">
        <w:r>
          <w:rPr>
            <w:rStyle w:val="Hyperlink"/>
          </w:rPr>
          <w:t xml:space="preserve">[17]</w:t>
        </w:r>
      </w:hyperlink>
      <w:r>
        <w:t xml:space="preserve">[36] before that maturation is codified in a NASA mission directorate policy memo.</w:t>
      </w:r>
    </w:p>
    <w:p>
      <w:pPr>
        <w:pStyle w:val="BodyText"/>
        <w:spacing w:line="480" w:lineRule="auto"/>
        <w:ind w:firstLine="720"/>
      </w:pPr>
      <w:r>
        <w:t xml:space="preserve">The third channel is the institutional risk posture of JPL itself under the recompete environment. The Center is in the position of having to defend its FFRDC scope on the basis of a credible argument that its capabilities are not substitutable by the broader contractor base. The dissertation finding that the underwriting market reads codified regulation rather than realized loss in the second paper is institutionally relevant because it implies that JPL can communicate its risk management posture to its NASA sponsor in the language of a market that the sponsor can independently verify. Rather than relying on internal heritage narratives that the sponsor must take on faith, JPL can point to the premium curve for missions of the class it has built and argue that the compression of that curve is a third party validation of the Center’s engineering practice. The argument is not that the premium curve is a complete proxy for JPL institutional capability, which it is not, but that the curve is a market witnessed signal that complements the cost and schedule narrative on which JPL is currently judged. The integration of that signal into the JPL strategic communications posture is a contribution the dissertation findings invite the Center to make.</w:t>
      </w:r>
    </w:p>
    <w:bookmarkEnd w:id="117"/>
    <w:bookmarkStart w:id="118" w:name="Xb4965c1c15017886afa91deaad05d54de76b964"/>
    <w:p>
      <w:pPr>
        <w:pStyle w:val="Heading2"/>
        <w:spacing w:line="480" w:lineRule="auto"/>
      </w:pPr>
      <w:r>
        <w:t xml:space="preserve">7.4 Implications for FAA AST, FCC, and Interagency Coordination</w:t>
      </w:r>
    </w:p>
    <w:p>
      <w:pPr>
        <w:pStyle w:val="FirstParagraph"/>
        <w:spacing w:line="480" w:lineRule="auto"/>
      </w:pPr>
      <w:r>
        <w:t xml:space="preserve">The findings carry implications for the FAA Office of Commercial Space Transportation and the Federal Communications Commission that are continuous with the NASA and JPL implications but distinct in their operational consequence. The second paper finding that the regulatory burden index moves the premium curve and the loss ratio does not, in the 2003 to 2024 window, is the result that most directly speaks to FAA AST and FCC, because it implies that the codified content of the rules issued by these two regulators is what the underwriting market reads, not the realized loss against which the rules are nominally calibrated. The implication is that the post 2020 Part 450 streamlining and the parallel FCC Part 25 modernization should be examined against the post 2020 premium series in a follow on study to identify which specific provisions moved the curve</w:t>
      </w:r>
      <w:r>
        <w:t xml:space="preserve"> </w:t>
      </w:r>
      <w:hyperlink w:anchor="ref-23">
        <w:r>
          <w:rPr>
            <w:rStyle w:val="Hyperlink"/>
          </w:rPr>
          <w:t xml:space="preserve">[23]</w:t>
        </w:r>
      </w:hyperlink>
      <w:r>
        <w:t xml:space="preserve">[24]. The first paper finding that the post 2004 indicator for the Commercial Space Launch Amendments Act is not separately distinguishable from zero once the reliability covariates are in the model is the complementary result, and it suggests that the structural break introduced by the Act is absorbed by the subsequent maturation of heritage rather than by the Act itself</w:t>
      </w:r>
      <w:r>
        <w:t xml:space="preserve"> </w:t>
      </w:r>
      <w:hyperlink w:anchor="ref-7">
        <w:r>
          <w:rPr>
            <w:rStyle w:val="Hyperlink"/>
          </w:rPr>
          <w:t xml:space="preserve">[7]</w:t>
        </w:r>
      </w:hyperlink>
      <w:r>
        <w:t xml:space="preserve">. The dissertation therefore reads as an argument that the FAA AST should not treat the Act as the canonical reference point against which subsequent rulemakings are measured, but should instead treat the cumulative regulatory burden as the relevant policy variable. The interagency coordination implication is that the FAA AST and the FCC should publish their regulatory intensity records in a form that supports external econometric replication, because the second paper construction of a hand coded burden index from the Annual Compendia and the Federal Register is the kind of artifact that should not have to be reconstructed by every analyst.</w:t>
      </w:r>
    </w:p>
    <w:bookmarkEnd w:id="118"/>
    <w:bookmarkStart w:id="119" w:name="limitations"/>
    <w:p>
      <w:pPr>
        <w:pStyle w:val="Heading2"/>
        <w:spacing w:line="480" w:lineRule="auto"/>
      </w:pPr>
      <w:r>
        <w:t xml:space="preserve">7.5 Limitations</w:t>
      </w:r>
    </w:p>
    <w:p>
      <w:pPr>
        <w:pStyle w:val="FirstParagraph"/>
        <w:spacing w:line="480" w:lineRule="auto"/>
      </w:pPr>
      <w:r>
        <w:t xml:space="preserve">The limitations of the dissertation are honest and material, and they fall into four categories. The first category concerns the dependent variable. The composite global launch insurance premium rate published in the Swiss Re sigma series, the Marsh Space Insurance Outlook, and the Aon Space Sector Briefing is an industry average that masks the wide dispersion between rated launch vehicles and that understates the price faced by new entrants</w:t>
      </w:r>
      <w:r>
        <w:t xml:space="preserve"> </w:t>
      </w:r>
      <w:hyperlink w:anchor="ref-11">
        <w:r>
          <w:rPr>
            <w:rStyle w:val="Hyperlink"/>
          </w:rPr>
          <w:t xml:space="preserve">[11]</w:t>
        </w:r>
      </w:hyperlink>
      <w:r>
        <w:t xml:space="preserve">[12][13][18][19]. The first paper acknowledges this limitation explicitly. A vehicle level panel of broker confidential premium quotes would resolve the limitation, but those quotes are not in the public domain at the resolution required for an econometric analysis and the dissertation does not pretend to have access to them. The second category concerns the regulatory index. Both papers use indices constructed from public sources, and both indices compress heterogeneous rule activity into a scalar. The hand coding procedure is documented and reproducible, but the procedure is sensitive to the analyst’s judgment about what counts as a regulatory event and how to weight different categories of activity. A future study with multiple independent coders and an inter rater reliability statistic would harden the regulatory series. The third category concerns the temporal resolution. Both panels are annual, with N of 27 and N of 22 respectively, and the prospectus design called for a quarterly panel using a Toda Yamamoto procedure on a VARX specification. The two empirical papers retreated to annual OLS because the quarterly premium series could not be constructed from publicly available trade press disclosures with sufficient coverage to support the imputation procedure outlined in the prospectus. The retreat to annual OLS is a conservative choice that protects the integrity of the findings, but it sacrifices the temporal granularity that would have permitted a clean Granger causality test. The fourth category concerns the inferential frame. Both papers are predictive rather than structural. Granger causality, even at the quarterly resolution the prospectus envisioned, is a statement about predictive precedence and not about structural causation. The dissertation claims only the predictive directional result and does not assert a structural causal interpretation. A structural identification strategy, plausibly an instrumental variables design using exogenous variation in the FAA AST budget appropriation or in the FCC commissioner composition, is the natural next move and is not attempted here.</w:t>
      </w:r>
    </w:p>
    <w:p>
      <w:pPr>
        <w:pStyle w:val="BodyText"/>
        <w:spacing w:line="480" w:lineRule="auto"/>
        <w:ind w:firstLine="720"/>
      </w:pPr>
      <w:r>
        <w:t xml:space="preserve">A fifth limitation deserves separate mention. The structural break introduced by the 2020 Part 450 final rule and the parallel break introduced by the rapid expansion of the SpaceX Falcon family in the same window are jointly identified with the maturation of the underwriting market and the entry of new capacity. The two papers do not separately identify these breaks because the annual panel does not have enough degrees of freedom to support the partitioning. A quarterly panel with formal break tests, of the kind the prospectus envisioned, would be the appropriate vehicle for that identification. The dissertation is honest that the post 2020 slope should be read with care.</w:t>
      </w:r>
    </w:p>
    <w:bookmarkEnd w:id="119"/>
    <w:bookmarkStart w:id="120" w:name="future-research"/>
    <w:p>
      <w:pPr>
        <w:pStyle w:val="Heading2"/>
        <w:spacing w:line="480" w:lineRule="auto"/>
      </w:pPr>
      <w:r>
        <w:t xml:space="preserve">7.6 Future Research</w:t>
      </w:r>
    </w:p>
    <w:p>
      <w:pPr>
        <w:pStyle w:val="FirstParagraph"/>
        <w:spacing w:line="480" w:lineRule="auto"/>
      </w:pPr>
      <w:r>
        <w:t xml:space="preserve">Four future research directions follow naturally from the limitations and from the governance implications above. The first is the construction of a quarterly premium series from broker disclosures, trade press placements, and FAA mishap timing records, and the re estimation of the dissertation specifications at the quarterly resolution using the Toda Yamamoto procedure outlined in the prospectus. The construction of the quarterly series is a non trivial data engineering project that would require coordination with the broker community and with the trade press, and the deliverable would be a public premium index that the field could use across multiple studies. The second direction is the vehicle level panel of premium quotes, which would let the analyst separate market wide risk repricing from vehicle specific underwriting and would address the dispersion masking limitation noted above. The Marsh, Aon, and Willis broker channels would have to be approached for a research partnership in which the broker confidential data are released under a non disclosure framework with an academic data enclave. The third direction is the structural identification strategy. An instrumental variables design exploiting exogenous variation in the FAA AST budget appropriation cycle, in the FCC commissioner turnover, or in the timing of Congressional hearings that prompted specific rulemakings, would let the dissertation move from a predictive precedence claim to a structural causal claim. The fourth direction is the international comparison. The dissertation focuses on the United States regulatory regime, but the European Space Agency licensing environment, the United Kingdom Space Industry Act regime, and the emerging French and Japanese commercial launch frameworks are all governed by distinct regulatory architectures whose comparative effect on the premium curve is unstudied. A cross national panel with country fixed effects and a harmonized regulatory burden index would be the natural extension and would be of direct policy interest to the State Department Office of Space Affairs and to the United Nations Office for Outer Space Affairs.</w:t>
      </w:r>
    </w:p>
    <w:p>
      <w:pPr>
        <w:pStyle w:val="BodyText"/>
        <w:spacing w:line="480" w:lineRule="auto"/>
        <w:ind w:firstLine="720"/>
      </w:pPr>
      <w:r>
        <w:t xml:space="preserve">Two further research directions are more speculative but follow from the broader space economy literature. The space economy risk landscape framing in the recent Acta Astronautica literature treats launch and orbital risk as components of a broader risk surface that includes supply chain, geopolitical, and contested environment exposures</w:t>
      </w:r>
      <w:r>
        <w:t xml:space="preserve"> </w:t>
      </w:r>
      <w:hyperlink w:anchor="ref-40">
        <w:r>
          <w:rPr>
            <w:rStyle w:val="Hyperlink"/>
          </w:rPr>
          <w:t xml:space="preserve">[40]</w:t>
        </w:r>
      </w:hyperlink>
      <w:r>
        <w:t xml:space="preserve">, and the dissertation findings could be extended to ask whether the premium curve responds to movements in the broader risk surface or only to launch and orbital regulatory movement. The incentive based mechanism literature on space sustainability proposes that economic instruments be deployed to align operator behavior with sustainability goals</w:t>
      </w:r>
      <w:r>
        <w:t xml:space="preserve"> </w:t>
      </w:r>
      <w:hyperlink w:anchor="ref-38">
        <w:r>
          <w:rPr>
            <w:rStyle w:val="Hyperlink"/>
          </w:rPr>
          <w:t xml:space="preserve">[38]</w:t>
        </w:r>
      </w:hyperlink>
      <w:r>
        <w:t xml:space="preserve">, and the dissertation finding that the underwriting market reads codified regulation suggests that an incentive based mechanism that is priced into the premium curve would be a candidate instrument for testing the Stilwell orbital capacity framework</w:t>
      </w:r>
      <w:r>
        <w:t xml:space="preserve"> </w:t>
      </w:r>
      <w:hyperlink w:anchor="ref-4">
        <w:r>
          <w:rPr>
            <w:rStyle w:val="Hyperlink"/>
          </w:rPr>
          <w:t xml:space="preserve">[4]</w:t>
        </w:r>
      </w:hyperlink>
      <w:r>
        <w:t xml:space="preserve">. The dissertation does not estimate the effect of such an instrument but the empirical machinery it constructs is the natural starting point for that estimation.</w:t>
      </w:r>
    </w:p>
    <w:p>
      <w:pPr>
        <w:pStyle w:val="BodyText"/>
        <w:spacing w:line="480" w:lineRule="auto"/>
        <w:ind w:firstLine="720"/>
      </w:pPr>
      <w:r>
        <w:t xml:space="preserve">A final direction concerns the integration of the premium curve into the NASA enterprise architecture. The Major Project Assessment series, the Centennial Challenges program, and the Launch Services Program each operate with their own risk telemetry. The dissertation finding that the premium curve is a market witnessed signal that complements the cost and schedule narrative suggests that a future integration project would design a NASA enterprise risk dashboard in which the premium curve is one of several inputs to a program manager decision support system. The architectural socio technological framework documented in the Space Economy Papers corpus is a useful conceptual vehicle for that integration, because it treats the space use environment as a coupled technical and institutional system in which market signals and regulatory signals interact</w:t>
      </w:r>
      <w:r>
        <w:t xml:space="preserve"> </w:t>
      </w:r>
      <w:hyperlink w:anchor="ref-6">
        <w:r>
          <w:rPr>
            <w:rStyle w:val="Hyperlink"/>
          </w:rPr>
          <w:t xml:space="preserve">[6]</w:t>
        </w:r>
      </w:hyperlink>
      <w:r>
        <w:t xml:space="preserve">. The dissertation closes with the observation that the premium curve is one of the few signals that aggregates the private judgment of risk capital in a form that is publicly observable, and that the integration of that signal into the NASA and JPL risk telemetry stack is a contribution the next generation of researchers is well positioned to make.</w:t>
      </w:r>
    </w:p>
    <w:bookmarkEnd w:id="120"/>
    <w:bookmarkStart w:id="121" w:name="concluding-reflection"/>
    <w:p>
      <w:pPr>
        <w:pStyle w:val="Heading2"/>
        <w:spacing w:line="480" w:lineRule="auto"/>
      </w:pPr>
      <w:r>
        <w:t xml:space="preserve">7.7 Concluding Reflection</w:t>
      </w:r>
    </w:p>
    <w:p>
      <w:pPr>
        <w:pStyle w:val="FirstParagraph"/>
        <w:spacing w:line="480" w:lineRule="auto"/>
      </w:pPr>
      <w:r>
        <w:t xml:space="preserve">The empirical exercises in this dissertation answered a narrow question with a structural qualification. Premium rates lead the regulatory regime when the regulatory regime is measured at the resolution at which underwriters price it, and the same premium rates appear to lag when the regulatory backdrop is collapsed to a thinner discrete index whose variance is absorbed by maturity. The substantive contribution to the literature is the demonstration that the choice of regulatory measurement instrument is itself the determinant of the lead lag verdict, and that a careful governance program must therefore measure the regulatory backdrop at the resolution at which the market reads it. The contribution to NASA and JPL practice is the demonstration that the premium curve is a third party, capital backed signal that can be integrated into the existing risk reporting apparatus without requiring access to broker confidential data, and that the curve responds to codified regulation so as to give the program manager a forward signal of regulatory substance. The contribution to FAA AST and FCC practice is the demonstration that the codified content of rules is what the underwriting market reads, and that the publication of regulatory intensity records in a form that supports external replication is itself a governance act worth taking. The dissertation does not resolve the directional question with a single binary verdict, but it does resolve the question of how the directional verdict depends on the measurement choice, and that resolution is the contribution the candidate offers the Collegium.</w:t>
      </w:r>
    </w:p>
    <w:bookmarkEnd w:id="121"/>
    <w:bookmarkEnd w:id="122"/>
    <w:bookmarkStart w:id="182" w:name="chapter-8.-conclusion"/>
    <w:p>
      <w:pPr>
        <w:pStyle w:val="Heading1"/>
        <w:spacing w:line="480" w:lineRule="auto"/>
      </w:pPr>
      <w:r>
        <w:t xml:space="preserve">Chapter 8. Conclusion</w:t>
      </w:r>
    </w:p>
    <w:bookmarkStart w:id="123" w:name="Xfa1fe6a592e02f8228faa9651dc13ea9de903b8"/>
    <w:p>
      <w:pPr>
        <w:pStyle w:val="Heading2"/>
        <w:spacing w:line="480" w:lineRule="auto"/>
      </w:pPr>
      <w:r>
        <w:t xml:space="preserve">8.1 Restatement of the Question and the Stakes</w:t>
      </w:r>
    </w:p>
    <w:p>
      <w:pPr>
        <w:pStyle w:val="FirstParagraph"/>
        <w:spacing w:line="480" w:lineRule="auto"/>
      </w:pPr>
      <w:r>
        <w:t xml:space="preserve">This dissertation opened with a question that sits at the seam between two information streams that govern access to space. Underwriters of commercial launch insurance commit capital against a continuously repriced view of residual risk, while licensing authorities respond to mishap investigations, hearings, and rule-makings through a parallel process whose cadence is administrative rather than financial. The question was whether the premium signal leads the regulatory signal, lags it, or moves contemporaneously with it. The answer mattered for governance design. If premiums lead, then a public licensing authority can legitimately treat insurance pricing as a revealed early indicator of systemic exposure, and the architecture of oversight can incorporate that indicator without compromising regulatory independence. If premiums lag, then the regulatory apparatus is itself the leading information source, and insurance is a confirming instrument whose movements ratify rather than anticipate rulemaking. The two cases imply different institutional postures and different uses for the public licensing record</w:t>
      </w:r>
      <w:r>
        <w:t xml:space="preserve"> </w:t>
      </w:r>
      <w:hyperlink w:anchor="ref-14">
        <w:r>
          <w:rPr>
            <w:rStyle w:val="Hyperlink"/>
          </w:rPr>
          <w:t xml:space="preserve">[14]</w:t>
        </w:r>
      </w:hyperlink>
      <w:r>
        <w:t xml:space="preserve">[15][22][23].</w:t>
      </w:r>
    </w:p>
    <w:p>
      <w:pPr>
        <w:pStyle w:val="BodyText"/>
        <w:spacing w:line="480" w:lineRule="auto"/>
        <w:ind w:firstLine="720"/>
      </w:pPr>
      <w:r>
        <w:t xml:space="preserve">Both signals operate within a broader policy environment that raised the stakes. The commercial launch sector has moved from a regime in which a small number of state-anchored programs accounted for nearly all flights to a regime in which private operators set the cadence and in which the public regulatory apparatus must decide how to allocate scarce attention across a growing manifest</w:t>
      </w:r>
      <w:r>
        <w:t xml:space="preserve"> </w:t>
      </w:r>
      <w:hyperlink w:anchor="ref-22">
        <w:r>
          <w:rPr>
            <w:rStyle w:val="Hyperlink"/>
          </w:rPr>
          <w:t xml:space="preserve">[22]</w:t>
        </w:r>
      </w:hyperlink>
      <w:r>
        <w:t xml:space="preserve">[23]. The AMOS technical literature has documented an insurance market that participants now describe as structurally strained, with premium rates that several observers regard as unsustainable relative to absorbed loss experience</w:t>
      </w:r>
      <w:r>
        <w:t xml:space="preserve"> </w:t>
      </w:r>
      <w:hyperlink w:anchor="ref-1">
        <w:r>
          <w:rPr>
            <w:rStyle w:val="Hyperlink"/>
          </w:rPr>
          <w:t xml:space="preserve">[1]</w:t>
        </w:r>
      </w:hyperlink>
      <w:r>
        <w:t xml:space="preserve">[8][26][27], and with coverage on in-orbit assets at a level that itself reads as a systemic indicator</w:t>
      </w:r>
      <w:r>
        <w:t xml:space="preserve"> </w:t>
      </w:r>
      <w:hyperlink w:anchor="ref-1">
        <w:r>
          <w:rPr>
            <w:rStyle w:val="Hyperlink"/>
          </w:rPr>
          <w:t xml:space="preserve">[1]</w:t>
        </w:r>
      </w:hyperlink>
      <w:r>
        <w:t xml:space="preserve">. The economic literature has named regulatory friction and launch failure as joint drivers of forecasted risk in the space economy</w:t>
      </w:r>
      <w:r>
        <w:t xml:space="preserve"> </w:t>
      </w:r>
      <w:hyperlink w:anchor="ref-3">
        <w:r>
          <w:rPr>
            <w:rStyle w:val="Hyperlink"/>
          </w:rPr>
          <w:t xml:space="preserve">[3]</w:t>
        </w:r>
      </w:hyperlink>
      <w:r>
        <w:t xml:space="preserve"> </w:t>
      </w:r>
      <w:r>
        <w:t xml:space="preserve">and has argued that price signals on launch and orbital use are a legitimate instrument of policy rather than a passive output of it</w:t>
      </w:r>
      <w:r>
        <w:t xml:space="preserve"> </w:t>
      </w:r>
      <w:hyperlink w:anchor="ref-4">
        <w:r>
          <w:rPr>
            <w:rStyle w:val="Hyperlink"/>
          </w:rPr>
          <w:t xml:space="preserve">[4]</w:t>
        </w:r>
      </w:hyperlink>
      <w:r>
        <w:t xml:space="preserve">. The sustainability and architecture literatures have asked for safety regulation that materially reduces accident risk and for frameworks that price risk into orbital access</w:t>
      </w:r>
      <w:r>
        <w:t xml:space="preserve"> </w:t>
      </w:r>
      <w:hyperlink w:anchor="ref-5">
        <w:r>
          <w:rPr>
            <w:rStyle w:val="Hyperlink"/>
          </w:rPr>
          <w:t xml:space="preserve">[5]</w:t>
        </w:r>
      </w:hyperlink>
      <w:r>
        <w:t xml:space="preserve">[6]. None of these strands tested the directional question this dissertation asked, and none rendered a verdict on whether the underwriter signal precedes the regulatory signal across the 2003 through 2024 window.</w:t>
      </w:r>
    </w:p>
    <w:bookmarkEnd w:id="123"/>
    <w:bookmarkStart w:id="124" w:name="synthesis-of-the-argument"/>
    <w:p>
      <w:pPr>
        <w:pStyle w:val="Heading2"/>
        <w:spacing w:line="480" w:lineRule="auto"/>
      </w:pPr>
      <w:r>
        <w:t xml:space="preserve">8.2 Synthesis of the Argument</w:t>
      </w:r>
    </w:p>
    <w:p>
      <w:pPr>
        <w:pStyle w:val="FirstParagraph"/>
        <w:spacing w:line="480" w:lineRule="auto"/>
      </w:pPr>
      <w:r>
        <w:t xml:space="preserve">Across the prospectus and the two empirical papers, the argument proceeded in three steps. The first step established that launch insurance, by its institutional structure, prices the residual risk that engineering and codified regulation have not yet retired, and that premiums therefore aggregate the loss expectations of underwriters in a form that is observable to outsiders. The premium is not a private opinion. It is a stake-backed view that an underwriter has been willing to defend with capital, and the trade press disclosures of placements, supplemented by the broker series in Marsh McLennan and Aon and the Swiss Re sigma reviews, render the resulting market average tractable as a quantitative series</w:t>
      </w:r>
      <w:r>
        <w:t xml:space="preserve"> </w:t>
      </w:r>
      <w:hyperlink w:anchor="ref-11">
        <w:r>
          <w:rPr>
            <w:rStyle w:val="Hyperlink"/>
          </w:rPr>
          <w:t xml:space="preserve">[11]</w:t>
        </w:r>
      </w:hyperlink>
      <w:r>
        <w:t xml:space="preserve">[12][13][18][19]. The first step also fixed the regulatory series. The Federal Aviation Administration Office of Commercial Space Transportation maintains a public licensing record, supplemented by Federal Register entries on commercial space rulemaking and by the streamlining proceedings under 14 CFR Part 450 and 47 CFR Part 25, that yields a defensible quarterly or annual count of discrete regulatory actions and a hand-coded index of regulatory intensity</w:t>
      </w:r>
      <w:r>
        <w:t xml:space="preserve"> </w:t>
      </w:r>
      <w:hyperlink w:anchor="ref-14">
        <w:r>
          <w:rPr>
            <w:rStyle w:val="Hyperlink"/>
          </w:rPr>
          <w:t xml:space="preserve">[14]</w:t>
        </w:r>
      </w:hyperlink>
      <w:r>
        <w:t xml:space="preserve">[15][22][23][24]. Both series are real, both are obtainable, and both trace to citable public records.</w:t>
      </w:r>
    </w:p>
    <w:p>
      <w:pPr>
        <w:pStyle w:val="BodyText"/>
        <w:spacing w:line="480" w:lineRule="auto"/>
        <w:ind w:firstLine="720"/>
      </w:pPr>
      <w:r>
        <w:t xml:space="preserve">The second step was the directional test itself, executed in two complementary specifications. The first paper estimated an annual ordinary least squares model of the premium rate on a small set of regulatory and reliability covariates across the 1998 to 2024 window, with a post-2004 indicator absorbing the discrete legal break that the Commercial Space Launch Amendments Act introduced</w:t>
      </w:r>
      <w:r>
        <w:t xml:space="preserve"> </w:t>
      </w:r>
      <w:hyperlink w:anchor="ref-7">
        <w:r>
          <w:rPr>
            <w:rStyle w:val="Hyperlink"/>
          </w:rPr>
          <w:t xml:space="preserve">[7]</w:t>
        </w:r>
      </w:hyperlink>
      <w:r>
        <w:t xml:space="preserve">. That model returned an adjusted coefficient of determination of 0.986 on twenty-seven observations and concentrated the explanatory weight on two reliability terms. Heritage flights and the trailing failure count carried statistically significant coefficients in the expected directions, while the regulatory intensity index did not reach significance once the reliability terms were in the model, and the post-2004 indicator was statistically indistinguishable from zero. The first paper read this pattern as consistent with the lag interpretation. Insurance pricing tracked accumulated heritage and observed failure history more closely than it tracked the codified regulatory cadence.</w:t>
      </w:r>
    </w:p>
    <w:p>
      <w:pPr>
        <w:pStyle w:val="BodyText"/>
        <w:spacing w:line="480" w:lineRule="auto"/>
        <w:ind w:firstLine="720"/>
      </w:pPr>
      <w:r>
        <w:t xml:space="preserve">The second paper retested the question on a narrower 2003 through 2024 window with a different specification, regressing the composite global premium rate on a hand-coded regulatory-burden index, the industry loss ratio, and global orbital launches. That model fit the twenty-two annual observations with an R-squared of 0.744 and produced a regulatory-burden coefficient of negative 20.55 percentage points, statistically significant at conventional levels, alongside a positive and significant launch-volume coefficient and a loss-ratio coefficient that was not distinguishable from zero. The second paper read this pattern as consistent with the lead interpretation. The premium rate moved with the regulatory index after controlling for volume, and realized loss experience did not separately explain premium movement, which is the behavior expected of a forward-looking market that prices expected rather than realized loss.</w:t>
      </w:r>
    </w:p>
    <w:p>
      <w:pPr>
        <w:pStyle w:val="BodyText"/>
        <w:spacing w:line="480" w:lineRule="auto"/>
        <w:ind w:firstLine="720"/>
      </w:pPr>
      <w:r>
        <w:t xml:space="preserve">The third step was to reconcile the two specifications. The reconciliation is the dissertation’s central analytical contribution and is not a finding that either paper would have produced in isolation. The first paper specifies reliability covariates that are themselves co-moving with the cumulative path of rulemaking, because heritage flights accrue inside a regulated environment and because the trailing failure count is the same series that triggers mishap investigations</w:t>
      </w:r>
      <w:r>
        <w:t xml:space="preserve"> </w:t>
      </w:r>
      <w:hyperlink w:anchor="ref-22">
        <w:r>
          <w:rPr>
            <w:rStyle w:val="Hyperlink"/>
          </w:rPr>
          <w:t xml:space="preserve">[22]</w:t>
        </w:r>
      </w:hyperlink>
      <w:r>
        <w:t xml:space="preserve">. The second paper specifies a regulatory-burden index that is hand-coded ordinally and that compresses heterogeneous rule activity into a scalar. Each specification answers a slightly different question, and each is internally defensible. The reconciled position holds that the premium signal does carry forward-looking content, but that this content is not separable from the reliability path against which it is being measured. When reliability covariates are admitted into the model in their accumulated form, they absorb the variance that a regulatory-burden index would otherwise carry, and the regulatory term reduces to insignificance. When reliability covariates are admitted only in the realized loss ratio, the regulatory term recovers a substantial coefficient because the index then proxies for the cumulative reliability environment as well as the codified regulatory regime. The lead-versus-lag question is therefore not adjudicated by a single point estimate. It is adjudicated by what one is willing to treat as the conditioning set, and the dissertation argues that the conditioning set for any public-policy use of the premium signal must include reliability history because reliability history is what underwriters actually see when they price.</w:t>
      </w:r>
    </w:p>
    <w:bookmarkEnd w:id="124"/>
    <w:bookmarkStart w:id="125" w:name="contribution-to-knowledge"/>
    <w:p>
      <w:pPr>
        <w:pStyle w:val="Heading2"/>
        <w:spacing w:line="480" w:lineRule="auto"/>
      </w:pPr>
      <w:r>
        <w:t xml:space="preserve">8.3 Contribution to Knowledge</w:t>
      </w:r>
    </w:p>
    <w:p>
      <w:pPr>
        <w:pStyle w:val="FirstParagraph"/>
        <w:spacing w:line="480" w:lineRule="auto"/>
      </w:pPr>
      <w:r>
        <w:t xml:space="preserve">The contribution this dissertation makes to the literature is fivefold. First, it constructs and documents a defensible premium series for commercial launch insurance across the 2003 to 2024 window, drawing on Marsh McLennan and Aon broker reports, Swiss Re sigma reviews, and the publicly disclosed placements reported in the trade press</w:t>
      </w:r>
      <w:r>
        <w:t xml:space="preserve"> </w:t>
      </w:r>
      <w:hyperlink w:anchor="ref-11">
        <w:r>
          <w:rPr>
            <w:rStyle w:val="Hyperlink"/>
          </w:rPr>
          <w:t xml:space="preserve">[11]</w:t>
        </w:r>
      </w:hyperlink>
      <w:r>
        <w:t xml:space="preserve">[12][13][18][19]. The series is not new in its underlying observations, but it is, to the best of the candidate’s knowledge under the brain trust available to this dissertation, the first to be assembled with explicit provenance against a citable public record for the regulatory series with which it is paired.</w:t>
      </w:r>
    </w:p>
    <w:p>
      <w:pPr>
        <w:pStyle w:val="BodyText"/>
        <w:spacing w:line="480" w:lineRule="auto"/>
        <w:ind w:firstLine="720"/>
      </w:pPr>
      <w:r>
        <w:t xml:space="preserve">Second, the dissertation constructs and documents a defensible regulatory series across the same window, drawing on the FAA Office of Commercial Space Transportation Annual Compendia, Federal Register entries on commercial space rulemaking, and the streamlining proceedings under 14 CFR Part 450 and 47 CFR Part 25</w:t>
      </w:r>
      <w:r>
        <w:t xml:space="preserve"> </w:t>
      </w:r>
      <w:hyperlink w:anchor="ref-14">
        <w:r>
          <w:rPr>
            <w:rStyle w:val="Hyperlink"/>
          </w:rPr>
          <w:t xml:space="preserve">[14]</w:t>
        </w:r>
      </w:hyperlink>
      <w:r>
        <w:t xml:space="preserve">[15][22][23][24]. The regulatory series is presented both as a discrete count of actions and as a hand-coded intensity index, and the dissertation is explicit about which specification each empirical paper uses.</w:t>
      </w:r>
    </w:p>
    <w:p>
      <w:pPr>
        <w:pStyle w:val="BodyText"/>
        <w:spacing w:line="480" w:lineRule="auto"/>
        <w:ind w:firstLine="720"/>
      </w:pPr>
      <w:r>
        <w:t xml:space="preserve">Third, the dissertation executes a directional test of the lead-lag question in two specifications and reports the results of both. Neither specification is suppressed in favor of the other. The decision to publish both is itself a methodological contribution, because the brittleness of the answer to the conditioning set is the principal finding that a single specification would conceal.</w:t>
      </w:r>
    </w:p>
    <w:p>
      <w:pPr>
        <w:pStyle w:val="BodyText"/>
        <w:spacing w:line="480" w:lineRule="auto"/>
        <w:ind w:firstLine="720"/>
      </w:pPr>
      <w:r>
        <w:t xml:space="preserve">Fourth, the dissertation advances a reconciled interpretation that distinguishes between the question of whether premiums contain forward-looking content and the question of whether that content is separately identifiable from the reliability path. The former is answered in the affirmative on the second paper’s specification, and the latter is answered in the negative on the first paper’s specification. The reconciled position holds that premiums are a candidate forward indicator in a model that admits realized loss alone, but that they are not separable from accumulated reliability when reliability covariates are in the model. This position is more nuanced than either paper individually claims and is, in the candidate’s view, the position that a doctoral reader of both papers should hold.</w:t>
      </w:r>
    </w:p>
    <w:p>
      <w:pPr>
        <w:pStyle w:val="BodyText"/>
        <w:spacing w:line="480" w:lineRule="auto"/>
        <w:ind w:firstLine="720"/>
      </w:pPr>
      <w:r>
        <w:t xml:space="preserve">Fifth, the dissertation draws out the governance implication of the reconciled position. A public licensing authority that wishes to use the premium signal as an early indicator of systemic exposure should not treat it as an independent oracle. It should treat it as a covariate whose informational value is conditional on the reliability environment against which underwriters are pricing. This implication is not the implication that either paper produces in isolation. It is the implication of treating both papers as evidence about a single underlying market and reading them against the public record of regulatory action that the FAA and FCC maintain</w:t>
      </w:r>
      <w:r>
        <w:t xml:space="preserve"> </w:t>
      </w:r>
      <w:hyperlink w:anchor="ref-14">
        <w:r>
          <w:rPr>
            <w:rStyle w:val="Hyperlink"/>
          </w:rPr>
          <w:t xml:space="preserve">[14]</w:t>
        </w:r>
      </w:hyperlink>
      <w:r>
        <w:t xml:space="preserve">[15][22][23][24][25].</w:t>
      </w:r>
    </w:p>
    <w:bookmarkEnd w:id="125"/>
    <w:bookmarkStart w:id="126" w:name="limits-and-honest-caveats"/>
    <w:p>
      <w:pPr>
        <w:pStyle w:val="Heading2"/>
        <w:spacing w:line="480" w:lineRule="auto"/>
      </w:pPr>
      <w:r>
        <w:t xml:space="preserve">8.4 Limits and Honest Caveats</w:t>
      </w:r>
    </w:p>
    <w:p>
      <w:pPr>
        <w:pStyle w:val="FirstParagraph"/>
        <w:spacing w:line="480" w:lineRule="auto"/>
      </w:pPr>
      <w:r>
        <w:t xml:space="preserve">Four limits constrain the strength of the dissertation’s claim. The first is the shortness of the annual panel. Twenty-two to twenty-seven observations do not permit the structural break tests or the lag-richness that a quarterly panel would support, and the Toda-Yamamoto procedure that the prospectus contemplated</w:t>
      </w:r>
      <w:r>
        <w:t xml:space="preserve"> </w:t>
      </w:r>
      <w:hyperlink w:anchor="ref-37">
        <w:r>
          <w:rPr>
            <w:rStyle w:val="Hyperlink"/>
          </w:rPr>
          <w:t xml:space="preserve">[37]</w:t>
        </w:r>
      </w:hyperlink>
      <w:r>
        <w:t xml:space="preserve">[38] could not be executed at the resolution that the original design assumed. The second is the non-randomness of premium disclosures. Placements at favorable rates are more likely to be reported than placements at punitive rates, and a multiple imputation procedure cannot fully neutralize selection on unobservables. The third is the ordinal compression of the regulatory-burden index, which is a hand-coded summary of heterogeneous rule activity and which is identifiable only up to monotonic transformation. The fourth is the Granger limitation that predictive precedence is not structural causation, and that a credible instrument would be required to upgrade the directional claim to a causal one.</w:t>
      </w:r>
    </w:p>
    <w:bookmarkEnd w:id="126"/>
    <w:bookmarkStart w:id="127" w:name="closing-statement"/>
    <w:p>
      <w:pPr>
        <w:pStyle w:val="Heading2"/>
        <w:spacing w:line="480" w:lineRule="auto"/>
      </w:pPr>
      <w:r>
        <w:t xml:space="preserve">8.5 Closing Statement</w:t>
      </w:r>
    </w:p>
    <w:p>
      <w:pPr>
        <w:pStyle w:val="FirstParagraph"/>
        <w:spacing w:line="480" w:lineRule="auto"/>
      </w:pPr>
      <w:r>
        <w:t xml:space="preserve">A premium is a stake-backed forecast. A rule is an administrative act. The two are not the same kind of object, and the dissertation does not pretend that one can be substituted for the other. What the dissertation does claim, on the evidence assembled across its two empirical papers and against the public record of commercial space rulemaking, is that the premium series carries genuine forward-looking content about the commercial launch environment, that this content is partially but not fully separable from the reliability path that underwriters observe, and that a public licensing authority can legitimately incorporate the premium signal into its monitoring posture provided it does so with explicit conditioning on accumulated reliability. The Long-Term Sustainability discussion, the outreach literature on space traffic management, and the architectural socio-technological frame each anticipate that price signals will become a more salient instrument of orbital governance</w:t>
      </w:r>
      <w:r>
        <w:t xml:space="preserve"> </w:t>
      </w:r>
      <w:hyperlink w:anchor="ref-5">
        <w:r>
          <w:rPr>
            <w:rStyle w:val="Hyperlink"/>
          </w:rPr>
          <w:t xml:space="preserve">[5]</w:t>
        </w:r>
      </w:hyperlink>
      <w:r>
        <w:t xml:space="preserve">[6][17][36][40], and the dissertation’s empirical work supports that anticipation without resolving it. The next step is not to estimate yet another annual regression on the same series. It is to assemble a vehicle-level panel of broker-disclosed placements, paired to the day-stamped FAA licensing record, and to estimate the lead-lag structure at the resolution at which underwriters actually price. That is the natural extension of this work, and it is the resolution at which the lead-versus-lag question can finally be answered without the conditioning ambiguity that this dissertation has reported honestly rather than concealed.</w:t>
      </w:r>
    </w:p>
    <w:bookmarkEnd w:id="127"/>
    <w:bookmarkStart w:id="181" w:name="references"/>
    <w:p>
      <w:pPr>
        <w:pStyle w:val="Heading2"/>
        <w:spacing w:line="480" w:lineRule="auto"/>
      </w:pPr>
      <w:r>
        <w:t xml:space="preserve">References</w:t>
      </w:r>
    </w:p>
    <w:p>
      <w:pPr>
        <w:pStyle w:val="FirstParagraph"/>
        <w:spacing w:line="480" w:lineRule="auto"/>
      </w:pPr>
      <w:bookmarkStart w:id="128" w:name="ref-1"/>
      <w:bookmarkEnd w:id="128"/>
      <w:r>
        <w:t xml:space="preserve">1. T. Harrison,</w:t>
      </w:r>
      <w:r>
        <w:t xml:space="preserve"> </w:t>
      </w:r>
      <w:r>
        <w:t xml:space="preserve">“International Perspectives on Space Weapons,”</w:t>
      </w:r>
      <w:r>
        <w:t xml:space="preserve"> </w:t>
      </w:r>
      <w:r>
        <w:t xml:space="preserve">Proc. Advanced Maui Optical and Space Surveillance Technologies (AMOS) Conference, 2020. https://amostech.space/year/2020/international-perspectives-on-space-weapons/</w:t>
      </w:r>
    </w:p>
    <w:p>
      <w:pPr>
        <w:pStyle w:val="BodyText"/>
        <w:spacing w:line="480" w:lineRule="auto"/>
        <w:ind w:firstLine="720"/>
      </w:pPr>
      <w:bookmarkStart w:id="129" w:name="ref-2"/>
      <w:bookmarkEnd w:id="129"/>
      <w:r>
        <w:t xml:space="preserve">2. K. Shahady,</w:t>
      </w:r>
      <w:r>
        <w:t xml:space="preserve"> </w:t>
      </w:r>
      <w:r>
        <w:t xml:space="preserve">“The Future Risk of Space Debris and Contested Environments Increases the Intrinsic and Actual Cost of GEO Slots,”</w:t>
      </w:r>
      <w:r>
        <w:t xml:space="preserve"> </w:t>
      </w:r>
      <w:r>
        <w:t xml:space="preserve">Proc. AMOS Conference, 2023. doi:</w:t>
      </w:r>
      <w:r>
        <w:t xml:space="preserve"> </w:t>
      </w:r>
      <w:hyperlink r:id="rId130">
        <w:r>
          <w:rPr>
            <w:rStyle w:val="Hyperlink"/>
          </w:rPr>
          <w:t xml:space="preserve">10.64861/DYBG6563</w:t>
        </w:r>
      </w:hyperlink>
      <w:r>
        <w:t xml:space="preserve"> </w:t>
      </w:r>
      <w:r>
        <w:t xml:space="preserve">https://amostech.space/year/2023/the-future-risk-of-space-debris-and-contested-environments-increases-the-intrinsic-and-actual-cost-of-geo-slots/</w:t>
      </w:r>
    </w:p>
    <w:p>
      <w:pPr>
        <w:pStyle w:val="BodyText"/>
        <w:spacing w:line="480" w:lineRule="auto"/>
        <w:ind w:firstLine="720"/>
      </w:pPr>
      <w:bookmarkStart w:id="131" w:name="ref-3"/>
      <w:bookmarkEnd w:id="131"/>
      <w:r>
        <w:t xml:space="preserve">3. Open Cosmos Economic Analysis,</w:t>
      </w:r>
      <w:r>
        <w:t xml:space="preserve"> </w:t>
      </w:r>
      <w:r>
        <w:t xml:space="preserve">“Forecasting the Space Economy,”</w:t>
      </w:r>
      <w:r>
        <w:t xml:space="preserve"> </w:t>
      </w:r>
      <w:r>
        <w:t xml:space="preserve">Space Economy Papers corpus, source key SD08.</w:t>
      </w:r>
    </w:p>
    <w:p>
      <w:pPr>
        <w:pStyle w:val="BodyText"/>
        <w:spacing w:line="480" w:lineRule="auto"/>
        <w:ind w:firstLine="720"/>
      </w:pPr>
      <w:bookmarkStart w:id="132" w:name="ref-4"/>
      <w:bookmarkEnd w:id="132"/>
      <w:r>
        <w:t xml:space="preserve">4. M. Stilwell,</w:t>
      </w:r>
      <w:r>
        <w:t xml:space="preserve"> </w:t>
      </w:r>
      <w:r>
        <w:t xml:space="preserve">“Orbital Capacity,”</w:t>
      </w:r>
      <w:r>
        <w:t xml:space="preserve"> </w:t>
      </w:r>
      <w:r>
        <w:t xml:space="preserve">IAC 2024, Space Economy Papers corpus, source key SD01.</w:t>
      </w:r>
    </w:p>
    <w:p>
      <w:pPr>
        <w:pStyle w:val="BodyText"/>
        <w:spacing w:line="480" w:lineRule="auto"/>
        <w:ind w:firstLine="720"/>
      </w:pPr>
      <w:bookmarkStart w:id="133" w:name="ref-5"/>
      <w:bookmarkEnd w:id="133"/>
      <w:r>
        <w:t xml:space="preserve">5.</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34" w:name="ref-6"/>
      <w:bookmarkEnd w:id="134"/>
      <w:r>
        <w:t xml:space="preserve">6.</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35" w:name="ref-7"/>
      <w:bookmarkEnd w:id="135"/>
      <w:r>
        <w:t xml:space="preserve">7. Public Law 108-492, Commercial Space Launch Amendments Act of 2004.</w:t>
      </w:r>
    </w:p>
    <w:p>
      <w:pPr>
        <w:pStyle w:val="BodyText"/>
        <w:spacing w:line="480" w:lineRule="auto"/>
        <w:ind w:firstLine="720"/>
      </w:pPr>
      <w:bookmarkStart w:id="136" w:name="ref-8"/>
      <w:bookmarkEnd w:id="136"/>
      <w:r>
        <w:t xml:space="preserve">8. Harrison, T. International Perspectives on Space Weapons. Center for Strategic and International Studies. AMOS Conference, SSA SDA track, 2020.</w:t>
      </w:r>
    </w:p>
    <w:p>
      <w:pPr>
        <w:pStyle w:val="BodyText"/>
        <w:spacing w:line="480" w:lineRule="auto"/>
        <w:ind w:firstLine="720"/>
      </w:pPr>
      <w:bookmarkStart w:id="137" w:name="ref-9"/>
      <w:bookmarkEnd w:id="137"/>
      <w:r>
        <w:t xml:space="preserve">9. McKnight, D. Pay Me Now or Pay Me More Later: Start the Development of Active Orbital Debris Removal Now. Proceedings of the Advanced Maui Optical and Space Surveillance Technologies Conference, Posters, 2010.</w:t>
      </w:r>
    </w:p>
    <w:p>
      <w:pPr>
        <w:pStyle w:val="BodyText"/>
        <w:spacing w:line="480" w:lineRule="auto"/>
        <w:ind w:firstLine="720"/>
      </w:pPr>
      <w:bookmarkStart w:id="138" w:name="ref-10"/>
      <w:bookmarkEnd w:id="138"/>
      <w:r>
        <w:t xml:space="preserve">10. Shahady, K. The Future Risk of Space Debris and Contested Environments Increases the Intrinsic and Actual Cost of GEO Slots. AMOS Conference, Poster track, 2023. DOI 10.64861/DYBG6563.</w:t>
      </w:r>
    </w:p>
    <w:p>
      <w:pPr>
        <w:pStyle w:val="BodyText"/>
        <w:spacing w:line="480" w:lineRule="auto"/>
        <w:ind w:firstLine="720"/>
      </w:pPr>
      <w:bookmarkStart w:id="139" w:name="ref-11"/>
      <w:bookmarkEnd w:id="139"/>
      <w:r>
        <w:t xml:space="preserve">11. Marsh McLennan Space Projects Insurance Report, 2014.</w:t>
      </w:r>
    </w:p>
    <w:p>
      <w:pPr>
        <w:pStyle w:val="BodyText"/>
        <w:spacing w:line="480" w:lineRule="auto"/>
        <w:ind w:firstLine="720"/>
      </w:pPr>
      <w:bookmarkStart w:id="140" w:name="ref-12"/>
      <w:bookmarkEnd w:id="140"/>
      <w:r>
        <w:t xml:space="preserve">12. Marsh McLennan Space Insurance Outlook, 2020 and 2022.</w:t>
      </w:r>
    </w:p>
    <w:p>
      <w:pPr>
        <w:pStyle w:val="BodyText"/>
        <w:spacing w:line="480" w:lineRule="auto"/>
        <w:ind w:firstLine="720"/>
      </w:pPr>
      <w:bookmarkStart w:id="141" w:name="ref-13"/>
      <w:bookmarkEnd w:id="141"/>
      <w:r>
        <w:t xml:space="preserve">13. Aon ISB Space Insurance Update, 2010; Aon Space Sector Briefing, 2018.</w:t>
      </w:r>
    </w:p>
    <w:p>
      <w:pPr>
        <w:pStyle w:val="BodyText"/>
        <w:spacing w:line="480" w:lineRule="auto"/>
        <w:ind w:firstLine="720"/>
      </w:pPr>
      <w:bookmarkStart w:id="142" w:name="ref-14"/>
      <w:bookmarkEnd w:id="142"/>
      <w:r>
        <w:t xml:space="preserve">14. Federal Aviation Administration, Office of Commercial Space Transportation. Annual Compendium of Commercial Space Transportation, editions 2003 through 2024.</w:t>
      </w:r>
    </w:p>
    <w:p>
      <w:pPr>
        <w:pStyle w:val="BodyText"/>
        <w:spacing w:line="480" w:lineRule="auto"/>
        <w:ind w:firstLine="720"/>
      </w:pPr>
      <w:bookmarkStart w:id="143" w:name="ref-15"/>
      <w:bookmarkEnd w:id="143"/>
      <w:r>
        <w:t xml:space="preserve">15. Federal Register entries on commercial space transportation, FAA AST and FCC Part 25 rulemakings, 1998 to 2024.</w:t>
      </w:r>
    </w:p>
    <w:p>
      <w:pPr>
        <w:pStyle w:val="BodyText"/>
        <w:spacing w:line="480" w:lineRule="auto"/>
        <w:ind w:firstLine="720"/>
      </w:pPr>
      <w:bookmarkStart w:id="144" w:name="ref-16"/>
      <w:bookmarkEnd w:id="144"/>
      <w:r>
        <w:t xml:space="preserve">16. U.S. Government Accountability Office, NASA Major Project Assessments, GAO-25-107591, 2025.</w:t>
      </w:r>
    </w:p>
    <w:p>
      <w:pPr>
        <w:pStyle w:val="BodyText"/>
        <w:spacing w:line="480" w:lineRule="auto"/>
        <w:ind w:firstLine="720"/>
      </w:pPr>
      <w:bookmarkStart w:id="145" w:name="ref-17"/>
      <w:bookmarkEnd w:id="145"/>
      <w:r>
        <w:t xml:space="preserve">17. Sanchez Ortiz, N. et al. Outreach on Space Traffic Management. Acta Astronautica volume 229, 2025. DOI 10.1016/j.actaastro.2025.01.031.</w:t>
      </w:r>
    </w:p>
    <w:p>
      <w:pPr>
        <w:pStyle w:val="BodyText"/>
        <w:spacing w:line="480" w:lineRule="auto"/>
        <w:ind w:firstLine="720"/>
      </w:pPr>
      <w:bookmarkStart w:id="146" w:name="ref-18"/>
      <w:bookmarkEnd w:id="146"/>
      <w:r>
        <w:t xml:space="preserve">18. Swiss Re Institute. sigma 1/2004 and 2/2005, Space insurance review. https://www.swissre.com/institute/research/sigma-research/sigma-2004-01.html</w:t>
      </w:r>
    </w:p>
    <w:p>
      <w:pPr>
        <w:pStyle w:val="BodyText"/>
        <w:spacing w:line="480" w:lineRule="auto"/>
        <w:ind w:firstLine="720"/>
      </w:pPr>
      <w:bookmarkStart w:id="147" w:name="ref-19"/>
      <w:bookmarkEnd w:id="147"/>
      <w:r>
        <w:t xml:space="preserve">19. Swiss Re Institute. sigma natural catastrophes and space insurance series, 2010 to 2021. https://www.swissre.com/institute/research/sigma-research.html</w:t>
      </w:r>
    </w:p>
    <w:p>
      <w:pPr>
        <w:pStyle w:val="BodyText"/>
        <w:spacing w:line="480" w:lineRule="auto"/>
        <w:ind w:firstLine="720"/>
      </w:pPr>
      <w:bookmarkStart w:id="148" w:name="ref-20"/>
      <w:bookmarkEnd w:id="148"/>
      <w:r>
        <w:t xml:space="preserve">20. McKnight, D. 2010. Pay Me Now or Pay Me More Later: Start the Development of Active Orbital Debris Removal Now. Advanced Maui Optical and Space Surveillance Technologies Conference. https://amostech.com/TechnicalPapers/2010/Posters/McKnight.pdf</w:t>
      </w:r>
    </w:p>
    <w:p>
      <w:pPr>
        <w:pStyle w:val="BodyText"/>
        <w:spacing w:line="480" w:lineRule="auto"/>
        <w:ind w:firstLine="720"/>
      </w:pPr>
      <w:bookmarkStart w:id="149" w:name="ref-21"/>
      <w:bookmarkEnd w:id="149"/>
      <w:r>
        <w:t xml:space="preserve">21. Shahady, K. 2023. The Future Risk of Space Debris and Contested Environments Increases the Intrinsic and Actual Cost of GEO Slots. AMOS Conference. https://doi.org/10.64861/DYBG6563</w:t>
      </w:r>
    </w:p>
    <w:p>
      <w:pPr>
        <w:pStyle w:val="BodyText"/>
        <w:spacing w:line="480" w:lineRule="auto"/>
        <w:ind w:firstLine="720"/>
      </w:pPr>
      <w:bookmarkStart w:id="150" w:name="ref-22"/>
      <w:bookmarkEnd w:id="150"/>
      <w:r>
        <w:t xml:space="preserve">22. FAA Office of Commercial Space Transportation. Annual Compendia of Commercial Space Transportation, 2005 to 2024. https://www.faa.gov/space/space_data</w:t>
      </w:r>
    </w:p>
    <w:p>
      <w:pPr>
        <w:pStyle w:val="BodyText"/>
        <w:spacing w:line="480" w:lineRule="auto"/>
        <w:ind w:firstLine="720"/>
      </w:pPr>
      <w:bookmarkStart w:id="151" w:name="ref-23"/>
      <w:bookmarkEnd w:id="151"/>
      <w:r>
        <w:t xml:space="preserve">23. FAA. 14 CFR Part 450, Streamlined Launch and Reentry License Requirements. Final Rule, 85 FR 79566, 2020. https://www.federalregister.gov/d/2020-22042</w:t>
      </w:r>
    </w:p>
    <w:p>
      <w:pPr>
        <w:pStyle w:val="BodyText"/>
        <w:spacing w:line="480" w:lineRule="auto"/>
        <w:ind w:firstLine="720"/>
      </w:pPr>
      <w:bookmarkStart w:id="152" w:name="ref-24"/>
      <w:bookmarkEnd w:id="152"/>
      <w:r>
        <w:t xml:space="preserve">24. FCC. 47 CFR Part 25 streamlining proceedings, docket 11-149 and FCC 18-159. https://www.fcc.gov/</w:t>
      </w:r>
    </w:p>
    <w:p>
      <w:pPr>
        <w:pStyle w:val="BodyText"/>
        <w:spacing w:line="480" w:lineRule="auto"/>
        <w:ind w:firstLine="720"/>
      </w:pPr>
      <w:bookmarkStart w:id="153" w:name="ref-25"/>
      <w:bookmarkEnd w:id="153"/>
      <w:r>
        <w:t xml:space="preserve">25. Government Accountability Office. GAO-23-105561, GAO-24-106767, and GAO-25-107591, NASA Major Project Assessments and FAA AST oversight reports. https://www.gao.gov/</w:t>
      </w:r>
    </w:p>
    <w:p>
      <w:pPr>
        <w:pStyle w:val="BodyText"/>
        <w:spacing w:line="480" w:lineRule="auto"/>
        <w:ind w:firstLine="720"/>
      </w:pPr>
      <w:bookmarkStart w:id="154" w:name="ref-26"/>
      <w:bookmarkEnd w:id="154"/>
      <w:r>
        <w:t xml:space="preserve">26. Harrison, T. 2020. International Perspectives on Space Weapons. AMOS Conference. https://amostech.com/TechnicalPapers/2020/SSA-SDA/Harrison.pdf</w:t>
      </w:r>
    </w:p>
    <w:p>
      <w:pPr>
        <w:pStyle w:val="BodyText"/>
        <w:spacing w:line="480" w:lineRule="auto"/>
        <w:ind w:firstLine="720"/>
      </w:pPr>
      <w:bookmarkStart w:id="155" w:name="ref-27"/>
      <w:bookmarkEnd w:id="155"/>
      <w:r>
        <w:t xml:space="preserve">27. Todd Harrison, Center for Strategic and International Studies. International Perspectives on Space Weapons (2020).</w:t>
      </w:r>
    </w:p>
    <w:p>
      <w:pPr>
        <w:pStyle w:val="BodyText"/>
        <w:spacing w:line="480" w:lineRule="auto"/>
        <w:ind w:firstLine="720"/>
      </w:pPr>
      <w:bookmarkStart w:id="156" w:name="ref-28"/>
      <w:bookmarkEnd w:id="156"/>
      <w:r>
        <w:t xml:space="preserve">28. Kristin Shahady, University of North Dakota. The Future Risk of Space Debris and Contested Environments Increases the Intrinsic and Actual Cost of GEO Slots (2023). doi:</w:t>
      </w:r>
      <w:r>
        <w:t xml:space="preserve"> </w:t>
      </w:r>
      <w:hyperlink r:id="rId130">
        <w:r>
          <w:rPr>
            <w:rStyle w:val="Hyperlink"/>
          </w:rPr>
          <w:t xml:space="preserve">10.64861/DYBG6563</w:t>
        </w:r>
      </w:hyperlink>
    </w:p>
    <w:p>
      <w:pPr>
        <w:pStyle w:val="BodyText"/>
        <w:spacing w:line="480" w:lineRule="auto"/>
        <w:ind w:firstLine="720"/>
      </w:pPr>
      <w:bookmarkStart w:id="157" w:name="ref-29"/>
      <w:bookmarkEnd w:id="157"/>
      <w:r>
        <w:t xml:space="preserve">29. Dr. Darren McKnight (Integrity Applications Inc.). Pay Me Now or Pay Me More Later: Start the Development of Active Orbital Debris Removal Now (2010).</w:t>
      </w:r>
    </w:p>
    <w:p>
      <w:pPr>
        <w:pStyle w:val="BodyText"/>
        <w:spacing w:line="480" w:lineRule="auto"/>
        <w:ind w:firstLine="720"/>
      </w:pPr>
      <w:bookmarkStart w:id="158" w:name="ref-30"/>
      <w:bookmarkEnd w:id="158"/>
      <w:r>
        <w:t xml:space="preserve">30.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w:t>
      </w:r>
    </w:p>
    <w:p>
      <w:pPr>
        <w:pStyle w:val="BodyText"/>
        <w:spacing w:line="480" w:lineRule="auto"/>
        <w:ind w:firstLine="720"/>
      </w:pPr>
      <w:bookmarkStart w:id="159" w:name="ref-31"/>
      <w:bookmarkEnd w:id="159"/>
      <w:r>
        <w:t xml:space="preserve">31.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60">
        <w:r>
          <w:rPr>
            <w:rStyle w:val="Hyperlink"/>
          </w:rPr>
          <w:t xml:space="preserve">10.64861/CEPU7718</w:t>
        </w:r>
      </w:hyperlink>
    </w:p>
    <w:p>
      <w:pPr>
        <w:pStyle w:val="BodyText"/>
        <w:spacing w:line="480" w:lineRule="auto"/>
        <w:ind w:firstLine="720"/>
      </w:pPr>
      <w:bookmarkStart w:id="161" w:name="ref-32"/>
      <w:bookmarkEnd w:id="161"/>
      <w:r>
        <w:t xml:space="preserve">32. Yue Wang (Worcester Polytechnic Institute), Jingkai Su (Worcester Polytechnic Institute), Islam I. Hussein (Worcester Polytechnic Institute), A. M. Wyglinski (Worcester Polytechnic Institute). Price-Based Information Routing in Complex Satellite Networks for Space-Based Situational Awareness (2009).</w:t>
      </w:r>
    </w:p>
    <w:p>
      <w:pPr>
        <w:pStyle w:val="BodyText"/>
        <w:spacing w:line="480" w:lineRule="auto"/>
        <w:ind w:firstLine="720"/>
      </w:pPr>
      <w:bookmarkStart w:id="162" w:name="ref-33"/>
      <w:bookmarkEnd w:id="162"/>
      <w:r>
        <w:t xml:space="preserve">33. Reinhard Friedel, NASA Headquarters; Alex Fletcher, NASA SMD – Heliophyscis; Jamie Favors, NASA Headquarters Heliophyscis Division; Travis Blake, NASA Headquarters, Science Mission Directorate. OD-SSA Activity at NASA’s Heliophysics Division (2024). doi:</w:t>
      </w:r>
      <w:r>
        <w:t xml:space="preserve"> </w:t>
      </w:r>
      <w:hyperlink r:id="rId163">
        <w:r>
          <w:rPr>
            <w:rStyle w:val="Hyperlink"/>
          </w:rPr>
          <w:t xml:space="preserve">10.64861/XRDR8814</w:t>
        </w:r>
      </w:hyperlink>
    </w:p>
    <w:p>
      <w:pPr>
        <w:pStyle w:val="BodyText"/>
        <w:spacing w:line="480" w:lineRule="auto"/>
        <w:ind w:firstLine="720"/>
      </w:pPr>
      <w:bookmarkStart w:id="164" w:name="ref-34"/>
      <w:bookmarkEnd w:id="164"/>
      <w:r>
        <w:t xml:space="preserve">34. Matthew Bold, Lockheed Martin Space Systems. Laser Remote Maneuver of Space Debris at the Space Environment Research Center (2016).</w:t>
      </w:r>
    </w:p>
    <w:p>
      <w:pPr>
        <w:pStyle w:val="BodyText"/>
        <w:spacing w:line="480" w:lineRule="auto"/>
        <w:ind w:firstLine="720"/>
      </w:pPr>
      <w:bookmarkStart w:id="165" w:name="ref-35"/>
      <w:bookmarkEnd w:id="165"/>
      <w:r>
        <w:t xml:space="preserve">35. Yuqiang Liu; Yang Zhao; Chunlin Tan; Huawei Liu; Yongjian Liu. Economic value analysis of on-orbit servicing for geosynchronous communication satellites (2020). doi:</w:t>
      </w:r>
      <w:r>
        <w:t xml:space="preserve"> </w:t>
      </w:r>
      <w:hyperlink r:id="rId166">
        <w:r>
          <w:rPr>
            <w:rStyle w:val="Hyperlink"/>
          </w:rPr>
          <w:t xml:space="preserve">10.1016/j.actaastro.2020.11.040</w:t>
        </w:r>
      </w:hyperlink>
    </w:p>
    <w:p>
      <w:pPr>
        <w:pStyle w:val="BodyText"/>
        <w:spacing w:line="480" w:lineRule="auto"/>
        <w:ind w:firstLine="720"/>
      </w:pPr>
      <w:bookmarkStart w:id="167" w:name="ref-36"/>
      <w:bookmarkEnd w:id="167"/>
      <w:r>
        <w:t xml:space="preserve">36. Noelia Sánchez-Ortíz; Danielle Wood; Lesley Smith; Carmen Gregori De La Malla; Maruška Strah; Maren Huelsmann; Marius Stanciu-Manolescu; P. Ubertini; Balbir Singh. Outreach on Space Traffic Management (2025). doi:</w:t>
      </w:r>
      <w:r>
        <w:t xml:space="preserve"> </w:t>
      </w:r>
      <w:hyperlink r:id="rId168">
        <w:r>
          <w:rPr>
            <w:rStyle w:val="Hyperlink"/>
          </w:rPr>
          <w:t xml:space="preserve">10.1016/j.actaastro.2025.01.031</w:t>
        </w:r>
      </w:hyperlink>
    </w:p>
    <w:p>
      <w:pPr>
        <w:pStyle w:val="BodyText"/>
        <w:spacing w:line="480" w:lineRule="auto"/>
        <w:ind w:firstLine="720"/>
      </w:pPr>
      <w:bookmarkStart w:id="169" w:name="ref-37"/>
      <w:bookmarkEnd w:id="169"/>
      <w:r>
        <w:t xml:space="preserve">37. Ben McKeown; Andrew G. Dempster; Serkan Saydam; Jeff Coulton. How should potential space resources markets be evaluated? (2026). doi:</w:t>
      </w:r>
      <w:r>
        <w:t xml:space="preserve"> </w:t>
      </w:r>
      <w:hyperlink r:id="rId170">
        <w:r>
          <w:rPr>
            <w:rStyle w:val="Hyperlink"/>
          </w:rPr>
          <w:t xml:space="preserve">10.1016/j.actaastro.2026.03.026</w:t>
        </w:r>
      </w:hyperlink>
    </w:p>
    <w:p>
      <w:pPr>
        <w:pStyle w:val="BodyText"/>
        <w:spacing w:line="480" w:lineRule="auto"/>
        <w:ind w:firstLine="720"/>
      </w:pPr>
      <w:bookmarkStart w:id="171" w:name="ref-38"/>
      <w:bookmarkEnd w:id="171"/>
      <w:r>
        <w:t xml:space="preserve">38. Emmanuelle David; Adrien Saada; Anja Nakarada Pecujlic; Maruška Strah; Xiao-Shan Yap; Danielle Wood; Jean‐Paul Kneib. Fostering multi-stakeholder collaboration for space sustainability through an incentive-based mechanism (2025). doi:</w:t>
      </w:r>
      <w:r>
        <w:t xml:space="preserve"> </w:t>
      </w:r>
      <w:hyperlink r:id="rId172">
        <w:r>
          <w:rPr>
            <w:rStyle w:val="Hyperlink"/>
          </w:rPr>
          <w:t xml:space="preserve">10.1016/j.actaastro.2025.06.029</w:t>
        </w:r>
      </w:hyperlink>
    </w:p>
    <w:p>
      <w:pPr>
        <w:pStyle w:val="BodyText"/>
        <w:spacing w:line="480" w:lineRule="auto"/>
        <w:ind w:firstLine="720"/>
      </w:pPr>
      <w:bookmarkStart w:id="173" w:name="ref-39"/>
      <w:bookmarkEnd w:id="173"/>
      <w:r>
        <w:t xml:space="preserve">39. Ksenia Osipova; Alessandro Golkar; Adriano Camps; Joan A. Ruiz-de-Azua; Luis Contreras-Benito; Nicola Garzaniti; Lara Fernandez. Architecting CubeSat constellations for messaging service, Part II (2025). doi:</w:t>
      </w:r>
      <w:r>
        <w:t xml:space="preserve"> </w:t>
      </w:r>
      <w:hyperlink r:id="rId174">
        <w:r>
          <w:rPr>
            <w:rStyle w:val="Hyperlink"/>
          </w:rPr>
          <w:t xml:space="preserve">10.1016/j.actaastro.2024.12.022</w:t>
        </w:r>
      </w:hyperlink>
    </w:p>
    <w:p>
      <w:pPr>
        <w:pStyle w:val="BodyText"/>
        <w:spacing w:line="480" w:lineRule="auto"/>
        <w:ind w:firstLine="720"/>
      </w:pPr>
      <w:bookmarkStart w:id="175" w:name="ref-40"/>
      <w:bookmarkEnd w:id="175"/>
      <w:r>
        <w:t xml:space="preserve">40. Paolo Trucco; Alessandro Paravano; Giorgio Locatelli. Framing the dynamics of risk landscape amidst space economy trends (2025). doi:</w:t>
      </w:r>
      <w:r>
        <w:t xml:space="preserve"> </w:t>
      </w:r>
      <w:hyperlink r:id="rId176">
        <w:r>
          <w:rPr>
            <w:rStyle w:val="Hyperlink"/>
          </w:rPr>
          <w:t xml:space="preserve">10.1016/j.actaastro.2025.06.067</w:t>
        </w:r>
      </w:hyperlink>
    </w:p>
    <w:p>
      <w:pPr>
        <w:pStyle w:val="BodyText"/>
        <w:spacing w:line="480" w:lineRule="auto"/>
        <w:ind w:firstLine="720"/>
      </w:pPr>
      <w:bookmarkStart w:id="177" w:name="ref-41"/>
      <w:bookmarkEnd w:id="177"/>
      <w:r>
        <w:t xml:space="preserve">41. Scott Dorrington; John Olsen. Parametric economic modelling of asteroid mining architectures (2025). doi:</w:t>
      </w:r>
      <w:r>
        <w:t xml:space="preserve"> </w:t>
      </w:r>
      <w:hyperlink r:id="rId178">
        <w:r>
          <w:rPr>
            <w:rStyle w:val="Hyperlink"/>
          </w:rPr>
          <w:t xml:space="preserve">10.1016/j.actaastro.2025.11.006</w:t>
        </w:r>
      </w:hyperlink>
    </w:p>
    <w:p>
      <w:pPr>
        <w:pStyle w:val="BodyText"/>
        <w:spacing w:line="480" w:lineRule="auto"/>
        <w:ind w:firstLine="720"/>
      </w:pPr>
      <w:bookmarkStart w:id="179" w:name="ref-42"/>
      <w:bookmarkEnd w:id="179"/>
      <w:r>
        <w:t xml:space="preserve">42. Francesco Barato; Elena Toson; Fabiana Milza; Daniele Pavarin. Investigation of different strategies for access to space of small satellites on a defined LEO orbit (2024). doi:</w:t>
      </w:r>
      <w:r>
        <w:t xml:space="preserve"> </w:t>
      </w:r>
      <w:hyperlink r:id="rId180">
        <w:r>
          <w:rPr>
            <w:rStyle w:val="Hyperlink"/>
          </w:rPr>
          <w:t xml:space="preserve">10.1016/j.actaastro.2024.05.045</w:t>
        </w:r>
      </w:hyperlink>
    </w:p>
    <w:bookmarkEnd w:id="181"/>
    <w:bookmarkEnd w:id="182"/>
    <w:bookmarkStart w:id="19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0" w:name="Xaf6d4809405517dcdc1c4e6e51802df070b13be"/>
    <w:p>
      <w:pPr>
        <w:pStyle w:val="Heading2"/>
        <w:spacing w:line="480" w:lineRule="auto"/>
      </w:pPr>
      <w:r>
        <w:t xml:space="preserve">A.1 Launch Insurance Pricing as a Revealed Risk Signal: Do Premiums Lead or Lag Regulatory Intensity?</w:t>
      </w:r>
    </w:p>
    <w:p>
      <w:pPr>
        <w:pStyle w:val="FirstParagraph"/>
        <w:spacing w:line="480" w:lineRule="auto"/>
      </w:pPr>
      <m:oMathPara>
        <m:oMathParaPr>
          <m:jc m:val="center"/>
        </m:oMathParaPr>
        <m:oMath>
          <m:sSub>
            <m:e>
              <m:r>
                <m:rPr>
                  <m:sty m:val="p"/>
                </m:rPr>
                <m:t>p</m:t>
              </m:r>
              <m:r>
                <m:rPr>
                  <m:sty m:val="p"/>
                </m:rPr>
                <m:t>r</m:t>
              </m:r>
              <m:r>
                <m:rPr>
                  <m:sty m:val="p"/>
                </m:rPr>
                <m:t>e</m:t>
              </m:r>
              <m:r>
                <m:rPr>
                  <m:sty m:val="p"/>
                </m:rPr>
                <m:t>m</m:t>
              </m:r>
              <m:r>
                <m:rPr>
                  <m:sty m:val="p"/>
                </m:rPr>
                <m:t>_</m:t>
              </m:r>
              <m:r>
                <m:rPr>
                  <m:sty m:val="p"/>
                </m:rPr>
                <m:t>r</m:t>
              </m:r>
              <m:r>
                <m:rPr>
                  <m:sty m:val="p"/>
                </m:rPr>
                <m:t>a</m:t>
              </m:r>
              <m:r>
                <m:rPr>
                  <m:sty m:val="p"/>
                </m:rPr>
                <m:t>t</m:t>
              </m:r>
              <m:r>
                <m:rPr>
                  <m:sty m:val="p"/>
                </m:rPr>
                <m:t>e</m:t>
              </m:r>
              <m:r>
                <m:rPr>
                  <m:sty m:val="p"/>
                </m:rPr>
                <m:t>_</m:t>
              </m:r>
              <m:r>
                <m:rPr>
                  <m:sty m:val="p"/>
                </m:rPr>
                <m:t>p</m:t>
              </m:r>
              <m:r>
                <m:rPr>
                  <m:sty m:val="p"/>
                </m:rPr>
                <m:t>c</m:t>
              </m:r>
              <m:r>
                <m:rPr>
                  <m:sty m:val="p"/>
                </m:rPr>
                <m:t>t</m:t>
              </m:r>
            </m:e>
            <m:sub>
              <m:r>
                <m:t>t</m:t>
              </m:r>
            </m:sub>
          </m:sSub>
          <m:r>
            <m:rPr>
              <m:sty m:val="p"/>
            </m:rPr>
            <m:t>=</m:t>
          </m:r>
          <m:sSub>
            <m:e>
              <m:r>
                <m:t>β</m:t>
              </m:r>
            </m:e>
            <m:sub>
              <m:r>
                <m:t>0</m:t>
              </m:r>
            </m:sub>
          </m:sSub>
          <m:r>
            <m:rPr>
              <m:sty m:val="p"/>
            </m:rPr>
            <m:t>+</m:t>
          </m:r>
          <m:sSub>
            <m:e>
              <m:r>
                <m:t>β</m:t>
              </m:r>
            </m:e>
            <m:sub>
              <m:r>
                <m:t>1</m:t>
              </m:r>
            </m:sub>
          </m:sSub>
          <m:sSub>
            <m:e>
              <m:r>
                <m:rPr>
                  <m:sty m:val="p"/>
                </m:rPr>
                <m:t>r</m:t>
              </m:r>
              <m:r>
                <m:rPr>
                  <m:sty m:val="p"/>
                </m:rPr>
                <m:t>e</m:t>
              </m:r>
              <m:r>
                <m:rPr>
                  <m:sty m:val="p"/>
                </m:rPr>
                <m:t>g</m:t>
              </m:r>
              <m:r>
                <m:rPr>
                  <m:sty m:val="p"/>
                </m:rPr>
                <m:t>_</m:t>
              </m:r>
              <m:r>
                <m:rPr>
                  <m:sty m:val="p"/>
                </m:rPr>
                <m:t>i</m:t>
              </m:r>
              <m:r>
                <m:rPr>
                  <m:sty m:val="p"/>
                </m:rPr>
                <m:t>n</m:t>
              </m:r>
              <m:r>
                <m:rPr>
                  <m:sty m:val="p"/>
                </m:rPr>
                <m:t>t</m:t>
              </m:r>
              <m:r>
                <m:rPr>
                  <m:sty m:val="p"/>
                </m:rPr>
                <m:t>e</m:t>
              </m:r>
              <m:r>
                <m:rPr>
                  <m:sty m:val="p"/>
                </m:rPr>
                <m:t>n</m:t>
              </m:r>
              <m:r>
                <m:rPr>
                  <m:sty m:val="p"/>
                </m:rPr>
                <m:t>s</m:t>
              </m:r>
              <m:r>
                <m:rPr>
                  <m:sty m:val="p"/>
                </m:rPr>
                <m:t>i</m:t>
              </m:r>
              <m:r>
                <m:rPr>
                  <m:sty m:val="p"/>
                </m:rPr>
                <m:t>t</m:t>
              </m:r>
              <m:r>
                <m:rPr>
                  <m:sty m:val="p"/>
                </m:rPr>
                <m:t>y</m:t>
              </m:r>
              <m:r>
                <m:rPr>
                  <m:sty m:val="p"/>
                </m:rPr>
                <m:t>_</m:t>
              </m:r>
              <m:r>
                <m:rPr>
                  <m:sty m:val="p"/>
                </m:rPr>
                <m:t>i</m:t>
              </m:r>
              <m:r>
                <m:rPr>
                  <m:sty m:val="p"/>
                </m:rPr>
                <m:t>n</m:t>
              </m:r>
              <m:r>
                <m:rPr>
                  <m:sty m:val="p"/>
                </m:rPr>
                <m:t>d</m:t>
              </m:r>
              <m:r>
                <m:rPr>
                  <m:sty m:val="p"/>
                </m:rPr>
                <m:t>e</m:t>
              </m:r>
              <m:r>
                <m:rPr>
                  <m:sty m:val="p"/>
                </m:rPr>
                <m:t>x</m:t>
              </m:r>
            </m:e>
            <m:sub>
              <m:r>
                <m:t>t</m:t>
              </m:r>
            </m:sub>
          </m:sSub>
          <m:r>
            <m:rPr>
              <m:sty m:val="p"/>
            </m:rPr>
            <m:t>+</m:t>
          </m:r>
          <m:sSub>
            <m:e>
              <m:r>
                <m:t>β</m:t>
              </m:r>
            </m:e>
            <m:sub>
              <m:r>
                <m:t>2</m:t>
              </m:r>
            </m:sub>
          </m:sSub>
          <m:sSub>
            <m:e>
              <m:r>
                <m:rPr>
                  <m:sty m:val="p"/>
                </m:rPr>
                <m:t>c</m:t>
              </m:r>
              <m:r>
                <m:rPr>
                  <m:sty m:val="p"/>
                </m:rPr>
                <m:t>u</m:t>
              </m:r>
              <m:r>
                <m:rPr>
                  <m:sty m:val="p"/>
                </m:rPr>
                <m:t>m</m:t>
              </m:r>
              <m:r>
                <m:rPr>
                  <m:sty m:val="p"/>
                </m:rPr>
                <m:t>_</m:t>
              </m:r>
              <m:r>
                <m:rPr>
                  <m:sty m:val="p"/>
                </m:rPr>
                <m:t>f</m:t>
              </m:r>
              <m:r>
                <m:rPr>
                  <m:sty m:val="p"/>
                </m:rPr>
                <m:t>a</m:t>
              </m:r>
              <m:r>
                <m:rPr>
                  <m:sty m:val="p"/>
                </m:rPr>
                <m:t>i</m:t>
              </m:r>
              <m:r>
                <m:rPr>
                  <m:sty m:val="p"/>
                </m:rPr>
                <m:t>l</m:t>
              </m:r>
              <m:r>
                <m:rPr>
                  <m:sty m:val="p"/>
                </m:rPr>
                <m:t>u</m:t>
              </m:r>
              <m:r>
                <m:rPr>
                  <m:sty m:val="p"/>
                </m:rPr>
                <m:t>r</m:t>
              </m:r>
              <m:r>
                <m:rPr>
                  <m:sty m:val="p"/>
                </m:rPr>
                <m:t>e</m:t>
              </m:r>
              <m:r>
                <m:rPr>
                  <m:sty m:val="p"/>
                </m:rPr>
                <m:t>s</m:t>
              </m:r>
              <m:r>
                <m:rPr>
                  <m:sty m:val="p"/>
                </m:rPr>
                <m:t>_</m:t>
              </m:r>
              <m:r>
                <m:rPr>
                  <m:sty m:val="p"/>
                </m:rPr>
                <m:t>5</m:t>
              </m:r>
              <m:r>
                <m:rPr>
                  <m:sty m:val="p"/>
                </m:rPr>
                <m:t>y</m:t>
              </m:r>
            </m:e>
            <m:sub>
              <m:r>
                <m:t>t</m:t>
              </m:r>
            </m:sub>
          </m:sSub>
          <m:r>
            <m:rPr>
              <m:sty m:val="p"/>
            </m:rPr>
            <m:t>+</m:t>
          </m:r>
          <m:sSub>
            <m:e>
              <m:r>
                <m:t>β</m:t>
              </m:r>
            </m:e>
            <m:sub>
              <m:r>
                <m:t>3</m:t>
              </m:r>
            </m:sub>
          </m:sSub>
          <m:sSub>
            <m:e>
              <m:r>
                <m:rPr>
                  <m:sty m:val="p"/>
                </m:rPr>
                <m:t>h</m:t>
              </m:r>
              <m:r>
                <m:rPr>
                  <m:sty m:val="p"/>
                </m:rPr>
                <m:t>e</m:t>
              </m:r>
              <m:r>
                <m:rPr>
                  <m:sty m:val="p"/>
                </m:rPr>
                <m:t>r</m:t>
              </m:r>
              <m:r>
                <m:rPr>
                  <m:sty m:val="p"/>
                </m:rPr>
                <m:t>i</m:t>
              </m:r>
              <m:r>
                <m:rPr>
                  <m:sty m:val="p"/>
                </m:rPr>
                <m:t>t</m:t>
              </m:r>
              <m:r>
                <m:rPr>
                  <m:sty m:val="p"/>
                </m:rPr>
                <m:t>a</m:t>
              </m:r>
              <m:r>
                <m:rPr>
                  <m:sty m:val="p"/>
                </m:rPr>
                <m:t>g</m:t>
              </m:r>
              <m:r>
                <m:rPr>
                  <m:sty m:val="p"/>
                </m:rPr>
                <m:t>e</m:t>
              </m:r>
              <m:r>
                <m:rPr>
                  <m:sty m:val="p"/>
                </m:rPr>
                <m:t>_</m:t>
              </m:r>
              <m:r>
                <m:rPr>
                  <m:sty m:val="p"/>
                </m:rPr>
                <m:t>f</m:t>
              </m:r>
              <m:r>
                <m:rPr>
                  <m:sty m:val="p"/>
                </m:rPr>
                <m:t>l</m:t>
              </m:r>
              <m:r>
                <m:rPr>
                  <m:sty m:val="p"/>
                </m:rPr>
                <m:t>i</m:t>
              </m:r>
              <m:r>
                <m:rPr>
                  <m:sty m:val="p"/>
                </m:rPr>
                <m:t>g</m:t>
              </m:r>
              <m:r>
                <m:rPr>
                  <m:sty m:val="p"/>
                </m:rPr>
                <m:t>h</m:t>
              </m:r>
              <m:r>
                <m:rPr>
                  <m:sty m:val="p"/>
                </m:rPr>
                <m:t>t</m:t>
              </m:r>
              <m:r>
                <m:rPr>
                  <m:sty m:val="p"/>
                </m:rPr>
                <m:t>s</m:t>
              </m:r>
              <m:r>
                <m:rPr>
                  <m:sty m:val="p"/>
                </m:rPr>
                <m:t>_</m:t>
              </m:r>
              <m:r>
                <m:rPr>
                  <m:sty m:val="p"/>
                </m:rPr>
                <m:t>a</m:t>
              </m:r>
              <m:r>
                <m:rPr>
                  <m:sty m:val="p"/>
                </m:rPr>
                <m:t>v</m:t>
              </m:r>
              <m:r>
                <m:rPr>
                  <m:sty m:val="p"/>
                </m:rPr>
                <m:t>g</m:t>
              </m:r>
            </m:e>
            <m:sub>
              <m:r>
                <m:t>t</m:t>
              </m:r>
            </m:sub>
          </m:sSub>
          <m:r>
            <m:rPr>
              <m:sty m:val="p"/>
            </m:rPr>
            <m:t>+</m:t>
          </m:r>
          <m:sSub>
            <m:e>
              <m:r>
                <m:t>β</m:t>
              </m:r>
            </m:e>
            <m:sub>
              <m:r>
                <m:t>4</m:t>
              </m:r>
            </m:sub>
          </m:sSub>
          <m:sSub>
            <m:e>
              <m:r>
                <m:rPr>
                  <m:sty m:val="p"/>
                </m:rPr>
                <m:t>r</m:t>
              </m:r>
              <m:r>
                <m:rPr>
                  <m:sty m:val="p"/>
                </m:rPr>
                <m:t>e</m:t>
              </m:r>
              <m:r>
                <m:rPr>
                  <m:sty m:val="p"/>
                </m:rPr>
                <m:t>g</m:t>
              </m:r>
              <m:r>
                <m:rPr>
                  <m:sty m:val="p"/>
                </m:rPr>
                <m:t>_</m:t>
              </m:r>
              <m:r>
                <m:rPr>
                  <m:sty m:val="p"/>
                </m:rPr>
                <m:t>d</m:t>
              </m:r>
              <m:r>
                <m:rPr>
                  <m:sty m:val="p"/>
                </m:rPr>
                <m:t>u</m:t>
              </m:r>
              <m:r>
                <m:rPr>
                  <m:sty m:val="p"/>
                </m:rPr>
                <m:t>m</m:t>
              </m:r>
              <m:r>
                <m:rPr>
                  <m:sty m:val="p"/>
                </m:rPr>
                <m:t>m</m:t>
              </m:r>
              <m:r>
                <m:rPr>
                  <m:sty m:val="p"/>
                </m:rPr>
                <m:t>y</m:t>
              </m:r>
              <m:r>
                <m:rPr>
                  <m:sty m:val="p"/>
                </m:rPr>
                <m:t>_</m:t>
              </m:r>
              <m:r>
                <m:rPr>
                  <m:sty m:val="p"/>
                </m:rPr>
                <m:t>p</m:t>
              </m:r>
              <m:r>
                <m:rPr>
                  <m:sty m:val="p"/>
                </m:rPr>
                <m:t>o</m:t>
              </m:r>
              <m:r>
                <m:rPr>
                  <m:sty m:val="p"/>
                </m:rPr>
                <m:t>s</m:t>
              </m:r>
              <m:r>
                <m:rPr>
                  <m:sty m:val="p"/>
                </m:rPr>
                <m:t>t</m:t>
              </m:r>
              <m:r>
                <m:rPr>
                  <m:sty m:val="p"/>
                </m:rPr>
                <m:t>2004</m:t>
              </m:r>
            </m:e>
            <m:sub>
              <m:r>
                <m:t>t</m:t>
              </m:r>
            </m:sub>
          </m:sSub>
          <m:r>
            <m:rPr>
              <m:sty m:val="p"/>
            </m:rPr>
            <m:t>+</m:t>
          </m:r>
          <m:sSub>
            <m:e>
              <m:r>
                <m:t>ε</m:t>
              </m:r>
            </m:e>
            <m:sub>
              <m:r>
                <m:t>t</m:t>
              </m:r>
            </m:sub>
          </m:sSub>
        </m:oMath>
      </m:oMathPara>
    </w:p>
    <w:bookmarkStart w:id="18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35.3664</w:t>
            </w:r>
          </w:p>
        </w:tc>
        <w:tc>
          <w:tcPr>
            <w:tcW w:w="0" w:type="auto"/>
          </w:tcPr>
          <w:p>
            <w:pPr>
              <w:spacing w:line="240" w:lineRule="auto" w:before="0" w:after="0"/>
              <w:pStyle w:val="Compact"/>
            </w:pPr>
            <w:r>
              <w:rPr>
                <w:sz w:val="20"/>
                <w:szCs w:val="20"/>
              </w:rPr>
              <w:t xml:space="preserve">3.7832</w:t>
            </w:r>
          </w:p>
        </w:tc>
        <w:tc>
          <w:tcPr>
            <w:tcW w:w="0" w:type="auto"/>
          </w:tcPr>
          <w:p>
            <w:pPr>
              <w:spacing w:line="240" w:lineRule="auto" w:before="0" w:after="0"/>
              <w:pStyle w:val="Compact"/>
            </w:pPr>
            <w:r>
              <w:rPr>
                <w:sz w:val="20"/>
                <w:szCs w:val="20"/>
              </w:rPr>
              <w:t xml:space="preserve">9.3482</w:t>
            </w:r>
          </w:p>
        </w:tc>
        <w:tc>
          <w:tcPr>
            <w:tcW w:w="0" w:type="auto"/>
          </w:tcPr>
          <w:p>
            <w:pPr>
              <w:spacing w:line="240" w:lineRule="auto" w:before="0" w:after="0"/>
              <w:pStyle w:val="Compact"/>
            </w:pPr>
            <w:r>
              <w:rPr>
                <w:sz w:val="20"/>
                <w:szCs w:val="20"/>
              </w:rPr>
              <w:t xml:space="preserve">8.912e-21</w:t>
            </w:r>
          </w:p>
        </w:tc>
        <w:tc>
          <w:tcPr>
            <w:tcW w:w="0" w:type="auto"/>
          </w:tcPr>
          <w:p>
            <w:pPr>
              <w:spacing w:line="240" w:lineRule="auto" w:before="0" w:after="0"/>
              <w:pStyle w:val="Compact"/>
            </w:pPr>
            <w:r>
              <w:rPr>
                <w:sz w:val="20"/>
                <w:szCs w:val="20"/>
              </w:rPr>
              <w:t xml:space="preserve">[27.9514, 42.7814]</w:t>
            </w:r>
          </w:p>
        </w:tc>
      </w:tr>
      <w:tr>
        <w:tc>
          <w:tcPr>
            <w:tcW w:w="0" w:type="auto"/>
          </w:tcPr>
          <w:p>
            <w:pPr>
              <w:spacing w:line="240" w:lineRule="auto" w:before="0" w:after="0"/>
              <w:pStyle w:val="Compact"/>
            </w:pPr>
            <w:r>
              <w:rPr>
                <w:sz w:val="20"/>
                <w:szCs w:val="20"/>
              </w:rPr>
              <w:t xml:space="preserve">reg_intensity_index</w:t>
            </w:r>
          </w:p>
        </w:tc>
        <w:tc>
          <w:tcPr>
            <w:tcW w:w="0" w:type="auto"/>
          </w:tcPr>
          <w:p>
            <w:pPr>
              <w:spacing w:line="240" w:lineRule="auto" w:before="0" w:after="0"/>
              <w:pStyle w:val="Compact"/>
            </w:pPr>
            <w:r>
              <w:rPr>
                <w:sz w:val="20"/>
                <w:szCs w:val="20"/>
              </w:rPr>
              <w:t xml:space="preserve">1.1963</w:t>
            </w:r>
          </w:p>
        </w:tc>
        <w:tc>
          <w:tcPr>
            <w:tcW w:w="0" w:type="auto"/>
          </w:tcPr>
          <w:p>
            <w:pPr>
              <w:spacing w:line="240" w:lineRule="auto" w:before="0" w:after="0"/>
              <w:pStyle w:val="Compact"/>
            </w:pPr>
            <w:r>
              <w:rPr>
                <w:sz w:val="20"/>
                <w:szCs w:val="20"/>
              </w:rPr>
              <w:t xml:space="preserve">0.8535</w:t>
            </w:r>
          </w:p>
        </w:tc>
        <w:tc>
          <w:tcPr>
            <w:tcW w:w="0" w:type="auto"/>
          </w:tcPr>
          <w:p>
            <w:pPr>
              <w:spacing w:line="240" w:lineRule="auto" w:before="0" w:after="0"/>
              <w:pStyle w:val="Compact"/>
            </w:pPr>
            <w:r>
              <w:rPr>
                <w:sz w:val="20"/>
                <w:szCs w:val="20"/>
              </w:rPr>
              <w:t xml:space="preserve">1.4017</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[-0.4765, 2.8691]</w:t>
            </w:r>
          </w:p>
        </w:tc>
      </w:tr>
      <w:tr>
        <w:tc>
          <w:tcPr>
            <w:tcW w:w="0" w:type="auto"/>
          </w:tcPr>
          <w:p>
            <w:pPr>
              <w:spacing w:line="240" w:lineRule="auto" w:before="0" w:after="0"/>
              <w:pStyle w:val="Compact"/>
            </w:pPr>
            <w:r>
              <w:rPr>
                <w:sz w:val="20"/>
                <w:szCs w:val="20"/>
              </w:rPr>
              <w:t xml:space="preserve">cum_failures_5y</w:t>
            </w:r>
          </w:p>
        </w:tc>
        <w:tc>
          <w:tcPr>
            <w:tcW w:w="0" w:type="auto"/>
          </w:tcPr>
          <w:p>
            <w:pPr>
              <w:spacing w:line="240" w:lineRule="auto" w:before="0" w:after="0"/>
              <w:pStyle w:val="Compact"/>
            </w:pPr>
            <w:r>
              <w:rPr>
                <w:sz w:val="20"/>
                <w:szCs w:val="20"/>
              </w:rPr>
              <w:t xml:space="preserve">0.6655</w:t>
            </w:r>
          </w:p>
        </w:tc>
        <w:tc>
          <w:tcPr>
            <w:tcW w:w="0" w:type="auto"/>
          </w:tcPr>
          <w:p>
            <w:pPr>
              <w:spacing w:line="240" w:lineRule="auto" w:before="0" w:after="0"/>
              <w:pStyle w:val="Compact"/>
            </w:pPr>
            <w:r>
              <w:rPr>
                <w:sz w:val="20"/>
                <w:szCs w:val="20"/>
              </w:rPr>
              <w:t xml:space="preserve">0.1965</w:t>
            </w:r>
          </w:p>
        </w:tc>
        <w:tc>
          <w:tcPr>
            <w:tcW w:w="0" w:type="auto"/>
          </w:tcPr>
          <w:p>
            <w:pPr>
              <w:spacing w:line="240" w:lineRule="auto" w:before="0" w:after="0"/>
              <w:pStyle w:val="Compact"/>
            </w:pPr>
            <w:r>
              <w:rPr>
                <w:sz w:val="20"/>
                <w:szCs w:val="20"/>
              </w:rPr>
              <w:t xml:space="preserve">3.3876</w:t>
            </w:r>
          </w:p>
        </w:tc>
        <w:tc>
          <w:tcPr>
            <w:tcW w:w="0" w:type="auto"/>
          </w:tcPr>
          <w:p>
            <w:pPr>
              <w:spacing w:line="240" w:lineRule="auto" w:before="0" w:after="0"/>
              <w:pStyle w:val="Compact"/>
            </w:pPr>
            <w:r>
              <w:rPr>
                <w:sz w:val="20"/>
                <w:szCs w:val="20"/>
              </w:rPr>
              <w:t xml:space="preserve">0.0007051</w:t>
            </w:r>
          </w:p>
        </w:tc>
        <w:tc>
          <w:tcPr>
            <w:tcW w:w="0" w:type="auto"/>
          </w:tcPr>
          <w:p>
            <w:pPr>
              <w:spacing w:line="240" w:lineRule="auto" w:before="0" w:after="0"/>
              <w:pStyle w:val="Compact"/>
            </w:pPr>
            <w:r>
              <w:rPr>
                <w:sz w:val="20"/>
                <w:szCs w:val="20"/>
              </w:rPr>
              <w:t xml:space="preserve">[0.2805, 1.0506]</w:t>
            </w:r>
          </w:p>
        </w:tc>
      </w:tr>
      <w:tr>
        <w:tc>
          <w:tcPr>
            <w:tcW w:w="0" w:type="auto"/>
          </w:tcPr>
          <w:p>
            <w:pPr>
              <w:spacing w:line="240" w:lineRule="auto" w:before="0" w:after="0"/>
              <w:pStyle w:val="Compact"/>
            </w:pPr>
            <w:r>
              <w:rPr>
                <w:sz w:val="20"/>
                <w:szCs w:val="20"/>
              </w:rPr>
              <w:t xml:space="preserve">heritage_flights_avg</w:t>
            </w:r>
          </w:p>
        </w:tc>
        <w:tc>
          <w:tcPr>
            <w:tcW w:w="0" w:type="auto"/>
          </w:tcPr>
          <w:p>
            <w:pPr>
              <w:spacing w:line="240" w:lineRule="auto" w:before="0" w:after="0"/>
              <w:pStyle w:val="Compact"/>
            </w:pPr>
            <w:r>
              <w:rPr>
                <w:sz w:val="20"/>
                <w:szCs w:val="20"/>
              </w:rPr>
              <w:t xml:space="preserve">-1.0913</w:t>
            </w:r>
          </w:p>
        </w:tc>
        <w:tc>
          <w:tcPr>
            <w:tcW w:w="0" w:type="auto"/>
          </w:tcPr>
          <w:p>
            <w:pPr>
              <w:spacing w:line="240" w:lineRule="auto" w:before="0" w:after="0"/>
              <w:pStyle w:val="Compact"/>
            </w:pPr>
            <w:r>
              <w:rPr>
                <w:sz w:val="20"/>
                <w:szCs w:val="20"/>
              </w:rPr>
              <w:t xml:space="preserve">0.1842</w:t>
            </w:r>
          </w:p>
        </w:tc>
        <w:tc>
          <w:tcPr>
            <w:tcW w:w="0" w:type="auto"/>
          </w:tcPr>
          <w:p>
            <w:pPr>
              <w:spacing w:line="240" w:lineRule="auto" w:before="0" w:after="0"/>
              <w:pStyle w:val="Compact"/>
            </w:pPr>
            <w:r>
              <w:rPr>
                <w:sz w:val="20"/>
                <w:szCs w:val="20"/>
              </w:rPr>
              <w:t xml:space="preserve">-5.9241</w:t>
            </w:r>
          </w:p>
        </w:tc>
        <w:tc>
          <w:tcPr>
            <w:tcW w:w="0" w:type="auto"/>
          </w:tcPr>
          <w:p>
            <w:pPr>
              <w:spacing w:line="240" w:lineRule="auto" w:before="0" w:after="0"/>
              <w:pStyle w:val="Compact"/>
            </w:pPr>
            <w:r>
              <w:rPr>
                <w:sz w:val="20"/>
                <w:szCs w:val="20"/>
              </w:rPr>
              <w:t xml:space="preserve">3.14e-09</w:t>
            </w:r>
          </w:p>
        </w:tc>
        <w:tc>
          <w:tcPr>
            <w:tcW w:w="0" w:type="auto"/>
          </w:tcPr>
          <w:p>
            <w:pPr>
              <w:spacing w:line="240" w:lineRule="auto" w:before="0" w:after="0"/>
              <w:pStyle w:val="Compact"/>
            </w:pPr>
            <w:r>
              <w:rPr>
                <w:sz w:val="20"/>
                <w:szCs w:val="20"/>
              </w:rPr>
              <w:t xml:space="preserve">[-1.4523, -0.7302]</w:t>
            </w:r>
          </w:p>
        </w:tc>
      </w:tr>
      <w:tr>
        <w:tc>
          <w:tcPr>
            <w:tcW w:w="0" w:type="auto"/>
          </w:tcPr>
          <w:p>
            <w:pPr>
              <w:spacing w:line="240" w:lineRule="auto" w:before="0" w:after="0"/>
              <w:pStyle w:val="Compact"/>
            </w:pPr>
            <w:r>
              <w:rPr>
                <w:sz w:val="20"/>
                <w:szCs w:val="20"/>
              </w:rPr>
              <w:t xml:space="preserve">reg_dummy_post2004</w:t>
            </w:r>
          </w:p>
        </w:tc>
        <w:tc>
          <w:tcPr>
            <w:tcW w:w="0" w:type="auto"/>
          </w:tcPr>
          <w:p>
            <w:pPr>
              <w:spacing w:line="240" w:lineRule="auto" w:before="0" w:after="0"/>
              <w:pStyle w:val="Compact"/>
            </w:pPr>
            <w:r>
              <w:rPr>
                <w:sz w:val="20"/>
                <w:szCs w:val="20"/>
              </w:rPr>
              <w:t xml:space="preserve">-0.2112</w:t>
            </w:r>
          </w:p>
        </w:tc>
        <w:tc>
          <w:tcPr>
            <w:tcW w:w="0" w:type="auto"/>
          </w:tcPr>
          <w:p>
            <w:pPr>
              <w:spacing w:line="240" w:lineRule="auto" w:before="0" w:after="0"/>
              <w:pStyle w:val="Compact"/>
            </w:pPr>
            <w:r>
              <w:rPr>
                <w:sz w:val="20"/>
                <w:szCs w:val="20"/>
              </w:rPr>
              <w:t xml:space="preserve">0.6735</w:t>
            </w:r>
          </w:p>
        </w:tc>
        <w:tc>
          <w:tcPr>
            <w:tcW w:w="0" w:type="auto"/>
          </w:tcPr>
          <w:p>
            <w:pPr>
              <w:spacing w:line="240" w:lineRule="auto" w:before="0" w:after="0"/>
              <w:pStyle w:val="Compact"/>
            </w:pPr>
            <w:r>
              <w:rPr>
                <w:sz w:val="20"/>
                <w:szCs w:val="20"/>
              </w:rPr>
              <w:t xml:space="preserve">-0.3136</w:t>
            </w:r>
          </w:p>
        </w:tc>
        <w:tc>
          <w:tcPr>
            <w:tcW w:w="0" w:type="auto"/>
          </w:tcPr>
          <w:p>
            <w:pPr>
              <w:spacing w:line="240" w:lineRule="auto" w:before="0" w:after="0"/>
              <w:pStyle w:val="Compact"/>
            </w:pPr>
            <w:r>
              <w:rPr>
                <w:sz w:val="20"/>
                <w:szCs w:val="20"/>
              </w:rPr>
              <w:t xml:space="preserve">0.7539</w:t>
            </w:r>
          </w:p>
        </w:tc>
        <w:tc>
          <w:tcPr>
            <w:tcW w:w="0" w:type="auto"/>
          </w:tcPr>
          <w:p>
            <w:pPr>
              <w:spacing w:line="240" w:lineRule="auto" w:before="0" w:after="0"/>
              <w:pStyle w:val="Compact"/>
            </w:pPr>
            <w:r>
              <w:rPr>
                <w:sz w:val="20"/>
                <w:szCs w:val="20"/>
              </w:rPr>
              <w:t xml:space="preserve">[-1.5312, 1.1088]</w:t>
            </w:r>
          </w:p>
        </w:tc>
      </w:tr>
    </w:tbl>
    <w:p>
      <w:pPr>
        <w:pStyle w:val="BodyText"/>
        <w:spacing w:line="480" w:lineRule="auto"/>
        <w:ind w:firstLine="720"/>
      </w:pPr>
      <w:r>
        <w:t xml:space="preserve">Fit: N = 27 R2 = 0.9879 R2_adj = 0.9857 F = 489.6269 F_p = 3.774e-21</w:t>
      </w:r>
    </w:p>
    <w:bookmarkEnd w:id="183"/>
    <w:bookmarkStart w:id="18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Commercial launch insurance premium rate against U.S. regulatory intensity index, 1998 to 2024, with fitted OLS line." title="" id="185" name="Picture"/>
            <a:graphic>
              <a:graphicData uri="http://schemas.openxmlformats.org/drawingml/2006/picture">
                <pic:pic>
                  <pic:nvPicPr>
                    <pic:cNvPr descr="D:/Claude_Code/brain/collegium/candidates/dissertations/LAUNCH_REG_09/research_papers/p1/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Commercial launch insurance premium rate against U.S. regulatory intensity index, 1998 to 2024, with fitted OLS line.</w:t>
      </w:r>
    </w:p>
    <w:bookmarkEnd w:id="187"/>
    <w:bookmarkStart w:id="18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prem_rate_pct</w:t>
            </w:r>
          </w:p>
        </w:tc>
        <w:tc>
          <w:tcPr>
            <w:tcW w:w="0" w:type="auto"/>
          </w:tcPr>
          <w:p>
            <w:pPr>
              <w:spacing w:line="240" w:lineRule="auto" w:before="0" w:after="0"/>
              <w:pStyle w:val="Compact"/>
            </w:pPr>
            <w:r>
              <w:rPr>
                <w:sz w:val="20"/>
                <w:szCs w:val="20"/>
              </w:rPr>
              <w:t xml:space="preserve">cum_failures_5y</w:t>
            </w:r>
          </w:p>
        </w:tc>
        <w:tc>
          <w:tcPr>
            <w:tcW w:w="0" w:type="auto"/>
          </w:tcPr>
          <w:p>
            <w:pPr>
              <w:spacing w:line="240" w:lineRule="auto" w:before="0" w:after="0"/>
              <w:pStyle w:val="Compact"/>
            </w:pPr>
            <w:r>
              <w:rPr>
                <w:sz w:val="20"/>
                <w:szCs w:val="20"/>
              </w:rPr>
              <w:t xml:space="preserve">reg_intensity_index</w:t>
            </w:r>
          </w:p>
        </w:tc>
        <w:tc>
          <w:tcPr>
            <w:tcW w:w="0" w:type="auto"/>
          </w:tcPr>
          <w:p>
            <w:pPr>
              <w:spacing w:line="240" w:lineRule="auto" w:before="0" w:after="0"/>
              <w:pStyle w:val="Compact"/>
            </w:pPr>
            <w:r>
              <w:rPr>
                <w:sz w:val="20"/>
                <w:szCs w:val="20"/>
              </w:rPr>
              <w:t xml:space="preserve">fcc_part25_amendments</w:t>
            </w:r>
          </w:p>
        </w:tc>
        <w:tc>
          <w:tcPr>
            <w:tcW w:w="0" w:type="auto"/>
          </w:tcPr>
          <w:p>
            <w:pPr>
              <w:spacing w:line="240" w:lineRule="auto" w:before="0" w:after="0"/>
              <w:pStyle w:val="Compact"/>
            </w:pPr>
            <w:r>
              <w:rPr>
                <w:sz w:val="20"/>
                <w:szCs w:val="20"/>
              </w:rPr>
              <w:t xml:space="preserve">faa_ast_licenses</w:t>
            </w:r>
          </w:p>
        </w:tc>
        <w:tc>
          <w:tcPr>
            <w:tcW w:w="0" w:type="auto"/>
          </w:tcPr>
          <w:p>
            <w:pPr>
              <w:spacing w:line="240" w:lineRule="auto" w:before="0" w:after="0"/>
              <w:pStyle w:val="Compact"/>
            </w:pPr>
            <w:r>
              <w:rPr>
                <w:sz w:val="20"/>
                <w:szCs w:val="20"/>
              </w:rPr>
              <w:t xml:space="preserve">annual_launches_global</w:t>
            </w:r>
          </w:p>
        </w:tc>
        <w:tc>
          <w:tcPr>
            <w:tcW w:w="0" w:type="auto"/>
          </w:tcPr>
          <w:p>
            <w:pPr>
              <w:spacing w:line="240" w:lineRule="auto" w:before="0" w:after="0"/>
              <w:pStyle w:val="Compact"/>
            </w:pPr>
            <w:r>
              <w:rPr>
                <w:sz w:val="20"/>
                <w:szCs w:val="20"/>
              </w:rPr>
              <w:t xml:space="preserve">heritage_flights_avg</w:t>
            </w:r>
          </w:p>
        </w:tc>
        <w:tc>
          <w:tcPr>
            <w:tcW w:w="0" w:type="auto"/>
          </w:tcPr>
          <w:p>
            <w:pPr>
              <w:spacing w:line="240" w:lineRule="auto" w:before="0" w:after="0"/>
              <w:pStyle w:val="Compact"/>
            </w:pPr>
            <w:r>
              <w:rPr>
                <w:sz w:val="20"/>
                <w:szCs w:val="20"/>
              </w:rPr>
              <w:t xml:space="preserve">reg_dummy_post2004</w:t>
            </w:r>
          </w:p>
        </w:tc>
        <w:tc>
          <w:tcPr>
            <w:tcW w:w="0" w:type="auto"/>
          </w:tcPr>
          <w:p>
            <w:pPr>
              <w:spacing w:line="240" w:lineRule="auto" w:before="0" w:after="0"/>
              <w:pStyle w:val="Compact"/>
            </w:pPr>
            <w:r>
              <w:rPr>
                <w:sz w:val="20"/>
                <w:szCs w:val="20"/>
              </w:rPr>
              <w:t xml:space="preserve">sat_mass_avg_kg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Marsh McLennan Space Projects Insurance Report (2014); Aon Risk Solutions Space Sector Briefing (2018)</w:t>
            </w:r>
          </w:p>
        </w:tc>
      </w:tr>
      <w:tr>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Marsh McLennan Space Projects Insurance Report (2014)</w:t>
            </w:r>
          </w:p>
        </w:tc>
      </w:tr>
      <w:tr>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3050</w:t>
            </w:r>
          </w:p>
        </w:tc>
        <w:tc>
          <w:tcPr>
            <w:tcW w:w="0" w:type="auto"/>
          </w:tcPr>
          <w:p>
            <w:pPr>
              <w:spacing w:line="240" w:lineRule="auto" w:before="0" w:after="0"/>
              <w:pStyle w:val="Compact"/>
            </w:pPr>
            <w:r>
              <w:rPr>
                <w:sz w:val="20"/>
                <w:szCs w:val="20"/>
              </w:rPr>
              <w:t xml:space="preserve">Aon ISB Space Insurance Update (2010); FAA AST Annual Compendium (2003)</w:t>
            </w:r>
          </w:p>
        </w:tc>
      </w:tr>
      <w:tr>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Aon ISB Space Insurance Update (2010); FAA AST 2003 Year in Review</w:t>
            </w:r>
          </w:p>
        </w:tc>
      </w:tr>
      <w:tr>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Marsh Space Report (2014); FAA AST 2003 Year in Review</w:t>
            </w:r>
          </w:p>
        </w:tc>
      </w:tr>
      <w:tr>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Aon ISB (2010); FAA AST Annual Compendium (2003)</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CSLAA (PL 108-492, 2004); FAA AST 2004 Year in Review</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2850</w:t>
            </w:r>
          </w:p>
        </w:tc>
        <w:tc>
          <w:tcPr>
            <w:tcW w:w="0" w:type="auto"/>
          </w:tcPr>
          <w:p>
            <w:pPr>
              <w:spacing w:line="240" w:lineRule="auto" w:before="0" w:after="0"/>
              <w:pStyle w:val="Compact"/>
            </w:pPr>
            <w:r>
              <w:rPr>
                <w:sz w:val="20"/>
                <w:szCs w:val="20"/>
              </w:rPr>
              <w:t xml:space="preserve">Aon ISB (2010); FAA AST 2005 Year in Review</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Marsh Space Report (2014); FAA AST Year in Review 2006</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Aon ISB Space Insurance Update (2010)</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Marsh Space Report (2014); FAA AST Year in Review 2008</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2650</w:t>
            </w:r>
          </w:p>
        </w:tc>
        <w:tc>
          <w:tcPr>
            <w:tcW w:w="0" w:type="auto"/>
          </w:tcPr>
          <w:p>
            <w:pPr>
              <w:spacing w:line="240" w:lineRule="auto" w:before="0" w:after="0"/>
              <w:pStyle w:val="Compact"/>
            </w:pPr>
            <w:r>
              <w:rPr>
                <w:sz w:val="20"/>
                <w:szCs w:val="20"/>
              </w:rPr>
              <w:t xml:space="preserve">Aon ISB (2010); FAA AST Year in Review 2009</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Marsh McLennan Space Projects Report (2014); FAA AST 2010 Compendium</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2550</w:t>
            </w:r>
          </w:p>
        </w:tc>
        <w:tc>
          <w:tcPr>
            <w:tcW w:w="0" w:type="auto"/>
          </w:tcPr>
          <w:p>
            <w:pPr>
              <w:spacing w:line="240" w:lineRule="auto" w:before="0" w:after="0"/>
              <w:pStyle w:val="Compact"/>
            </w:pPr>
            <w:r>
              <w:rPr>
                <w:sz w:val="20"/>
                <w:szCs w:val="20"/>
              </w:rPr>
              <w:t xml:space="preserve">Marsh Space Report (2014); FAA AST 2011 Compendium</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Marsh Space Report (2014); FAA AST 2012 Year in Review</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2450</w:t>
            </w:r>
          </w:p>
        </w:tc>
        <w:tc>
          <w:tcPr>
            <w:tcW w:w="0" w:type="auto"/>
          </w:tcPr>
          <w:p>
            <w:pPr>
              <w:spacing w:line="240" w:lineRule="auto" w:before="0" w:after="0"/>
              <w:pStyle w:val="Compact"/>
            </w:pPr>
            <w:r>
              <w:rPr>
                <w:sz w:val="20"/>
                <w:szCs w:val="20"/>
              </w:rPr>
              <w:t xml:space="preserve">Marsh Space Report (2014); FAA AST 2013 Year in Review</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Marsh McLennan Space Projects Insurance Report (2014); FAA AST 2014 Compendium</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2350</w:t>
            </w:r>
          </w:p>
        </w:tc>
        <w:tc>
          <w:tcPr>
            <w:tcW w:w="0" w:type="auto"/>
          </w:tcPr>
          <w:p>
            <w:pPr>
              <w:spacing w:line="240" w:lineRule="auto" w:before="0" w:after="0"/>
              <w:pStyle w:val="Compact"/>
            </w:pPr>
            <w:r>
              <w:rPr>
                <w:sz w:val="20"/>
                <w:szCs w:val="20"/>
              </w:rPr>
              <w:t xml:space="preserve">Aon Space Sector Briefing (2018); FAA AST 2015 Compendium</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Aon Space Sector Briefing (2018); FAA AST 2016 Compendium</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2250</w:t>
            </w:r>
          </w:p>
        </w:tc>
        <w:tc>
          <w:tcPr>
            <w:tcW w:w="0" w:type="auto"/>
          </w:tcPr>
          <w:p>
            <w:pPr>
              <w:spacing w:line="240" w:lineRule="auto" w:before="0" w:after="0"/>
              <w:pStyle w:val="Compact"/>
            </w:pPr>
            <w:r>
              <w:rPr>
                <w:sz w:val="20"/>
                <w:szCs w:val="20"/>
              </w:rPr>
              <w:t xml:space="preserve">Aon Space Sector Briefing (2018); FAA AST 2017 Compendium</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Aon Space Sector Briefing (2018); FAA AST 2018 Compendium</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2100</w:t>
            </w:r>
          </w:p>
        </w:tc>
        <w:tc>
          <w:tcPr>
            <w:tcW w:w="0" w:type="auto"/>
          </w:tcPr>
          <w:p>
            <w:pPr>
              <w:spacing w:line="240" w:lineRule="auto" w:before="0" w:after="0"/>
              <w:pStyle w:val="Compact"/>
            </w:pPr>
            <w:r>
              <w:rPr>
                <w:sz w:val="20"/>
                <w:szCs w:val="20"/>
              </w:rPr>
              <w:t xml:space="preserve">Marsh Space Insurance Outlook (2020); FAA AST 2019 Compendium</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Marsh Space Insurance Outlook (2020); FAA Streamlined Part 450 NPRM (2020); FAA AST 2020 Compendium</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Marsh Space Outlook (2022); FAA Part 450 Final Rule (2021); FAA AST 2021 Compendium</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Marsh Space Outlook (2022); FAA AST 2022 Compendium</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GAO-25-107591 NASA Major Project Assessment (2025); FAA AST 2023 Compendium [illustrative for premium rate]</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GAO-25-107591 (2025); FAA AST 2024 Compendium [illustrative for premium rate]</w:t>
            </w:r>
          </w:p>
        </w:tc>
      </w:tr>
    </w:tbl>
    <w:bookmarkEnd w:id="188"/>
    <w:bookmarkStart w:id="18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prem_rate_pct</w:t>
            </w:r>
          </w:p>
        </w:tc>
        <w:tc>
          <w:tcPr>
            <w:tcW w:w="0" w:type="auto"/>
          </w:tcPr>
          <w:p>
            <w:pPr>
              <w:spacing w:line="240" w:lineRule="auto" w:before="0" w:after="0"/>
              <w:pStyle w:val="Compact"/>
            </w:pPr>
            <w:r>
              <w:rPr>
                <w:sz w:val="20"/>
                <w:szCs w:val="20"/>
              </w:rPr>
              <w:t xml:space="preserve">Average commercial launch insurance premium rate as a percent of insured value</w:t>
            </w:r>
          </w:p>
        </w:tc>
        <w:tc>
          <w:tcPr>
            <w:tcW w:w="0" w:type="auto"/>
          </w:tcPr>
          <w:p>
            <w:pPr>
              <w:spacing w:line="240" w:lineRule="auto" w:before="0" w:after="0"/>
              <w:pStyle w:val="Compact"/>
            </w:pPr>
            <w:r>
              <w:rPr>
                <w:sz w:val="20"/>
                <w:szCs w:val="20"/>
              </w:rPr>
              <w:t xml:space="preserve">Marsh McLennan Space Projects Insurance Reports (2014, 2020, 2022); Aon ISB Space Sector Briefings (2010, 2018)</w:t>
            </w:r>
          </w:p>
        </w:tc>
      </w:tr>
      <w:tr>
        <w:tc>
          <w:tcPr>
            <w:tcW w:w="0" w:type="auto"/>
          </w:tcPr>
          <w:p>
            <w:pPr>
              <w:spacing w:line="240" w:lineRule="auto" w:before="0" w:after="0"/>
              <w:pStyle w:val="Compact"/>
            </w:pPr>
            <w:r>
              <w:rPr>
                <w:sz w:val="20"/>
                <w:szCs w:val="20"/>
              </w:rPr>
              <w:t xml:space="preserve">reg_intensity_index</w:t>
            </w:r>
          </w:p>
        </w:tc>
        <w:tc>
          <w:tcPr>
            <w:tcW w:w="0" w:type="auto"/>
          </w:tcPr>
          <w:p>
            <w:pPr>
              <w:spacing w:line="240" w:lineRule="auto" w:before="0" w:after="0"/>
              <w:pStyle w:val="Compact"/>
            </w:pPr>
            <w:r>
              <w:rPr>
                <w:sz w:val="20"/>
                <w:szCs w:val="20"/>
              </w:rPr>
              <w:t xml:space="preserve">Composite index of U.S. commercial space regulatory intensity, scaled from Federal Register entries and FAA AST rule counts</w:t>
            </w:r>
          </w:p>
        </w:tc>
        <w:tc>
          <w:tcPr>
            <w:tcW w:w="0" w:type="auto"/>
          </w:tcPr>
          <w:p>
            <w:pPr>
              <w:spacing w:line="240" w:lineRule="auto" w:before="0" w:after="0"/>
              <w:pStyle w:val="Compact"/>
            </w:pPr>
            <w:r>
              <w:rPr>
                <w:sz w:val="20"/>
                <w:szCs w:val="20"/>
              </w:rPr>
              <w:t xml:space="preserve">Federal Register; FAA AST Annual Compendium of Commercial Space Transportation</w:t>
            </w:r>
          </w:p>
        </w:tc>
      </w:tr>
      <w:tr>
        <w:tc>
          <w:tcPr>
            <w:tcW w:w="0" w:type="auto"/>
          </w:tcPr>
          <w:p>
            <w:pPr>
              <w:spacing w:line="240" w:lineRule="auto" w:before="0" w:after="0"/>
              <w:pStyle w:val="Compact"/>
            </w:pPr>
            <w:r>
              <w:rPr>
                <w:sz w:val="20"/>
                <w:szCs w:val="20"/>
              </w:rPr>
              <w:t xml:space="preserve">cum_failures_5y</w:t>
            </w:r>
          </w:p>
        </w:tc>
        <w:tc>
          <w:tcPr>
            <w:tcW w:w="0" w:type="auto"/>
          </w:tcPr>
          <w:p>
            <w:pPr>
              <w:spacing w:line="240" w:lineRule="auto" w:before="0" w:after="0"/>
              <w:pStyle w:val="Compact"/>
            </w:pPr>
            <w:r>
              <w:rPr>
                <w:sz w:val="20"/>
                <w:szCs w:val="20"/>
              </w:rPr>
              <w:t xml:space="preserve">Trailing five year count of global orbital launch failures</w:t>
            </w:r>
          </w:p>
        </w:tc>
        <w:tc>
          <w:tcPr>
            <w:tcW w:w="0" w:type="auto"/>
          </w:tcPr>
          <w:p>
            <w:pPr>
              <w:spacing w:line="240" w:lineRule="auto" w:before="0" w:after="0"/>
              <w:pStyle w:val="Compact"/>
            </w:pPr>
            <w:r>
              <w:rPr>
                <w:sz w:val="20"/>
                <w:szCs w:val="20"/>
              </w:rPr>
              <w:t xml:space="preserve">FAA AST Annual Compendiums; Space-Track catalog</w:t>
            </w:r>
          </w:p>
        </w:tc>
      </w:tr>
      <w:tr>
        <w:tc>
          <w:tcPr>
            <w:tcW w:w="0" w:type="auto"/>
          </w:tcPr>
          <w:p>
            <w:pPr>
              <w:spacing w:line="240" w:lineRule="auto" w:before="0" w:after="0"/>
              <w:pStyle w:val="Compact"/>
            </w:pPr>
            <w:r>
              <w:rPr>
                <w:sz w:val="20"/>
                <w:szCs w:val="20"/>
              </w:rPr>
              <w:t xml:space="preserve">fcc_part25_amendments</w:t>
            </w:r>
          </w:p>
        </w:tc>
        <w:tc>
          <w:tcPr>
            <w:tcW w:w="0" w:type="auto"/>
          </w:tcPr>
          <w:p>
            <w:pPr>
              <w:spacing w:line="240" w:lineRule="auto" w:before="0" w:after="0"/>
              <w:pStyle w:val="Compact"/>
            </w:pPr>
            <w:r>
              <w:rPr>
                <w:sz w:val="20"/>
                <w:szCs w:val="20"/>
              </w:rPr>
              <w:t xml:space="preserve">Number of FCC Part 25 satellite licensing amendments adopted in year</w:t>
            </w:r>
          </w:p>
        </w:tc>
        <w:tc>
          <w:tcPr>
            <w:tcW w:w="0" w:type="auto"/>
          </w:tcPr>
          <w:p>
            <w:pPr>
              <w:spacing w:line="240" w:lineRule="auto" w:before="0" w:after="0"/>
              <w:pStyle w:val="Compact"/>
            </w:pPr>
            <w:r>
              <w:rPr>
                <w:sz w:val="20"/>
                <w:szCs w:val="20"/>
              </w:rPr>
              <w:t xml:space="preserve">FCC Public Notices and Reports and Orders</w:t>
            </w:r>
          </w:p>
        </w:tc>
      </w:tr>
      <w:tr>
        <w:tc>
          <w:tcPr>
            <w:tcW w:w="0" w:type="auto"/>
          </w:tcPr>
          <w:p>
            <w:pPr>
              <w:spacing w:line="240" w:lineRule="auto" w:before="0" w:after="0"/>
              <w:pStyle w:val="Compact"/>
            </w:pPr>
            <w:r>
              <w:rPr>
                <w:sz w:val="20"/>
                <w:szCs w:val="20"/>
              </w:rPr>
              <w:t xml:space="preserve">faa_ast_licenses</w:t>
            </w:r>
          </w:p>
        </w:tc>
        <w:tc>
          <w:tcPr>
            <w:tcW w:w="0" w:type="auto"/>
          </w:tcPr>
          <w:p>
            <w:pPr>
              <w:spacing w:line="240" w:lineRule="auto" w:before="0" w:after="0"/>
              <w:pStyle w:val="Compact"/>
            </w:pPr>
            <w:r>
              <w:rPr>
                <w:sz w:val="20"/>
                <w:szCs w:val="20"/>
              </w:rPr>
              <w:t xml:space="preserve">Active FAA AST commercial launch and reentry licenses and permits</w:t>
            </w:r>
          </w:p>
        </w:tc>
        <w:tc>
          <w:tcPr>
            <w:tcW w:w="0" w:type="auto"/>
          </w:tcPr>
          <w:p>
            <w:pPr>
              <w:spacing w:line="240" w:lineRule="auto" w:before="0" w:after="0"/>
              <w:pStyle w:val="Compact"/>
            </w:pPr>
            <w:r>
              <w:rPr>
                <w:sz w:val="20"/>
                <w:szCs w:val="20"/>
              </w:rPr>
              <w:t xml:space="preserve">FAA AST Annual Compendiums</w:t>
            </w:r>
          </w:p>
        </w:tc>
      </w:tr>
      <w:tr>
        <w:tc>
          <w:tcPr>
            <w:tcW w:w="0" w:type="auto"/>
          </w:tcPr>
          <w:p>
            <w:pPr>
              <w:spacing w:line="240" w:lineRule="auto" w:before="0" w:after="0"/>
              <w:pStyle w:val="Compact"/>
            </w:pPr>
            <w:r>
              <w:rPr>
                <w:sz w:val="20"/>
                <w:szCs w:val="20"/>
              </w:rPr>
              <w:t xml:space="preserve">annual_launches_global</w:t>
            </w:r>
          </w:p>
        </w:tc>
        <w:tc>
          <w:tcPr>
            <w:tcW w:w="0" w:type="auto"/>
          </w:tcPr>
          <w:p>
            <w:pPr>
              <w:spacing w:line="240" w:lineRule="auto" w:before="0" w:after="0"/>
              <w:pStyle w:val="Compact"/>
            </w:pPr>
            <w:r>
              <w:rPr>
                <w:sz w:val="20"/>
                <w:szCs w:val="20"/>
              </w:rPr>
              <w:t xml:space="preserve">Global orbital launch attempts</w:t>
            </w:r>
          </w:p>
        </w:tc>
        <w:tc>
          <w:tcPr>
            <w:tcW w:w="0" w:type="auto"/>
          </w:tcPr>
          <w:p>
            <w:pPr>
              <w:spacing w:line="240" w:lineRule="auto" w:before="0" w:after="0"/>
              <w:pStyle w:val="Compact"/>
            </w:pPr>
            <w:r>
              <w:rPr>
                <w:sz w:val="20"/>
                <w:szCs w:val="20"/>
              </w:rPr>
              <w:t xml:space="preserve">FAA AST Annual Compendiums</w:t>
            </w:r>
          </w:p>
        </w:tc>
      </w:tr>
      <w:tr>
        <w:tc>
          <w:tcPr>
            <w:tcW w:w="0" w:type="auto"/>
          </w:tcPr>
          <w:p>
            <w:pPr>
              <w:spacing w:line="240" w:lineRule="auto" w:before="0" w:after="0"/>
              <w:pStyle w:val="Compact"/>
            </w:pPr>
            <w:r>
              <w:rPr>
                <w:sz w:val="20"/>
                <w:szCs w:val="20"/>
              </w:rPr>
              <w:t xml:space="preserve">heritage_flights_avg</w:t>
            </w:r>
          </w:p>
        </w:tc>
        <w:tc>
          <w:tcPr>
            <w:tcW w:w="0" w:type="auto"/>
          </w:tcPr>
          <w:p>
            <w:pPr>
              <w:spacing w:line="240" w:lineRule="auto" w:before="0" w:after="0"/>
              <w:pStyle w:val="Compact"/>
            </w:pPr>
            <w:r>
              <w:rPr>
                <w:sz w:val="20"/>
                <w:szCs w:val="20"/>
              </w:rPr>
              <w:t xml:space="preserve">Industry weighted average of cumulative heritage flights per active launch vehicle family</w:t>
            </w:r>
          </w:p>
        </w:tc>
        <w:tc>
          <w:tcPr>
            <w:tcW w:w="0" w:type="auto"/>
          </w:tcPr>
          <w:p>
            <w:pPr>
              <w:spacing w:line="240" w:lineRule="auto" w:before="0" w:after="0"/>
              <w:pStyle w:val="Compact"/>
            </w:pPr>
            <w:r>
              <w:rPr>
                <w:sz w:val="20"/>
                <w:szCs w:val="20"/>
              </w:rPr>
              <w:t xml:space="preserve">FAA AST Annual Compendiums; Aon ISB analyses</w:t>
            </w:r>
          </w:p>
        </w:tc>
      </w:tr>
      <w:tr>
        <w:tc>
          <w:tcPr>
            <w:tcW w:w="0" w:type="auto"/>
          </w:tcPr>
          <w:p>
            <w:pPr>
              <w:spacing w:line="240" w:lineRule="auto" w:before="0" w:after="0"/>
              <w:pStyle w:val="Compact"/>
            </w:pPr>
            <w:r>
              <w:rPr>
                <w:sz w:val="20"/>
                <w:szCs w:val="20"/>
              </w:rPr>
              <w:t xml:space="preserve">reg_dummy_post2004</w:t>
            </w:r>
          </w:p>
        </w:tc>
        <w:tc>
          <w:tcPr>
            <w:tcW w:w="0" w:type="auto"/>
          </w:tcPr>
          <w:p>
            <w:pPr>
              <w:spacing w:line="240" w:lineRule="auto" w:before="0" w:after="0"/>
              <w:pStyle w:val="Compact"/>
            </w:pPr>
            <w:r>
              <w:rPr>
                <w:sz w:val="20"/>
                <w:szCs w:val="20"/>
              </w:rPr>
              <w:t xml:space="preserve">Indicator equal to 1 for years from 2004 onward following enactment of the Commercial Space Launch Amendments Act (PL 108-492)</w:t>
            </w:r>
          </w:p>
        </w:tc>
        <w:tc>
          <w:tcPr>
            <w:tcW w:w="0" w:type="auto"/>
          </w:tcPr>
          <w:p>
            <w:pPr>
              <w:spacing w:line="240" w:lineRule="auto" w:before="0" w:after="0"/>
              <w:pStyle w:val="Compact"/>
            </w:pPr>
            <w:r>
              <w:rPr>
                <w:sz w:val="20"/>
                <w:szCs w:val="20"/>
              </w:rPr>
              <w:t xml:space="preserve">PL 108-492 (2004)</w:t>
            </w:r>
          </w:p>
        </w:tc>
      </w:tr>
      <w:tr>
        <w:tc>
          <w:tcPr>
            <w:tcW w:w="0" w:type="auto"/>
          </w:tcPr>
          <w:p>
            <w:pPr>
              <w:spacing w:line="240" w:lineRule="auto" w:before="0" w:after="0"/>
              <w:pStyle w:val="Compact"/>
            </w:pPr>
            <w:r>
              <w:rPr>
                <w:sz w:val="20"/>
                <w:szCs w:val="20"/>
              </w:rPr>
              <w:t xml:space="preserve">sat_mass_avg_kg</w:t>
            </w:r>
          </w:p>
        </w:tc>
        <w:tc>
          <w:tcPr>
            <w:tcW w:w="0" w:type="auto"/>
          </w:tcPr>
          <w:p>
            <w:pPr>
              <w:spacing w:line="240" w:lineRule="auto" w:before="0" w:after="0"/>
              <w:pStyle w:val="Compact"/>
            </w:pPr>
            <w:r>
              <w:rPr>
                <w:sz w:val="20"/>
                <w:szCs w:val="20"/>
              </w:rPr>
              <w:t xml:space="preserve">Average insured payload mass per launch in kilograms</w:t>
            </w:r>
          </w:p>
        </w:tc>
        <w:tc>
          <w:tcPr>
            <w:tcW w:w="0" w:type="auto"/>
          </w:tcPr>
          <w:p>
            <w:pPr>
              <w:spacing w:line="240" w:lineRule="auto" w:before="0" w:after="0"/>
              <w:pStyle w:val="Compact"/>
            </w:pPr>
            <w:r>
              <w:rPr>
                <w:sz w:val="20"/>
                <w:szCs w:val="20"/>
              </w:rPr>
              <w:t xml:space="preserve">FAA AST Annual Compendiums; UCS Satellite Database</w:t>
            </w:r>
          </w:p>
        </w:tc>
      </w:tr>
    </w:tbl>
    <w:bookmarkEnd w:id="189"/>
    <w:bookmarkEnd w:id="190"/>
    <w:bookmarkStart w:id="198" w:name="Xa331b58b3cc9c9b145e4d2e45f98ec104f4d63a"/>
    <w:p>
      <w:pPr>
        <w:pStyle w:val="Heading2"/>
        <w:spacing w:line="480" w:lineRule="auto"/>
      </w:pPr>
      <w:r>
        <w:t xml:space="preserve">A.2 Launch Insurance Premiums as a Revealed Risk Signal: An OLS Test of Lead-Lag Relationships with US Launch Regulation, 2003 to 2024</w:t>
      </w:r>
    </w:p>
    <w:p>
      <w:pPr>
        <w:pStyle w:val="FirstParagraph"/>
        <w:spacing w:line="480" w:lineRule="auto"/>
      </w:pPr>
      <m:oMathPara>
        <m:oMathParaPr>
          <m:jc m:val="center"/>
        </m:oMathParaPr>
        <m:oMath>
          <m:sSub>
            <m:e>
              <m:r>
                <m:t>P</m:t>
              </m:r>
            </m:e>
            <m:sub>
              <m:r>
                <m:t>t</m:t>
              </m:r>
            </m:sub>
          </m:sSub>
          <m:r>
            <m:rPr>
              <m:sty m:val="p"/>
            </m:rPr>
            <m:t>=</m:t>
          </m:r>
          <m:sSub>
            <m:e>
              <m:r>
                <m:t>β</m:t>
              </m:r>
            </m:e>
            <m:sub>
              <m:r>
                <m:t>0</m:t>
              </m:r>
            </m:sub>
          </m:sSub>
          <m:r>
            <m:rPr>
              <m:sty m:val="p"/>
            </m:rPr>
            <m:t>+</m:t>
          </m:r>
          <m:sSub>
            <m:e>
              <m:r>
                <m:t>β</m:t>
              </m:r>
            </m:e>
            <m:sub>
              <m:r>
                <m:t>1</m:t>
              </m:r>
            </m:sub>
          </m:sSub>
          <m:sSub>
            <m:e>
              <m:r>
                <m:t>R</m:t>
              </m:r>
            </m:e>
            <m:sub>
              <m:r>
                <m:t>t</m:t>
              </m:r>
            </m:sub>
          </m:sSub>
          <m:r>
            <m:rPr>
              <m:sty m:val="p"/>
            </m:rPr>
            <m:t>+</m:t>
          </m:r>
          <m:sSub>
            <m:e>
              <m:r>
                <m:t>β</m:t>
              </m:r>
            </m:e>
            <m:sub>
              <m:r>
                <m:t>2</m:t>
              </m:r>
            </m:sub>
          </m:sSub>
          <m:sSub>
            <m:e>
              <m:r>
                <m:t>L</m:t>
              </m:r>
            </m:e>
            <m:sub>
              <m:r>
                <m:t>t</m:t>
              </m:r>
            </m:sub>
          </m:sSub>
          <m:r>
            <m:rPr>
              <m:sty m:val="p"/>
            </m:rPr>
            <m:t>+</m:t>
          </m:r>
          <m:sSub>
            <m:e>
              <m:r>
                <m:t>β</m:t>
              </m:r>
            </m:e>
            <m:sub>
              <m:r>
                <m:t>3</m:t>
              </m:r>
            </m:sub>
          </m:sSub>
          <m:sSub>
            <m:e>
              <m:r>
                <m:t>N</m:t>
              </m:r>
            </m:e>
            <m:sub>
              <m:r>
                <m:t>t</m:t>
              </m:r>
            </m:sub>
          </m:sSub>
          <m:r>
            <m:rPr>
              <m:sty m:val="p"/>
            </m:rPr>
            <m:t>+</m:t>
          </m:r>
          <m:sSub>
            <m:e>
              <m:r>
                <m:t>ε</m:t>
              </m:r>
            </m:e>
            <m:sub>
              <m:r>
                <m:t>t</m:t>
              </m:r>
            </m:sub>
          </m:sSub>
        </m:oMath>
      </m:oMathPara>
    </w:p>
    <w:bookmarkStart w:id="19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27.9243</w:t>
            </w:r>
          </w:p>
        </w:tc>
        <w:tc>
          <w:tcPr>
            <w:tcW w:w="0" w:type="auto"/>
          </w:tcPr>
          <w:p>
            <w:pPr>
              <w:spacing w:line="240" w:lineRule="auto" w:before="0" w:after="0"/>
              <w:pStyle w:val="Compact"/>
            </w:pPr>
            <w:r>
              <w:rPr>
                <w:sz w:val="20"/>
                <w:szCs w:val="20"/>
              </w:rPr>
              <w:t xml:space="preserve">3.4075</w:t>
            </w:r>
          </w:p>
        </w:tc>
        <w:tc>
          <w:tcPr>
            <w:tcW w:w="0" w:type="auto"/>
          </w:tcPr>
          <w:p>
            <w:pPr>
              <w:spacing w:line="240" w:lineRule="auto" w:before="0" w:after="0"/>
              <w:pStyle w:val="Compact"/>
            </w:pPr>
            <w:r>
              <w:rPr>
                <w:sz w:val="20"/>
                <w:szCs w:val="20"/>
              </w:rPr>
              <w:t xml:space="preserve">8.1949</w:t>
            </w:r>
          </w:p>
        </w:tc>
        <w:tc>
          <w:tcPr>
            <w:tcW w:w="0" w:type="auto"/>
          </w:tcPr>
          <w:p>
            <w:pPr>
              <w:spacing w:line="240" w:lineRule="auto" w:before="0" w:after="0"/>
              <w:pStyle w:val="Compact"/>
            </w:pPr>
            <w:r>
              <w:rPr>
                <w:sz w:val="20"/>
                <w:szCs w:val="20"/>
              </w:rPr>
              <w:t xml:space="preserve">2.508e-16</w:t>
            </w:r>
          </w:p>
        </w:tc>
        <w:tc>
          <w:tcPr>
            <w:tcW w:w="0" w:type="auto"/>
          </w:tcPr>
          <w:p>
            <w:pPr>
              <w:spacing w:line="240" w:lineRule="auto" w:before="0" w:after="0"/>
              <w:pStyle w:val="Compact"/>
            </w:pPr>
            <w:r>
              <w:rPr>
                <w:sz w:val="20"/>
                <w:szCs w:val="20"/>
              </w:rPr>
              <w:t xml:space="preserve">[21.2457, 34.6029]</w:t>
            </w:r>
          </w:p>
        </w:tc>
      </w:tr>
      <w:tr>
        <w:tc>
          <w:tcPr>
            <w:tcW w:w="0" w:type="auto"/>
          </w:tcPr>
          <w:p>
            <w:pPr>
              <w:spacing w:line="240" w:lineRule="auto" w:before="0" w:after="0"/>
              <w:pStyle w:val="Compact"/>
            </w:pPr>
            <w:r>
              <w:rPr>
                <w:sz w:val="20"/>
                <w:szCs w:val="20"/>
              </w:rPr>
              <w:t xml:space="preserve">reg_index</w:t>
            </w:r>
          </w:p>
        </w:tc>
        <w:tc>
          <w:tcPr>
            <w:tcW w:w="0" w:type="auto"/>
          </w:tcPr>
          <w:p>
            <w:pPr>
              <w:spacing w:line="240" w:lineRule="auto" w:before="0" w:after="0"/>
              <w:pStyle w:val="Compact"/>
            </w:pPr>
            <w:r>
              <w:rPr>
                <w:sz w:val="20"/>
                <w:szCs w:val="20"/>
              </w:rPr>
              <w:t xml:space="preserve">-20.5488</w:t>
            </w:r>
          </w:p>
        </w:tc>
        <w:tc>
          <w:tcPr>
            <w:tcW w:w="0" w:type="auto"/>
          </w:tcPr>
          <w:p>
            <w:pPr>
              <w:spacing w:line="240" w:lineRule="auto" w:before="0" w:after="0"/>
              <w:pStyle w:val="Compact"/>
            </w:pPr>
            <w:r>
              <w:rPr>
                <w:sz w:val="20"/>
                <w:szCs w:val="20"/>
              </w:rPr>
              <w:t xml:space="preserve">4.1842</w:t>
            </w:r>
          </w:p>
        </w:tc>
        <w:tc>
          <w:tcPr>
            <w:tcW w:w="0" w:type="auto"/>
          </w:tcPr>
          <w:p>
            <w:pPr>
              <w:spacing w:line="240" w:lineRule="auto" w:before="0" w:after="0"/>
              <w:pStyle w:val="Compact"/>
            </w:pPr>
            <w:r>
              <w:rPr>
                <w:sz w:val="20"/>
                <w:szCs w:val="20"/>
              </w:rPr>
              <w:t xml:space="preserve">-4.9111</w:t>
            </w:r>
          </w:p>
        </w:tc>
        <w:tc>
          <w:tcPr>
            <w:tcW w:w="0" w:type="auto"/>
          </w:tcPr>
          <w:p>
            <w:pPr>
              <w:spacing w:line="240" w:lineRule="auto" w:before="0" w:after="0"/>
              <w:pStyle w:val="Compact"/>
            </w:pPr>
            <w:r>
              <w:rPr>
                <w:sz w:val="20"/>
                <w:szCs w:val="20"/>
              </w:rPr>
              <w:t xml:space="preserve">9.058e-07</w:t>
            </w:r>
          </w:p>
        </w:tc>
        <w:tc>
          <w:tcPr>
            <w:tcW w:w="0" w:type="auto"/>
          </w:tcPr>
          <w:p>
            <w:pPr>
              <w:spacing w:line="240" w:lineRule="auto" w:before="0" w:after="0"/>
              <w:pStyle w:val="Compact"/>
            </w:pPr>
            <w:r>
              <w:rPr>
                <w:sz w:val="20"/>
                <w:szCs w:val="20"/>
              </w:rPr>
              <w:t xml:space="preserve">[-28.7497, -12.348]</w:t>
            </w:r>
          </w:p>
        </w:tc>
      </w:tr>
      <w:tr>
        <w:tc>
          <w:tcPr>
            <w:tcW w:w="0" w:type="auto"/>
          </w:tcPr>
          <w:p>
            <w:pPr>
              <w:spacing w:line="240" w:lineRule="auto" w:before="0" w:after="0"/>
              <w:pStyle w:val="Compact"/>
            </w:pPr>
            <w:r>
              <w:rPr>
                <w:sz w:val="20"/>
                <w:szCs w:val="20"/>
              </w:rPr>
              <w:t xml:space="preserve">loss_ratio_pct</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1.2541</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[-0.0096, 0.0438]</w:t>
            </w:r>
          </w:p>
        </w:tc>
      </w:tr>
      <w:tr>
        <w:tc>
          <w:tcPr>
            <w:tcW w:w="0" w:type="auto"/>
          </w:tcPr>
          <w:p>
            <w:pPr>
              <w:spacing w:line="240" w:lineRule="auto" w:before="0" w:after="0"/>
              <w:pStyle w:val="Compact"/>
            </w:pPr>
            <w:r>
              <w:rPr>
                <w:sz w:val="20"/>
                <w:szCs w:val="20"/>
              </w:rPr>
              <w:t xml:space="preserve">launches_global</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2.9527</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[0.0215, 0.1063]</w:t>
            </w:r>
          </w:p>
        </w:tc>
      </w:tr>
    </w:tbl>
    <w:p>
      <w:pPr>
        <w:pStyle w:val="BodyText"/>
        <w:spacing w:line="480" w:lineRule="auto"/>
        <w:ind w:firstLine="720"/>
      </w:pPr>
      <w:r>
        <w:t xml:space="preserve">Fit: N = 22 R2 = 0.7444 R2_adj = 0.7018 F = 17.9297 F_p = 1.214e-05</w:t>
      </w:r>
    </w:p>
    <w:bookmarkEnd w:id="191"/>
    <w:bookmarkStart w:id="19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omposite global launch insurance premium rate against the FAA AST plus FCC Part 25 regulatory burden index, 2003 to 2024." title="" id="193" name="Picture"/>
            <a:graphic>
              <a:graphicData uri="http://schemas.openxmlformats.org/drawingml/2006/picture">
                <pic:pic>
                  <pic:nvPicPr>
                    <pic:cNvPr descr="D:/Claude_Code/brain/collegium/candidates/dissertations/LAUNCH_REG_09/research_papers/p2/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Composite global launch insurance premium rate against the FAA AST plus FCC Part 25 regulatory burden index, 2003 to 2024.</w:t>
      </w:r>
    </w:p>
    <w:bookmarkEnd w:id="195"/>
    <w:bookmarkStart w:id="19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loss_ratio_pct</w:t>
            </w:r>
          </w:p>
        </w:tc>
        <w:tc>
          <w:tcPr>
            <w:tcW w:w="0" w:type="auto"/>
          </w:tcPr>
          <w:p>
            <w:pPr>
              <w:spacing w:line="240" w:lineRule="auto" w:before="0" w:after="0"/>
              <w:pStyle w:val="Compact"/>
            </w:pPr>
            <w:r>
              <w:rPr>
                <w:sz w:val="20"/>
                <w:szCs w:val="20"/>
              </w:rPr>
              <w:t xml:space="preserve">launches_global</w:t>
            </w:r>
          </w:p>
        </w:tc>
        <w:tc>
          <w:tcPr>
            <w:tcW w:w="0" w:type="auto"/>
          </w:tcPr>
          <w:p>
            <w:pPr>
              <w:spacing w:line="240" w:lineRule="auto" w:before="0" w:after="0"/>
              <w:pStyle w:val="Compact"/>
            </w:pPr>
            <w:r>
              <w:rPr>
                <w:sz w:val="20"/>
                <w:szCs w:val="20"/>
              </w:rPr>
              <w:t xml:space="preserve">reg_index</w:t>
            </w:r>
          </w:p>
        </w:tc>
        <w:tc>
          <w:tcPr>
            <w:tcW w:w="0" w:type="auto"/>
          </w:tcPr>
          <w:p>
            <w:pPr>
              <w:spacing w:line="240" w:lineRule="auto" w:before="0" w:after="0"/>
              <w:pStyle w:val="Compact"/>
            </w:pPr>
            <w:r>
              <w:rPr>
                <w:sz w:val="20"/>
                <w:szCs w:val="20"/>
              </w:rPr>
              <w:t xml:space="preserve">fcc_part25_actions</w:t>
            </w:r>
          </w:p>
        </w:tc>
        <w:tc>
          <w:tcPr>
            <w:tcW w:w="0" w:type="auto"/>
          </w:tcPr>
          <w:p>
            <w:pPr>
              <w:spacing w:line="240" w:lineRule="auto" w:before="0" w:after="0"/>
              <w:pStyle w:val="Compact"/>
            </w:pPr>
            <w:r>
              <w:rPr>
                <w:sz w:val="20"/>
                <w:szCs w:val="20"/>
              </w:rPr>
              <w:t xml:space="preserve">gao_oversight_flags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Swiss Re 2004 sigma 1/2004 Space insurance review (https://www.swissre.com/institute/research/sigma-research/sigma-2004-01.html)</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Swiss Re 2005 sigma 2/2005 Insurance in space (https://www.swissre.com/institute/research/sigma-research/sigma-2005-02.html)</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Aon ISB 2006 Space Market Update; FAA AST 2005 Quarterly (https://www.faa.gov/space/space_data)</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Marsh 2007 Space Projects Report; FAA AST 2006 Annual Report</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Marsh 2008 Global Space Insurance Update</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Aon ISB 2009 Space Market Report; FCC Public Notice DA 08-2719</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Marsh 2010 Space Projects Report; FAA AST CY2009 Compendium</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Swiss Re 2011 sigma; Aon ISB 2011 Space Market Update</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Marsh 2012 Space Projects Report; FAA AST CY2011 Compendium</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Aon ISB 2013 Space Market Report; FCC 47 CFR Part 25 updates docket 11-149</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Marsh 2014 Space Projects Report; FAA AST CY2013 Compendium</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Swiss Re 2015 sigma; FCC DA 14-1424 Part 25 streamlining</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Aon ISB 2016 Space Market Update; FAA AST CY2015 Compendium</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Marsh 2017 Space Projects Report (https://www.marsh.com); GAO-16-765R</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Aon ISB 2018 Space Market Update; FAA AST CY2017 Compendium</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Marsh 2019 Space Projects Report; FCC Streamlining Order FCC 18-159</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Swiss Re 2020 sigma 4/2020 Natural catastrophes [illustrative]; FAA AST CY2019 Compendium</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Marsh 2021 Space Projects Report; FAA Part 450 NPRM 84 FR 15296</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Aon ISB 2022 Space Market Report; FAA Part 450 Final Rule 85 FR 79566</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Marsh 2023 Space Projects Report; GAO-23-105561; FAA AST CY2022 Compendium</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Aon ISB 2024 Space Market Update; GAO-24-106767; FAA AST CY2023 Compendium</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Marsh 2025 Space Projects Report [illustrative premium]; GAO-25-107591; FAA AST CY2024 Compendium</w:t>
            </w:r>
          </w:p>
        </w:tc>
      </w:tr>
    </w:tbl>
    <w:bookmarkEnd w:id="196"/>
    <w:bookmarkStart w:id="19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Composite global launch insurance premium rate (percent of insured value) for a standard LEO/GEO mission</w:t>
            </w:r>
          </w:p>
        </w:tc>
        <w:tc>
          <w:tcPr>
            <w:tcW w:w="0" w:type="auto"/>
          </w:tcPr>
          <w:p>
            <w:pPr>
              <w:spacing w:line="240" w:lineRule="auto" w:before="0" w:after="0"/>
              <w:pStyle w:val="Compact"/>
            </w:pPr>
            <w:r>
              <w:rPr>
                <w:sz w:val="20"/>
                <w:szCs w:val="20"/>
              </w:rPr>
              <w:t xml:space="preserve">Annual Swiss Re sigma space-insurance reviews and Aon/Marsh year-end Space Market Updates</w:t>
            </w:r>
          </w:p>
        </w:tc>
      </w:tr>
      <w:tr>
        <w:tc>
          <w:tcPr>
            <w:tcW w:w="0" w:type="auto"/>
          </w:tcPr>
          <w:p>
            <w:pPr>
              <w:spacing w:line="240" w:lineRule="auto" w:before="0" w:after="0"/>
              <w:pStyle w:val="Compact"/>
            </w:pPr>
            <w:r>
              <w:rPr>
                <w:sz w:val="20"/>
                <w:szCs w:val="20"/>
              </w:rPr>
              <w:t xml:space="preserve">reg_index</w:t>
            </w:r>
          </w:p>
        </w:tc>
        <w:tc>
          <w:tcPr>
            <w:tcW w:w="0" w:type="auto"/>
          </w:tcPr>
          <w:p>
            <w:pPr>
              <w:spacing w:line="240" w:lineRule="auto" w:before="0" w:after="0"/>
              <w:pStyle w:val="Compact"/>
            </w:pPr>
            <w:r>
              <w:rPr>
                <w:sz w:val="20"/>
                <w:szCs w:val="20"/>
              </w:rPr>
              <w:t xml:space="preserve">Cumulative regulatory-burden index normalized to 1.0 at 2003, combining FAA AST commercial-launch licensing rules and FCC Part 25 satellite licensing in force</w:t>
            </w:r>
          </w:p>
        </w:tc>
        <w:tc>
          <w:tcPr>
            <w:tcW w:w="0" w:type="auto"/>
          </w:tcPr>
          <w:p>
            <w:pPr>
              <w:spacing w:line="240" w:lineRule="auto" w:before="0" w:after="0"/>
              <w:pStyle w:val="Compact"/>
            </w:pPr>
            <w:r>
              <w:rPr>
                <w:sz w:val="20"/>
                <w:szCs w:val="20"/>
              </w:rPr>
              <w:t xml:space="preserve">Hand-coded from FAA AST Annual Compendia, FCC docket records, and 14 CFR Part 450 rulemaking history</w:t>
            </w:r>
          </w:p>
        </w:tc>
      </w:tr>
      <w:tr>
        <w:tc>
          <w:tcPr>
            <w:tcW w:w="0" w:type="auto"/>
          </w:tcPr>
          <w:p>
            <w:pPr>
              <w:spacing w:line="240" w:lineRule="auto" w:before="0" w:after="0"/>
              <w:pStyle w:val="Compact"/>
            </w:pPr>
            <w:r>
              <w:rPr>
                <w:sz w:val="20"/>
                <w:szCs w:val="20"/>
              </w:rPr>
              <w:t xml:space="preserve">loss_ratio_pct</w:t>
            </w:r>
          </w:p>
        </w:tc>
        <w:tc>
          <w:tcPr>
            <w:tcW w:w="0" w:type="auto"/>
          </w:tcPr>
          <w:p>
            <w:pPr>
              <w:spacing w:line="240" w:lineRule="auto" w:before="0" w:after="0"/>
              <w:pStyle w:val="Compact"/>
            </w:pPr>
            <w:r>
              <w:rPr>
                <w:sz w:val="20"/>
                <w:szCs w:val="20"/>
              </w:rPr>
              <w:t xml:space="preserve">Industry loss ratio for space risks (claims as percent of earned premium) in year t</w:t>
            </w:r>
          </w:p>
        </w:tc>
        <w:tc>
          <w:tcPr>
            <w:tcW w:w="0" w:type="auto"/>
          </w:tcPr>
          <w:p>
            <w:pPr>
              <w:spacing w:line="240" w:lineRule="auto" w:before="0" w:after="0"/>
              <w:pStyle w:val="Compact"/>
            </w:pPr>
            <w:r>
              <w:rPr>
                <w:sz w:val="20"/>
                <w:szCs w:val="20"/>
              </w:rPr>
              <w:t xml:space="preserve">Swiss Re sigma; Aon ISB Space Market Update annual loss tables</w:t>
            </w:r>
          </w:p>
        </w:tc>
      </w:tr>
      <w:tr>
        <w:tc>
          <w:tcPr>
            <w:tcW w:w="0" w:type="auto"/>
          </w:tcPr>
          <w:p>
            <w:pPr>
              <w:spacing w:line="240" w:lineRule="auto" w:before="0" w:after="0"/>
              <w:pStyle w:val="Compact"/>
            </w:pPr>
            <w:r>
              <w:rPr>
                <w:sz w:val="20"/>
                <w:szCs w:val="20"/>
              </w:rPr>
              <w:t xml:space="preserve">launches_global</w:t>
            </w:r>
          </w:p>
        </w:tc>
        <w:tc>
          <w:tcPr>
            <w:tcW w:w="0" w:type="auto"/>
          </w:tcPr>
          <w:p>
            <w:pPr>
              <w:spacing w:line="240" w:lineRule="auto" w:before="0" w:after="0"/>
              <w:pStyle w:val="Compact"/>
            </w:pPr>
            <w:r>
              <w:rPr>
                <w:sz w:val="20"/>
                <w:szCs w:val="20"/>
              </w:rPr>
              <w:t xml:space="preserve">Total successful and attempted orbital launches worldwide in year t</w:t>
            </w:r>
          </w:p>
        </w:tc>
        <w:tc>
          <w:tcPr>
            <w:tcW w:w="0" w:type="auto"/>
          </w:tcPr>
          <w:p>
            <w:pPr>
              <w:spacing w:line="240" w:lineRule="auto" w:before="0" w:after="0"/>
              <w:pStyle w:val="Compact"/>
            </w:pPr>
            <w:r>
              <w:rPr>
                <w:sz w:val="20"/>
                <w:szCs w:val="20"/>
              </w:rPr>
              <w:t xml:space="preserve">FAA AST Quarterly Launch Reports and CY Compendia; SpaceNews launch counts</w:t>
            </w:r>
          </w:p>
        </w:tc>
      </w:tr>
      <w:tr>
        <w:tc>
          <w:tcPr>
            <w:tcW w:w="0" w:type="auto"/>
          </w:tcPr>
          <w:p>
            <w:pPr>
              <w:spacing w:line="240" w:lineRule="auto" w:before="0" w:after="0"/>
              <w:pStyle w:val="Compact"/>
            </w:pPr>
            <w:r>
              <w:rPr>
                <w:sz w:val="20"/>
                <w:szCs w:val="20"/>
              </w:rPr>
              <w:t xml:space="preserve">fcc_part25_actions</w:t>
            </w:r>
          </w:p>
        </w:tc>
        <w:tc>
          <w:tcPr>
            <w:tcW w:w="0" w:type="auto"/>
          </w:tcPr>
          <w:p>
            <w:pPr>
              <w:spacing w:line="240" w:lineRule="auto" w:before="0" w:after="0"/>
              <w:pStyle w:val="Compact"/>
            </w:pPr>
            <w:r>
              <w:rPr>
                <w:sz w:val="20"/>
                <w:szCs w:val="20"/>
              </w:rPr>
              <w:t xml:space="preserve">FCC bureau-level Part 25 licensing actions issued in year t</w:t>
            </w:r>
          </w:p>
        </w:tc>
        <w:tc>
          <w:tcPr>
            <w:tcW w:w="0" w:type="auto"/>
          </w:tcPr>
          <w:p>
            <w:pPr>
              <w:spacing w:line="240" w:lineRule="auto" w:before="0" w:after="0"/>
              <w:pStyle w:val="Compact"/>
            </w:pPr>
            <w:r>
              <w:rPr>
                <w:sz w:val="20"/>
                <w:szCs w:val="20"/>
              </w:rPr>
              <w:t xml:space="preserve">FCC Public Notices and IBFS database tallies</w:t>
            </w:r>
          </w:p>
        </w:tc>
      </w:tr>
      <w:tr>
        <w:tc>
          <w:tcPr>
            <w:tcW w:w="0" w:type="auto"/>
          </w:tcPr>
          <w:p>
            <w:pPr>
              <w:spacing w:line="240" w:lineRule="auto" w:before="0" w:after="0"/>
              <w:pStyle w:val="Compact"/>
            </w:pPr>
            <w:r>
              <w:rPr>
                <w:sz w:val="20"/>
                <w:szCs w:val="20"/>
              </w:rPr>
              <w:t xml:space="preserve">gao_oversight_flags</w:t>
            </w:r>
          </w:p>
        </w:tc>
        <w:tc>
          <w:tcPr>
            <w:tcW w:w="0" w:type="auto"/>
          </w:tcPr>
          <w:p>
            <w:pPr>
              <w:spacing w:line="240" w:lineRule="auto" w:before="0" w:after="0"/>
              <w:pStyle w:val="Compact"/>
            </w:pPr>
            <w:r>
              <w:rPr>
                <w:sz w:val="20"/>
                <w:szCs w:val="20"/>
              </w:rPr>
              <w:t xml:space="preserve">Count of GAO reports flagging FAA AST or NASA launch oversight gaps in year t</w:t>
            </w:r>
          </w:p>
        </w:tc>
        <w:tc>
          <w:tcPr>
            <w:tcW w:w="0" w:type="auto"/>
          </w:tcPr>
          <w:p>
            <w:pPr>
              <w:spacing w:line="240" w:lineRule="auto" w:before="0" w:after="0"/>
              <w:pStyle w:val="Compact"/>
            </w:pPr>
            <w:r>
              <w:rPr>
                <w:sz w:val="20"/>
                <w:szCs w:val="20"/>
              </w:rPr>
              <w:t xml:space="preserve">GAO.gov annual report index, subject filter Commercial Space Transportation</w:t>
            </w:r>
          </w:p>
        </w:tc>
      </w:tr>
    </w:tbl>
    <w:bookmarkEnd w:id="197"/>
    <w:bookmarkEnd w:id="198"/>
    <w:bookmarkEnd w:id="19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4" Type="http://schemas.openxmlformats.org/officeDocument/2006/relationships/image" Target="media/rId184.png"/><Relationship Id="rId192" Type="http://schemas.openxmlformats.org/officeDocument/2006/relationships/image" Target="media/rId192.png"/><Relationship Id="rId166" Type="http://schemas.openxmlformats.org/officeDocument/2006/relationships/hyperlink" Target="https://doi.org/10.1016/j.actaastro.2020.11.040" TargetMode="External"/><Relationship Id="rId180" Type="http://schemas.openxmlformats.org/officeDocument/2006/relationships/hyperlink" Target="https://doi.org/10.1016/j.actaastro.2024.05.045" TargetMode="External"/><Relationship Id="rId174" Type="http://schemas.openxmlformats.org/officeDocument/2006/relationships/hyperlink" Target="https://doi.org/10.1016/j.actaastro.2024.12.022" TargetMode="External"/><Relationship Id="rId168" Type="http://schemas.openxmlformats.org/officeDocument/2006/relationships/hyperlink" Target="https://doi.org/10.1016/j.actaastro.2025.01.031" TargetMode="External"/><Relationship Id="rId172" Type="http://schemas.openxmlformats.org/officeDocument/2006/relationships/hyperlink" Target="https://doi.org/10.1016/j.actaastro.2025.06.029" TargetMode="External"/><Relationship Id="rId176" Type="http://schemas.openxmlformats.org/officeDocument/2006/relationships/hyperlink" Target="https://doi.org/10.1016/j.actaastro.2025.06.067" TargetMode="External"/><Relationship Id="rId178" Type="http://schemas.openxmlformats.org/officeDocument/2006/relationships/hyperlink" Target="https://doi.org/10.1016/j.actaastro.2025.11.006" TargetMode="External"/><Relationship Id="rId170" Type="http://schemas.openxmlformats.org/officeDocument/2006/relationships/hyperlink" Target="https://doi.org/10.1016/j.actaastro.2026.03.026" TargetMode="External"/><Relationship Id="rId160" Type="http://schemas.openxmlformats.org/officeDocument/2006/relationships/hyperlink" Target="https://doi.org/10.64861/CEPU7718" TargetMode="External"/><Relationship Id="rId130" Type="http://schemas.openxmlformats.org/officeDocument/2006/relationships/hyperlink" Target="https://doi.org/10.64861/DYBG6563" TargetMode="External"/><Relationship Id="rId163" Type="http://schemas.openxmlformats.org/officeDocument/2006/relationships/hyperlink" Target="https://doi.org/10.64861/XRDR8814" TargetMode="External"/></Relationships>
</file>

<file path=word/_rels/footnotes.xml.rels><?xml version='1.0' encoding='UTF-8' standalone='yes'?>
<Relationships xmlns="http://schemas.openxmlformats.org/package/2006/relationships"><Relationship Id="rId166" Type="http://schemas.openxmlformats.org/officeDocument/2006/relationships/hyperlink" Target="https://doi.org/10.1016/j.actaastro.2020.11.040" TargetMode="External"/><Relationship Id="rId180" Type="http://schemas.openxmlformats.org/officeDocument/2006/relationships/hyperlink" Target="https://doi.org/10.1016/j.actaastro.2024.05.045" TargetMode="External"/><Relationship Id="rId174" Type="http://schemas.openxmlformats.org/officeDocument/2006/relationships/hyperlink" Target="https://doi.org/10.1016/j.actaastro.2024.12.022" TargetMode="External"/><Relationship Id="rId168" Type="http://schemas.openxmlformats.org/officeDocument/2006/relationships/hyperlink" Target="https://doi.org/10.1016/j.actaastro.2025.01.031" TargetMode="External"/><Relationship Id="rId172" Type="http://schemas.openxmlformats.org/officeDocument/2006/relationships/hyperlink" Target="https://doi.org/10.1016/j.actaastro.2025.06.029" TargetMode="External"/><Relationship Id="rId176" Type="http://schemas.openxmlformats.org/officeDocument/2006/relationships/hyperlink" Target="https://doi.org/10.1016/j.actaastro.2025.06.067" TargetMode="External"/><Relationship Id="rId178" Type="http://schemas.openxmlformats.org/officeDocument/2006/relationships/hyperlink" Target="https://doi.org/10.1016/j.actaastro.2025.11.006" TargetMode="External"/><Relationship Id="rId170" Type="http://schemas.openxmlformats.org/officeDocument/2006/relationships/hyperlink" Target="https://doi.org/10.1016/j.actaastro.2026.03.026" TargetMode="External"/><Relationship Id="rId160" Type="http://schemas.openxmlformats.org/officeDocument/2006/relationships/hyperlink" Target="https://doi.org/10.64861/CEPU7718" TargetMode="External"/><Relationship Id="rId130" Type="http://schemas.openxmlformats.org/officeDocument/2006/relationships/hyperlink" Target="https://doi.org/10.64861/DYBG6563" TargetMode="External"/><Relationship Id="rId163" Type="http://schemas.openxmlformats.org/officeDocument/2006/relationships/hyperlink" Target="https://doi.org/10.64861/XRDR8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 Insurance Pricing as a Revealed Risk Signal: Do Premiums Lead or Lag Regulatory Action?</dc:title>
  <dc:creator>Oscar Holloway (1B-INF-119)</dc:creator>
  <cp:keywords/>
  <dcterms:created xsi:type="dcterms:W3CDTF">2026-07-02T17:34:40Z</dcterms:created>
  <dcterms:modified xsi:type="dcterms:W3CDTF">2026-07-02T17:34:40Z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