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f294086f224afaab9c2490c1499ca46e62d376d"/>
    <w:p>
      <w:pPr>
        <w:pStyle w:val="Heading1"/>
      </w:pPr>
      <w:r>
        <w:t xml:space="preserve">Attention Accumulation in Reentry Predictability and Airspace Risk do tracking-data quality gaps drive ov: A Learning-Curve Analysis of Citation Growth by Article Age</w:t>
      </w:r>
    </w:p>
    <w:bookmarkStart w:id="61" w:name="introduction"/>
    <w:p>
      <w:pPr>
        <w:pStyle w:val="Heading2"/>
      </w:pPr>
      <w:r>
        <w:t xml:space="preserve">1. Introduction</w:t>
      </w:r>
    </w:p>
    <w:p>
      <w:pPr>
        <w:pStyle w:val="FirstParagraph"/>
      </w:pPr>
      <w:r>
        <w:t xml:space="preserve">This empirical paper supports Imogen Cabrera (1B-INF-177) and the dissertation project</w:t>
      </w:r>
      <w:r>
        <w:t xml:space="preserve"> </w:t>
      </w:r>
      <w:r>
        <w:rPr>
          <w:i/>
          <w:iCs/>
        </w:rPr>
        <w:t xml:space="preserve">Reentry Predictability and Airspace Risk: do tracking-data quality gaps drive ov</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R2=0.005535834095465875, elasticity_b=-0.1311960642628089, progress_ratio_2^b=0.9130741535322127. The exact term summary is: const coef=0.8553128689360827 p=0.06793260496334733; _ln_x coef=-0.1311960642628089 p=0.7230562726626335.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2" w:name="references"/>
    <w:p>
      <w:pPr>
        <w:pStyle w:val="Heading2"/>
      </w:pPr>
      <w:r>
        <w:t xml:space="preserve">References</w:t>
      </w:r>
    </w:p>
    <w:p>
      <w:pPr>
        <w:pStyle w:val="FirstParagraph"/>
      </w:pPr>
      <w:bookmarkStart w:id="67" w:name="ref-1"/>
      <w:bookmarkEnd w:id="67"/>
      <w:r>
        <w:t xml:space="preserve">1. Michael Kezirian, University of Southern California; Max Smith, University of Southern California; George Lloyd, ARCTOS. Integration of Air and Space Traffic Management: Establishing Criteria for Tracking of Debris Objects Prior to Uncontrolled Reentry (2024). doi:</w:t>
      </w:r>
      <w:r>
        <w:t xml:space="preserve"> </w:t>
      </w:r>
      <w:hyperlink r:id="rId68">
        <w:r>
          <w:rPr>
            <w:rStyle w:val="Hyperlink"/>
          </w:rPr>
          <w:t xml:space="preserve">10.64861/RCFO1556</w:t>
        </w:r>
      </w:hyperlink>
      <w:r>
        <w:t xml:space="preserve"> </w:t>
      </w:r>
      <w:bookmarkStart w:id="69" w:name="ref-2"/>
      <w:bookmarkEnd w:id="69"/>
      <w:r>
        <w:t xml:space="preserve">2. James Reilly, Booz Allen Hamilton; Matthew Blackford, Booz Allen Hamilton; Jillian Mueller, Booz Allen Hamilton. Challenges in Space Traffic Management (2023). doi:</w:t>
      </w:r>
      <w:r>
        <w:t xml:space="preserve"> </w:t>
      </w:r>
      <w:hyperlink r:id="rId70">
        <w:r>
          <w:rPr>
            <w:rStyle w:val="Hyperlink"/>
          </w:rPr>
          <w:t xml:space="preserve">10.64861/UCTN1793</w:t>
        </w:r>
      </w:hyperlink>
      <w:r>
        <w:t xml:space="preserve"> </w:t>
      </w:r>
      <w:bookmarkStart w:id="71" w:name="ref-3"/>
      <w:bookmarkEnd w:id="71"/>
      <w:r>
        <w:t xml:space="preserve">3. Peng Mun Siew, Massachusetts Institute of Technology; Tory Smith, United States Space Force, Massachusetts Institute of Technology; Richard Linares, Massachusetts Institute of Technology; Ravi Ponmalai, Aerospace Corporation. Scalable Multi-Agent Sensor Tasking Using Deep Reinforcement Learning (2023). doi:</w:t>
      </w:r>
      <w:r>
        <w:t xml:space="preserve"> </w:t>
      </w:r>
      <w:hyperlink r:id="rId72">
        <w:r>
          <w:rPr>
            <w:rStyle w:val="Hyperlink"/>
          </w:rPr>
          <w:t xml:space="preserve">10.64861/LWLF6390</w:t>
        </w:r>
      </w:hyperlink>
      <w:r>
        <w:t xml:space="preserve"> </w:t>
      </w:r>
      <w:bookmarkStart w:id="73" w:name="ref-4"/>
      <w:bookmarkEnd w:id="73"/>
      <w:r>
        <w:t xml:space="preserve">4. Julia Briden, Massachusetts Institute of Technology; Nicolette Clark, Massachusetts Institute of Technology; Peng Mun Siew, Massachusetts Institute of Technology; Richard Linares, Massachusetts Institute of Technology; Tzu-Wei Fang, National Oceanic and Atmospheric Administration. Impact of Space Weather on Space Assets and Satellite Launches (2022). [AMOS]</w:t>
      </w:r>
      <w:r>
        <w:t xml:space="preserve"> </w:t>
      </w:r>
      <w:bookmarkStart w:id="74" w:name="ref-5"/>
      <w:bookmarkEnd w:id="74"/>
      <w:r>
        <w:t xml:space="preserve">5. Andrew Abraham, Lockheed Martin; Oliver Schultz, Lockheed Martin Space. Cooperative Tracking Aid for Space Domain Awareness (2023). doi:</w:t>
      </w:r>
      <w:r>
        <w:t xml:space="preserve"> </w:t>
      </w:r>
      <w:hyperlink r:id="rId75">
        <w:r>
          <w:rPr>
            <w:rStyle w:val="Hyperlink"/>
          </w:rPr>
          <w:t xml:space="preserve">10.64861/DNKW1345</w:t>
        </w:r>
      </w:hyperlink>
      <w:r>
        <w:t xml:space="preserve"> </w:t>
      </w:r>
      <w:bookmarkStart w:id="76" w:name="ref-6"/>
      <w:bookmarkEnd w:id="76"/>
      <w:r>
        <w:t xml:space="preserve">6. Cassien Jobic, CNES; Emmanuel Delande, CNES; Johannes Gelhaus, DLR; Cornelius Vogt, German Space Agency at DLR; Alessandra Di Cecco, ASI; Valentin Baral, CNES; Cristina Pérez Hernández, CDTI; Daniel Stelmecke, DLR; Matthieu Thierry, CNES. Presentation of the European Union Space Surveillance and Tracking (EU-SST) R&amp;D Plan (2023). doi:</w:t>
      </w:r>
      <w:r>
        <w:t xml:space="preserve"> </w:t>
      </w:r>
      <w:hyperlink r:id="rId77">
        <w:r>
          <w:rPr>
            <w:rStyle w:val="Hyperlink"/>
          </w:rPr>
          <w:t xml:space="preserve">10.64861/DZFF7826</w:t>
        </w:r>
      </w:hyperlink>
      <w:r>
        <w:t xml:space="preserve"> </w:t>
      </w:r>
      <w:bookmarkStart w:id="78" w:name="ref-7"/>
      <w:bookmarkEnd w:id="78"/>
      <w:r>
        <w:t xml:space="preserve">7. Charles Constant, University College London; Santosh Bhattarai, University College London; Marek Ziebart, University College London. Limitations of Current Practices in Uncooperative Space Surveillance: Analysis of Mega-Constellation Data Time-Series (2023). doi:</w:t>
      </w:r>
      <w:r>
        <w:t xml:space="preserve"> </w:t>
      </w:r>
      <w:hyperlink r:id="rId79">
        <w:r>
          <w:rPr>
            <w:rStyle w:val="Hyperlink"/>
          </w:rPr>
          <w:t xml:space="preserve">10.64861/QYAX9070</w:t>
        </w:r>
      </w:hyperlink>
      <w:r>
        <w:t xml:space="preserve"> </w:t>
      </w:r>
      <w:bookmarkStart w:id="80" w:name="ref-8"/>
      <w:bookmarkEnd w:id="80"/>
      <w:r>
        <w:t xml:space="preserve">8. Sean O’Neil, MITRE. Predicting Custody of Objects in Cislunar Space (2023). doi:</w:t>
      </w:r>
      <w:r>
        <w:t xml:space="preserve"> </w:t>
      </w:r>
      <w:hyperlink r:id="rId81">
        <w:r>
          <w:rPr>
            <w:rStyle w:val="Hyperlink"/>
          </w:rPr>
          <w:t xml:space="preserve">10.64861/IIRV1868</w:t>
        </w:r>
      </w:hyperlink>
    </w:p>
    <w:bookmarkEnd w:id="82"/>
    <w:bookmarkStart w:id="83"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3"/>
    <w:bookmarkStart w:id="8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0.8553</w:t>
            </w:r>
          </w:p>
        </w:tc>
        <w:tc>
          <w:tcPr>
            <w:tcW w:w="0" w:type="auto"/>
          </w:tcPr>
          <w:p>
            <w:pPr>
              <w:spacing w:line="240" w:lineRule="auto" w:before="0" w:after="0"/>
              <w:pStyle w:val="Compact"/>
            </w:pPr>
            <w:r>
              <w:rPr>
                <w:sz w:val="20"/>
                <w:szCs w:val="20"/>
              </w:rPr>
              <w:t xml:space="preserve">0.4685</w:t>
            </w:r>
          </w:p>
        </w:tc>
        <w:tc>
          <w:tcPr>
            <w:tcW w:w="0" w:type="auto"/>
          </w:tcPr>
          <w:p>
            <w:pPr>
              <w:spacing w:line="240" w:lineRule="auto" w:before="0" w:after="0"/>
              <w:pStyle w:val="Compact"/>
            </w:pPr>
            <w:r>
              <w:rPr>
                <w:sz w:val="20"/>
                <w:szCs w:val="20"/>
              </w:rPr>
              <w:t xml:space="preserve">1.8255</w:t>
            </w:r>
          </w:p>
        </w:tc>
        <w:tc>
          <w:tcPr>
            <w:tcW w:w="0" w:type="auto"/>
          </w:tcPr>
          <w:p>
            <w:pPr>
              <w:spacing w:line="240" w:lineRule="auto" w:before="0" w:after="0"/>
              <w:pStyle w:val="Compact"/>
            </w:pPr>
            <w:r>
              <w:rPr>
                <w:sz w:val="20"/>
                <w:szCs w:val="20"/>
              </w:rPr>
              <w:t xml:space="preserve">0.0679</w:t>
            </w:r>
          </w:p>
        </w:tc>
        <w:tc>
          <w:tcPr>
            <w:tcW w:w="0" w:type="auto"/>
          </w:tcPr>
          <w:p>
            <w:pPr>
              <w:spacing w:line="240" w:lineRule="auto" w:before="0" w:after="0"/>
              <w:pStyle w:val="Compact"/>
            </w:pPr>
            <w:r>
              <w:rPr>
                <w:sz w:val="20"/>
                <w:szCs w:val="20"/>
              </w:rPr>
              <w:t xml:space="preserve">[-0.063, 1.7737]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-0.1312</w:t>
            </w:r>
          </w:p>
        </w:tc>
        <w:tc>
          <w:tcPr>
            <w:tcW w:w="0" w:type="auto"/>
          </w:tcPr>
          <w:p>
            <w:pPr>
              <w:spacing w:line="240" w:lineRule="auto" w:before="0" w:after="0"/>
              <w:pStyle w:val="Compact"/>
            </w:pPr>
            <w:r>
              <w:rPr>
                <w:sz w:val="20"/>
                <w:szCs w:val="20"/>
              </w:rPr>
              <w:t xml:space="preserve">0.3702</w:t>
            </w:r>
          </w:p>
        </w:tc>
        <w:tc>
          <w:tcPr>
            <w:tcW w:w="0" w:type="auto"/>
          </w:tcPr>
          <w:p>
            <w:pPr>
              <w:spacing w:line="240" w:lineRule="auto" w:before="0" w:after="0"/>
              <w:pStyle w:val="Compact"/>
            </w:pPr>
            <w:r>
              <w:rPr>
                <w:sz w:val="20"/>
                <w:szCs w:val="20"/>
              </w:rPr>
              <w:t xml:space="preserve">-0.3544</w:t>
            </w:r>
          </w:p>
        </w:tc>
        <w:tc>
          <w:tcPr>
            <w:tcW w:w="0" w:type="auto"/>
          </w:tcPr>
          <w:p>
            <w:pPr>
              <w:spacing w:line="240" w:lineRule="auto" w:before="0" w:after="0"/>
              <w:pStyle w:val="Compact"/>
            </w:pPr>
            <w:r>
              <w:rPr>
                <w:sz w:val="20"/>
                <w:szCs w:val="20"/>
              </w:rPr>
              <w:t xml:space="preserve">0.7231</w:t>
            </w:r>
          </w:p>
        </w:tc>
        <w:tc>
          <w:tcPr>
            <w:tcW w:w="0" w:type="auto"/>
          </w:tcPr>
          <w:p>
            <w:pPr>
              <w:spacing w:line="240" w:lineRule="auto" w:before="0" w:after="0"/>
              <w:pStyle w:val="Compact"/>
            </w:pPr>
            <w:r>
              <w:rPr>
                <w:sz w:val="20"/>
                <w:szCs w:val="20"/>
              </w:rPr>
              <w:t xml:space="preserve">[-0.8568, 0.5944]</w:t>
            </w:r>
          </w:p>
        </w:tc>
      </w:tr>
    </w:tbl>
    <w:p>
      <w:pPr>
        <w:pStyle w:val="BodyText"/>
      </w:pPr>
      <w:r>
        <w:t xml:space="preserve">Fit: N = 30 R2 = 0.0055 elasticity_b = -0.1312 progress_ratio_2^b = 0.9131</w:t>
      </w:r>
    </w:p>
    <w:p>
      <w:pPr>
        <w:pStyle w:val="CaptionedFigure"/>
      </w:pPr>
      <w:r>
        <w:drawing>
          <wp:inline>
            <wp:extent cx="5669280" cy="3657600"/>
            <wp:effectExtent b="0" l="0" r="0" t="0"/>
            <wp:docPr descr="Figure 1. Citation accumulation against article age in the retrieved topic literature." title="" id="85" name="Picture"/>
            <a:graphic>
              <a:graphicData uri="http://schemas.openxmlformats.org/drawingml/2006/picture">
                <pic:pic>
                  <pic:nvPicPr>
                    <pic:cNvPr descr="D:\Claude_Code\brain\collegium\candidates\dissertations\LAUNCH_REG_08\research_papers\p2\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10.64861/RCFO1556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10.64861/DZFF7826</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10.64861/LWLF6390</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https://amostech.space/year/2022/impact-of-space-weather-on-space-assets-and-satellite-launches/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10.64861/DNKW1345</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https://amostech.space/year/2014/evolution-and-implementation-of-the-nasa-robotic-conjunction-assessment-risk-analysis-concept-of-operations/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10.64861/QYAX9070</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10.64861/IIRV1868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https://amostech.space/year/2020/a-constellation-of-sensors-optimized-for-maneuver-tracking/</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10.64861/QXJB5158</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10.1016/j.actaastro.2026.01.049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10.1016/j.actaastro.2016.04.015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10.1016/j.actaastro.2025.01.043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10.1016/j.actaastro.2025.01.068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10.1016/j.actaastro.2026.03.003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10.1016/j.actaastro.2023.11.020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10.1016/j.actaastro.2025.01.037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10.1016/j.actaastro.2023.04.040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EU SST Conjunction Data Messages, Reentry Predictions, and Fragmentation Event Services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EU SST Conjunction, Reentry, and Fragmentation Services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0.8553</w:t>
            </w:r>
          </w:p>
        </w:tc>
        <w:tc>
          <w:tcPr>
            <w:tcW w:w="0" w:type="auto"/>
          </w:tcPr>
          <w:p>
            <w:pPr>
              <w:spacing w:line="240" w:lineRule="auto" w:before="0" w:after="0"/>
              <w:pStyle w:val="Compact"/>
            </w:pPr>
            <w:r>
              <w:rPr>
                <w:sz w:val="20"/>
                <w:szCs w:val="20"/>
              </w:rPr>
              <w:t xml:space="preserve">0.4685</w:t>
            </w:r>
          </w:p>
        </w:tc>
        <w:tc>
          <w:tcPr>
            <w:tcW w:w="0" w:type="auto"/>
          </w:tcPr>
          <w:p>
            <w:pPr>
              <w:spacing w:line="240" w:lineRule="auto" w:before="0" w:after="0"/>
              <w:pStyle w:val="Compact"/>
            </w:pPr>
            <w:r>
              <w:rPr>
                <w:sz w:val="20"/>
                <w:szCs w:val="20"/>
              </w:rPr>
              <w:t xml:space="preserve">1.8255</w:t>
            </w:r>
          </w:p>
        </w:tc>
        <w:tc>
          <w:tcPr>
            <w:tcW w:w="0" w:type="auto"/>
          </w:tcPr>
          <w:p>
            <w:pPr>
              <w:spacing w:line="240" w:lineRule="auto" w:before="0" w:after="0"/>
              <w:pStyle w:val="Compact"/>
            </w:pPr>
            <w:r>
              <w:rPr>
                <w:sz w:val="20"/>
                <w:szCs w:val="20"/>
              </w:rPr>
              <w:t xml:space="preserve">0.0679</w:t>
            </w:r>
          </w:p>
        </w:tc>
        <w:tc>
          <w:tcPr>
            <w:tcW w:w="0" w:type="auto"/>
          </w:tcPr>
          <w:p>
            <w:pPr>
              <w:spacing w:line="240" w:lineRule="auto" w:before="0" w:after="0"/>
              <w:pStyle w:val="Compact"/>
            </w:pPr>
            <w:r>
              <w:rPr>
                <w:sz w:val="20"/>
                <w:szCs w:val="20"/>
              </w:rPr>
              <w:t xml:space="preserve">[-0.063, 1.7737]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-0.1312</w:t>
            </w:r>
          </w:p>
        </w:tc>
        <w:tc>
          <w:tcPr>
            <w:tcW w:w="0" w:type="auto"/>
          </w:tcPr>
          <w:p>
            <w:pPr>
              <w:spacing w:line="240" w:lineRule="auto" w:before="0" w:after="0"/>
              <w:pStyle w:val="Compact"/>
            </w:pPr>
            <w:r>
              <w:rPr>
                <w:sz w:val="20"/>
                <w:szCs w:val="20"/>
              </w:rPr>
              <w:t xml:space="preserve">0.3702</w:t>
            </w:r>
          </w:p>
        </w:tc>
        <w:tc>
          <w:tcPr>
            <w:tcW w:w="0" w:type="auto"/>
          </w:tcPr>
          <w:p>
            <w:pPr>
              <w:spacing w:line="240" w:lineRule="auto" w:before="0" w:after="0"/>
              <w:pStyle w:val="Compact"/>
            </w:pPr>
            <w:r>
              <w:rPr>
                <w:sz w:val="20"/>
                <w:szCs w:val="20"/>
              </w:rPr>
              <w:t xml:space="preserve">-0.3544</w:t>
            </w:r>
          </w:p>
        </w:tc>
        <w:tc>
          <w:tcPr>
            <w:tcW w:w="0" w:type="auto"/>
          </w:tcPr>
          <w:p>
            <w:pPr>
              <w:spacing w:line="240" w:lineRule="auto" w:before="0" w:after="0"/>
              <w:pStyle w:val="Compact"/>
            </w:pPr>
            <w:r>
              <w:rPr>
                <w:sz w:val="20"/>
                <w:szCs w:val="20"/>
              </w:rPr>
              <w:t xml:space="preserve">0.7231</w:t>
            </w:r>
          </w:p>
        </w:tc>
        <w:tc>
          <w:tcPr>
            <w:tcW w:w="0" w:type="auto"/>
          </w:tcPr>
          <w:p>
            <w:pPr>
              <w:spacing w:line="240" w:lineRule="auto" w:before="0" w:after="0"/>
              <w:pStyle w:val="Compact"/>
            </w:pPr>
            <w:r>
              <w:rPr>
                <w:sz w:val="20"/>
                <w:szCs w:val="20"/>
              </w:rPr>
              <w:t xml:space="preserve">[-0.8568, 0.5944]</w:t>
            </w:r>
          </w:p>
        </w:tc>
      </w:tr>
    </w:tbl>
    <w:p>
      <w:pPr>
        <w:pStyle w:val="BodyText"/>
      </w:pPr>
      <w:r>
        <w:t xml:space="preserve">Fit: N = 30 R2 = 0.0055 elasticity_b = -0.1312 progress_ratio_2^b = 0.9131</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75" Target="https://doi.org/10.64861/DNKW1345" TargetMode="External" /><Relationship Type="http://schemas.openxmlformats.org/officeDocument/2006/relationships/hyperlink" Id="rId77" Target="https://doi.org/10.64861/DZFF7826" TargetMode="External" /><Relationship Type="http://schemas.openxmlformats.org/officeDocument/2006/relationships/hyperlink" Id="rId81" Target="https://doi.org/10.64861/IIRV1868" TargetMode="External" /><Relationship Type="http://schemas.openxmlformats.org/officeDocument/2006/relationships/hyperlink" Id="rId72" Target="https://doi.org/10.64861/LWLF6390" TargetMode="External" /><Relationship Type="http://schemas.openxmlformats.org/officeDocument/2006/relationships/hyperlink" Id="rId79" Target="https://doi.org/10.64861/QYAX9070" TargetMode="External" /><Relationship Type="http://schemas.openxmlformats.org/officeDocument/2006/relationships/hyperlink" Id="rId68" Target="https://doi.org/10.64861/RCFO1556" TargetMode="External" /><Relationship Type="http://schemas.openxmlformats.org/officeDocument/2006/relationships/hyperlink" Id="rId70" Target="https://doi.org/10.64861/UCTN1793"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64861/DNKW1345" TargetMode="External" /><Relationship Type="http://schemas.openxmlformats.org/officeDocument/2006/relationships/hyperlink" Id="rId77" Target="https://doi.org/10.64861/DZFF7826" TargetMode="External" /><Relationship Type="http://schemas.openxmlformats.org/officeDocument/2006/relationships/hyperlink" Id="rId81" Target="https://doi.org/10.64861/IIRV1868" TargetMode="External" /><Relationship Type="http://schemas.openxmlformats.org/officeDocument/2006/relationships/hyperlink" Id="rId72" Target="https://doi.org/10.64861/LWLF6390" TargetMode="External" /><Relationship Type="http://schemas.openxmlformats.org/officeDocument/2006/relationships/hyperlink" Id="rId79" Target="https://doi.org/10.64861/QYAX9070" TargetMode="External" /><Relationship Type="http://schemas.openxmlformats.org/officeDocument/2006/relationships/hyperlink" Id="rId68" Target="https://doi.org/10.64861/RCFO1556" TargetMode="External" /><Relationship Type="http://schemas.openxmlformats.org/officeDocument/2006/relationships/hyperlink" Id="rId70" Target="https://doi.org/10.64861/UCTN179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2026-06-28T19:50:27Z</dcterms:created>
  <dcterms:modified xsi:type="dcterms:W3CDTF">2026-06-28T19:50:27Z</dcterms:modified>
</cp:coreProperties>
</file>

<file path=docProps/custom.xml><?xml version="1.0" encoding="utf-8"?>
<Properties xmlns="http://schemas.openxmlformats.org/officeDocument/2006/custom-properties" xmlns:vt="http://schemas.openxmlformats.org/officeDocument/2006/docPropsVTypes"/>
</file>