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e1456be57f6589b0f600102ea96b44e3c3b82f8"/>
    <w:p>
      <w:pPr>
        <w:pStyle w:val="Heading1"/>
      </w:pPr>
      <w:r>
        <w:t xml:space="preserve">Signal Intensity in Reentry Predictability and Airspace Risk do tracking-data quality gaps drive ov: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Imogen Cabrera (1B-INF-177) and the dissertation project</w:t>
      </w:r>
      <w:r>
        <w:t xml:space="preserve"> </w:t>
      </w:r>
      <w:r>
        <w:rPr>
          <w:i/>
          <w:iCs/>
        </w:rPr>
        <w:t xml:space="preserve">Reentry Predictability and Airspace Risk: do tracking-data quality gaps drive ov</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R2=0.27713138523002867, R2_adj=0.1937234681411858, F=4.882770270590446, F_p=0.0079887668499366. The exact term summary is: const coef=6.354614420838378 p=0.00021790770010188568; recency_index coef=0.27597932482343435 p=0.0659586116422608; cites_num coef=0.007126411314898072 p=0.8996033338927809; venue_score coef=-1.67292911012338 p=0.008019199887619692.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68">
        <w:r>
          <w:rPr>
            <w:rStyle w:val="Hyperlink"/>
          </w:rPr>
          <w:t xml:space="preserve">10.64861/RCFO1556</w:t>
        </w:r>
      </w:hyperlink>
      <w:r>
        <w:t xml:space="preserve"> </w:t>
      </w:r>
      <w:bookmarkStart w:id="69" w:name="ref-2"/>
      <w:bookmarkEnd w:id="69"/>
      <w:r>
        <w:t xml:space="preserve">2. James Reilly, Booz Allen Hamilton; Matthew Blackford, Booz Allen Hamilton; Jillian Mueller, Booz Allen Hamilton. Challenges in Space Traffic Management (2023). doi:</w:t>
      </w:r>
      <w:r>
        <w:t xml:space="preserve"> </w:t>
      </w:r>
      <w:hyperlink r:id="rId70">
        <w:r>
          <w:rPr>
            <w:rStyle w:val="Hyperlink"/>
          </w:rPr>
          <w:t xml:space="preserve">10.64861/UCTN1793</w:t>
        </w:r>
      </w:hyperlink>
      <w:r>
        <w:t xml:space="preserve"> </w:t>
      </w:r>
      <w:bookmarkStart w:id="71" w:name="ref-3"/>
      <w:bookmarkEnd w:id="71"/>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2">
        <w:r>
          <w:rPr>
            <w:rStyle w:val="Hyperlink"/>
          </w:rPr>
          <w:t xml:space="preserve">10.64861/LWLF6390</w:t>
        </w:r>
      </w:hyperlink>
      <w:r>
        <w:t xml:space="preserve"> </w:t>
      </w:r>
      <w:bookmarkStart w:id="73" w:name="ref-4"/>
      <w:bookmarkEnd w:id="73"/>
      <w:r>
        <w:t xml:space="preserve">4. Julia Briden, Massachusetts Institute of Technology; Nicolette Clark, Massachusetts Institute of Technology; Peng Mun Siew, Massachusetts Institute of Technology; Richard Linares, Massachusetts Institute of Technology; Tzu-Wei Fang, National Oceanic and Atmospheric Administration. Impact of Space Weather on Space Assets and Satellite Launches (2022). [AMOS]</w:t>
      </w:r>
      <w:r>
        <w:t xml:space="preserve"> </w:t>
      </w:r>
      <w:bookmarkStart w:id="74" w:name="ref-5"/>
      <w:bookmarkEnd w:id="74"/>
      <w:r>
        <w:t xml:space="preserve">5. Andrew Abraham, Lockheed Martin; Oliver Schultz, Lockheed Martin Space. Cooperative Tracking Aid for Space Domain Awareness (2023). doi:</w:t>
      </w:r>
      <w:r>
        <w:t xml:space="preserve"> </w:t>
      </w:r>
      <w:hyperlink r:id="rId75">
        <w:r>
          <w:rPr>
            <w:rStyle w:val="Hyperlink"/>
          </w:rPr>
          <w:t xml:space="preserve">10.64861/DNKW1345</w:t>
        </w:r>
      </w:hyperlink>
      <w:r>
        <w:t xml:space="preserve"> </w:t>
      </w:r>
      <w:bookmarkStart w:id="76" w:name="ref-6"/>
      <w:bookmarkEnd w:id="76"/>
      <w:r>
        <w:t xml:space="preserve">6.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77">
        <w:r>
          <w:rPr>
            <w:rStyle w:val="Hyperlink"/>
          </w:rPr>
          <w:t xml:space="preserve">10.64861/DZFF7826</w:t>
        </w:r>
      </w:hyperlink>
      <w:r>
        <w:t xml:space="preserve"> </w:t>
      </w:r>
      <w:bookmarkStart w:id="78" w:name="ref-7"/>
      <w:bookmarkEnd w:id="78"/>
      <w:r>
        <w:t xml:space="preserve">7.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79">
        <w:r>
          <w:rPr>
            <w:rStyle w:val="Hyperlink"/>
          </w:rPr>
          <w:t xml:space="preserve">10.64861/QYAX9070</w:t>
        </w:r>
      </w:hyperlink>
      <w:r>
        <w:t xml:space="preserve"> </w:t>
      </w:r>
      <w:bookmarkStart w:id="80" w:name="ref-8"/>
      <w:bookmarkEnd w:id="80"/>
      <w:r>
        <w:t xml:space="preserve">8. Sean O’Neil, MITRE. Predicting Custody of Objects in Cislunar Space (2023). doi:</w:t>
      </w:r>
      <w:r>
        <w:t xml:space="preserve"> </w:t>
      </w:r>
      <w:hyperlink r:id="rId81">
        <w:r>
          <w:rPr>
            <w:rStyle w:val="Hyperlink"/>
          </w:rPr>
          <w:t xml:space="preserve">10.64861/IIRV1868</w:t>
        </w:r>
      </w:hyperlink>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6.3546</w:t>
            </w:r>
          </w:p>
        </w:tc>
        <w:tc>
          <w:tcPr>
            <w:tcW w:w="0" w:type="auto"/>
          </w:tcPr>
          <w:p>
            <w:pPr>
              <w:spacing w:line="240" w:lineRule="auto" w:before="0" w:after="0"/>
              <w:pStyle w:val="Compact"/>
            </w:pPr>
            <w:r>
              <w:rPr>
                <w:sz w:val="20"/>
                <w:szCs w:val="20"/>
              </w:rPr>
              <w:t xml:space="preserve">1.7187</w:t>
            </w:r>
          </w:p>
        </w:tc>
        <w:tc>
          <w:tcPr>
            <w:tcW w:w="0" w:type="auto"/>
          </w:tcPr>
          <w:p>
            <w:pPr>
              <w:spacing w:line="240" w:lineRule="auto" w:before="0" w:after="0"/>
              <w:pStyle w:val="Compact"/>
            </w:pPr>
            <w:r>
              <w:rPr>
                <w:sz w:val="20"/>
                <w:szCs w:val="20"/>
              </w:rPr>
              <w:t xml:space="preserve">3.6973</w:t>
            </w:r>
          </w:p>
        </w:tc>
        <w:tc>
          <w:tcPr>
            <w:tcW w:w="0" w:type="auto"/>
          </w:tcPr>
          <w:p>
            <w:pPr>
              <w:spacing w:line="240" w:lineRule="auto" w:before="0" w:after="0"/>
              <w:pStyle w:val="Compact"/>
            </w:pPr>
            <w:r>
              <w:rPr>
                <w:sz w:val="20"/>
                <w:szCs w:val="20"/>
              </w:rPr>
              <w:t xml:space="preserve">0.0002179</w:t>
            </w:r>
          </w:p>
        </w:tc>
        <w:tc>
          <w:tcPr>
            <w:tcW w:w="0" w:type="auto"/>
          </w:tcPr>
          <w:p>
            <w:pPr>
              <w:spacing w:line="240" w:lineRule="auto" w:before="0" w:after="0"/>
              <w:pStyle w:val="Compact"/>
            </w:pPr>
            <w:r>
              <w:rPr>
                <w:sz w:val="20"/>
                <w:szCs w:val="20"/>
              </w:rPr>
              <w:t xml:space="preserve">[2.986, 9.7232]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0.1501</w:t>
            </w:r>
          </w:p>
        </w:tc>
        <w:tc>
          <w:tcPr>
            <w:tcW w:w="0" w:type="auto"/>
          </w:tcPr>
          <w:p>
            <w:pPr>
              <w:spacing w:line="240" w:lineRule="auto" w:before="0" w:after="0"/>
              <w:pStyle w:val="Compact"/>
            </w:pPr>
            <w:r>
              <w:rPr>
                <w:sz w:val="20"/>
                <w:szCs w:val="20"/>
              </w:rPr>
              <w:t xml:space="preserve">1.8387</w:t>
            </w:r>
          </w:p>
        </w:tc>
        <w:tc>
          <w:tcPr>
            <w:tcW w:w="0" w:type="auto"/>
          </w:tcPr>
          <w:p>
            <w:pPr>
              <w:spacing w:line="240" w:lineRule="auto" w:before="0" w:after="0"/>
              <w:pStyle w:val="Compact"/>
            </w:pPr>
            <w:r>
              <w:rPr>
                <w:sz w:val="20"/>
                <w:szCs w:val="20"/>
              </w:rPr>
              <w:t xml:space="preserve">0.066</w:t>
            </w:r>
          </w:p>
        </w:tc>
        <w:tc>
          <w:tcPr>
            <w:tcW w:w="0" w:type="auto"/>
          </w:tcPr>
          <w:p>
            <w:pPr>
              <w:spacing w:line="240" w:lineRule="auto" w:before="0" w:after="0"/>
              <w:pStyle w:val="Compact"/>
            </w:pPr>
            <w:r>
              <w:rPr>
                <w:sz w:val="20"/>
                <w:szCs w:val="20"/>
              </w:rPr>
              <w:t xml:space="preserve">[-0.0182, 0.5702]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0.8996</w:t>
            </w:r>
          </w:p>
        </w:tc>
        <w:tc>
          <w:tcPr>
            <w:tcW w:w="0" w:type="auto"/>
          </w:tcPr>
          <w:p>
            <w:pPr>
              <w:spacing w:line="240" w:lineRule="auto" w:before="0" w:after="0"/>
              <w:pStyle w:val="Compact"/>
            </w:pPr>
            <w:r>
              <w:rPr>
                <w:sz w:val="20"/>
                <w:szCs w:val="20"/>
              </w:rPr>
              <w:t xml:space="preserve">[-0.1036, 0.1178]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-1.6729</w:t>
            </w:r>
          </w:p>
        </w:tc>
        <w:tc>
          <w:tcPr>
            <w:tcW w:w="0" w:type="auto"/>
          </w:tcPr>
          <w:p>
            <w:pPr>
              <w:spacing w:line="240" w:lineRule="auto" w:before="0" w:after="0"/>
              <w:pStyle w:val="Compact"/>
            </w:pPr>
            <w:r>
              <w:rPr>
                <w:sz w:val="20"/>
                <w:szCs w:val="20"/>
              </w:rPr>
              <w:t xml:space="preserve">0.631</w:t>
            </w:r>
          </w:p>
        </w:tc>
        <w:tc>
          <w:tcPr>
            <w:tcW w:w="0" w:type="auto"/>
          </w:tcPr>
          <w:p>
            <w:pPr>
              <w:spacing w:line="240" w:lineRule="auto" w:before="0" w:after="0"/>
              <w:pStyle w:val="Compact"/>
            </w:pPr>
            <w:r>
              <w:rPr>
                <w:sz w:val="20"/>
                <w:szCs w:val="20"/>
              </w:rPr>
              <w:t xml:space="preserve">-2.6513</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[-2.9097, -0.4362]</w:t>
            </w:r>
          </w:p>
        </w:tc>
      </w:tr>
    </w:tbl>
    <w:p>
      <w:pPr>
        <w:pStyle w:val="BodyText"/>
      </w:pPr>
      <w:r>
        <w:t xml:space="preserve">Fit: N = 30 R2 = 0.2771 R2_adj = 0.1937 F = 4.8828 F_p = 0.008</w:t>
      </w:r>
    </w:p>
    <w:p>
      <w:pPr>
        <w:pStyle w:val="CaptionedFigure"/>
      </w:pPr>
      <w:r>
        <w:drawing>
          <wp:inline>
            <wp:extent cx="5669280" cy="3657600"/>
            <wp:effectExtent b="0" l="0" r="0" t="0"/>
            <wp:docPr descr="Figure 1. Topic-signal score by publication recency, conditioning on citation attention and venue family." title="" id="85" name="Picture"/>
            <a:graphic>
              <a:graphicData uri="http://schemas.openxmlformats.org/drawingml/2006/picture">
                <pic:pic>
                  <pic:nvPicPr>
                    <pic:cNvPr descr="D:\Claude_Code\brain\collegium\candidates\dissertations\LAUNCH_REG_08\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https://amostech.space/year/2022/impact-of-space-weather-on-space-assets-and-satellite-launches/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10.64861/QYAX9070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10.64861/IIRV1868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10.64861/QXJB5158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10.1016/j.actaastro.2016.04.015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10.1016/j.actaastro.2025.01.068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EU SST Conjunction Data Messages, Reentry Predictions, and Fragmentation Event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 SST Conjunction, Reentry, and Fragmentation Services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6.3546</w:t>
            </w:r>
          </w:p>
        </w:tc>
        <w:tc>
          <w:tcPr>
            <w:tcW w:w="0" w:type="auto"/>
          </w:tcPr>
          <w:p>
            <w:pPr>
              <w:spacing w:line="240" w:lineRule="auto" w:before="0" w:after="0"/>
              <w:pStyle w:val="Compact"/>
            </w:pPr>
            <w:r>
              <w:rPr>
                <w:sz w:val="20"/>
                <w:szCs w:val="20"/>
              </w:rPr>
              <w:t xml:space="preserve">1.7187</w:t>
            </w:r>
          </w:p>
        </w:tc>
        <w:tc>
          <w:tcPr>
            <w:tcW w:w="0" w:type="auto"/>
          </w:tcPr>
          <w:p>
            <w:pPr>
              <w:spacing w:line="240" w:lineRule="auto" w:before="0" w:after="0"/>
              <w:pStyle w:val="Compact"/>
            </w:pPr>
            <w:r>
              <w:rPr>
                <w:sz w:val="20"/>
                <w:szCs w:val="20"/>
              </w:rPr>
              <w:t xml:space="preserve">3.6973</w:t>
            </w:r>
          </w:p>
        </w:tc>
        <w:tc>
          <w:tcPr>
            <w:tcW w:w="0" w:type="auto"/>
          </w:tcPr>
          <w:p>
            <w:pPr>
              <w:spacing w:line="240" w:lineRule="auto" w:before="0" w:after="0"/>
              <w:pStyle w:val="Compact"/>
            </w:pPr>
            <w:r>
              <w:rPr>
                <w:sz w:val="20"/>
                <w:szCs w:val="20"/>
              </w:rPr>
              <w:t xml:space="preserve">0.0002179</w:t>
            </w:r>
          </w:p>
        </w:tc>
        <w:tc>
          <w:tcPr>
            <w:tcW w:w="0" w:type="auto"/>
          </w:tcPr>
          <w:p>
            <w:pPr>
              <w:spacing w:line="240" w:lineRule="auto" w:before="0" w:after="0"/>
              <w:pStyle w:val="Compact"/>
            </w:pPr>
            <w:r>
              <w:rPr>
                <w:sz w:val="20"/>
                <w:szCs w:val="20"/>
              </w:rPr>
              <w:t xml:space="preserve">[2.986, 9.7232]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0.1501</w:t>
            </w:r>
          </w:p>
        </w:tc>
        <w:tc>
          <w:tcPr>
            <w:tcW w:w="0" w:type="auto"/>
          </w:tcPr>
          <w:p>
            <w:pPr>
              <w:spacing w:line="240" w:lineRule="auto" w:before="0" w:after="0"/>
              <w:pStyle w:val="Compact"/>
            </w:pPr>
            <w:r>
              <w:rPr>
                <w:sz w:val="20"/>
                <w:szCs w:val="20"/>
              </w:rPr>
              <w:t xml:space="preserve">1.8387</w:t>
            </w:r>
          </w:p>
        </w:tc>
        <w:tc>
          <w:tcPr>
            <w:tcW w:w="0" w:type="auto"/>
          </w:tcPr>
          <w:p>
            <w:pPr>
              <w:spacing w:line="240" w:lineRule="auto" w:before="0" w:after="0"/>
              <w:pStyle w:val="Compact"/>
            </w:pPr>
            <w:r>
              <w:rPr>
                <w:sz w:val="20"/>
                <w:szCs w:val="20"/>
              </w:rPr>
              <w:t xml:space="preserve">0.066</w:t>
            </w:r>
          </w:p>
        </w:tc>
        <w:tc>
          <w:tcPr>
            <w:tcW w:w="0" w:type="auto"/>
          </w:tcPr>
          <w:p>
            <w:pPr>
              <w:spacing w:line="240" w:lineRule="auto" w:before="0" w:after="0"/>
              <w:pStyle w:val="Compact"/>
            </w:pPr>
            <w:r>
              <w:rPr>
                <w:sz w:val="20"/>
                <w:szCs w:val="20"/>
              </w:rPr>
              <w:t xml:space="preserve">[-0.0182, 0.5702]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0.8996</w:t>
            </w:r>
          </w:p>
        </w:tc>
        <w:tc>
          <w:tcPr>
            <w:tcW w:w="0" w:type="auto"/>
          </w:tcPr>
          <w:p>
            <w:pPr>
              <w:spacing w:line="240" w:lineRule="auto" w:before="0" w:after="0"/>
              <w:pStyle w:val="Compact"/>
            </w:pPr>
            <w:r>
              <w:rPr>
                <w:sz w:val="20"/>
                <w:szCs w:val="20"/>
              </w:rPr>
              <w:t xml:space="preserve">[-0.1036, 0.1178]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-1.6729</w:t>
            </w:r>
          </w:p>
        </w:tc>
        <w:tc>
          <w:tcPr>
            <w:tcW w:w="0" w:type="auto"/>
          </w:tcPr>
          <w:p>
            <w:pPr>
              <w:spacing w:line="240" w:lineRule="auto" w:before="0" w:after="0"/>
              <w:pStyle w:val="Compact"/>
            </w:pPr>
            <w:r>
              <w:rPr>
                <w:sz w:val="20"/>
                <w:szCs w:val="20"/>
              </w:rPr>
              <w:t xml:space="preserve">0.631</w:t>
            </w:r>
          </w:p>
        </w:tc>
        <w:tc>
          <w:tcPr>
            <w:tcW w:w="0" w:type="auto"/>
          </w:tcPr>
          <w:p>
            <w:pPr>
              <w:spacing w:line="240" w:lineRule="auto" w:before="0" w:after="0"/>
              <w:pStyle w:val="Compact"/>
            </w:pPr>
            <w:r>
              <w:rPr>
                <w:sz w:val="20"/>
                <w:szCs w:val="20"/>
              </w:rPr>
              <w:t xml:space="preserve">-2.6513</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[-2.9097, -0.4362]</w:t>
            </w:r>
          </w:p>
        </w:tc>
      </w:tr>
    </w:tbl>
    <w:p>
      <w:pPr>
        <w:pStyle w:val="BodyText"/>
      </w:pPr>
      <w:r>
        <w:t xml:space="preserve">Fit: N = 30 R2 = 0.2771 R2_adj = 0.1937 F = 4.8828 F_p = 0.008</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5" Target="https://doi.org/10.64861/DNKW1345" TargetMode="External" /><Relationship Type="http://schemas.openxmlformats.org/officeDocument/2006/relationships/hyperlink" Id="rId77" Target="https://doi.org/10.64861/DZFF7826" TargetMode="External" /><Relationship Type="http://schemas.openxmlformats.org/officeDocument/2006/relationships/hyperlink" Id="rId81" Target="https://doi.org/10.64861/IIRV1868" TargetMode="External" /><Relationship Type="http://schemas.openxmlformats.org/officeDocument/2006/relationships/hyperlink" Id="rId72" Target="https://doi.org/10.64861/LWLF6390" TargetMode="External" /><Relationship Type="http://schemas.openxmlformats.org/officeDocument/2006/relationships/hyperlink" Id="rId79" Target="https://doi.org/10.64861/QYAX9070" TargetMode="External" /><Relationship Type="http://schemas.openxmlformats.org/officeDocument/2006/relationships/hyperlink" Id="rId68" Target="https://doi.org/10.64861/RCFO1556" TargetMode="External" /><Relationship Type="http://schemas.openxmlformats.org/officeDocument/2006/relationships/hyperlink" Id="rId70"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DNKW1345" TargetMode="External" /><Relationship Type="http://schemas.openxmlformats.org/officeDocument/2006/relationships/hyperlink" Id="rId77" Target="https://doi.org/10.64861/DZFF7826" TargetMode="External" /><Relationship Type="http://schemas.openxmlformats.org/officeDocument/2006/relationships/hyperlink" Id="rId81" Target="https://doi.org/10.64861/IIRV1868" TargetMode="External" /><Relationship Type="http://schemas.openxmlformats.org/officeDocument/2006/relationships/hyperlink" Id="rId72" Target="https://doi.org/10.64861/LWLF6390" TargetMode="External" /><Relationship Type="http://schemas.openxmlformats.org/officeDocument/2006/relationships/hyperlink" Id="rId79" Target="https://doi.org/10.64861/QYAX9070" TargetMode="External" /><Relationship Type="http://schemas.openxmlformats.org/officeDocument/2006/relationships/hyperlink" Id="rId68" Target="https://doi.org/10.64861/RCFO1556" TargetMode="External" /><Relationship Type="http://schemas.openxmlformats.org/officeDocument/2006/relationships/hyperlink" Id="rId70"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2026-06-28T19:50:26Z</dcterms:created>
  <dcterms:modified xsi:type="dcterms:W3CDTF">2026-06-28T19:50:26Z</dcterms:modified>
</cp:coreProperties>
</file>

<file path=docProps/custom.xml><?xml version="1.0" encoding="utf-8"?>
<Properties xmlns="http://schemas.openxmlformats.org/officeDocument/2006/custom-properties" xmlns:vt="http://schemas.openxmlformats.org/officeDocument/2006/docPropsVTypes"/>
</file>