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REENTRY PREDICTABILITY AND AIRSPACE RISK: DO TRACKING-DATA QUALITY GAPS DRIVE OV</w:t>
      </w:r>
    </w:p>
    <w:p>
      <w:pPr>
        <w:jc w:val="center"/>
      </w:pPr>
    </w:p>
    <w:p>
      <w:pPr>
        <w:jc w:val="center"/>
      </w:pPr>
      <w:r>
        <w:rPr>
          <w:rFonts w:ascii="Times New Roman" w:hAnsi="Times New Roman"/>
          <w:sz w:val="24"/>
        </w:rPr>
        <w:t>by</w:t>
      </w:r>
    </w:p>
    <w:p>
      <w:pPr>
        <w:jc w:val="center"/>
      </w:pPr>
      <w:r>
        <w:rPr>
          <w:rFonts w:ascii="Times New Roman" w:hAnsi="Times New Roman"/>
          <w:b/>
          <w:sz w:val="28"/>
        </w:rPr>
        <w:t>Imogen Cabrera</w:t>
      </w:r>
    </w:p>
    <w:p>
      <w:pPr>
        <w:jc w:val="center"/>
      </w:pPr>
      <w:r>
        <w:rPr>
          <w:rFonts w:ascii="Times New Roman" w:hAnsi="Times New Roman"/>
          <w:sz w:val="24"/>
        </w:rPr>
        <w:t>1B-INF-177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p>
      <w:pPr>
        <w:pStyle w:val="FirstParagraph"/>
        <w:spacing w:line="480" w:lineRule="auto"/>
      </w:pPr>
      <w:r>
        <w:t xml:space="preserve">A rocket body falls. Somewhere over an ocean, or a populated coastline, a spent upper stage returns through the atmosphere without a controlling hand, and the people responsible for the airspace beneath it must decide whether to divert aircraft, close corridors, or hold. That decision rests on a prediction. The prediction is only as good as the data behind it. The prediction rests on tracking data. When the tracking data are thin, stale, or ambiguous, the prediction widens, and a widened prediction forces a choice between two costly errors: closing airspace that did not need closing, or leaving open airspace that carried real risk. This dissertation is about the space between the tracking datum and the airspace decision, and about whether the quality of that datum is visible, measurable, and structured in the documentary record that governs the field.</w:t>
      </w:r>
    </w:p>
    <w:p>
      <w:pPr>
        <w:pStyle w:val="BodyText"/>
        <w:spacing w:line="480" w:lineRule="auto"/>
        <w:ind w:firstLine="720"/>
      </w:pPr>
      <w:r>
        <w:t xml:space="preserve">The title states the question plainly. Reentry predictability and airspace risk: do tracking-data quality gaps drive overflight risk? The phrasing is deliberately causal in ambition and deliberately modest in what a single design-stage study can deliver. Uncontrolled reentries of large objects have become frequent enough that aviation-safety scholars now treat them as a standing hazard rather than an exotic edge case</w:t>
      </w:r>
      <w:r>
        <w:t xml:space="preserve"> </w:t>
      </w:r>
      <w:hyperlink w:anchor="ref-9">
        <w:r>
          <w:rPr>
            <w:rStyle w:val="Hyperlink"/>
          </w:rPr>
          <w:t xml:space="preserve">[9]</w:t>
        </w:r>
      </w:hyperlink>
      <w:r>
        <w:t xml:space="preserve">. The growth in reentering mass, and the concentration of that mass in rocket bodies left in decaying orbits, has prompted direct assessments of whether the recent trend should worry the people who run national airspace systems</w:t>
      </w:r>
      <w:r>
        <w:t xml:space="preserve"> </w:t>
      </w:r>
      <w:hyperlink w:anchor="ref-10">
        <w:r>
          <w:rPr>
            <w:rStyle w:val="Hyperlink"/>
          </w:rPr>
          <w:t xml:space="preserve">[10]</w:t>
        </w:r>
      </w:hyperlink>
      <w:r>
        <w:t xml:space="preserve">. Those assessments converge on one mechanism. The hazard to aircraft is a function not only of how much comes down, but of how precisely and how early the descent can be forecast. Prediction quality is the hinge. Everything downstream turns on it.</w:t>
      </w:r>
    </w:p>
    <w:bookmarkStart w:id="61" w:name="the-problem"/>
    <w:p>
      <w:pPr>
        <w:pStyle w:val="Heading2"/>
        <w:spacing w:line="480" w:lineRule="auto"/>
      </w:pPr>
      <w:r>
        <w:t xml:space="preserve">1.1 The problem</w:t>
      </w:r>
    </w:p>
    <w:p>
      <w:pPr>
        <w:pStyle w:val="FirstParagraph"/>
        <w:spacing w:line="480" w:lineRule="auto"/>
      </w:pPr>
      <w:r>
        <w:t xml:space="preserve">Space traffic management has matured as a field around orbital risk, collision avoidance, and catalog custody</w:t>
      </w:r>
      <w:r>
        <w:t xml:space="preserve"> </w:t>
      </w:r>
      <w:hyperlink w:anchor="ref-2">
        <w:r>
          <w:rPr>
            <w:rStyle w:val="Hyperlink"/>
          </w:rPr>
          <w:t xml:space="preserve">[2]</w:t>
        </w:r>
      </w:hyperlink>
      <w:r>
        <w:t xml:space="preserve"> </w:t>
      </w:r>
      <w:hyperlink w:anchor="ref-11">
        <w:r>
          <w:rPr>
            <w:rStyle w:val="Hyperlink"/>
          </w:rPr>
          <w:t xml:space="preserve">[11]</w:t>
        </w:r>
      </w:hyperlink>
      <w:r>
        <w:t xml:space="preserve">. The reentry endgame has received less systematic attention, and the piece of it that couples to aviation, the translation of an orbital tracking state into an airspace-relevant hazard footprint, sits at an institutional seam. Tracking is done by space-surveillance organizations. Airspace is managed by aviation authorities. The two communities use different vocabularies, different risk thresholds, and different clocks. A criterion problem lives in that seam: what quality of tracking, delivered how early, justifies what airspace action? Recent work has begun to propose explicit criteria for tracking debris objects before uncontrolled reentry, precisely because the ad hoc handoff has proven inadequate</w:t>
      </w:r>
      <w:r>
        <w:t xml:space="preserve"> </w:t>
      </w:r>
      <w:hyperlink w:anchor="ref-1">
        <w:r>
          <w:rPr>
            <w:rStyle w:val="Hyperlink"/>
          </w:rPr>
          <w:t xml:space="preserve">[1]</w:t>
        </w:r>
      </w:hyperlink>
      <w:r>
        <w:t xml:space="preserve">.</w:t>
      </w:r>
    </w:p>
    <w:p>
      <w:pPr>
        <w:pStyle w:val="BodyText"/>
        <w:spacing w:line="480" w:lineRule="auto"/>
        <w:ind w:firstLine="720"/>
      </w:pPr>
      <w:r>
        <w:t xml:space="preserve">This problem has a data dimension that is easy to state and hard to solve. Uncooperative objects, which include most spent hardware and all fragmentation debris, are tracked without any signal from the object itself. Their orbital states are inferred from sparse, noisy, ground-based observations, and the inference degrades in exactly the regime that matters for reentry: low altitude, high atmospheric drag, rapid state change</w:t>
      </w:r>
      <w:r>
        <w:t xml:space="preserve"> </w:t>
      </w:r>
      <w:hyperlink w:anchor="ref-7">
        <w:r>
          <w:rPr>
            <w:rStyle w:val="Hyperlink"/>
          </w:rPr>
          <w:t xml:space="preserve">[7]</w:t>
        </w:r>
      </w:hyperlink>
      <w:r>
        <w:t xml:space="preserve">. The mega-constellation era has made this worse by crowding the sensor-tasking budget and by populating low orbits with objects whose time-series show the limits of current uncooperative surveillance practice</w:t>
      </w:r>
      <w:r>
        <w:t xml:space="preserve"> </w:t>
      </w:r>
      <w:hyperlink w:anchor="ref-7">
        <w:r>
          <w:rPr>
            <w:rStyle w:val="Hyperlink"/>
          </w:rPr>
          <w:t xml:space="preserve">[7]</w:t>
        </w:r>
      </w:hyperlink>
      <w:r>
        <w:t xml:space="preserve">. When the sensors are saturated and the drag environment is volatile, the reentry prediction inherits both errors, and the airspace decision inherits the widened prediction. Sensor tasking is itself now a hard combinatorial problem that researchers are attacking with reinforcement-learning schedulers, a sign of how strained the observation budget has become</w:t>
      </w:r>
      <w:r>
        <w:t xml:space="preserve"> </w:t>
      </w:r>
      <w:hyperlink w:anchor="ref-3">
        <w:r>
          <w:rPr>
            <w:rStyle w:val="Hyperlink"/>
          </w:rPr>
          <w:t xml:space="preserve">[3]</w:t>
        </w:r>
      </w:hyperlink>
      <w:r>
        <w:t xml:space="preserve">.</w:t>
      </w:r>
    </w:p>
    <w:p>
      <w:pPr>
        <w:pStyle w:val="BodyText"/>
        <w:spacing w:line="480" w:lineRule="auto"/>
        <w:ind w:firstLine="720"/>
      </w:pPr>
      <w:r>
        <w:t xml:space="preserve">There is a governance dimension too. Institutions do not always harden their operating rules at the moment the technical risk becomes real. They harden when the risk becomes legible, when it appears in venues, citations, and shared vocabularies that decision-makers can point to. The European surveillance and tracking community has been building shared reentry and fragmentation services precisely to make the risk legible across borders</w:t>
      </w:r>
      <w:r>
        <w:t xml:space="preserve"> </w:t>
      </w:r>
      <w:hyperlink w:anchor="ref-6">
        <w:r>
          <w:rPr>
            <w:rStyle w:val="Hyperlink"/>
          </w:rPr>
          <w:t xml:space="preserve">[6]</w:t>
        </w:r>
      </w:hyperlink>
      <w:r>
        <w:t xml:space="preserve">. Whether a topic has become legible is itself an empirical question. It can be read off the structure of the documentary record: when the sources cluster, which venues carry them, how attention accumulates over time.</w:t>
      </w:r>
    </w:p>
    <w:bookmarkEnd w:id="61"/>
    <w:bookmarkStart w:id="62" w:name="stakes"/>
    <w:p>
      <w:pPr>
        <w:pStyle w:val="Heading2"/>
        <w:spacing w:line="480" w:lineRule="auto"/>
      </w:pPr>
      <w:r>
        <w:t xml:space="preserve">1.2 Stakes</w:t>
      </w:r>
    </w:p>
    <w:p>
      <w:pPr>
        <w:pStyle w:val="FirstParagraph"/>
        <w:spacing w:line="480" w:lineRule="auto"/>
      </w:pPr>
      <w:r>
        <w:t xml:space="preserve">Stakes here are concrete and they are asymmetric. A false alarm closes a flight corridor, reroutes aircraft, burns fuel, and erodes the credibility of the next warning. A missed hazard puts an aircraft in the path of falling debris. Neither error is acceptable at scale, and the single tool that reduces both at once is a sharper reentry prediction, which is to say better tracking data delivered earlier. The airspace-safety community has quantified the ground and air risk posed by uncontrolled reentries and found the recent growth serious enough to warrant concern</w:t>
      </w:r>
      <w:r>
        <w:t xml:space="preserve"> </w:t>
      </w:r>
      <w:hyperlink w:anchor="ref-10">
        <w:r>
          <w:rPr>
            <w:rStyle w:val="Hyperlink"/>
          </w:rPr>
          <w:t xml:space="preserve">[10]</w:t>
        </w:r>
      </w:hyperlink>
      <w:r>
        <w:t xml:space="preserve">. The debris community has quantified how much of that returning mass is rocket-body related and has argued for targeted risk-reduction measures at the source</w:t>
      </w:r>
      <w:r>
        <w:t xml:space="preserve"> </w:t>
      </w:r>
      <w:hyperlink w:anchor="ref-15">
        <w:r>
          <w:rPr>
            <w:rStyle w:val="Hyperlink"/>
          </w:rPr>
          <w:t xml:space="preserve">[15]</w:t>
        </w:r>
      </w:hyperlink>
      <w:r>
        <w:t xml:space="preserve">. Between them lies the operational question this dissertation frames: is the quality of the tracking datum the binding constraint on the airspace decision, and is that constraint visible in the evidence base?</w:t>
      </w:r>
    </w:p>
    <w:p>
      <w:pPr>
        <w:pStyle w:val="BodyText"/>
        <w:spacing w:line="480" w:lineRule="auto"/>
        <w:ind w:firstLine="720"/>
      </w:pPr>
      <w:r>
        <w:t xml:space="preserve">The answer matters beyond aviation. If tracking-data quality gaps demonstrably drive avoidable airspace risk, then investment in surveillance sensing, in sensor tasking, and in cross-domain data sharing is not a space-community luxury. It is aviation-safety infrastructure. That reframing changes who pays and who benefits. It moves reentry tracking from a debris-mitigation line item to a shared civil-safety obligation, and it gives the argument a constituency outside the surveillance community that first built it. The near-Earth traffic environment is projected to keep growing, which means the reentry flux and its coupling to airspace will grow with it rather than settle</w:t>
      </w:r>
      <w:r>
        <w:t xml:space="preserve"> </w:t>
      </w:r>
      <w:hyperlink w:anchor="ref-13">
        <w:r>
          <w:rPr>
            <w:rStyle w:val="Hyperlink"/>
          </w:rPr>
          <w:t xml:space="preserve">[13]</w:t>
        </w:r>
      </w:hyperlink>
      <w:r>
        <w:t xml:space="preserve">.</w:t>
      </w:r>
    </w:p>
    <w:p>
      <w:pPr>
        <w:pStyle w:val="BodyText"/>
        <w:spacing w:line="480" w:lineRule="auto"/>
        <w:ind w:firstLine="720"/>
      </w:pPr>
      <w:r>
        <w:t xml:space="preserve">Consider the asymmetry in operational terms. When an airspace manager over-closes, the cost is visible, bounded, and borne immediately: delayed flights, rerouted traffic, wasted fuel, and a slow erosion of trust in the warning system that issued the closure. When a manager under-warns, the cost is invisible until it is catastrophic, and it is borne by whichever aircraft happens to be in the wrong place. A rational manager facing a wide, uncertain footprint will lean toward over-closure, because the visible cost is survivable and the invisible one is not. That lean is itself a hidden tax imposed by poor tracking: every unnecessary closure is a cost paid because the prediction could not be made tight enough to justify a narrower action. Sharpening the tracking datum does not merely reduce the tail risk of a missed hazard; it reduces the standing cost of the defensive over-closure that poor data force. Both halves of the ledger point the same way, toward the tracking datum as the binding constraint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is a design-stage dissertation, and it makes one falsifiable claim rather than many soft ones. One claim. One test. The claim concerns whether the candidate topic, the coupling of reentry predictability and airspace risk under tracking-data constraints, is a structured, measurable presence in the retrieved documentary record, or merely a diffuse policy intuition. Stated as a null and an alternative:</w:t>
      </w:r>
    </w:p>
    <w:p>
      <w:pPr>
        <w:pStyle w:val="BodyText"/>
        <w:spacing w:line="480" w:lineRule="auto"/>
        <w:ind w:firstLine="720"/>
      </w:pPr>
      <w:r>
        <w:t xml:space="preserve">H0: the topic-signal intensity of a source record is unrelated to its publication recency, its citation attention, and its venue family in the retrieved corpus.</w:t>
      </w:r>
    </w:p>
    <w:p>
      <w:pPr>
        <w:pStyle w:val="BodyText"/>
        <w:spacing w:line="480" w:lineRule="auto"/>
        <w:ind w:firstLine="720"/>
      </w:pPr>
      <w:r>
        <w:t xml:space="preserve">H1: the topic-signal intensity is systematically related to those three features, such that the topic is legible in the structure of the evidence base rather than distributed at random across it.</w:t>
      </w:r>
    </w:p>
    <w:p>
      <w:pPr>
        <w:pStyle w:val="BodyText"/>
        <w:spacing w:line="480" w:lineRule="auto"/>
        <w:ind w:firstLine="720"/>
      </w:pPr>
      <w:r>
        <w:t xml:space="preserve">The claim is falsifiable because it is tested with two pre-specified estimators against a fixed, auditable dataset of thirty retrieved source records, and because those estimators can return null. If recency, citation attention, and venue carry no systematic relationship to topic signal, the alternative fails and the design says so. This is a deliberately narrow test. It does not adjudicate the full causal question of whether tracking gaps cause airspace risk on the ground and in the air. It adjudicates a prior question that any credible causal study must first answer: is the phenomenon structured enough in the record to be studied at all, and where does that structure sit?</w:t>
      </w:r>
    </w:p>
    <w:p>
      <w:pPr>
        <w:pStyle w:val="BodyText"/>
        <w:spacing w:line="480" w:lineRule="auto"/>
        <w:ind w:firstLine="720"/>
      </w:pPr>
      <w:r>
        <w:t xml:space="preserve">Two things follow from choosing this narrow contribution. The first is honesty about scope. A document-level screen cannot substitute for a document-coding study of actual reentry events and actual airspace actions, and the design says so plainly rather than dressing a corpus screen in causal language. The second is auditability. Every number reported in the results chapter is produced by a deterministic workbook over a dataset whose every row preserves its source, so a reader can reconstruct the entire evidentiary chain from source selection to coefficient. That property, an inspectable path from datum to interpretation, is the methodological commitment the whole dissertation is organized around</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63"/>
    <w:bookmarkStart w:id="64" w:name="roadmap"/>
    <w:p>
      <w:pPr>
        <w:pStyle w:val="Heading2"/>
        <w:spacing w:line="480" w:lineRule="auto"/>
      </w:pPr>
      <w:r>
        <w:t xml:space="preserve">1.4 Roadmap</w:t>
      </w:r>
    </w:p>
    <w:p>
      <w:pPr>
        <w:pStyle w:val="FirstParagraph"/>
        <w:spacing w:line="480" w:lineRule="auto"/>
      </w:pPr>
      <w:r>
        <w:t xml:space="preserve">The dissertation proceeds in eight chapters. Chapter 2 situates the study against prior work on space traffic management, uncooperative surveillance, reentry hazard, and cross-domain coordination, drawing the reference base that the empirical screens later interrogate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Chapter 3 develops the theory. It specifies the mechanism linking tracking-data quality to prediction width to airspace decision, and it derives the testable predictions that the two estimators evaluate. Chapter 4 presents the methodology and identification strategy, explaining the ordinary least squares screen and the log-log learning-curve screen, and stating exactly what each can and cannot identify. Chapter 5 documents the data and measurement: the local reference corpus, the construction of the topic-signal score, the recency, citation, and venue variables, the provenance of each row, and the sample size.</w:t>
      </w:r>
    </w:p>
    <w:p>
      <w:pPr>
        <w:pStyle w:val="BodyText"/>
        <w:spacing w:line="480" w:lineRule="auto"/>
        <w:ind w:firstLine="720"/>
      </w:pPr>
      <w:r>
        <w:t xml:space="preserve">Chapter 6 reports results. It presents the exact estimator output from both papers, coefficients, standard errors, p-values, and sample size, without alteration, and it interprets the signs and magnitudes. Chapter 7 discusses what the findings mean, catalogs the threats to validity, and states with precision what the data cannot show. Chapter 8 concludes. It names the contribution, connects it to governance and program relevance for airspace and surveillance institutions, and specifies the follow-on document-coding study the design points toward. The arc is single-minded. Each chapter tightens the same claim: that reentry-airspace coupling under tracking constraints is a real, structured object of study, and that its structure can be read from the evidence with a method that never asks the data to carry more than it can bear. That restraint is not timidity. It is the condition under which a modest test earns the right to be believed</w:t>
      </w:r>
      <w:r>
        <w:t xml:space="preserve"> </w:t>
      </w:r>
      <w:hyperlink w:anchor="ref-5">
        <w:r>
          <w:rPr>
            <w:rStyle w:val="Hyperlink"/>
          </w:rPr>
          <w:t xml:space="preserve">[5]</w:t>
        </w:r>
      </w:hyperlink>
      <w:r>
        <w:t xml:space="preserve">.</w:t>
      </w:r>
    </w:p>
    <w:bookmarkEnd w:id="64"/>
    <w:bookmarkStart w:id="65" w:name="why-a-design-stage-study-and-why-now"/>
    <w:p>
      <w:pPr>
        <w:pStyle w:val="Heading2"/>
        <w:spacing w:line="480" w:lineRule="auto"/>
      </w:pPr>
      <w:r>
        <w:t xml:space="preserve">1.5 Why a design-stage study, and why now</w:t>
      </w:r>
    </w:p>
    <w:p>
      <w:pPr>
        <w:pStyle w:val="FirstParagraph"/>
        <w:spacing w:line="480" w:lineRule="auto"/>
      </w:pPr>
      <w:r>
        <w:t xml:space="preserve">A reader entitled to skepticism will ask why the dissertation stops at a documentary screen rather than reaching immediately for the event-level causal study the title seems to promise. The answer is a matter of evidentiary sequencing. Event-level work on reentry and airspace is expensive: it requires reconstructing the tracking state that was actually available at the time of each reentry, reconstructing the airspace action that was actually taken, and matching the two across jurisdictions that record neither in a common format. Committing that effort is justified only once a prior question is settled, namely whether the phenomenon is coherent enough in the record to reward the expense. Spending a large data-collection budget on a topic that turns out to be a scattering of unrelated observations is a waste that a cheap screen can prevent. The screen is the responsible first move, not a retreat from the harder one.</w:t>
      </w:r>
    </w:p>
    <w:p>
      <w:pPr>
        <w:pStyle w:val="BodyText"/>
        <w:spacing w:line="480" w:lineRule="auto"/>
        <w:ind w:firstLine="720"/>
      </w:pPr>
      <w:r>
        <w:t xml:space="preserve">Timing is not incidental either. The reentry flux has risen sharply over the past decade as launch cadence climbed and as the population of spent stages in decaying orbits grew, and the aviation-safety community has only recently begun to treat the resulting airspace exposure as a first-order concern rather than a curiosity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topic that is genuinely new in its aviation framing is exactly the kind of topic whose legibility should not be assumed. It may be that the coupling is discussed in scattered venues without having consolidated into a coherent front, in which case a causal design would be premature. Or it may be that the front has already formed, concentrated in the surveillance community, in which case the causal design is overdue. Only measurement can tell the two apart, and measurement is what this dissertation supplies.</w:t>
      </w:r>
    </w:p>
    <w:bookmarkEnd w:id="65"/>
    <w:bookmarkStart w:id="66" w:name="Xd497a639a792cd76aa9c835a7daab27872d05d3"/>
    <w:p>
      <w:pPr>
        <w:pStyle w:val="Heading2"/>
        <w:spacing w:line="480" w:lineRule="auto"/>
      </w:pPr>
      <w:r>
        <w:t xml:space="preserve">1.6 Positioning within space traffic management</w:t>
      </w:r>
    </w:p>
    <w:p>
      <w:pPr>
        <w:pStyle w:val="FirstParagraph"/>
        <w:spacing w:line="480" w:lineRule="auto"/>
      </w:pPr>
      <w:r>
        <w:t xml:space="preserve">The study positions itself deliberately at the reentry end of the space-traffic-management pipeline, which has received far less structured attention than the orbital end. Most of the field’s mature machinery, the conjunction screening, the maneuver planning, the collision-avoidance workflows, addresses objects that will remain in orbit</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reentry endgame, where an object leaves the catalog by returning through the atmosphere, has been treated as a terminal event rather than as a decision problem with its own information requirements. That asymmetry is itself telling. It suggests that the coupling between tracking quality and the reentry decision is under-theorized relative to its orbital cousin, and it raises the possibility that the supplying literature, while real, has not yet organized itself with the maturity that the orbital literature displays.</w:t>
      </w:r>
    </w:p>
    <w:p>
      <w:pPr>
        <w:pStyle w:val="BodyText"/>
        <w:spacing w:line="480" w:lineRule="auto"/>
        <w:ind w:firstLine="720"/>
      </w:pPr>
      <w:r>
        <w:t xml:space="preserve">By reading the reentry-airspace coupling through the same measurement lens that could be turned on any research front, the dissertation avoids two failure modes at once. It avoids the advocacy trap of asserting that the topic is important because the author finds it important, and it avoids the nihilist trap of refusing to say anything until a perfect causal dataset exists. Between those extremes sits a disciplined empirical statement: here is what the record shows about whether the field treats this coupling as a coherent object, and here is precisely how far that statement reaches</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chapters that follow build that statement one careful step at a time, and they are written so that a reader can check every step against the artifacts that produced it.</w:t>
      </w:r>
    </w:p>
    <w:bookmarkEnd w:id="66"/>
    <w:bookmarkStart w:id="67" w:name="terms-and-scope"/>
    <w:p>
      <w:pPr>
        <w:pStyle w:val="Heading2"/>
        <w:spacing w:line="480" w:lineRule="auto"/>
      </w:pPr>
      <w:r>
        <w:t xml:space="preserve">1.7 Terms and scope</w:t>
      </w:r>
    </w:p>
    <w:p>
      <w:pPr>
        <w:pStyle w:val="FirstParagraph"/>
        <w:spacing w:line="480" w:lineRule="auto"/>
      </w:pPr>
      <w:r>
        <w:t xml:space="preserve">A few terms carry heavy weight in this dissertation, and fixing their meaning early prevents confusion later. Tracking-data quality refers to the whole chain that determines how well an uncontrolled object’s orbital state and reentry trajectory can be known: the density and geometry of observations, the accuracy of the resulting orbit determination, and the fidelity of the drag model used to propagate the state to reentry. It is not a single number but a composite, and the dissertation treats it as the upstream variable that governs prediction width</w:t>
      </w:r>
      <w:r>
        <w:t xml:space="preserve"> </w:t>
      </w:r>
      <w:hyperlink w:anchor="ref-7">
        <w:r>
          <w:rPr>
            <w:rStyle w:val="Hyperlink"/>
          </w:rPr>
          <w:t xml:space="preserve">[7]</w:t>
        </w:r>
      </w:hyperlink>
      <w:r>
        <w:t xml:space="preserve">. Airspace risk refers to the exposure of aircraft to falling debris during and after an uncontrolled reentry, together with the collateral cost of the protective actions taken to manage that exposure. It, too, is composite, spanning both the tail risk of an actual strike and the standing cost of defensive over-closure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Overflight risk, the phrase completed in the title, names the specific case where an aircraft’s flight path crosses a region under reentry threat.</w:t>
      </w:r>
    </w:p>
    <w:p>
      <w:pPr>
        <w:pStyle w:val="BodyText"/>
        <w:spacing w:line="480" w:lineRule="auto"/>
        <w:ind w:firstLine="720"/>
      </w:pPr>
      <w:r>
        <w:t xml:space="preserve">Scope is bounded in three ways that the reader should hold onto. First, the dissertation is about uncontrolled reentries, where no controlling authority can target the descent, because controlled reentries pose a fundamentally different and largely solved problem</w:t>
      </w:r>
      <w:r>
        <w:t xml:space="preserve"> </w:t>
      </w:r>
      <w:hyperlink w:anchor="ref-15">
        <w:r>
          <w:rPr>
            <w:rStyle w:val="Hyperlink"/>
          </w:rPr>
          <w:t xml:space="preserve">[15]</w:t>
        </w:r>
      </w:hyperlink>
      <w:r>
        <w:t xml:space="preserve">. Second, it is about the coupling between tracking and the airspace decision, not about the full apparatus of space traffic management, which extends to orbital operations the study touches only where they bear on the reentry endgame</w:t>
      </w:r>
      <w:r>
        <w:t xml:space="preserve"> </w:t>
      </w:r>
      <w:hyperlink w:anchor="ref-11">
        <w:r>
          <w:rPr>
            <w:rStyle w:val="Hyperlink"/>
          </w:rPr>
          <w:t xml:space="preserve">[11]</w:t>
        </w:r>
      </w:hyperlink>
      <w:r>
        <w:t xml:space="preserve">. Third, it is a design-stage study of the documentary record, not an operational analysis of live reentry events, and every claim it makes is a claim about the record rather than about the airspace. These boundaries are not evasions. They are the conditions under which a single dissertation can say something true and checkable about a large problem, and they are stated at the outset so that no reader mistakes the study’s reach for something wider than it is</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Within those bounds, the ambition is genuine. The dissertation aims to convert a plausible but unverified policy intuition into a tested proposition about the structure of the evidence base, and to do so with a method transparent enough that the conversion can be audited and reproduced. If it succeeds, it will have shown that the reentry-airspace coupling is a coherent object of study and will have specified the next study that could establish the causal claim the title poses. If it fails, it will have shown that the coupling is not yet legible in the record and will have saved a later researcher the cost of a causal design the evidence could not yet support. Both outcomes are worth reaching, and the design is built so that whichever one the data deliver, the delivery is honest</w:t>
      </w:r>
      <w:r>
        <w:t xml:space="preserve"> </w:t>
      </w:r>
      <w:hyperlink w:anchor="ref-5">
        <w:r>
          <w:rPr>
            <w:rStyle w:val="Hyperlink"/>
          </w:rPr>
          <w:t xml:space="preserve">[5]</w:t>
        </w:r>
      </w:hyperlink>
      <w:r>
        <w:t xml:space="preserve">.</w:t>
      </w:r>
    </w:p>
    <w:bookmarkEnd w:id="67"/>
    <w:bookmarkEnd w:id="68"/>
    <w:bookmarkStart w:id="77" w:name="chapter-2.-literature-review"/>
    <w:p>
      <w:pPr>
        <w:pStyle w:val="Heading1"/>
        <w:spacing w:line="480" w:lineRule="auto"/>
      </w:pPr>
      <w:r>
        <w:t xml:space="preserve">Chapter 2. Literature Review</w:t>
      </w:r>
    </w:p>
    <w:p>
      <w:pPr>
        <w:pStyle w:val="FirstParagraph"/>
        <w:spacing w:line="480" w:lineRule="auto"/>
      </w:pPr>
      <w:r>
        <w:t xml:space="preserve">The literature that surrounds this dissertation divides into strands that rarely meet on the page. One strand is operational and technical: how objects are tracked, how reentry is predicted, how debris is characterized, how sensors are tasked. A second strand is institutional: how space traffic is to be governed, who holds custody of the catalog, how cross-border services are organized. A third strand, thin but growing, is aviation-facing: what an uncontrolled reentry means for the aircraft flying beneath it. The candidate topic sits at the intersection of all three, and the review that follows reads each strand for what it contributes to a single question. Does tracking-data quality govern the airspace hazard, and is that governance visible in the record?</w:t>
      </w:r>
    </w:p>
    <w:bookmarkStart w:id="69" w:name="Xb8353a2942150cad09ed9ef25e8abd6620ba408"/>
    <w:p>
      <w:pPr>
        <w:pStyle w:val="Heading2"/>
        <w:spacing w:line="480" w:lineRule="auto"/>
      </w:pPr>
      <w:r>
        <w:t xml:space="preserve">2.1 Space traffic management as the parent field</w:t>
      </w:r>
    </w:p>
    <w:p>
      <w:pPr>
        <w:pStyle w:val="FirstParagraph"/>
        <w:spacing w:line="480" w:lineRule="auto"/>
      </w:pPr>
      <w:r>
        <w:t xml:space="preserve">Space traffic management supplies the vocabulary and the institutional frame. It is the parent field. The field has organized itself around orbital congestion, collision avoidance, and the coordination burden created by rising traffic</w:t>
      </w:r>
      <w:r>
        <w:t xml:space="preserve"> </w:t>
      </w:r>
      <w:hyperlink w:anchor="ref-2">
        <w:r>
          <w:rPr>
            <w:rStyle w:val="Hyperlink"/>
          </w:rPr>
          <w:t xml:space="preserve">[2]</w:t>
        </w:r>
      </w:hyperlink>
      <w:r>
        <w:t xml:space="preserve">. Recent consolidations of the collision-avoidance problem set out how spacecraft screening, maneuver planning, and conjunction assessment fit together into an operational discipline</w:t>
      </w:r>
      <w:r>
        <w:t xml:space="preserve"> </w:t>
      </w:r>
      <w:hyperlink w:anchor="ref-11">
        <w:r>
          <w:rPr>
            <w:rStyle w:val="Hyperlink"/>
          </w:rPr>
          <w:t xml:space="preserve">[11]</w:t>
        </w:r>
      </w:hyperlink>
      <w:r>
        <w:t xml:space="preserve">. The large-constellation turn has forced that discipline to scale: the sheer count of maneuverable and non-maneuverable objects in low orbit changes what any tracking and warning system must do</w:t>
      </w:r>
      <w:r>
        <w:t xml:space="preserve"> </w:t>
      </w:r>
      <w:hyperlink w:anchor="ref-14">
        <w:r>
          <w:rPr>
            <w:rStyle w:val="Hyperlink"/>
          </w:rPr>
          <w:t xml:space="preserve">[14]</w:t>
        </w:r>
      </w:hyperlink>
      <w:r>
        <w:t xml:space="preserve">. These works establish that the tracking-to-decision pipeline is already a recognized object of study on the orbital side. What they leave underdeveloped is the reentry endgame, where the same pipeline hands off to a different community with a different risk calculus.</w:t>
      </w:r>
    </w:p>
    <w:p>
      <w:pPr>
        <w:pStyle w:val="BodyText"/>
        <w:spacing w:line="480" w:lineRule="auto"/>
        <w:ind w:firstLine="720"/>
      </w:pPr>
      <w:r>
        <w:t xml:space="preserve">Institutions reaching toward that handoff appear across the governance strand. Outreach work on space traffic management documents the effort to build shared understanding across the operators, agencies, and forums that must act on tracking information</w:t>
      </w:r>
      <w:r>
        <w:t xml:space="preserve"> </w:t>
      </w:r>
      <w:hyperlink w:anchor="ref-12">
        <w:r>
          <w:rPr>
            <w:rStyle w:val="Hyperlink"/>
          </w:rPr>
          <w:t xml:space="preserve">[12]</w:t>
        </w:r>
      </w:hyperlink>
      <w:r>
        <w:t xml:space="preserve">. The European surveillance and tracking program has published its research plan for the shared infrastructure, including conjunction, reentry, and fragmentation services, which is a direct institutional attempt to make reentry risk legible and actionable across national boundaries</w:t>
      </w:r>
      <w:r>
        <w:t xml:space="preserve"> </w:t>
      </w:r>
      <w:hyperlink w:anchor="ref-6">
        <w:r>
          <w:rPr>
            <w:rStyle w:val="Hyperlink"/>
          </w:rPr>
          <w:t xml:space="preserve">[6]</w:t>
        </w:r>
      </w:hyperlink>
      <w:r>
        <w:t xml:space="preserve">. Read together, these sources describe a field that knows the coordination problem is real and is building the plumbing to address it, without yet having settled the criterion question of how good the tracking must be to justify a given action.</w:t>
      </w:r>
    </w:p>
    <w:bookmarkEnd w:id="69"/>
    <w:bookmarkStart w:id="70" w:name="the-tracking-quality-constraint"/>
    <w:p>
      <w:pPr>
        <w:pStyle w:val="Heading2"/>
        <w:spacing w:line="480" w:lineRule="auto"/>
      </w:pPr>
      <w:r>
        <w:t xml:space="preserve">2.2 The tracking-quality constraint</w:t>
      </w:r>
    </w:p>
    <w:p>
      <w:pPr>
        <w:pStyle w:val="FirstParagraph"/>
        <w:spacing w:line="480" w:lineRule="auto"/>
      </w:pPr>
      <w:r>
        <w:t xml:space="preserve">The tracking-quality strand is where the mechanism of this dissertation lives. Uncooperative surveillance, the tracking of objects that emit no cooperative signal, is fundamentally limited by observation geometry, sensor availability, and the volatility of the low-altitude drag environment. Analysis of mega-constellation data time-series has exposed the limits of current practice, showing how sparse and irregular observations translate into orbital-state uncertainty that current methods cannot fully suppress</w:t>
      </w:r>
      <w:r>
        <w:t xml:space="preserve"> </w:t>
      </w:r>
      <w:hyperlink w:anchor="ref-7">
        <w:r>
          <w:rPr>
            <w:rStyle w:val="Hyperlink"/>
          </w:rPr>
          <w:t xml:space="preserve">[7]</w:t>
        </w:r>
      </w:hyperlink>
      <w:r>
        <w:t xml:space="preserve">. That uncertainty is not a nuisance to be averaged away. It is the raw material from which reentry predictions are built, and it propagates directly into the width of the predicted footprint. Uncertainty in, uncertainty out.</w:t>
      </w:r>
    </w:p>
    <w:p>
      <w:pPr>
        <w:pStyle w:val="BodyText"/>
        <w:spacing w:line="480" w:lineRule="auto"/>
        <w:ind w:firstLine="720"/>
      </w:pPr>
      <w:r>
        <w:t xml:space="preserve">Two adjacent literatures deepen the constraint. Sensor tasking has become a scheduling problem hard enough to invite deep reinforcement learning, because the number of objects to be observed now outstrips the observation capacity available, and every tasking choice trades one object’s state accuracy against another’s</w:t>
      </w:r>
      <w:r>
        <w:t xml:space="preserve"> </w:t>
      </w:r>
      <w:hyperlink w:anchor="ref-3">
        <w:r>
          <w:rPr>
            <w:rStyle w:val="Hyperlink"/>
          </w:rPr>
          <w:t xml:space="preserve">[3]</w:t>
        </w:r>
      </w:hyperlink>
      <w:r>
        <w:t xml:space="preserve">. Space weather compounds the problem at exactly the wrong altitude: variation in thermospheric density perturbs drag and degrades low-orbit state prediction, and its impact on assets and launches has been assessed as a first-order operational factor rather than a second-order correction</w:t>
      </w:r>
      <w:r>
        <w:t xml:space="preserve"> </w:t>
      </w:r>
      <w:hyperlink w:anchor="ref-4">
        <w:r>
          <w:rPr>
            <w:rStyle w:val="Hyperlink"/>
          </w:rPr>
          <w:t xml:space="preserve">[4]</w:t>
        </w:r>
      </w:hyperlink>
      <w:r>
        <w:t xml:space="preserve">. Cooperative approaches offer partial relief. Work on cooperative tracking aids for space domain awareness explores how objects that can be made to cooperate, or infrastructure that can assist tracking, might shrink the uncertainty that uncooperative surveillance cannot</w:t>
      </w:r>
      <w:r>
        <w:t xml:space="preserve"> </w:t>
      </w:r>
      <w:hyperlink w:anchor="ref-5">
        <w:r>
          <w:rPr>
            <w:rStyle w:val="Hyperlink"/>
          </w:rPr>
          <w:t xml:space="preserve">[5]</w:t>
        </w:r>
      </w:hyperlink>
      <w:r>
        <w:t xml:space="preserve">. The custody problem extends even to cislunar space, where predicting whether an object will remain trackable at all becomes its own research frontier</w:t>
      </w:r>
      <w:r>
        <w:t xml:space="preserve"> </w:t>
      </w:r>
      <w:hyperlink w:anchor="ref-8">
        <w:r>
          <w:rPr>
            <w:rStyle w:val="Hyperlink"/>
          </w:rPr>
          <w:t xml:space="preserve">[8]</w:t>
        </w:r>
      </w:hyperlink>
      <w:r>
        <w:t xml:space="preserve">. The through-line is consistent. Quality is scarce. Tracking quality is not free, it is not uniform, and it degrades precisely where reentry prediction needs it most.</w:t>
      </w:r>
    </w:p>
    <w:bookmarkEnd w:id="70"/>
    <w:bookmarkStart w:id="71" w:name="reentry-hazard-and-the-aviation-seam"/>
    <w:p>
      <w:pPr>
        <w:pStyle w:val="Heading2"/>
        <w:spacing w:line="480" w:lineRule="auto"/>
      </w:pPr>
      <w:r>
        <w:t xml:space="preserve">2.3 Reentry hazard and the aviation seam</w:t>
      </w:r>
    </w:p>
    <w:p>
      <w:pPr>
        <w:pStyle w:val="FirstParagraph"/>
        <w:spacing w:line="480" w:lineRule="auto"/>
      </w:pPr>
      <w:r>
        <w:t xml:space="preserve">The aviation-facing strand is the newest and the most directly tied to the stakes. The foundational move is the recognition that uncontrolled reentries pose a quantifiable risk to aviation, not merely to people and property on the ground</w:t>
      </w:r>
      <w:r>
        <w:t xml:space="preserve"> </w:t>
      </w:r>
      <w:hyperlink w:anchor="ref-9">
        <w:r>
          <w:rPr>
            <w:rStyle w:val="Hyperlink"/>
          </w:rPr>
          <w:t xml:space="preserve">[9]</w:t>
        </w:r>
      </w:hyperlink>
      <w:r>
        <w:t xml:space="preserve">. That work reframes the problem from a ground-casualty expectation, long the standard debris-safety metric, to an airspace-exposure problem in which aircraft are the exposed population and the airspace manager is the decision-maker. Follow-on analysis has taken the recent growth in uncontrolled reentries seriously enough to ask directly whether it should be considered worrying, quantifying the ground and airspace risk and finding the trend non-trivial</w:t>
      </w:r>
      <w:r>
        <w:t xml:space="preserve"> </w:t>
      </w:r>
      <w:hyperlink w:anchor="ref-10">
        <w:r>
          <w:rPr>
            <w:rStyle w:val="Hyperlink"/>
          </w:rPr>
          <w:t xml:space="preserve">[10]</w:t>
        </w:r>
      </w:hyperlink>
      <w:r>
        <w:t xml:space="preserve">.</w:t>
      </w:r>
    </w:p>
    <w:p>
      <w:pPr>
        <w:pStyle w:val="BodyText"/>
        <w:spacing w:line="480" w:lineRule="auto"/>
        <w:ind w:firstLine="720"/>
      </w:pPr>
      <w:r>
        <w:t xml:space="preserve">Sources of the hazard have been characterized in parallel. Comprehensive assessment of rocket-body related debris shows that spent stages are a dominant and growing contributor to the reentry flux, and that risk-reduction measures at the design and disposal stage could materially shrink the problem</w:t>
      </w:r>
      <w:r>
        <w:t xml:space="preserve"> </w:t>
      </w:r>
      <w:hyperlink w:anchor="ref-15">
        <w:r>
          <w:rPr>
            <w:rStyle w:val="Hyperlink"/>
          </w:rPr>
          <w:t xml:space="preserve">[15]</w:t>
        </w:r>
      </w:hyperlink>
      <w:r>
        <w:t xml:space="preserve">. The criterion work closes the loop: establishing explicit criteria for tracking debris objects before uncontrolled reentry is an attempt to specify, in operational terms, what tracking performance is needed to support the airspace decision</w:t>
      </w:r>
      <w:r>
        <w:t xml:space="preserve"> </w:t>
      </w:r>
      <w:hyperlink w:anchor="ref-1">
        <w:r>
          <w:rPr>
            <w:rStyle w:val="Hyperlink"/>
          </w:rPr>
          <w:t xml:space="preserve">[1]</w:t>
        </w:r>
      </w:hyperlink>
      <w:r>
        <w:t xml:space="preserve">. This is the closest the literature comes to the dissertation’s own question. It names the coupling between tracking quality and airspace action, but it does not yet measure whether that coupling is a structured, visible feature of the evidence base as a whole.</w:t>
      </w:r>
    </w:p>
    <w:bookmarkEnd w:id="71"/>
    <w:bookmarkStart w:id="72" w:name="the-gap-and-the-measurement-move"/>
    <w:p>
      <w:pPr>
        <w:pStyle w:val="Heading2"/>
        <w:spacing w:line="480" w:lineRule="auto"/>
      </w:pPr>
      <w:r>
        <w:t xml:space="preserve">2.4 The gap and the measurement move</w:t>
      </w:r>
    </w:p>
    <w:p>
      <w:pPr>
        <w:pStyle w:val="FirstParagraph"/>
        <w:spacing w:line="480" w:lineRule="auto"/>
      </w:pPr>
      <w:r>
        <w:t xml:space="preserve">Two gaps emerge from reading the strands together. The first is a translation gap. The technical literature can characterize tracking uncertainty and the aviation literature can characterize airspace risk, but the two are rarely joined so that one can ask whether the first drives the second as a general matter rather than in a single case</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second is a legibility gap. Even where the coupling is discussed, its status in the field, whether it is a maturing research front or a scattering of isolated observations, is asserted rather than measured. Citation attention, publication recency, and venue family are exactly the signals that could show whether a topic has consolidated, yet they are seldom turned on the topic itself</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dissertation responds by converting the literature into an auditable measurement base. The reviewed sources are not treated only as authorities to be cited. They are treated as observations whose metadata, year, venue, citation count, and topic-signal content can be modeled. That move lets the study ask a question the narrative literature cannot answer on its own: is the reentry-airspace-tracking coupling structured in the record, or is it distributed at random across venues and years? The forward-looking traffic literature makes the question urgent, projecting an environment in which reentry flux and airspace exposure both rise</w:t>
      </w:r>
      <w:r>
        <w:t xml:space="preserve"> </w:t>
      </w:r>
      <w:hyperlink w:anchor="ref-13">
        <w:r>
          <w:rPr>
            <w:rStyle w:val="Hyperlink"/>
          </w:rPr>
          <w:t xml:space="preserve">[13]</w:t>
        </w:r>
      </w:hyperlink>
      <w:r>
        <w:t xml:space="preserve">. The physically grounded modeling literature, including advances in rendering and characterization of objects and bodies, shows that the technical substrate keeps improving, which raises rather than lowers the expectation that the topic should be consolidating in the record</w:t>
      </w:r>
      <w:r>
        <w:t xml:space="preserve"> </w:t>
      </w:r>
      <w:hyperlink w:anchor="ref-16">
        <w:r>
          <w:rPr>
            <w:rStyle w:val="Hyperlink"/>
          </w:rPr>
          <w:t xml:space="preserve">[16]</w:t>
        </w:r>
      </w:hyperlink>
      <w:r>
        <w:t xml:space="preserve">. Whether it actually is, is the empirical question the next chapters take up.</w:t>
      </w:r>
    </w:p>
    <w:bookmarkEnd w:id="72"/>
    <w:bookmarkStart w:id="73" w:name="how-the-strands-mislead-when-read-alone"/>
    <w:p>
      <w:pPr>
        <w:pStyle w:val="Heading2"/>
        <w:spacing w:line="480" w:lineRule="auto"/>
      </w:pPr>
      <w:r>
        <w:t xml:space="preserve">2.5 How the strands mislead when read alone</w:t>
      </w:r>
    </w:p>
    <w:p>
      <w:pPr>
        <w:pStyle w:val="FirstParagraph"/>
        <w:spacing w:line="480" w:lineRule="auto"/>
      </w:pPr>
      <w:r>
        <w:t xml:space="preserve">Each strand, read on its own, produces a partial and potentially misleading picture, and naming those distortions is part of what the review must do. The orbital-traffic literature, taken by itself, encourages the assumption that the reentry problem is simply the orbital problem run to its conclusion, so that better catalog custody and better conjunction screening will automatically deliver better reentry prediction</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That assumption is false in an important way. The tracking regimes are different: an object useful to screen for conjunctions at operational altitude may be nearly untrackable in its final decaying passes, where drag dominates and the observation cadence collapses</w:t>
      </w:r>
      <w:r>
        <w:t xml:space="preserve"> </w:t>
      </w:r>
      <w:hyperlink w:anchor="ref-7">
        <w:r>
          <w:rPr>
            <w:rStyle w:val="Hyperlink"/>
          </w:rPr>
          <w:t xml:space="preserve">[7]</w:t>
        </w:r>
      </w:hyperlink>
      <w:r>
        <w:t xml:space="preserve">. A field that inherited its intuitions only from the orbital side would systematically underestimate how hard the reentry endgame is, and it would misallocate sensing effort toward altitudes where the marginal value to airspace safety is lowest</w:t>
      </w:r>
      <w:r>
        <w:t xml:space="preserve"> </w:t>
      </w:r>
      <w:hyperlink w:anchor="ref-3">
        <w:r>
          <w:rPr>
            <w:rStyle w:val="Hyperlink"/>
          </w:rPr>
          <w:t xml:space="preserve">[3]</w:t>
        </w:r>
      </w:hyperlink>
      <w:r>
        <w:t xml:space="preserve">.</w:t>
      </w:r>
    </w:p>
    <w:p>
      <w:pPr>
        <w:pStyle w:val="BodyText"/>
        <w:spacing w:line="480" w:lineRule="auto"/>
        <w:ind w:firstLine="720"/>
      </w:pPr>
      <w:r>
        <w:t xml:space="preserve">The aviation strand, read alone, produces the opposite distortion. It frames the hazard vividly and quantifies the exposure, but it can treat tracking quality as an exogenous given, a number handed over the fence by the surveillance community, rather than as a variable that airspace-driven demand could itself reshape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If the aviation community does not understand that its own risk tolerance could pull surveillance investment toward the low-altitude reentry regime, it will keep treating over-closure as an unavoidable cost of doing business rather than as a symptom of underinvestment in a specific kind of tracking. The governance strand, for its part, can mistake the existence of coordination infrastructure for the existence of a settled criterion, describing the plumbing of shared services without confronting the unanswered question of how good the tracking must be to justify a given airspace action</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corrective in every case is the same. The strands must be read together, and the coupling that joins them must be examined as an object in its own right rather than as an afterthought of any one strand. That is why the criterion work, which tries to specify tracking requirements for the reentry decision explicitly, is the pivotal source for this dissertation: it is the one place where the strands are forced into contact</w:t>
      </w:r>
      <w:r>
        <w:t xml:space="preserve"> </w:t>
      </w:r>
      <w:hyperlink w:anchor="ref-1">
        <w:r>
          <w:rPr>
            <w:rStyle w:val="Hyperlink"/>
          </w:rPr>
          <w:t xml:space="preserve">[1]</w:t>
        </w:r>
      </w:hyperlink>
      <w:r>
        <w:t xml:space="preserve">. And it is why the measurement move matters. By asking whether the coupling is structured in the record, the study tests, rather than assumes, that the field has begun to treat the intersection as a coherent problem instead of three problems that happen to share a falling object.</w:t>
      </w:r>
    </w:p>
    <w:bookmarkEnd w:id="73"/>
    <w:bookmarkStart w:id="74" w:name="X48c6c98bbbf47bcee321b35ba88ce53429b9bf2"/>
    <w:p>
      <w:pPr>
        <w:pStyle w:val="Heading2"/>
        <w:spacing w:line="480" w:lineRule="auto"/>
      </w:pPr>
      <w:r>
        <w:t xml:space="preserve">2.6 The reference base as a measurable population</w:t>
      </w:r>
    </w:p>
    <w:p>
      <w:pPr>
        <w:pStyle w:val="FirstParagraph"/>
        <w:spacing w:line="480" w:lineRule="auto"/>
      </w:pPr>
      <w:r>
        <w:t xml:space="preserve">A final function of the review is to establish the population that the empirical chapters will model. The retained sources span three venue families and roughly a decade of publication, from 2014 through 2026, and they range from dense technical treatments to brief service descriptions and policy proposals. That heterogeneity is not a defect to be smoothed over; it is the raw variation the estimators exploit. A corpus in which every record engaged the topic identically would carry no structure to detect. The interest lies precisely in whether the topic signal, the density of reentry, tracking, and airspace terminology, varies systematically with when a record appeared, how much attention it drew, and which venue family carried it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Read as a population, the reference base also exposes its own limits, which the later chapters honor. It is a retained pack rather than a systematic census, so it can support claims about structure within the pack while remaining silent about the full population of relevant work</w:t>
      </w:r>
      <w:r>
        <w:t xml:space="preserve"> </w:t>
      </w:r>
      <w:hyperlink w:anchor="ref-8">
        <w:r>
          <w:rPr>
            <w:rStyle w:val="Hyperlink"/>
          </w:rPr>
          <w:t xml:space="preserve">[8]</w:t>
        </w:r>
      </w:hyperlink>
      <w:r>
        <w:t xml:space="preserve">. Its citation counts are local index measures rather than universal counts, so attention is observed through a particular window</w:t>
      </w:r>
      <w:r>
        <w:t xml:space="preserve"> </w:t>
      </w:r>
      <w:hyperlink w:anchor="ref-4">
        <w:r>
          <w:rPr>
            <w:rStyle w:val="Hyperlink"/>
          </w:rPr>
          <w:t xml:space="preserve">[4]</w:t>
        </w:r>
      </w:hyperlink>
      <w:r>
        <w:t xml:space="preserve">. And its venue coding is ordinal, a convenience that must not be overread. Stating these limits at the point where the population is defined, rather than burying them in a methods appendix, is consistent with the study’s governing commitment: to keep the path from source to inference visible, and to let the reader see the boundaries of the evidence as clearly as its content.</w:t>
      </w:r>
    </w:p>
    <w:bookmarkEnd w:id="74"/>
    <w:bookmarkStart w:id="75" w:name="what-prior-work-does-not-do"/>
    <w:p>
      <w:pPr>
        <w:pStyle w:val="Heading2"/>
        <w:spacing w:line="480" w:lineRule="auto"/>
      </w:pPr>
      <w:r>
        <w:t xml:space="preserve">2.7 What prior work does not do</w:t>
      </w:r>
    </w:p>
    <w:p>
      <w:pPr>
        <w:pStyle w:val="FirstParagraph"/>
        <w:spacing w:line="480" w:lineRule="auto"/>
      </w:pPr>
      <w:r>
        <w:t xml:space="preserve">It is as important to be precise about what the reviewed literature leaves undone as about what it accomplishes, because the gap the dissertation fills is defined by that absence. No source in the reviewed base turns the measurement lens on the coupling itself. The technical works measure orbital states, sensor performance, and debris populations; the aviation works measure ground and airspace risk; the governance works describe coordination infrastructure</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None asks whether the body of work treating the tracking-airspace coupling is structured as a coherent research front, because that is a bibliometric question about the literature rather than a physical question about the objects, and the literature has understandably been busy with the objects. The dissertation occupies that unclaimed position: it treats the field’s own output as data and asks a question about the field that the field has not asked about itself.</w:t>
      </w:r>
    </w:p>
    <w:p>
      <w:pPr>
        <w:pStyle w:val="BodyText"/>
        <w:spacing w:line="480" w:lineRule="auto"/>
        <w:ind w:firstLine="720"/>
      </w:pPr>
      <w:r>
        <w:t xml:space="preserve">This is not a criticism of prior work. A maturing technical field naturally spends its early effort on the substantive problems rather than on introspection about its own structure, and the reviewed sources are strong precisely because they attack the substance directly</w:t>
      </w:r>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15">
        <w:r>
          <w:rPr>
            <w:rStyle w:val="Hyperlink"/>
          </w:rPr>
          <w:t xml:space="preserve">[15]</w:t>
        </w:r>
      </w:hyperlink>
      <w:r>
        <w:t xml:space="preserve">. The point is that a design-stage dissertation, tasked with establishing whether a causal study is warranted, is exactly the kind of project for which the introspective question is the right one. Before committing to event-level data collection, one wants to know whether the supplying literature has consolidated enough to support it, and answering that requires the measurement move no prior source makes. The review therefore ends by locating the dissertation not as a competitor to the technical literature but as a complement to it: it uses that literature as evidence about itself, and in doing so it asks a question the technical works were never designed to answer</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remaining chapters carry that question forward. The theory chapter formalizes why a real coupling should leave a structural signature in the record, the methods and data chapters build the estimators and the dataset that can detect it, and the results chapter reports what the detection finds. The literature reviewed here is the raw material for all of that, converted from a set of authorities into a measurable population, and read for a signal that the authorities themselves did not set out to leave but that a consolidating field cannot help producing</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bookmarkEnd w:id="75"/>
    <w:bookmarkStart w:id="76" w:name="the-technical-substrate-keeps-advancing"/>
    <w:p>
      <w:pPr>
        <w:pStyle w:val="Heading2"/>
        <w:spacing w:line="480" w:lineRule="auto"/>
      </w:pPr>
      <w:r>
        <w:t xml:space="preserve">2.8 The technical substrate keeps advancing</w:t>
      </w:r>
    </w:p>
    <w:p>
      <w:pPr>
        <w:pStyle w:val="FirstParagraph"/>
        <w:spacing w:line="480" w:lineRule="auto"/>
      </w:pPr>
      <w:r>
        <w:t xml:space="preserve">One further strand deserves mention because it bears on the expectation that the front should be consolidating rather than stagnating. The technical substrate underneath reentry prediction is improving on several axes at once. Object characterization methods, including physically based rendering approaches for celestial and artificial bodies, are sharpening the ability to model how objects behave optically and dynamically, which feeds back into tracking and identification</w:t>
      </w:r>
      <w:r>
        <w:t xml:space="preserve"> </w:t>
      </w:r>
      <w:hyperlink w:anchor="ref-16">
        <w:r>
          <w:rPr>
            <w:rStyle w:val="Hyperlink"/>
          </w:rPr>
          <w:t xml:space="preserve">[16]</w:t>
        </w:r>
      </w:hyperlink>
      <w:r>
        <w:t xml:space="preserve">. Sensor-tasking research is bringing modern scheduling and learning methods to bear on the observation-allocation problem, which is the direct upstream determinant of state-estimate quality in the terminal phase</w:t>
      </w:r>
      <w:r>
        <w:t xml:space="preserve"> </w:t>
      </w:r>
      <w:hyperlink w:anchor="ref-3">
        <w:r>
          <w:rPr>
            <w:rStyle w:val="Hyperlink"/>
          </w:rPr>
          <w:t xml:space="preserve">[3]</w:t>
        </w:r>
      </w:hyperlink>
      <w:r>
        <w:t xml:space="preserve">. And cooperative-tracking concepts are exploring ways to reduce the uncertainty that uncooperative surveillance leaves behind</w:t>
      </w:r>
      <w:r>
        <w:t xml:space="preserve"> </w:t>
      </w:r>
      <w:hyperlink w:anchor="ref-5">
        <w:r>
          <w:rPr>
            <w:rStyle w:val="Hyperlink"/>
          </w:rPr>
          <w:t xml:space="preserve">[5]</w:t>
        </w:r>
      </w:hyperlink>
      <w:r>
        <w:t xml:space="preserve">.</w:t>
      </w:r>
    </w:p>
    <w:p>
      <w:pPr>
        <w:pStyle w:val="BodyText"/>
        <w:spacing w:line="480" w:lineRule="auto"/>
        <w:ind w:firstLine="720"/>
      </w:pPr>
      <w:r>
        <w:t xml:space="preserve">Each of these advances tightens the coupling that this dissertation studies, because each improves some link in the chain from observation to footprint. A field whose technical substrate is advancing this broadly is a field one would expect to be consolidating, drawing together the tracking, prediction, and airspace threads into a recognized research front. Whether that expectation is borne out in the structure of the record is, again, the empirical question, and the review’s role is to establish that the expectation is well founded so that a null result, if one appeared, would be genuinely informative rather than unsurprising</w:t>
      </w:r>
      <w:r>
        <w:t xml:space="preserve"> </w:t>
      </w:r>
      <w:hyperlink w:anchor="ref-7">
        <w:r>
          <w:rPr>
            <w:rStyle w:val="Hyperlink"/>
          </w:rPr>
          <w:t xml:space="preserve">[7]</w:t>
        </w:r>
      </w:hyperlink>
      <w:r>
        <w:t xml:space="preserve"> </w:t>
      </w:r>
      <w:hyperlink w:anchor="ref-15">
        <w:r>
          <w:rPr>
            <w:rStyle w:val="Hyperlink"/>
          </w:rPr>
          <w:t xml:space="preserve">[15]</w:t>
        </w:r>
      </w:hyperlink>
      <w:r>
        <w:t xml:space="preserve">. The advancing substrate raises the prior that structure should be present, which sharpens the test the later chapters run.</w:t>
      </w:r>
    </w:p>
    <w:p>
      <w:pPr>
        <w:pStyle w:val="BodyText"/>
        <w:spacing w:line="480" w:lineRule="auto"/>
        <w:ind w:firstLine="720"/>
      </w:pPr>
      <w:r>
        <w:t xml:space="preserve">The review can therefore be summarized in a sentence that the rest of the dissertation earns. The literature contains real, advancing, and institutionally significant work across three strands that rarely meet, and the coupling that joins them, tracking quality to reentry prediction to airspace decision, is discussed but never measured as an object in its own right</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6">
        <w:r>
          <w:rPr>
            <w:rStyle w:val="Hyperlink"/>
          </w:rPr>
          <w:t xml:space="preserve">[16]</w:t>
        </w:r>
      </w:hyperlink>
      <w:r>
        <w:t xml:space="preserve">. That absence is the opening. A field with an advancing technical substrate and rising operational stakes should, if the coupling is real, be consolidating into a recognizable research front, and consolidation leaves a measurable trace in the timing, attention, and venue structure of the record</w:t>
      </w:r>
      <w:r>
        <w:t xml:space="preserve"> </w:t>
      </w:r>
      <w:hyperlink w:anchor="ref-3">
        <w:r>
          <w:rPr>
            <w:rStyle w:val="Hyperlink"/>
          </w:rPr>
          <w:t xml:space="preserve">[3]</w:t>
        </w:r>
      </w:hyperlink>
      <w:r>
        <w:t xml:space="preserve"> </w:t>
      </w:r>
      <w:hyperlink w:anchor="ref-13">
        <w:r>
          <w:rPr>
            <w:rStyle w:val="Hyperlink"/>
          </w:rPr>
          <w:t xml:space="preserve">[13]</w:t>
        </w:r>
      </w:hyperlink>
      <w:r>
        <w:t xml:space="preserve">. Whether the trace is present is the question the review hands forward, converted from a matter of impression into a matter the estimators can decide.</w:t>
      </w:r>
    </w:p>
    <w:bookmarkEnd w:id="76"/>
    <w:bookmarkEnd w:id="77"/>
    <w:bookmarkStart w:id="87" w:name="chapter-3.-theory-and-hypotheses"/>
    <w:p>
      <w:pPr>
        <w:pStyle w:val="Heading1"/>
        <w:spacing w:line="480" w:lineRule="auto"/>
      </w:pPr>
      <w:r>
        <w:t xml:space="preserve">Chapter 3. Theory and Hypotheses</w:t>
      </w:r>
    </w:p>
    <w:p>
      <w:pPr>
        <w:pStyle w:val="FirstParagraph"/>
        <w:spacing w:line="480" w:lineRule="auto"/>
      </w:pPr>
      <w:r>
        <w:t xml:space="preserve">Theory earns its place in an empirical dissertation by doing two jobs. Two jobs, not one. It must name the mechanism precisely enough that a reader can see how the world would have to work for the claim to be true, and it must translate that mechanism into predictions a fixed dataset can confirm or refute. This chapter does both. It builds the causal story that links tracking-data quality to airspace risk, and then it steps down from that story to the narrower, testable proposition about legibility in the documentary record that the two estimators actually evaluate.</w:t>
      </w:r>
    </w:p>
    <w:bookmarkStart w:id="78" w:name="the-substantive-mechanism"/>
    <w:p>
      <w:pPr>
        <w:pStyle w:val="Heading2"/>
        <w:spacing w:line="480" w:lineRule="auto"/>
      </w:pPr>
      <w:r>
        <w:t xml:space="preserve">3.1 The substantive mechanism</w:t>
      </w:r>
    </w:p>
    <w:p>
      <w:pPr>
        <w:pStyle w:val="FirstParagraph"/>
        <w:spacing w:line="480" w:lineRule="auto"/>
      </w:pPr>
      <w:r>
        <w:t xml:space="preserve">Begin with the physical chain, because the whole argument depends on it. Trace it link by link. An uncontrolled object in a decaying orbit is observed by ground sensors. Those observations feed an orbit-determination process that produces a state estimate with an uncertainty attached. The state estimate is propagated forward through an atmosphere whose density is itself uncertain, and the propagation yields a predicted reentry time and ground track with a footprint of error around them. The airspace manager receives that footprint and must decide whether the risk to aircraft inside it justifies a closure or diversion. Every link in the chain adds uncertainty, and the uncertainty is largest at the two links that matter most for aviation: the low-altitude state estimate, degraded by sparse uncooperative observations</w:t>
      </w:r>
      <w:r>
        <w:t xml:space="preserve"> </w:t>
      </w:r>
      <w:hyperlink w:anchor="ref-7">
        <w:r>
          <w:rPr>
            <w:rStyle w:val="Hyperlink"/>
          </w:rPr>
          <w:t xml:space="preserve">[7]</w:t>
        </w:r>
      </w:hyperlink>
      <w:r>
        <w:t xml:space="preserve">, and the drag propagation, degraded by thermospheric variability</w:t>
      </w:r>
      <w:r>
        <w:t xml:space="preserve"> </w:t>
      </w:r>
      <w:hyperlink w:anchor="ref-4">
        <w:r>
          <w:rPr>
            <w:rStyle w:val="Hyperlink"/>
          </w:rPr>
          <w:t xml:space="preserve">[4]</w:t>
        </w:r>
      </w:hyperlink>
      <w:r>
        <w:t xml:space="preserve">.</w:t>
      </w:r>
    </w:p>
    <w:p>
      <w:pPr>
        <w:pStyle w:val="BodyText"/>
        <w:spacing w:line="480" w:lineRule="auto"/>
        <w:ind w:firstLine="720"/>
      </w:pPr>
      <w:r>
        <w:t xml:space="preserve">This mechanism has a sharp implication. The airspace hazard is not a fixed property of the falling object. It is a joint product of the object and the quality of the information about it. Two identical rocket bodies, one tracked well and early, one tracked poorly and late, present different airspace problems, because the poorly tracked one forces a wider footprint and therefore a larger, more disruptive, and less trustworthy airspace action. Tracking quality is the lever. Nothing else moves the footprint as much. Where it is high, the footprint tightens, the false-alarm rate falls, and the airspace manager can act with precision. Where it is low, the manager is pushed toward the two costly errors described in Chapter 1: over-closure or exposure</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This is why the coupling matters as a governance object and not only as an engineering one. If the hazard were purely a function of the object, the policy response would be disposal and design: deorbit stages controllably, reduce surviving mass</w:t>
      </w:r>
      <w:r>
        <w:t xml:space="preserve"> </w:t>
      </w:r>
      <w:hyperlink w:anchor="ref-15">
        <w:r>
          <w:rPr>
            <w:rStyle w:val="Hyperlink"/>
          </w:rPr>
          <w:t xml:space="preserve">[15]</w:t>
        </w:r>
      </w:hyperlink>
      <w:r>
        <w:t xml:space="preserve">. Those responses remain necessary. But the mechanism says they are not sufficient, because even a fixed population of uncontrolled objects can present more or less airspace risk depending on how well it is tracked. Investment in surveillance, sensor tasking, and cross-domain data sharing becomes a hazard-reduction measure in its own right, one that acts on the information rather than the object</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78"/>
    <w:bookmarkStart w:id="79" w:name="from-mechanism-to-a-testable-prior"/>
    <w:p>
      <w:pPr>
        <w:pStyle w:val="Heading2"/>
        <w:spacing w:line="480" w:lineRule="auto"/>
      </w:pPr>
      <w:r>
        <w:t xml:space="preserve">3.2 From mechanism to a testable prior</w:t>
      </w:r>
    </w:p>
    <w:p>
      <w:pPr>
        <w:pStyle w:val="FirstParagraph"/>
        <w:spacing w:line="480" w:lineRule="auto"/>
      </w:pPr>
      <w:r>
        <w:t xml:space="preserve">A design-stage dissertation cannot observe the full mechanism directly. It would need a dataset of actual reentry events, actual tracking-quality measures, and actual airspace decisions, coded and matched. That is the follow-on study named in Chapter 8. What the present design can observe is whether the field that studies this coupling has consolidated into a structured, legible body of work, because a coupling that genuinely governs airspace safety should leave a signature in the literature that treats it. This is the prior that any credible causal study must establish first, and it is the proposition the estimators test.</w:t>
      </w:r>
    </w:p>
    <w:p>
      <w:pPr>
        <w:pStyle w:val="BodyText"/>
        <w:spacing w:line="480" w:lineRule="auto"/>
        <w:ind w:firstLine="720"/>
      </w:pPr>
      <w:r>
        <w:t xml:space="preserve">The logic of the step-down is this. If reentry-airspace coupling under tracking constraints is a real and consequential research front, then the documentary record should not scatter it at random. Recent work should carry more topic signal than older work as the front matures. Attention, measured by citation, should track the topic where it is genuinely load-bearing. Venue family should matter, because different venues host different framings of the problem, and a consolidating topic tends to concentrate in the venues whose scope fits it. If, instead, the topic is a diffuse intuition rather than a structured front, these signals will be weak, unstable, or absent, and the corpus will look like noise on the dimensions that ought to carry structure</w:t>
      </w:r>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bookmarkEnd w:id="79"/>
    <w:bookmarkStart w:id="80" w:name="hypotheses"/>
    <w:p>
      <w:pPr>
        <w:pStyle w:val="Heading2"/>
        <w:spacing w:line="480" w:lineRule="auto"/>
      </w:pPr>
      <w:r>
        <w:t xml:space="preserve">3.3 Hypotheses</w:t>
      </w:r>
    </w:p>
    <w:p>
      <w:pPr>
        <w:pStyle w:val="FirstParagraph"/>
        <w:spacing w:line="480" w:lineRule="auto"/>
      </w:pPr>
      <w:r>
        <w:t xml:space="preserve">Two complementary propositions follow, one cross-sectional and one temporal.</w:t>
      </w:r>
    </w:p>
    <w:p>
      <w:pPr>
        <w:pStyle w:val="BodyText"/>
        <w:spacing w:line="480" w:lineRule="auto"/>
        <w:ind w:firstLine="720"/>
      </w:pPr>
      <w:r>
        <w:t xml:space="preserve">The first concerns structure across records. It asks whether the topic-signal intensity of a source is systematically related to its recency, its citation attention, and its venue family.</w:t>
      </w:r>
    </w:p>
    <w:p>
      <w:pPr>
        <w:pStyle w:val="BodyText"/>
        <w:spacing w:line="480" w:lineRule="auto"/>
        <w:ind w:firstLine="720"/>
      </w:pPr>
      <w:r>
        <w:t xml:space="preserve">H1a (null): topic-signal intensity is unrelated to publication recency, citation attention, and venue family across the retrieved records.</w:t>
      </w:r>
    </w:p>
    <w:p>
      <w:pPr>
        <w:pStyle w:val="BodyText"/>
        <w:spacing w:line="480" w:lineRule="auto"/>
        <w:ind w:firstLine="720"/>
      </w:pPr>
      <w:r>
        <w:t xml:space="preserve">H1b (alternative): topic-signal intensity is systematically related to at least one of recency, citation attention, and venue family, indicating that the topic is legible in the cross-sectional structure of the corpus.</w:t>
      </w:r>
    </w:p>
    <w:p>
      <w:pPr>
        <w:pStyle w:val="BodyText"/>
        <w:spacing w:line="480" w:lineRule="auto"/>
        <w:ind w:firstLine="720"/>
      </w:pPr>
      <w:r>
        <w:t xml:space="preserve">The alternative does not require every predictor to move, and it does not commit in advance to the sign of the venue relationship, because venue coding is ordinal and its direction is an empirical matter rather than a theoretical one. The theory predicts that recency should carry positive signal if the front is maturing, and it stays agnostic on citation and venue until the estimator speaks.</w:t>
      </w:r>
    </w:p>
    <w:p>
      <w:pPr>
        <w:pStyle w:val="BodyText"/>
        <w:spacing w:line="480" w:lineRule="auto"/>
        <w:ind w:firstLine="720"/>
      </w:pPr>
      <w:r>
        <w:t xml:space="preserve">The second proposition concerns accumulation over time. It asks whether citation attention in this literature follows a measurable structure as a function of article age.</w:t>
      </w:r>
    </w:p>
    <w:p>
      <w:pPr>
        <w:pStyle w:val="BodyText"/>
        <w:spacing w:line="480" w:lineRule="auto"/>
        <w:ind w:firstLine="720"/>
      </w:pPr>
      <w:r>
        <w:t xml:space="preserve">H2a (null): citation accumulation is unrelated to article age in the retrieved topic literature.</w:t>
      </w:r>
    </w:p>
    <w:p>
      <w:pPr>
        <w:pStyle w:val="BodyText"/>
        <w:spacing w:line="480" w:lineRule="auto"/>
        <w:ind w:firstLine="720"/>
      </w:pPr>
      <w:r>
        <w:t xml:space="preserve">H2b (alternative): citation accumulation follows a measurable age-based curve, so that attention is a structured function of how long a work has been available rather than a random draw.</w:t>
      </w:r>
    </w:p>
    <w:p>
      <w:pPr>
        <w:pStyle w:val="BodyText"/>
        <w:spacing w:line="480" w:lineRule="auto"/>
        <w:ind w:firstLine="720"/>
      </w:pPr>
      <w:r>
        <w:t xml:space="preserve">These two hypotheses are not redundant. A field can be visible cross-sectionally because a handful of influential records dominate, while showing no orderly accumulation of attention over time, or the reverse. Distinguishing the two is the reason the design carries two estimators rather than one</w:t>
      </w:r>
      <w:r>
        <w:t xml:space="preserve"> </w:t>
      </w:r>
      <w:hyperlink w:anchor="ref-5">
        <w:r>
          <w:rPr>
            <w:rStyle w:val="Hyperlink"/>
          </w:rPr>
          <w:t xml:space="preserve">[5]</w:t>
        </w:r>
      </w:hyperlink>
      <w:r>
        <w:t xml:space="preserve">.</w:t>
      </w:r>
    </w:p>
    <w:bookmarkEnd w:id="80"/>
    <w:bookmarkStart w:id="81" w:name="rival-explanations-named-in-advance"/>
    <w:p>
      <w:pPr>
        <w:pStyle w:val="Heading2"/>
        <w:spacing w:line="480" w:lineRule="auto"/>
      </w:pPr>
      <w:r>
        <w:t xml:space="preserve">3.4 Rival explanations, named in advance</w:t>
      </w:r>
    </w:p>
    <w:p>
      <w:pPr>
        <w:pStyle w:val="FirstParagraph"/>
        <w:spacing w:line="480" w:lineRule="auto"/>
      </w:pPr>
      <w:r>
        <w:t xml:space="preserve">Good theory anticipates the ways it could be wrong, and it does so before seeing the results. Four rivals deserve naming. First, any cross-sectional structure could reflect venue coverage rather than substantive maturity: if one venue family simply publishes more of the retrieved records, a venue coefficient may capture a sampling artifact rather than a real concentration. Second, citation attention could favor older or more accessible records for reasons unrelated to topic importance, biasing the temporal reading. Third, the topic-signal measure is built from term hits in metadata, and metadata richness varies across venues, so signal could partly track how much text a record exposes rather than how central the topic is to it. Fourth, and most general, corpus structure is not causal impact: even a strongly structured literature does not prove that tracking gaps cause airspace risk in the world, only that the field treats the coupling as a coherent object</w:t>
      </w:r>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theory does not treat these rivals as fatal. It treats them as the reasons the results must be reported with their uncertainty intact and interpreted as evidence about the record rather than about the world. A precise coefficient establishes association inside the retained corpus and licenses the next, better-identified study. A weak coefficient is informative in the opposite direction: it warns that the available evidence cannot yet sustain the stronger claim, and it tells the follow-on design where the measurement must improve</w:t>
      </w:r>
      <w:r>
        <w:t xml:space="preserve"> </w:t>
      </w:r>
      <w:hyperlink w:anchor="ref-7">
        <w:r>
          <w:rPr>
            <w:rStyle w:val="Hyperlink"/>
          </w:rPr>
          <w:t xml:space="preserve">[7]</w:t>
        </w:r>
      </w:hyperlink>
      <w:r>
        <w:t xml:space="preserve"> </w:t>
      </w:r>
      <w:hyperlink w:anchor="ref-8">
        <w:r>
          <w:rPr>
            <w:rStyle w:val="Hyperlink"/>
          </w:rPr>
          <w:t xml:space="preserve">[8]</w:t>
        </w:r>
      </w:hyperlink>
      <w:r>
        <w:t xml:space="preserve">. Either outcome advances the argument, which is the mark of a hypothesis that was worth posing. The framework therefore supports an evidence ladder rather than a single verdict, and each rung is honest about how high it reaches.</w:t>
      </w:r>
    </w:p>
    <w:bookmarkEnd w:id="81"/>
    <w:bookmarkStart w:id="82" w:name="formalizing-the-uncertainty-chain"/>
    <w:p>
      <w:pPr>
        <w:pStyle w:val="Heading2"/>
        <w:spacing w:line="480" w:lineRule="auto"/>
      </w:pPr>
      <w:r>
        <w:t xml:space="preserve">3.5 Formalizing the uncertainty chain</w:t>
      </w:r>
    </w:p>
    <w:p>
      <w:pPr>
        <w:pStyle w:val="FirstParagraph"/>
        <w:spacing w:line="480" w:lineRule="auto"/>
      </w:pPr>
      <w:r>
        <w:t xml:space="preserve">It helps to make the mechanism a little more formal, because the formalization shows exactly where tracking quality enters and why it dominates. Let the airspace hazard associated with a reentering object be a function of the predicted footprint: the larger the region of uncertainty around the predicted ground track and time, the more airspace must be considered at risk and the larger the required protective action. The footprint width is driven by two sources of uncertainty compounded in sequence. The first is the orbital-state uncertainty at the start of the terminal phase, which is set by the quantity and geometry of the observations feeding orbit determination. The second is the propagation uncertainty accumulated as that state is carried forward through an uncertain drag environment to the point of reentry</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Both sources multiply rather than add in their effect on the footprint, and both are functions of tracking quality broadly construed. The compounding is the danger. Sparse or poorly distributed observations inflate the initial state uncertainty directly</w:t>
      </w:r>
      <w:r>
        <w:t xml:space="preserve"> </w:t>
      </w:r>
      <w:hyperlink w:anchor="ref-3">
        <w:r>
          <w:rPr>
            <w:rStyle w:val="Hyperlink"/>
          </w:rPr>
          <w:t xml:space="preserve">[3]</w:t>
        </w:r>
      </w:hyperlink>
      <w:r>
        <w:t xml:space="preserve">. They also inflate the propagation uncertainty indirectly, because a poorly determined state gives the propagator a worse starting point and less leverage to calibrate the drag model against recent observations. The practical consequence is that footprint width is highly sensitive to tracking quality in exactly the regime that matters, and that improvements in tracking pay off twice, once in the initial state and once in the propagation. This is the quantitative content behind the claim that tracking quality is the hinge rather than one factor among many. A model of the airspace decision that held tracking quality fixed would miss the variable with the most leverage over the outcome</w:t>
      </w:r>
      <w:r>
        <w:t xml:space="preserve"> </w:t>
      </w:r>
      <w:hyperlink w:anchor="ref-1">
        <w:r>
          <w:rPr>
            <w:rStyle w:val="Hyperlink"/>
          </w:rPr>
          <w:t xml:space="preserve">[1]</w:t>
        </w:r>
      </w:hyperlink>
      <w:r>
        <w:t xml:space="preserve">.</w:t>
      </w:r>
    </w:p>
    <w:p>
      <w:pPr>
        <w:pStyle w:val="BodyText"/>
        <w:spacing w:line="480" w:lineRule="auto"/>
        <w:ind w:firstLine="720"/>
      </w:pPr>
      <w:r>
        <w:t xml:space="preserve">The formalization also clarifies why disposal and design measures, though necessary, cannot substitute for tracking. Controlled deorbit and reduced surviving mass act on the numerator of the risk, the amount and lethality of what comes down</w:t>
      </w:r>
      <w:r>
        <w:t xml:space="preserve"> </w:t>
      </w:r>
      <w:hyperlink w:anchor="ref-15">
        <w:r>
          <w:rPr>
            <w:rStyle w:val="Hyperlink"/>
          </w:rPr>
          <w:t xml:space="preserve">[15]</w:t>
        </w:r>
      </w:hyperlink>
      <w:r>
        <w:t xml:space="preserve">. Tracking quality acts on the denominator of the decision, the precision with which the airspace manager can localize the hazard. A fixed population of uncontrolled objects, unchanged in mass or number, still presents a smaller airspace problem when tracked well, because the footprints are tighter and the actions can be narrower. The two levers are complements operating on different terms, and a governance strategy that funded only the source-side lever would leave the information-side lever, the one with double leverage over the footprint, untouched</w:t>
      </w:r>
      <w:r>
        <w:t xml:space="preserve"> </w:t>
      </w:r>
      <w:hyperlink w:anchor="ref-6">
        <w:r>
          <w:rPr>
            <w:rStyle w:val="Hyperlink"/>
          </w:rPr>
          <w:t xml:space="preserve">[6]</w:t>
        </w:r>
      </w:hyperlink>
      <w:r>
        <w:t xml:space="preserve">.</w:t>
      </w:r>
    </w:p>
    <w:bookmarkEnd w:id="82"/>
    <w:bookmarkStart w:id="83" w:name="predicted-signatures-in-the-record"/>
    <w:p>
      <w:pPr>
        <w:pStyle w:val="Heading2"/>
        <w:spacing w:line="480" w:lineRule="auto"/>
      </w:pPr>
      <w:r>
        <w:t xml:space="preserve">3.6 Predicted signatures in the record</w:t>
      </w:r>
    </w:p>
    <w:p>
      <w:pPr>
        <w:pStyle w:val="FirstParagraph"/>
        <w:spacing w:line="480" w:lineRule="auto"/>
      </w:pPr>
      <w:r>
        <w:t xml:space="preserve">The step from mechanism to a documentary prediction rests on a simple auxiliary assumption: that a coupling with real operational leverage attracts research effort, and that research effort leaves a metadata signature. If the mechanism above is correct, the field working the tracking-quality problem should treat reentry prediction and airspace risk as a joint concern, and that joint treatment should show up as topic-signal density concentrated where the tracking work is done. The prediction is therefore directional and venue-specific. Signal should run heavier in the technical surveillance venues, where the state-and-propagation uncertainty is actually modeled, than in venues whose framing is economic or policy-oriented and whose engagement with the coupling is more allusive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temporal prediction is weaker, and the theory is honest about that weakness. A young front will show cross-sectional concentration before it shows citation accumulation, because concentration reflects where current effort clusters while accumulation requires years of downstream citing to develop. The framework therefore predicts that the cross-sectional signature should appear first and more strongly than the temporal one, and it treats a flat temporal profile as consistent with a front that is real but not yet mature rather than as evidence against the coupling itself</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Distinguishing a young structured front from a mature one, and distinguishing both from mere noise, is exactly what the paired estimators are built to do, and the predictions above are what Chapter 6 will test them against.</w:t>
      </w:r>
    </w:p>
    <w:bookmarkEnd w:id="83"/>
    <w:bookmarkStart w:id="84" w:name="the-theory-of-the-venue-signal"/>
    <w:p>
      <w:pPr>
        <w:pStyle w:val="Heading2"/>
        <w:spacing w:line="480" w:lineRule="auto"/>
      </w:pPr>
      <w:r>
        <w:t xml:space="preserve">3.7 The theory of the venue signal</w:t>
      </w:r>
    </w:p>
    <w:p>
      <w:pPr>
        <w:pStyle w:val="FirstParagraph"/>
        <w:spacing w:line="480" w:lineRule="auto"/>
      </w:pPr>
      <w:r>
        <w:t xml:space="preserve">The venue prediction deserves its own development, because it is the sharpest testable consequence of the mechanism and the one most exposed to misreading. The claim is that the density of topic terminology in a record should vary with the venue family that carries it, and specifically that the surveillance venues should carry the densest engagement. The reasoning is not that surveillance authors care more about airspace safety in some abstract sense. It is that the tracking-quality problem, the state-and-propagation uncertainty that sets footprint width, is a technical problem worked in technical venues, and a record that engages that problem seriously will expose more of the reentry, tracking, and prediction vocabulary in its metadata</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 venue signal, if it appears, is a fingerprint of where the technical substance of the coupling is actually being done.</w:t>
      </w:r>
    </w:p>
    <w:p>
      <w:pPr>
        <w:pStyle w:val="BodyText"/>
        <w:spacing w:line="480" w:lineRule="auto"/>
        <w:ind w:firstLine="720"/>
      </w:pPr>
      <w:r>
        <w:t xml:space="preserve">This makes the venue prediction directional but its coded sign contingent on the coding scheme. Because the venue variable is ordered with surveillance coded low and the economy and policy family coded high, the mechanism predicts a negative coefficient: signal should fall as one moves up the coding away from the surveillance venues. But that negative sign is an artifact of the coding direction, not a claim that economic and policy work is unimportant. Reverse the coding and the sign reverses with it. The theory therefore predicts a magnitude and a direction relative to the venue ordering, and it insists that the interpretation attach to the venue families rather than to the sign in the abstract</w:t>
      </w:r>
      <w:r>
        <w:t xml:space="preserve"> </w:t>
      </w:r>
      <w:hyperlink w:anchor="ref-5">
        <w:r>
          <w:rPr>
            <w:rStyle w:val="Hyperlink"/>
          </w:rPr>
          <w:t xml:space="preserve">[5]</w:t>
        </w:r>
      </w:hyperlink>
      <w:r>
        <w:t xml:space="preserve">. This distinction, easy to blur, is the reason Chapter 4 devotes explicit attention to how the venue coefficient must be read, and the reason Chapter 7 flags ordinal overreading as a standing threat.</w:t>
      </w:r>
    </w:p>
    <w:p>
      <w:pPr>
        <w:pStyle w:val="BodyText"/>
        <w:spacing w:line="480" w:lineRule="auto"/>
        <w:ind w:firstLine="720"/>
      </w:pPr>
      <w:r>
        <w:t xml:space="preserve">The venue prediction also carries a rival the theory must keep in view. If one venue family simply exposes richer metadata as a matter of publishing convention, longer abstracts, more keywords, fuller author fields, then a venue coefficient could reflect metadata volume rather than substantive concentration. The mechanism cannot fully separate these within a thirty-record screen, and the theory does not pretend otherwise. What it does is predict that, absent a strong metadata-volume confound, the substantive concentration should dominate, and it hands the confound to the follow-on study as a measurement task: validate the topic-signal score against human coding to confirm that it tracks substance rather than mere text length</w:t>
      </w:r>
      <w:r>
        <w:t xml:space="preserve"> </w:t>
      </w:r>
      <w:hyperlink w:anchor="ref-8">
        <w:r>
          <w:rPr>
            <w:rStyle w:val="Hyperlink"/>
          </w:rPr>
          <w:t xml:space="preserve">[8]</w:t>
        </w:r>
      </w:hyperlink>
      <w:r>
        <w:t xml:space="preserve">. The prediction is thus made falsifiable and its principal rival is named in the same breath, which is the standard the theory holds itself to throughout.</w:t>
      </w:r>
    </w:p>
    <w:bookmarkEnd w:id="84"/>
    <w:bookmarkStart w:id="85" w:name="summary-of-the-testable-structure"/>
    <w:p>
      <w:pPr>
        <w:pStyle w:val="Heading2"/>
        <w:spacing w:line="480" w:lineRule="auto"/>
      </w:pPr>
      <w:r>
        <w:t xml:space="preserve">3.8 Summary of the testable structure</w:t>
      </w:r>
    </w:p>
    <w:p>
      <w:pPr>
        <w:pStyle w:val="FirstParagraph"/>
        <w:spacing w:line="480" w:lineRule="auto"/>
      </w:pPr>
      <w:r>
        <w:t xml:space="preserve">This framework reduces to a compact set of testable expectations that the empirical chapters evaluate against fixed data. Cross-sectionally, topic signal should be structured by venue at detectable strength and by recency in the positive direction, while citation attention may or may not carry independent signal once venue and recency are controlled. Temporally, citation attention may show little orderly accumulation with age, consistent with a young front, and a flat age curve is to be read as a statement about the field’s youth rather than as a refutation of the coupling</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Each expectation is tied to the mechanism, each is falsifiable against the corpus, and each carries a named rival that bounds its interpretation. That structure, and not any single predicted coefficient, is the theory’s contribution: it tells the reader in advance what the estimators would have to show for the coupling to count as legible, and what they would show if it did not.</w:t>
      </w:r>
    </w:p>
    <w:bookmarkEnd w:id="85"/>
    <w:bookmarkStart w:id="86" w:name="Xc6f3b1dc9b2b6247b9950227b4ee6c1cd2c8fed"/>
    <w:p>
      <w:pPr>
        <w:pStyle w:val="Heading2"/>
        <w:spacing w:line="480" w:lineRule="auto"/>
      </w:pPr>
      <w:r>
        <w:t xml:space="preserve">3.9 Why the two-estimator design is theoretically necessary</w:t>
      </w:r>
    </w:p>
    <w:p>
      <w:pPr>
        <w:pStyle w:val="FirstParagraph"/>
        <w:spacing w:line="480" w:lineRule="auto"/>
      </w:pPr>
      <w:r>
        <w:t xml:space="preserve">It is worth stating plainly why the theory demands two estimators rather than one, because the necessity is not merely convenient but conceptual. The mechanism makes two distinct claims about how a real coupling manifests in the record, and the two claims are logically independent. The first is a claim about where effort concentrates, which is a cross-sectional fact observable at a single moment: does the topic vocabulary cluster in the venues doing the technical work? The second is a claim about how attention develops, which is a temporal fact observable only across time: does citing behavior sort the literature as it ages? A single model cannot test both, because a cross-sectional regression cannot observe accumulation and a temporal curve cannot observe venue concentration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independence matters because the two facts can dissociate, and their dissociation is diagnostic. A field with strong cross-sectional concentration but no temporal accumulation is young: effort has organized but time has not yet sorted it. A field with both is mature. A field with neither is either not a coherent front at all or is measured through too poor a lens to detect one. By carrying both estimators, the design can distinguish these states rather than collapsing them, and the theory predicts in advance which state a genuine but recent coupling should occupy, namely the young one, with concentration present and accumulation absent</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paired design is therefore not redundancy but the minimal apparatus capable of locating the field on the maturity axis the theory cares about. Chapter 6 will report where, in fact, the estimators place it.</w:t>
      </w:r>
    </w:p>
    <w:bookmarkEnd w:id="86"/>
    <w:bookmarkEnd w:id="87"/>
    <w:bookmarkStart w:id="97"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specifies the two estimators that carry the empirical weight of the dissertation, explains why each is the right tool for its question, and states with care what each can and cannot identify. The methodological posture is conservative by design. Deliberately so. The study does not claim experimental control, it does not claim that documentary metadata reveals every causal pathway, and it does not treat a corpus screen as a substitute for event-level causal inference. What it claims is narrower and defensible: that two pre-specified models, run against a fixed and auditable dataset, can establish whether the candidate topic is structured in the record, and can do so in a way any reader can reproduce.</w:t>
      </w:r>
    </w:p>
    <w:bookmarkStart w:id="88" w:name="two-estimators-two-questions"/>
    <w:p>
      <w:pPr>
        <w:pStyle w:val="Heading2"/>
        <w:spacing w:line="480" w:lineRule="auto"/>
      </w:pPr>
      <w:r>
        <w:t xml:space="preserve">4.1 Two estimators, two questions</w:t>
      </w:r>
    </w:p>
    <w:p>
      <w:pPr>
        <w:pStyle w:val="FirstParagraph"/>
        <w:spacing w:line="480" w:lineRule="auto"/>
      </w:pPr>
      <w:r>
        <w:t xml:space="preserve">The design uses two estimators because the theory poses two distinct questions. One is spatial. One is temporal. Chapter 3 separated a cross-sectional proposition, about whether topic signal is structured across records, from a temporal proposition, about whether attention accumulates as a function of article age. A single model cannot answer both without conflating them, so the design pairs an ordinary least squares specification with a log-log learning-curve specification, each matched to its question.</w:t>
      </w:r>
    </w:p>
    <w:p>
      <w:pPr>
        <w:pStyle w:val="BodyText"/>
        <w:spacing w:line="480" w:lineRule="auto"/>
        <w:ind w:firstLine="720"/>
      </w:pPr>
      <w:r>
        <w:t xml:space="preserve">Paper 1 estimates the cross-sectional structure. The outcome is the composite topic-signal score of a source record, and the predictors are its publication recency, its reported citation count, and its ordinal venue family. The estimating equation, taken verbatim from the paper configuration,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p>
      <w:pPr>
        <w:pStyle w:val="FirstParagraph"/>
        <w:spacing w:line="480" w:lineRule="auto"/>
      </w:pPr>
      <w:r>
        <w:t xml:space="preserve">Ordinary least squares is the appropriate estimator here because the question is whether variation in the outcome across records is systematically associated with the three observable predictors, and because the outcome is a bounded count-like score for which a linear conditional-mean model is a transparent and standard first approximation. The estimator is fit with robust HC1 standard errors, so that inference does not lean on an assumption of homoskedastic errors that a heterogeneous corpus is unlikely to satisfy.</w:t>
      </w:r>
    </w:p>
    <w:p>
      <w:pPr>
        <w:pStyle w:val="BodyText"/>
        <w:spacing w:line="480" w:lineRule="auto"/>
        <w:ind w:firstLine="720"/>
      </w:pPr>
      <w:r>
        <w:t xml:space="preserve">Paper 2 estimates the temporal structure. The outcome is the reported citation count plus one, logged so that uncited records remain defined, and the single predictor is the logged document age index. The estimating equation, again verbatim from the configuration, is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p>
      <w:pPr>
        <w:pStyle w:val="FirstParagraph"/>
        <w:spacing w:line="480" w:lineRule="auto"/>
      </w:pPr>
      <w:r>
        <w:t xml:space="preserve">A log-log learning-curve specification is the appropriate estimator for accumulation because it expresses the relationship as an elasticity: the coefficient on logged age is the percentage change in citation attention associated with a one-percent change in age. That framing matches the theoretical question, which is not whether older papers have more citations in absolute terms, but whether attention scales with age in a measurable, structured way. Robust HC1 standard errors are used again for the same reason.</w:t>
      </w:r>
    </w:p>
    <w:bookmarkEnd w:id="88"/>
    <w:bookmarkStart w:id="89" w:name="what-identification-means-here"/>
    <w:p>
      <w:pPr>
        <w:pStyle w:val="Heading2"/>
        <w:spacing w:line="480" w:lineRule="auto"/>
      </w:pPr>
      <w:r>
        <w:t xml:space="preserve">4.2 What identification means here</w:t>
      </w:r>
    </w:p>
    <w:p>
      <w:pPr>
        <w:pStyle w:val="FirstParagraph"/>
        <w:spacing w:line="480" w:lineRule="auto"/>
      </w:pPr>
      <w:r>
        <w:t xml:space="preserve">Identification in this design is modest and explicit. It claims little and claims it cleanly. Neither estimator identifies the causal effect of tracking-data quality on airspace risk. That effect lives in a counterfactual, what the airspace hazard would have been under better or worse tracking, and no documentary screen can recover it. What the estimators identify is the conditional association between observable features of a record and the topic signal or attention it carries, inside the retained corpus. That is a real and testable quantity, and it is exactly the prior the theory said must be established before any causal study is credible.</w:t>
      </w:r>
    </w:p>
    <w:p>
      <w:pPr>
        <w:pStyle w:val="BodyText"/>
        <w:spacing w:line="480" w:lineRule="auto"/>
        <w:ind w:firstLine="720"/>
      </w:pPr>
      <w:r>
        <w:t xml:space="preserve">The cross-sectional model identifies whether recency, citation, and venue jointly and individually structure the topic signal, conditional on one another. Because the three predictors enter together, each coefficient is a partial association: the recency coefficient describes the signal difference associated with a one-unit recency change holding citation and venue fixed, and likewise for the others. This matters for interpretation. A venue coefficient in a multivariate model is not the raw signal difference between venues; it is the difference net of the recency and citation differences that also distinguish those venues.</w:t>
      </w:r>
    </w:p>
    <w:p>
      <w:pPr>
        <w:pStyle w:val="BodyText"/>
        <w:spacing w:line="480" w:lineRule="auto"/>
        <w:ind w:firstLine="720"/>
      </w:pPr>
      <w:r>
        <w:t xml:space="preserve">The temporal model identifies the elasticity of attention with respect to age. Its progress-ratio transform, the factor by which attention changes when age doubles, is a compact summary of that elasticity and is reported alongside the coefficient in Chapter 6. An elasticity near zero, with a coefficient indistinguishable from zero, identifies the absence of orderly age-based accumulation in this corpus, which is itself a finding about the field’s temporal structure rather than a failure of the method</w:t>
      </w:r>
      <w:r>
        <w:t xml:space="preserve"> </w:t>
      </w:r>
      <w:hyperlink w:anchor="ref-5">
        <w:r>
          <w:rPr>
            <w:rStyle w:val="Hyperlink"/>
          </w:rPr>
          <w:t xml:space="preserve">[5]</w:t>
        </w:r>
      </w:hyperlink>
      <w:r>
        <w:t xml:space="preserve">.</w:t>
      </w:r>
    </w:p>
    <w:bookmarkEnd w:id="89"/>
    <w:bookmarkStart w:id="90" w:name="why-these-estimators-fit-the-evidence"/>
    <w:p>
      <w:pPr>
        <w:pStyle w:val="Heading2"/>
        <w:spacing w:line="480" w:lineRule="auto"/>
      </w:pPr>
      <w:r>
        <w:t xml:space="preserve">4.3 Why these estimators fit the evidence</w:t>
      </w:r>
    </w:p>
    <w:p>
      <w:pPr>
        <w:pStyle w:val="FirstParagraph"/>
        <w:spacing w:line="480" w:lineRule="auto"/>
      </w:pPr>
      <w:r>
        <w:t xml:space="preserve">Choice of estimators is disciplined by the nature of the data rather than by a preference for sophistication. The corpus is small, thirty records, and its variables are constructed from metadata whose meaning is documented and whose provenance is preserved per row. In that setting, a transparent linear model is a virtue, not a limitation. A more elaborate specification would spend degrees of freedom the sample cannot afford and would obscure the direct line from datum to coefficient that the whole design is built to preserve. Ordinary least squares and a log-log curve are estimators a reader can check by hand against the data, which is the point</w:t>
      </w:r>
      <w:r>
        <w:t xml:space="preserve"> </w:t>
      </w:r>
      <w:hyperlink w:anchor="ref-7">
        <w:r>
          <w:rPr>
            <w:rStyle w:val="Hyperlink"/>
          </w:rPr>
          <w:t xml:space="preserve">[7]</w:t>
        </w:r>
      </w:hyperlink>
      <w:r>
        <w:t xml:space="preserve">.</w:t>
      </w:r>
    </w:p>
    <w:p>
      <w:pPr>
        <w:pStyle w:val="BodyText"/>
        <w:spacing w:line="480" w:lineRule="auto"/>
        <w:ind w:firstLine="720"/>
      </w:pPr>
      <w:r>
        <w:t xml:space="preserve">This robustness choice reinforces the same commitment. HC1 standard errors do not assume that every record contributes error of the same magnitude, an assumption that would be indefensible across venues that differ in metadata richness and citation behavior. Using a heteroskedasticity-consistent estimator is the conservative option: it widens the intervals where the data are noisy and prevents the model from claiming more precision than the corpus supports. In a study whose central claim is about not overreaching, that is the correct default</w:t>
      </w:r>
      <w:r>
        <w:t xml:space="preserve"> </w:t>
      </w:r>
      <w:hyperlink w:anchor="ref-4">
        <w:r>
          <w:rPr>
            <w:rStyle w:val="Hyperlink"/>
          </w:rPr>
          <w:t xml:space="preserve">[4]</w:t>
        </w:r>
      </w:hyperlink>
      <w:r>
        <w:t xml:space="preserve">.</w:t>
      </w:r>
    </w:p>
    <w:bookmarkEnd w:id="90"/>
    <w:bookmarkStart w:id="91" w:name="threats-the-method-must-answer"/>
    <w:p>
      <w:pPr>
        <w:pStyle w:val="Heading2"/>
        <w:spacing w:line="480" w:lineRule="auto"/>
      </w:pPr>
      <w:r>
        <w:t xml:space="preserve">4.4 Threats the method must answer</w:t>
      </w:r>
    </w:p>
    <w:p>
      <w:pPr>
        <w:pStyle w:val="FirstParagraph"/>
        <w:spacing w:line="480" w:lineRule="auto"/>
      </w:pPr>
      <w:r>
        <w:t xml:space="preserve">Four threats bear directly on identification, and the method addresses each by bounding the claim rather than by pretending the threat is absent. Source selection is the first: the retained corpus may not represent all relevant activity, so the associations identified are associations within the retained records, not population parameters. Proxy measurement is the second: citation counts are local index measures, venue scores are ordinal, and the topic-signal score is a term-hit construct, so each coefficient speaks to the proxy rather than to an unobserved ideal. Omitted variables are the third: a metadata model cannot include every technical, institutional, or market driver of topic salience, so the coefficients absorb only what the three predictors can carry. Overinterpretation is the fourth and the most dangerous, because prose can outrun evidence: the method guards against it by fixing the reported quantities to workbook output and interpreting them as evidence about corpus structure</w:t>
      </w:r>
      <w:r>
        <w:t xml:space="preserve"> </w:t>
      </w:r>
      <w:hyperlink w:anchor="ref-1">
        <w:r>
          <w:rPr>
            <w:rStyle w:val="Hyperlink"/>
          </w:rPr>
          <w:t xml:space="preserve">[1]</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identification contribution, then, is not an inflated finding. It is a reproducible procedure for testing a claim that would otherwise remain rhetorical, together with an explicit account of the boundary past which the procedure cannot see. Chapter 5 documents the data those estimators run on, and Chapter 6 reports what they return, exactly and without adjustment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91"/>
    <w:bookmarkStart w:id="92" w:name="reading-the-coefficients-correctly"/>
    <w:p>
      <w:pPr>
        <w:pStyle w:val="Heading2"/>
        <w:spacing w:line="480" w:lineRule="auto"/>
      </w:pPr>
      <w:r>
        <w:t xml:space="preserve">4.5 Reading the coefficients correctly</w:t>
      </w:r>
    </w:p>
    <w:p>
      <w:pPr>
        <w:pStyle w:val="FirstParagraph"/>
        <w:spacing w:line="480" w:lineRule="auto"/>
      </w:pPr>
      <w:r>
        <w:t xml:space="preserve">Because the two estimators produce coefficients on different scales, a short guide to reading them prevents the misinterpretations that commonly attach to each. In the cross-sectional model, the coefficients are in the natural units of the outcome, which is a count of theme hits, per unit of the predictor. A recency coefficient of a given size means that a one-unit increase in the recency index, which corresponds to moving one year later toward the present, is associated with that many additional theme hits in a record’s exposed metadata, holding citation and venue constant. This is an association, not a trajectory: it does not say that any individual record gained signal as it aged, because the records do not age within a cross-section. It says that, comparing records that differ by a year of recency but are otherwise alike on citation and venue, the newer one tends to carry more signal.</w:t>
      </w:r>
    </w:p>
    <w:p>
      <w:pPr>
        <w:pStyle w:val="BodyText"/>
        <w:spacing w:line="480" w:lineRule="auto"/>
        <w:ind w:firstLine="720"/>
      </w:pPr>
      <w:r>
        <w:t xml:space="preserve">The venue coefficient demands the most caution, and stating the correct reading in advance disarms the most common error. Venue is coded ordinally, one through three, so its coefficient is the signal change associated with a one-step move up the coding, not a proportional or cardinal quantity. A negative venue coefficient means that records in higher-coded venue families expose less candidate-theme metadata, conditional on recency and citation, and it means nothing more. It is not a ranking of the venues’ importance, and it is not a claim that one venue’s work is less concerned with the topic in substance. It is a statement about metadata density net of the other two predictors, and Chapter 7 revisits the ways ordinal coding can mislead if this discipline slips</w:t>
      </w:r>
      <w:r>
        <w:t xml:space="preserve"> </w:t>
      </w:r>
      <w:hyperlink w:anchor="ref-8">
        <w:r>
          <w:rPr>
            <w:rStyle w:val="Hyperlink"/>
          </w:rPr>
          <w:t xml:space="preserve">[8]</w:t>
        </w:r>
      </w:hyperlink>
      <w:r>
        <w:t xml:space="preserve">.</w:t>
      </w:r>
    </w:p>
    <w:p>
      <w:pPr>
        <w:pStyle w:val="BodyText"/>
        <w:spacing w:line="480" w:lineRule="auto"/>
        <w:ind w:firstLine="720"/>
      </w:pPr>
      <w:r>
        <w:t xml:space="preserve">In the temporal model, the single coefficient is an elasticity because both variables are logged. Its magnitude is the percentage change in citation attention associated with a one-percent change in article age, and its transform into a progress ratio expresses the same quantity as the multiplicative factor by which attention changes when age doubles. A progress ratio below one would indicate that attention falls as age doubles, a ratio above one that it rises, and a ratio near one that age barely moves attention at all. The elasticity framing is deliberate. It matches the theoretical question, which concerns how attention scales with age rather than how many citations old papers happen to have, and it keeps the interpretation on the multiplicative footing that citation dynamics naturally occupy</w:t>
      </w:r>
      <w:r>
        <w:t xml:space="preserve"> </w:t>
      </w:r>
      <w:hyperlink w:anchor="ref-5">
        <w:r>
          <w:rPr>
            <w:rStyle w:val="Hyperlink"/>
          </w:rPr>
          <w:t xml:space="preserve">[5]</w:t>
        </w:r>
      </w:hyperlink>
      <w:r>
        <w:t xml:space="preserve">.</w:t>
      </w:r>
    </w:p>
    <w:bookmarkEnd w:id="92"/>
    <w:bookmarkStart w:id="93" w:name="why-not-a-richer-model"/>
    <w:p>
      <w:pPr>
        <w:pStyle w:val="Heading2"/>
        <w:spacing w:line="480" w:lineRule="auto"/>
      </w:pPr>
      <w:r>
        <w:t xml:space="preserve">4.6 Why not a richer model</w:t>
      </w:r>
    </w:p>
    <w:p>
      <w:pPr>
        <w:pStyle w:val="FirstParagraph"/>
        <w:spacing w:line="480" w:lineRule="auto"/>
      </w:pPr>
      <w:r>
        <w:t xml:space="preserve">A reviewer might reasonably ask why the design does not reach for a richer specification: interactions between recency and venue, nonlinear terms, a count model such as Poisson for the signal score, or a fixed-effect structure to absorb venue-family heterogeneity. The answer is that the sample forbids it and the purpose does not require it. Thirty records with three predictors already spend a nontrivial fraction of the available degrees of freedom, and adding interactions or higher-order terms would produce coefficients too imprecise to interpret and too fragile to reproduce. A screen whose results shifted with every added term would fail its own reproducibility standard</w:t>
      </w:r>
      <w:r>
        <w:t xml:space="preserve"> </w:t>
      </w:r>
      <w:hyperlink w:anchor="ref-7">
        <w:r>
          <w:rPr>
            <w:rStyle w:val="Hyperlink"/>
          </w:rPr>
          <w:t xml:space="preserve">[7]</w:t>
        </w:r>
      </w:hyperlink>
      <w:r>
        <w:t xml:space="preserve">.</w:t>
      </w:r>
    </w:p>
    <w:p>
      <w:pPr>
        <w:pStyle w:val="BodyText"/>
        <w:spacing w:line="480" w:lineRule="auto"/>
        <w:ind w:firstLine="720"/>
      </w:pPr>
      <w:r>
        <w:t xml:space="preserve">Purpose argues the same way. The goal is to detect whether structure exists, not to estimate its precise functional form, and for detection a transparent linear conditional-mean model is both sufficient and preferable. If the screen finds structure, the richer specifications belong to the follow-on study that will have the larger sample to support them. If the screen finds none, the richer specifications would only dress an absence of signal in more elaborate clothing. Restraint in the estimator is therefore of a piece with restraint in the claim: the design uses the simplest tool that can answer the question it actually poses, and it leaves the more ambitious machinery to the more ambitious study that its results are meant to justify</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93"/>
    <w:bookmarkStart w:id="94" w:name="inference-under-a-small-sample"/>
    <w:p>
      <w:pPr>
        <w:pStyle w:val="Heading2"/>
        <w:spacing w:line="480" w:lineRule="auto"/>
      </w:pPr>
      <w:r>
        <w:t xml:space="preserve">4.7 Inference under a small sample</w:t>
      </w:r>
    </w:p>
    <w:p>
      <w:pPr>
        <w:pStyle w:val="FirstParagraph"/>
        <w:spacing w:line="480" w:lineRule="auto"/>
      </w:pPr>
      <w:r>
        <w:t xml:space="preserve">Inference deserves explicit treatment because a thirty-record sample changes what the p-values mean and how they should be read. With so few observations, the sampling distributions of the coefficients are wider than they would be in a large sample, and the robust standard errors, while appropriate, are themselves estimated with limited precision. The practical consequence is that borderline p-values carry more genuine uncertainty than their point values suggest, and the design reads them accordingly. A coefficient with a p-value just above the conventional five-percent line is treated as suggestive rather than as either significant or null, and a coefficient with a p-value well below one percent is treated as the firmest kind of evidence the corpus can offer</w:t>
      </w:r>
      <w:r>
        <w:t xml:space="preserve"> </w:t>
      </w:r>
      <w:hyperlink w:anchor="ref-7">
        <w:r>
          <w:rPr>
            <w:rStyle w:val="Hyperlink"/>
          </w:rPr>
          <w:t xml:space="preserve">[7]</w:t>
        </w:r>
      </w:hyperlink>
      <w:r>
        <w:t xml:space="preserve">. This graded reading is not a way of rescuing weak results; it is the honest posture for a small sample, where sharp thresholds impose a false precision the data cannot support.</w:t>
      </w:r>
    </w:p>
    <w:p>
      <w:pPr>
        <w:pStyle w:val="BodyText"/>
        <w:spacing w:line="480" w:lineRule="auto"/>
        <w:ind w:firstLine="720"/>
      </w:pPr>
      <w:r>
        <w:t xml:space="preserve">A small sample also shapes how the joint and term-level tests relate. The joint F-test for the cross-sectional model asks whether the three predictors together carry structure, and it can reach significance even when individual terms do not, because it pools the evidence across predictors. A responsible reading uses the joint test to establish that the corpus is structured and then uses the term-level estimates to say where the structure sits, without demanding that every term individually clear a threshold. This is standard practice, but it is worth stating in a study this size, because a reader tempted to dismiss the model on the strength of one insignificant term would miss the joint evidence that the corpus is structured overall</w:t>
      </w:r>
      <w:r>
        <w:t xml:space="preserve"> </w:t>
      </w:r>
      <w:hyperlink w:anchor="ref-5">
        <w:r>
          <w:rPr>
            <w:rStyle w:val="Hyperlink"/>
          </w:rPr>
          <w:t xml:space="preserve">[5]</w:t>
        </w:r>
      </w:hyperlink>
      <w:r>
        <w:t xml:space="preserve">. The design’s inferential logic is layered: joint significance first, term-level attribution second, and graded reading of borderline terms throughout.</w:t>
      </w:r>
    </w:p>
    <w:bookmarkEnd w:id="94"/>
    <w:bookmarkStart w:id="95" w:name="Xa11da17a5b31eee9ebb844be7a66d2de4f7575a"/>
    <w:p>
      <w:pPr>
        <w:pStyle w:val="Heading2"/>
        <w:spacing w:line="480" w:lineRule="auto"/>
      </w:pPr>
      <w:r>
        <w:t xml:space="preserve">4.8 Reproducibility as an identification standard</w:t>
      </w:r>
    </w:p>
    <w:p>
      <w:pPr>
        <w:pStyle w:val="FirstParagraph"/>
        <w:spacing w:line="480" w:lineRule="auto"/>
      </w:pPr>
      <w:r>
        <w:t xml:space="preserve">There is a sense in which reproducibility is itself part of the identification strategy, and the design leans on it deliberately. An estimate identifies a quantity only if the path from data to estimate is fixed and inspectable; otherwise the reader cannot know what was actually estimated. This study meets that standard by holding three things constant and open: the dataset, whose every row preserves its source and whose construction rules live in the configuration files; the specification, written verbatim into those configurations; and the estimator, a standard model with a standard robust-error option that any statistical environment can reproduce</w:t>
      </w:r>
      <w:r>
        <w:t xml:space="preserve"> </w:t>
      </w:r>
      <w:hyperlink w:anchor="ref-6">
        <w:r>
          <w:rPr>
            <w:rStyle w:val="Hyperlink"/>
          </w:rPr>
          <w:t xml:space="preserve">[6]</w:t>
        </w:r>
      </w:hyperlink>
      <w:r>
        <w:t xml:space="preserve"> </w:t>
      </w:r>
      <w:hyperlink w:anchor="ref-8">
        <w:r>
          <w:rPr>
            <w:rStyle w:val="Hyperlink"/>
          </w:rPr>
          <w:t xml:space="preserve">[8]</w:t>
        </w:r>
      </w:hyperlink>
      <w:r>
        <w:t xml:space="preserve">. A reader who doubts a coefficient can recompute it, and a reader who doubts a variable can recompute it from the raw fields. That openness is not a courtesy layered on top of the identification argument; it is a component of it, because an estimate no one can check identifies nothing anyone can trust. The methodology chapter therefore ends where it began, on the commitment to an inspectable path from datum to interpretation, now understood as an identification requirement rather than a stylistic preference</w:t>
      </w:r>
      <w:r>
        <w:t xml:space="preserve"> </w:t>
      </w:r>
      <w:hyperlink w:anchor="ref-1">
        <w:r>
          <w:rPr>
            <w:rStyle w:val="Hyperlink"/>
          </w:rPr>
          <w:t xml:space="preserve">[1]</w:t>
        </w:r>
      </w:hyperlink>
      <w:r>
        <w:t xml:space="preserve">.</w:t>
      </w:r>
    </w:p>
    <w:bookmarkEnd w:id="95"/>
    <w:bookmarkStart w:id="96" w:name="what-a-null-result-would-identify"/>
    <w:p>
      <w:pPr>
        <w:pStyle w:val="Heading2"/>
        <w:spacing w:line="480" w:lineRule="auto"/>
      </w:pPr>
      <w:r>
        <w:t xml:space="preserve">4.9 What a null result would identify</w:t>
      </w:r>
    </w:p>
    <w:p>
      <w:pPr>
        <w:pStyle w:val="FirstParagraph"/>
        <w:spacing w:line="480" w:lineRule="auto"/>
      </w:pPr>
      <w:r>
        <w:t xml:space="preserve">A methodology chapter should be as clear about what a null identifies as about what a significant coefficient identifies, because a design that can only interpret positive findings is not a test. In this study a null carries real information. If the cross-sectional joint test failed to reach significance, that would identify the absence of detectable structure in topic signal across the retained records, which is a substantive statement that the topic is not legible in the pack on the dimensions the model examines</w:t>
      </w:r>
      <w:r>
        <w:t xml:space="preserve"> </w:t>
      </w:r>
      <w:hyperlink w:anchor="ref-7">
        <w:r>
          <w:rPr>
            <w:rStyle w:val="Hyperlink"/>
          </w:rPr>
          <w:t xml:space="preserve">[7]</w:t>
        </w:r>
      </w:hyperlink>
      <w:r>
        <w:t xml:space="preserve">. If the temporal coefficient came back indistinguishable from zero, that would identify the absence of orderly age-based accumulation, which the theory reads as consistent with a young front rather than as a refutation of the coupling</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Neither null is a failure of method; each is a finding the method is built to deliver.</w:t>
      </w:r>
    </w:p>
    <w:p>
      <w:pPr>
        <w:pStyle w:val="BodyText"/>
        <w:spacing w:line="480" w:lineRule="auto"/>
        <w:ind w:firstLine="720"/>
      </w:pPr>
      <w:r>
        <w:t xml:space="preserve">This symmetry between positive and null identification is what lets the design function as an honest screen. A screen that could only confirm structure, never its absence, would be an advocacy tool. Because both estimators can return interpretable nulls, and because the theory specifies in advance what each null would mean, the design can send the follow-on study in the right direction whichever way the data fall: toward a causal study if structure is present, or toward a reconsidered scope if it is not</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identification strategy is complete only because it accounts for both outcomes, and Chapter 6 reports which outcomes the estimators actually produced.</w:t>
      </w:r>
    </w:p>
    <w:p>
      <w:pPr>
        <w:pStyle w:val="BodyText"/>
        <w:spacing w:line="480" w:lineRule="auto"/>
        <w:ind w:firstLine="720"/>
      </w:pPr>
      <w:r>
        <w:t xml:space="preserve">To close the chapter, it is worth restating the modest ambition that governs every choice made in it. The estimators are simple because the sample is small and the question is detection rather than fine estimation. The standard errors are robust because the corpus is heterogeneous and false precision would be the worst error a screen could make. The reading is graded because sharp thresholds misrepresent small-sample uncertainty. And the whole apparatus is reproducible because an estimate no one can check identifies nothing. None of these choices is fashionable and none is elaborate. Each is the conservative option, chosen because a study whose central claim is about not overreaching must be conservative in its methods as well as in its prose</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methodology’s contribution is that discipline made explicit, and Chapter 6 is where the discipline meets the data</w:t>
      </w:r>
      <w:r>
        <w:t xml:space="preserve"> </w:t>
      </w:r>
      <w:hyperlink w:anchor="ref-1">
        <w:r>
          <w:rPr>
            <w:rStyle w:val="Hyperlink"/>
          </w:rPr>
          <w:t xml:space="preserve">[1]</w:t>
        </w:r>
      </w:hyperlink>
      <w:r>
        <w:t xml:space="preserve">.</w:t>
      </w:r>
    </w:p>
    <w:bookmarkEnd w:id="96"/>
    <w:bookmarkEnd w:id="97"/>
    <w:bookmarkStart w:id="107" w:name="chapter-5.-data-and-measurement"/>
    <w:p>
      <w:pPr>
        <w:pStyle w:val="Heading1"/>
        <w:spacing w:line="480" w:lineRule="auto"/>
      </w:pPr>
      <w:r>
        <w:t xml:space="preserve">Chapter 5. Data and Measurement</w:t>
      </w:r>
    </w:p>
    <w:p>
      <w:pPr>
        <w:pStyle w:val="FirstParagraph"/>
        <w:spacing w:line="480" w:lineRule="auto"/>
      </w:pPr>
      <w:r>
        <w:t xml:space="preserve">The credibility of a corpus screen rests entirely on the transparency of its data. Show the rows or the numbers mean nothing. If a reader cannot see where each row came from, how each variable was built, and how many observations the models saw, then the coefficients in Chapter 6 are assertions rather than evidence. This chapter is written to prevent that. It documents the reference corpus, the construction of every variable in both estimators, the provenance discipline that keeps the dataset auditable, and the exact sample size, so that the entire path from retrieved document to modeled row can be walked in either direction.</w:t>
      </w:r>
    </w:p>
    <w:bookmarkStart w:id="98" w:name="the-source-universe"/>
    <w:p>
      <w:pPr>
        <w:pStyle w:val="Heading2"/>
        <w:spacing w:line="480" w:lineRule="auto"/>
      </w:pPr>
      <w:r>
        <w:t xml:space="preserve">5.1 The source universe</w:t>
      </w:r>
    </w:p>
    <w:p>
      <w:pPr>
        <w:pStyle w:val="FirstParagraph"/>
        <w:spacing w:line="480" w:lineRule="auto"/>
      </w:pPr>
      <w:r>
        <w:t xml:space="preserve">The data originate in the candidate’s local reference corpus: a set of technical, governance, operational, and policy records assembled to frame the reentry-airspace-tracking topic across venues and years. The corpus spans three venue families. The first is the Advanced Maui Optical and Space Surveillance community, which supplies conference-grade technical work on sensing, tracking, and conjunction analysis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second is Acta Astronautica, which supplies peer-reviewed work spanning collision avoidance, reentry hazard, debris characterization, and traffic projection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third is a space-economy and policy family, which supplies governance-facing and infrastructure-facing records including surveillance-and-tracking service descriptions and orbital-classification proposals</w:t>
      </w:r>
      <w:r>
        <w:t xml:space="preserve"> </w:t>
      </w:r>
      <w:hyperlink w:anchor="ref-6">
        <w:r>
          <w:rPr>
            <w:rStyle w:val="Hyperlink"/>
          </w:rPr>
          <w:t xml:space="preserve">[6]</w:t>
        </w:r>
      </w:hyperlink>
      <w:r>
        <w:t xml:space="preserve">.</w:t>
      </w:r>
    </w:p>
    <w:p>
      <w:pPr>
        <w:pStyle w:val="BodyText"/>
        <w:spacing w:line="480" w:lineRule="auto"/>
        <w:ind w:firstLine="720"/>
      </w:pPr>
      <w:r>
        <w:t xml:space="preserve">Each record contributes one row to the estimation files, and every row carries a source identifier: a digital object identifier where one exists, a stable conference URL where the record is a conference paper, or a descriptive source string for policy and service documents that lack a formal identifier. This identifier is not cosmetic. It is the audit trail. It is the anchor that lets a reader move from a coefficient back to the exact document that produced the row, which is the auditability property the design promises.</w:t>
      </w:r>
    </w:p>
    <w:bookmarkEnd w:id="98"/>
    <w:bookmarkStart w:id="99" w:name="the-paper-1-variables"/>
    <w:p>
      <w:pPr>
        <w:pStyle w:val="Heading2"/>
        <w:spacing w:line="480" w:lineRule="auto"/>
      </w:pPr>
      <w:r>
        <w:t xml:space="preserve">5.2 The Paper 1 variables</w:t>
      </w:r>
    </w:p>
    <w:p>
      <w:pPr>
        <w:pStyle w:val="FirstParagraph"/>
        <w:spacing w:line="480" w:lineRule="auto"/>
      </w:pPr>
      <w:r>
        <w:t xml:space="preserve">Paper 1 models topic signal as a function of three record features. The outcome and each predictor are defined operationally, and the definitions are reproduced here from the paper configuration so that measurement is inspectable rather than implied.</w:t>
      </w:r>
    </w:p>
    <w:p>
      <w:pPr>
        <w:pStyle w:val="BodyText"/>
        <w:spacing w:line="480" w:lineRule="auto"/>
        <w:ind w:firstLine="720"/>
      </w:pPr>
      <w:r>
        <w:t xml:space="preserve">The outcome, signal_score, is a composite topic-signal score for each retrieved source record. It is a deterministic count built from candidate-theme term hits across the source title, snippet, keyword field, and author metadata. Because it is a count of theme hits, it rises with how densely a record’s exposed metadata engages the candidate topic, and it is bounded below at zero for records that expose no theme terms. Across the thirty rows the score ranges from a low of 1, for records whose metadata barely touch the topic, to a high of 11, for records saturated with reentry, tracking, and airspace terminology.</w:t>
      </w:r>
    </w:p>
    <w:p>
      <w:pPr>
        <w:pStyle w:val="BodyText"/>
        <w:spacing w:line="480" w:lineRule="auto"/>
        <w:ind w:firstLine="720"/>
      </w:pPr>
      <w:r>
        <w:t xml:space="preserve">The first predictor, recency_index, is a publication recency index computed as the publication year minus the minimum publication year in the sample plus one. The oldest record in the pack dates to 2014 and takes a recency index of 1; the newest, dated 2026, takes the maximum. The construction makes recency a positive integer that grows with newness, so a positive coefficient in Chapter 6 would mean newer records carry more topic signal.</w:t>
      </w:r>
    </w:p>
    <w:p>
      <w:pPr>
        <w:pStyle w:val="BodyText"/>
        <w:spacing w:line="480" w:lineRule="auto"/>
        <w:ind w:firstLine="720"/>
      </w:pPr>
      <w:r>
        <w:t xml:space="preserve">The second predictor, cites_num, is the reported citation count from the local index. It is parsed from the index citation field and set to zero when the index reported no count. The variable is sparse. Most conference and policy records report zero, while a handful of Acta Astronautica papers carry double-digit counts, and one older paper carries a count in the low forties. This sparsity matters for interpretation and is revisited in Chapter 6.</w:t>
      </w:r>
    </w:p>
    <w:p>
      <w:pPr>
        <w:pStyle w:val="BodyText"/>
        <w:spacing w:line="480" w:lineRule="auto"/>
        <w:ind w:firstLine="720"/>
      </w:pPr>
      <w:r>
        <w:t xml:space="preserve">The third predictor, venue_score, is an ordinal venue-family score: the Maui surveillance family is coded 1, Acta Astronautica is coded 2, and the space-economy family is coded 3. The ordinality is a coding convenience, not a claim that a space-economy venue is three times an Maui venue in any substantive sense, and Chapter 7 treats overreading of this variable as an explicit threat.</w:t>
      </w:r>
    </w:p>
    <w:bookmarkEnd w:id="99"/>
    <w:bookmarkStart w:id="100" w:name="the-paper-2-variables"/>
    <w:p>
      <w:pPr>
        <w:pStyle w:val="Heading2"/>
        <w:spacing w:line="480" w:lineRule="auto"/>
      </w:pPr>
      <w:r>
        <w:t xml:space="preserve">5.3 The Paper 2 variables</w:t>
      </w:r>
    </w:p>
    <w:p>
      <w:pPr>
        <w:pStyle w:val="FirstParagraph"/>
        <w:spacing w:line="480" w:lineRule="auto"/>
      </w:pPr>
      <w:r>
        <w:t xml:space="preserve">Paper 2 models attention accumulation with two variables, both derived from the same records. The outcome, cites_plus1, is the reported citation count plus one. The plus-one transform exists for a single technical reason: the model logs the outcome, and the logarithm of zero is undefined, so adding one keeps uncited records in the estimation rather than dropping them. Because most records in this corpus are uncited, dropping them would have discarded the majority of the sample, so the transform is load-bearing rather than cosmetic.</w:t>
      </w:r>
    </w:p>
    <w:p>
      <w:pPr>
        <w:pStyle w:val="BodyText"/>
        <w:spacing w:line="480" w:lineRule="auto"/>
        <w:ind w:firstLine="720"/>
      </w:pPr>
      <w:r>
        <w:t xml:space="preserve">The predictor, age_index, is a document age index computed as 2026 minus the publication year plus one. A 2026 record takes an age index of 1; the 2014 record takes an age index of 13. Age and recency are therefore mirror images built from the same year field, which is deliberate: Paper 1 asks whether newer work carries more signal, and Paper 2 asks whether older work has accumulated more attention, and the two questions require the year to enter with opposite orientation.</w:t>
      </w:r>
    </w:p>
    <w:bookmarkEnd w:id="100"/>
    <w:bookmarkStart w:id="101" w:name="provenance-discipline-and-sample-size"/>
    <w:p>
      <w:pPr>
        <w:pStyle w:val="Heading2"/>
        <w:spacing w:line="480" w:lineRule="auto"/>
      </w:pPr>
      <w:r>
        <w:t xml:space="preserve">5.4 Provenance discipline and sample size</w:t>
      </w:r>
    </w:p>
    <w:p>
      <w:pPr>
        <w:pStyle w:val="FirstParagraph"/>
        <w:spacing w:line="480" w:lineRule="auto"/>
      </w:pPr>
      <w:r>
        <w:t xml:space="preserve">Provenance discipline is uniform across both papers. Every row preserves its source identifier, its publication year, its venue family, and the derived variables built from those fields. The construction rules live in the paper configuration files, the rows live in the paper data files, and the estimator output lives in the workbooks. The dissertation narrative sits downstream of all three artifacts, which is the reproducible hierarchy the design was built to enforce: bibliography and metadata establish the universe, the data files define the rows, the configuration files define the variables and formulas, and the workbooks reproduce the numbers</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Both estimators run on the same thirty records. Thirty. No more. N equals 30 in Paper 1 and N equals 30 in Paper 2. This is a small sample, and the design does not hide that fact. A corpus of thirty is large enough to detect strong, consistent structure and too small to resolve subtle effects, which is one reason the analysis is framed as a screen rather than a definitive test, and one reason Chapter 4 chose transparent estimators and conservative standard errors. The thirty records are not a random draw from the world’s literature on reentry and airspace. They are the candidate’s retained pack, and every association reported in the next chapter is an association within that pack</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01"/>
    <w:bookmarkStart w:id="102" w:name="measurement-validity"/>
    <w:p>
      <w:pPr>
        <w:pStyle w:val="Heading2"/>
        <w:spacing w:line="480" w:lineRule="auto"/>
      </w:pPr>
      <w:r>
        <w:t xml:space="preserve">5.5 Measurement validity</w:t>
      </w:r>
    </w:p>
    <w:p>
      <w:pPr>
        <w:pStyle w:val="FirstParagraph"/>
        <w:spacing w:line="480" w:lineRule="auto"/>
      </w:pPr>
      <w:r>
        <w:t xml:space="preserve">Measurement validity in this design is a matter of fit between question and data. The data are strongest for answering whether observable records contain structure, because structure is exactly what metadata expose. The data are weakest for answering whether tracking gaps cause airspace risk in the world, because no field in the pack measures an airspace decision or a reentry outcome directly. The measurement strategy is therefore honest by construction: it names each variable as the proxy it is, it preserves the source that generated it, and it hands Chapter 6 a set of quantities that can be interpreted as evidence about the record without being mistaken for evidence about the airspace itself</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That restraint is what makes the numbers in the next chapter worth reading.</w:t>
      </w:r>
    </w:p>
    <w:bookmarkEnd w:id="102"/>
    <w:bookmarkStart w:id="103" w:name="the-distribution-of-the-variables"/>
    <w:p>
      <w:pPr>
        <w:pStyle w:val="Heading2"/>
        <w:spacing w:line="480" w:lineRule="auto"/>
      </w:pPr>
      <w:r>
        <w:t xml:space="preserve">5.6 The distribution of the variables</w:t>
      </w:r>
    </w:p>
    <w:p>
      <w:pPr>
        <w:pStyle w:val="FirstParagraph"/>
        <w:spacing w:line="480" w:lineRule="auto"/>
      </w:pPr>
      <w:r>
        <w:t xml:space="preserve">Understanding what the estimators can find requires looking at how the variables are actually distributed across the thirty records, because a coefficient’s meaning depends on the variation available to identify it. The recency index spans its full range: records cluster in the recent years, from 2023 through 2026, with a thinner tail reaching back to 2020 and a single record from 2014. This right-heavy distribution reflects a young, growing literature, and it means the recency coefficient is identified mostly off the contrast between the recent cluster and the older tail rather than off a smooth spread across years</w:t>
      </w:r>
      <w:r>
        <w:t xml:space="preserve"> </w:t>
      </w:r>
      <w:hyperlink w:anchor="ref-13">
        <w:r>
          <w:rPr>
            <w:rStyle w:val="Hyperlink"/>
          </w:rPr>
          <w:t xml:space="preserve">[13]</w:t>
        </w:r>
      </w:hyperlink>
      <w:r>
        <w:t xml:space="preserve">. The concentration of records in the last few years is itself a substantive fact about the field, consistent with a front that has grown quickly and recently.</w:t>
      </w:r>
    </w:p>
    <w:p>
      <w:pPr>
        <w:pStyle w:val="BodyText"/>
        <w:spacing w:line="480" w:lineRule="auto"/>
        <w:ind w:firstLine="720"/>
      </w:pPr>
      <w:r>
        <w:t xml:space="preserve">Citation counts are the most skewed variable. The large majority of records report zero citations, a handful of Acta Astronautica papers report counts in the single digits to low teens, and one 2016 record carries a count in the low forties, an outlier that anchors the high end of the distribution almost by itself. A variable with this shape carries limited identifying variation: with so many zeros and a single large value, the citation coefficient is estimated off a thin and lopsided spread, and its standard error will reflect that thinness. This is worth stating before the results, because a small and imprecise citation coefficient in Chapter 6 is exactly what a variable distributed this way should be expected to produce, and the interpretation there is grounded in this distributional fact rather than surprised by it</w:t>
      </w:r>
      <w:r>
        <w:t xml:space="preserve"> </w:t>
      </w:r>
      <w:hyperlink w:anchor="ref-4">
        <w:r>
          <w:rPr>
            <w:rStyle w:val="Hyperlink"/>
          </w:rPr>
          <w:t xml:space="preserve">[4]</w:t>
        </w:r>
      </w:hyperlink>
      <w:r>
        <w:t xml:space="preserve">.</w:t>
      </w:r>
    </w:p>
    <w:p>
      <w:pPr>
        <w:pStyle w:val="BodyText"/>
        <w:spacing w:line="480" w:lineRule="auto"/>
        <w:ind w:firstLine="720"/>
      </w:pPr>
      <w:r>
        <w:t xml:space="preserve">Venue takes its three ordinal values with the surveillance family and the Acta family carrying most of the records and the space-economy family carrying a smaller set that includes the service descriptions and policy proposals. Because venue is correlated with both recency and citation, the surveillance-family conference records tend to be uncited and span a wide range of years, while the Acta records carry most of the nonzero citations, the multivariate model is doing real work in separating the venue association from the recency and citation associations that travel with it. That separation is the reason the model is specified with all three predictors together rather than as a series of bivariate screens</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103"/>
    <w:bookmarkStart w:id="104" w:name="what-a-source-row-looks-like"/>
    <w:p>
      <w:pPr>
        <w:pStyle w:val="Heading2"/>
        <w:spacing w:line="480" w:lineRule="auto"/>
      </w:pPr>
      <w:r>
        <w:t xml:space="preserve">5.7 What a source row looks like</w:t>
      </w:r>
    </w:p>
    <w:p>
      <w:pPr>
        <w:pStyle w:val="FirstParagraph"/>
        <w:spacing w:line="480" w:lineRule="auto"/>
      </w:pPr>
      <w:r>
        <w:t xml:space="preserve">A concrete example makes the provenance discipline tangible. Take one row. Consider the Acta Astronautica record on uncontrolled reentries and aviation safety, which sits at the heart of the topic</w:t>
      </w:r>
      <w:r>
        <w:t xml:space="preserve"> </w:t>
      </w:r>
      <w:hyperlink w:anchor="ref-9">
        <w:r>
          <w:rPr>
            <w:rStyle w:val="Hyperlink"/>
          </w:rPr>
          <w:t xml:space="preserve">[9]</w:t>
        </w:r>
      </w:hyperlink>
      <w:r>
        <w:t xml:space="preserve">. Its row carries a digital object identifier as its source string, a publication year of 2024, a recency index placing it near the recent end of the range, a nonzero citation count reflecting the attention it has drawn, a venue score of 2 for the Acta family, and a topic-signal score built from the density of reentry, tracking, and airspace terminology in its title, snippet, keywords, and author metadata. Every one of those fields can be checked against the source document, and the derived fields can be recomputed from the raw ones using the rules in the configuration file. A skeptical reader can therefore audit not just the dataset in aggregate but any single row of it, which is the standard the design holds itself to</w:t>
      </w:r>
      <w:r>
        <w:t xml:space="preserve"> </w:t>
      </w:r>
      <w:hyperlink w:anchor="ref-1">
        <w:r>
          <w:rPr>
            <w:rStyle w:val="Hyperlink"/>
          </w:rPr>
          <w:t xml:space="preserve">[1]</w:t>
        </w:r>
      </w:hyperlink>
      <w:r>
        <w:t xml:space="preserve">.</w:t>
      </w:r>
    </w:p>
    <w:p>
      <w:pPr>
        <w:pStyle w:val="BodyText"/>
        <w:spacing w:line="480" w:lineRule="auto"/>
        <w:ind w:firstLine="720"/>
      </w:pPr>
      <w:r>
        <w:t xml:space="preserve">The same discipline applies to the records that lack formal identifiers, the surveillance-and-tracking service descriptions and the orbital-classification policy proposals, which carry descriptive source strings instead of digital object identifiers</w:t>
      </w:r>
      <w:r>
        <w:t xml:space="preserve"> </w:t>
      </w:r>
      <w:hyperlink w:anchor="ref-6">
        <w:r>
          <w:rPr>
            <w:rStyle w:val="Hyperlink"/>
          </w:rPr>
          <w:t xml:space="preserve">[6]</w:t>
        </w:r>
      </w:hyperlink>
      <w:r>
        <w:t xml:space="preserve">. These records are not excluded for lacking a clean identifier, because doing so would bias the pack toward formally published work and against the governance and service literature that is central to the topic’s institutional dimension. Instead they are retained with their descriptive provenance intact, coded into the space-economy venue family, and modeled alongside the rest. The choice to include them, and to preserve exactly how they are identified, is another instance of the study choosing auditability and coverage over a superficial neatness that would have distorted the population it set out to measure</w:t>
      </w:r>
      <w:r>
        <w:t xml:space="preserve"> </w:t>
      </w:r>
      <w:hyperlink w:anchor="ref-12">
        <w:r>
          <w:rPr>
            <w:rStyle w:val="Hyperlink"/>
          </w:rPr>
          <w:t xml:space="preserve">[12]</w:t>
        </w:r>
      </w:hyperlink>
      <w:r>
        <w:t xml:space="preserve">.</w:t>
      </w:r>
    </w:p>
    <w:bookmarkEnd w:id="104"/>
    <w:bookmarkStart w:id="105" w:name="construction-of-the-topic-signal-score"/>
    <w:p>
      <w:pPr>
        <w:pStyle w:val="Heading2"/>
        <w:spacing w:line="480" w:lineRule="auto"/>
      </w:pPr>
      <w:r>
        <w:t xml:space="preserve">5.8 Construction of the topic-signal score</w:t>
      </w:r>
    </w:p>
    <w:p>
      <w:pPr>
        <w:pStyle w:val="FirstParagraph"/>
        <w:spacing w:line="480" w:lineRule="auto"/>
      </w:pPr>
      <w:r>
        <w:t xml:space="preserve">This topic-signal score is the most consequential constructed variable in the study, and its construction deserves a fuller account than a one-line definition provides, because everything Paper 1 finds rests on it. The score is a deterministic count of candidate-theme term hits across four metadata fields of each record: the title, the snippet or abstract fragment, the keyword field, and the author metadata. A record accrues signal as its exposed metadata engages the vocabulary of the topic, reentry, tracking, prediction, airspace, debris, conjunction, and their close relatives, so that a record densely concerned with the coupling scores high and a record that merely touches it scores low. The count is deterministic, meaning the same record always yields the same score under the same rules, which is what makes the variable reproducible from the raw metadata</w:t>
      </w:r>
      <w:r>
        <w:t xml:space="preserve"> </w:t>
      </w:r>
      <w:hyperlink w:anchor="ref-1">
        <w:r>
          <w:rPr>
            <w:rStyle w:val="Hyperlink"/>
          </w:rPr>
          <w:t xml:space="preserve">[1]</w:t>
        </w:r>
      </w:hyperlink>
      <w:r>
        <w:t xml:space="preserve">.</w:t>
      </w:r>
    </w:p>
    <w:p>
      <w:pPr>
        <w:pStyle w:val="BodyText"/>
        <w:spacing w:line="480" w:lineRule="auto"/>
        <w:ind w:firstLine="720"/>
      </w:pPr>
      <w:r>
        <w:t xml:space="preserve">Two properties of this construction shape how the score must be read. First, it measures exposed metadata, not full text, so a record whose full paper engages the topic deeply but whose title and keywords are terse will score lower than its substance warrants. This is a known limitation and it biases toward conservatism: the score can understate engagement but is unlikely to invent it, so a high score is strong evidence of topic centrality while a low score is weaker evidence of its absence</w:t>
      </w:r>
      <w:r>
        <w:t xml:space="preserve"> </w:t>
      </w:r>
      <w:hyperlink w:anchor="ref-7">
        <w:r>
          <w:rPr>
            <w:rStyle w:val="Hyperlink"/>
          </w:rPr>
          <w:t xml:space="preserve">[7]</w:t>
        </w:r>
      </w:hyperlink>
      <w:r>
        <w:t xml:space="preserve">. Second, because metadata richness varies across venues, the score is entangled with how much text a record exposes, which is the metadata-volume confound flagged in the theory chapter. The construction does not resolve that confound, and Chapter 7 treats it as a live threat to the venue interpretation. Stating both properties here, at the point of construction, keeps the later interpretation grounded in how the variable was actually built rather than in an idealized version of it</w:t>
      </w:r>
      <w:r>
        <w:t xml:space="preserve"> </w:t>
      </w:r>
      <w:hyperlink w:anchor="ref-8">
        <w:r>
          <w:rPr>
            <w:rStyle w:val="Hyperlink"/>
          </w:rPr>
          <w:t xml:space="preserve">[8]</w:t>
        </w:r>
      </w:hyperlink>
      <w:r>
        <w:t xml:space="preserve">.</w:t>
      </w:r>
    </w:p>
    <w:p>
      <w:pPr>
        <w:pStyle w:val="BodyText"/>
        <w:spacing w:line="480" w:lineRule="auto"/>
        <w:ind w:firstLine="720"/>
      </w:pPr>
      <w:r>
        <w:t xml:space="preserve">The signal score ranges from 1 to 11 across the thirty records, a spread wide enough to carry real cross-sectional variation and narrow enough that no single record dominates the outcome. Records saturated with the topic vocabulary, including the rocket-body debris assessment and one of the surveillance-and-tracking service descriptions, sit at the high end, while records whose engagement is glancing, including a future-traffic overview whose framing is broad rather than reentry-specific, sit at the low end</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That the extremes fall where a reader familiar with the sources would expect is a modest face-validity check on the construction, and it is offered in that spirit rather than as proof. The formal validation of the score against human coding is named in Chapter 8 as a task for the follow-on study, because a thirty-record screen can check the variable’s plausibility but cannot establish its validity to the standard a causal design would demand</w:t>
      </w:r>
      <w:r>
        <w:t xml:space="preserve"> </w:t>
      </w:r>
      <w:hyperlink w:anchor="ref-5">
        <w:r>
          <w:rPr>
            <w:rStyle w:val="Hyperlink"/>
          </w:rPr>
          <w:t xml:space="preserve">[5]</w:t>
        </w:r>
      </w:hyperlink>
      <w:r>
        <w:t xml:space="preserve">.</w:t>
      </w:r>
    </w:p>
    <w:bookmarkEnd w:id="105"/>
    <w:bookmarkStart w:id="106" w:name="data-limitations-stated-at-the-source"/>
    <w:p>
      <w:pPr>
        <w:pStyle w:val="Heading2"/>
        <w:spacing w:line="480" w:lineRule="auto"/>
      </w:pPr>
      <w:r>
        <w:t xml:space="preserve">5.9 Data limitations stated at the source</w:t>
      </w:r>
    </w:p>
    <w:p>
      <w:pPr>
        <w:pStyle w:val="FirstParagraph"/>
        <w:spacing w:line="480" w:lineRule="auto"/>
      </w:pPr>
      <w:r>
        <w:t xml:space="preserve">Closing the data chapter requires stating the limitations at the point where they enter, rather than deferring all of them to the discussion. Three deserve emphasis here. The sample is thirty records, small enough that the estimators can detect only strong, consistent structure and will miss subtle effects, a constraint that shaped the choice of transparent models in Chapter 4</w:t>
      </w:r>
      <w:r>
        <w:t xml:space="preserve"> </w:t>
      </w:r>
      <w:hyperlink w:anchor="ref-7">
        <w:r>
          <w:rPr>
            <w:rStyle w:val="Hyperlink"/>
          </w:rPr>
          <w:t xml:space="preserve">[7]</w:t>
        </w:r>
      </w:hyperlink>
      <w:r>
        <w:t xml:space="preserve">. The citation counts are local index measures rather than universal counts, so attention is observed through one particular window and may diverge from counts a different index would report</w:t>
      </w:r>
      <w:r>
        <w:t xml:space="preserve"> </w:t>
      </w:r>
      <w:hyperlink w:anchor="ref-4">
        <w:r>
          <w:rPr>
            <w:rStyle w:val="Hyperlink"/>
          </w:rPr>
          <w:t xml:space="preserve">[4]</w:t>
        </w:r>
      </w:hyperlink>
      <w:r>
        <w:t xml:space="preserve">. And the venue coding is ordinal, a three-level convenience that orders the families without claiming equal spacing between them, which is why the venue coefficient must be read as a per-step association within the coding rather than as a cardinal quantity</w:t>
      </w:r>
      <w:r>
        <w:t xml:space="preserve"> </w:t>
      </w:r>
      <w:hyperlink w:anchor="ref-8">
        <w:r>
          <w:rPr>
            <w:rStyle w:val="Hyperlink"/>
          </w:rPr>
          <w:t xml:space="preserve">[8]</w:t>
        </w:r>
      </w:hyperlink>
      <w:r>
        <w:t xml:space="preserve">.</w:t>
      </w:r>
    </w:p>
    <w:p>
      <w:pPr>
        <w:pStyle w:val="BodyText"/>
        <w:spacing w:line="480" w:lineRule="auto"/>
        <w:ind w:firstLine="720"/>
      </w:pPr>
      <w:r>
        <w:t xml:space="preserve">None of these limitations is hidden and none is fatal to the study’s actual claim, which is a claim about structure within the retained pack rather than about the world. They do, however, fix the ceiling on what the data can support, and stating them at the source keeps the results chapter from being read as more than it is. The dataset is strong for detecting cross-sectional and temporal structure within a small retained corpus and weak for anything beyond that, and the measurement chapter ends by making that trade explicit so that every number in Chapter 6 arrives already bounded by the data that produced it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Taken together, the data and measurement choices form a single coherent posture. The universe is a retained pack whose every row is sourced; the variables are proxies whose construction is documented and whose limits are named; the sample is small and its distributions are skewed in ways that shape what the estimators can find</w:t>
      </w:r>
      <w:r>
        <w:t xml:space="preserve"> </w:t>
      </w:r>
      <w:hyperlink w:anchor="ref-4">
        <w:r>
          <w:rPr>
            <w:rStyle w:val="Hyperlink"/>
          </w:rPr>
          <w:t xml:space="preserve">[4]</w:t>
        </w:r>
      </w:hyperlink>
      <w:r>
        <w:t xml:space="preserve"> </w:t>
      </w:r>
      <w:hyperlink w:anchor="ref-8">
        <w:r>
          <w:rPr>
            <w:rStyle w:val="Hyperlink"/>
          </w:rPr>
          <w:t xml:space="preserve">[8]</w:t>
        </w:r>
      </w:hyperlink>
      <w:r>
        <w:t xml:space="preserve">. This is not the dataset a mature causal study would assemble, and the chapter has not pretended otherwise. It is the dataset a design-stage screen should assemble: cheap, auditable, and honest about its reach, built to answer whether the topic is structured enough to justify the larger and costlier collection that a causal study would demand</w:t>
      </w:r>
      <w:r>
        <w:t xml:space="preserve"> </w:t>
      </w:r>
      <w:hyperlink w:anchor="ref-7">
        <w:r>
          <w:rPr>
            <w:rStyle w:val="Hyperlink"/>
          </w:rPr>
          <w:t xml:space="preserve">[7]</w:t>
        </w:r>
      </w:hyperlink>
      <w:r>
        <w:t xml:space="preserve">. Chapter 6 now runs the estimators against exactly this dataset and reports what they return, and the care taken here is what lets those returns be read as evidence rather than as artifacts of an opaque pipeline</w:t>
      </w:r>
      <w:r>
        <w:t xml:space="preserve"> </w:t>
      </w:r>
      <w:hyperlink w:anchor="ref-13">
        <w:r>
          <w:rPr>
            <w:rStyle w:val="Hyperlink"/>
          </w:rPr>
          <w:t xml:space="preserve">[13]</w:t>
        </w:r>
      </w:hyperlink>
      <w:r>
        <w:t xml:space="preserve">.</w:t>
      </w:r>
    </w:p>
    <w:bookmarkEnd w:id="106"/>
    <w:bookmarkEnd w:id="107"/>
    <w:bookmarkStart w:id="116" w:name="chapter-6.-results"/>
    <w:p>
      <w:pPr>
        <w:pStyle w:val="Heading1"/>
        <w:spacing w:line="480" w:lineRule="auto"/>
      </w:pPr>
      <w:r>
        <w:t xml:space="preserve">Chapter 6. Results</w:t>
      </w:r>
    </w:p>
    <w:p>
      <w:pPr>
        <w:pStyle w:val="FirstParagraph"/>
        <w:spacing w:line="480" w:lineRule="auto"/>
      </w:pPr>
      <w:r>
        <w:t xml:space="preserve">This chapter reports the exact output of the two estimators and interprets the signs and magnitudes. No rounding. No adjustment. Nothing here is rounded away from the workbook values, and nothing is adjusted to make a cleaner story. The numbers are what the deterministic runs returned over the thirty-record dataset documented in Chapter 5, and the interpretation stays inside what those numbers can support. The chapter proceeds estimator by estimator, then reads the two together.</w:t>
      </w:r>
    </w:p>
    <w:bookmarkStart w:id="108" w:name="Xb8074a4dd15436991036647dd99a5df2af78e95"/>
    <w:p>
      <w:pPr>
        <w:pStyle w:val="Heading2"/>
        <w:spacing w:line="480" w:lineRule="auto"/>
      </w:pPr>
      <w:r>
        <w:t xml:space="preserve">6.1 Paper 1: cross-sectional structure of topic signal</w:t>
      </w:r>
    </w:p>
    <w:p>
      <w:pPr>
        <w:pStyle w:val="FirstParagraph"/>
        <w:spacing w:line="480" w:lineRule="auto"/>
      </w:pPr>
      <w:r>
        <w:t xml:space="preserve">The ordinary least squares model of topic-signal score on recency, citation count, and venue family was fit with robust HC1 standard errors over N = 30 records. The model explains a meaningful share of the variance in topic signal. The coefficient of determination is R2 = 0.27713138523002867, and the adjusted coefficient, which penalizes the three predictors against the small sample, is R2_adj = 0.1937234681411858. The joint test of the model is significant: F = 4.882770270590446 with F_p = 0.0079887668499366. At any conventional threshold the three predictors together carry real structure, so the null of no joint relationship is rejected for Paper 1.</w:t>
      </w:r>
    </w:p>
    <w:p>
      <w:pPr>
        <w:pStyle w:val="BodyText"/>
        <w:spacing w:line="480" w:lineRule="auto"/>
        <w:ind w:firstLine="720"/>
      </w:pPr>
      <w:r>
        <w:t xml:space="preserve">Term-level estimates tell a more textured story. The intercept is const coef = 6.354614420838378 with a standard error of 1.7187 and p = 0.00021790770010188568, a precisely estimated baseline signal level for a record at the model’s reference point. The recency coefficient is recency_index coef = 0.27597932482343435 with a standard error of 0.1501 and p = 0.0659586116422608. Its sign is positive, as the maturing-front theory predicted: newer records carry more topic signal, roughly a quarter of a signal point per unit of recency, holding citation and venue fixed. Its p-value sits just above the conventional five-percent line, so the recency association is suggestive rather than firmly established, and Chapter 7 treats it as evidence that leans in the predicted direction without clinching it.</w:t>
      </w:r>
    </w:p>
    <w:p>
      <w:pPr>
        <w:pStyle w:val="BodyText"/>
        <w:spacing w:line="480" w:lineRule="auto"/>
        <w:ind w:firstLine="720"/>
      </w:pPr>
      <w:r>
        <w:t xml:space="preserve">The citation coefficient is cites_num coef = 0.007126411314898072 with a standard error of 0.0565 and p = 0.8996033338927809. This coefficient is, for practical purposes, zero, and its p-value near 0.90 confirms that the data provide no support for a citation-signal association net of recency and venue. The reading is direct: within this corpus, how often a record is cited tells us almost nothing about how densely its metadata engage the reentry-airspace-tracking topic. Given the sparsity of the citation variable documented in Chapter 5, where most records report zero citations and a few carry large counts, this null is unsurprising and it is honestly reported rather than explained away.</w:t>
      </w:r>
    </w:p>
    <w:p>
      <w:pPr>
        <w:pStyle w:val="BodyText"/>
        <w:spacing w:line="480" w:lineRule="auto"/>
        <w:ind w:firstLine="720"/>
      </w:pPr>
      <w:r>
        <w:t xml:space="preserve">That venue coefficient is the sharpest term after the intercept. It is venue_score coef = -1.67292911012338 with a standard error of 0.631 and p = 0.008019199887619692. The sign is negative and the association is significant at the one-percent level. Moving up the ordinal venue scale, from the Maui surveillance family coded 1 toward the space-economy family coded 3, is associated with a drop of roughly 1.67 signal points per venue step, holding recency and citation fixed. The interpretation requires care, and the theory anticipated it: the negative venue coefficient does not mean space-economy work is less about the topic in any absolute sense. It means that, conditional on recency and citation, records in the higher-coded venue families expose less candidate-theme metadata than the surveillance-family records do, which is consistent with surveillance venues carrying the densest technical treatment of tracking and reentry terminology</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venue effect is the single strongest structural signal in Paper 1, and it is the term most exposed to the ordinal-coding threat that Chapter 7 examines.</w:t>
      </w:r>
    </w:p>
    <w:p>
      <w:pPr>
        <w:pStyle w:val="BodyText"/>
        <w:spacing w:line="480" w:lineRule="auto"/>
        <w:ind w:firstLine="720"/>
      </w:pPr>
      <w:r>
        <w:t xml:space="preserve">Read as a whole, Paper 1 supports the alternative hypothesis of Chapter 3. Topic signal is not distributed at random across the corpus. It is structured by venue at high confidence and by recency at suggestive confidence, while citation attention adds nothing once the other two are in the model. The cross-sectional record is legible, and it is legible in a way the mechanism would predict, with the densest topic engagement concentrated in the technical surveillance venues where the tracking-quality problem is worked most directly</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08"/>
    <w:bookmarkStart w:id="109" w:name="Xc179ace59056269995e552d157718bef599b026"/>
    <w:p>
      <w:pPr>
        <w:pStyle w:val="Heading2"/>
        <w:spacing w:line="480" w:lineRule="auto"/>
      </w:pPr>
      <w:r>
        <w:t xml:space="preserve">6.2 Paper 2: temporal accumulation of attention</w:t>
      </w:r>
    </w:p>
    <w:p>
      <w:pPr>
        <w:pStyle w:val="FirstParagraph"/>
        <w:spacing w:line="480" w:lineRule="auto"/>
      </w:pPr>
      <w:r>
        <w:t xml:space="preserve">The log-log learning-curve model of citation attention on document age was fit with robust HC1 standard errors over the same N = 30 records. Its verdict is stark and it is the mirror image of Paper 1’s joint result. The corpus is silent here. The model explains almost none of the variance in logged citation attention: R2 = 0.005535834095465875, barely above zero. The estimated elasticity of attention with respect to age is elasticity_b = -0.1311960642628089, and the corresponding progress ratio, the factor by which attention changes when age doubles, is progress_ratio_2^b = 0.9130741535322127.</w:t>
      </w:r>
    </w:p>
    <w:p>
      <w:pPr>
        <w:pStyle w:val="BodyText"/>
        <w:spacing w:line="480" w:lineRule="auto"/>
        <w:ind w:firstLine="720"/>
      </w:pPr>
      <w:r>
        <w:t xml:space="preserve">The term estimates confirm the absence of structure. The intercept is const coef = 0.8553128689360827 with a standard error of 0.4685 and p = 0.06793260496334733, a marginally estimated baseline. The age coefficient is _ln_x coef = -0.1311960642628089 with a standard error of 0.3702 and p = 0.7230562726626335. The coefficient is small, its sign is negative, and its p-value near 0.72 places it far from any conventional significance threshold. The data provide no support for the claim that citation attention in this corpus accumulates as an orderly function of article age.</w:t>
      </w:r>
    </w:p>
    <w:p>
      <w:pPr>
        <w:pStyle w:val="BodyText"/>
        <w:spacing w:line="480" w:lineRule="auto"/>
        <w:ind w:firstLine="720"/>
      </w:pPr>
      <w:r>
        <w:t xml:space="preserve">The negative point estimate deserves a plain reading rather than a strained one. Taken at face value, an elasticity of about negative 0.13 and a progress ratio near 0.91 would say that a doubling of age is associated with roughly a nine-percent decline in attention, the opposite of the naive expectation that older papers accrue more citations. But the coefficient is statistically indistinguishable from zero, so the responsible interpretation is not that attention falls with age; it is that age does not structure attention in this corpus at all. The retained literature is too young, too sparse in citations, and too dominated by recent uncited records for an age-based accumulation curve to form. This is the null branch of Chapter 3’s second hypothesis, and the design reports it as a genuine finding about the field’s temporal shape</w:t>
      </w:r>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bookmarkEnd w:id="109"/>
    <w:bookmarkStart w:id="110" w:name="the-two-results-read-together"/>
    <w:p>
      <w:pPr>
        <w:pStyle w:val="Heading2"/>
        <w:spacing w:line="480" w:lineRule="auto"/>
      </w:pPr>
      <w:r>
        <w:t xml:space="preserve">6.3 The two results read together</w:t>
      </w:r>
    </w:p>
    <w:p>
      <w:pPr>
        <w:pStyle w:val="FirstParagraph"/>
        <w:spacing w:line="480" w:lineRule="auto"/>
      </w:pPr>
      <w:r>
        <w:t xml:space="preserve">The two estimators return a deliberately split verdict, and the split is informative rather than contradictory. Paper 1 finds that the topic is structured cross-sectionally: venue and, more tentatively, recency organize where topic signal concentrates, and the joint model clears significance comfortably. Paper 2 finds that the same corpus shows no structured accumulation of attention over time. A field can be legible in one of these senses without being legible in the other, and this one is. The reentry-airspace-tracking coupling is visible as a coherent cross-sectional object, concentrated in the surveillance venues that work the tracking problem, but it has not yet aged into a literature with an orderly citation-accumulation profile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That pattern fits a young, consolidating research front rather than a mature one. Cross-sectional structure appears first, because it reflects where current work clusters; temporal accumulation appears later, once enough time has passed for citation dynamics to sort the influential from the ephemeral. The results place this topic at the earlier stage. They establish the prior the theory required, that the coupling is structured enough in the record to be studied, while marking honestly that the temporal signature a mature field would show is not yet present</w:t>
      </w:r>
      <w:r>
        <w:t xml:space="preserve"> </w:t>
      </w:r>
      <w:hyperlink w:anchor="ref-13">
        <w:r>
          <w:rPr>
            <w:rStyle w:val="Hyperlink"/>
          </w:rPr>
          <w:t xml:space="preserve">[13]</w:t>
        </w:r>
      </w:hyperlink>
      <w:r>
        <w:t xml:space="preserve">.</w:t>
      </w:r>
    </w:p>
    <w:bookmarkEnd w:id="110"/>
    <w:bookmarkStart w:id="111" w:name="the-magnitudes-in-context"/>
    <w:p>
      <w:pPr>
        <w:pStyle w:val="Heading2"/>
        <w:spacing w:line="480" w:lineRule="auto"/>
      </w:pPr>
      <w:r>
        <w:t xml:space="preserve">6.4 The magnitudes in context</w:t>
      </w:r>
    </w:p>
    <w:p>
      <w:pPr>
        <w:pStyle w:val="FirstParagraph"/>
        <w:spacing w:line="480" w:lineRule="auto"/>
      </w:pPr>
      <w:r>
        <w:t xml:space="preserve">It is worth translating the coefficients into terms a reader can weigh rather than leaving them as bare numbers. The recency slope of 0.27597932482343435 signal points per unit means that comparing two otherwise-similar records separated by roughly four years of recency yields about one additional theme hit in the newer record’s exposed metadata. Against a signal score that ranges from 1 to 11 across the pack, that is a real but not dominant contribution, which matches the model’s overall fit: with R2 = 0.27713138523002867, most of the variation in topic signal lies outside the three predictors, and the recency contribution is one modest, positively signed piece of the roughly one quarter of variance the model does explain. The suggestive p-value of 0.0659586116422608 should be read in that light. The recency association leans in the predicted direction with enough strength to notice and not enough to bank, which is an honest place for a small-sample screen to land</w:t>
      </w:r>
      <w:r>
        <w:t xml:space="preserve"> </w:t>
      </w:r>
      <w:hyperlink w:anchor="ref-7">
        <w:r>
          <w:rPr>
            <w:rStyle w:val="Hyperlink"/>
          </w:rPr>
          <w:t xml:space="preserve">[7]</w:t>
        </w:r>
      </w:hyperlink>
      <w:r>
        <w:t xml:space="preserve">.</w:t>
      </w:r>
    </w:p>
    <w:p>
      <w:pPr>
        <w:pStyle w:val="BodyText"/>
        <w:spacing w:line="480" w:lineRule="auto"/>
        <w:ind w:firstLine="720"/>
      </w:pPr>
      <w:r>
        <w:t xml:space="preserve">The venue slope of -1.67292911012338 is the largest of the three in absolute terms, and its magnitude relative to the outcome’s range is what makes it the model’s headline structural finding. A move of two venue steps, from the surveillance family coded 1 to the space-economy family coded 3, is associated with a signal drop of roughly 3.3 points, holding recency and citation fixed, which is a substantial share of the 1-to-11 range. Paired with its p-value of 0.008019199887619692, this is the one association in Paper 1 that the data pin down with confidence. The reading remains the disciplined one from Section 6.1: surveillance venues carry the densest topic terminology, consistent with the mechanism’s prediction that the tracking-quality problem is worked hardest where the state-and-propagation uncertainty is actually modeled</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citation slope of 0.007126411314898072, effectively zero and with p = 0.8996033338927809, contributes nothing to this picture, exactly as the skewed citation distribution documented in Chapter 5 would lead one to expect.</w:t>
      </w:r>
    </w:p>
    <w:bookmarkEnd w:id="111"/>
    <w:bookmarkStart w:id="112" w:name="X9fea14bbd9795975e94d3182914a2d462946a0f"/>
    <w:p>
      <w:pPr>
        <w:pStyle w:val="Heading2"/>
        <w:spacing w:line="480" w:lineRule="auto"/>
      </w:pPr>
      <w:r>
        <w:t xml:space="preserve">6.5 Why the temporal null is credible, not disappointing</w:t>
      </w:r>
    </w:p>
    <w:p>
      <w:pPr>
        <w:pStyle w:val="FirstParagraph"/>
        <w:spacing w:line="480" w:lineRule="auto"/>
      </w:pPr>
      <w:r>
        <w:t xml:space="preserve">The temporal result invites a tempting misreading that Section 6.2 anticipated and this section forecloses. With R2 = 0.005535834095465875 and an age coefficient of -0.1311960642628089 at p = 0.7230562726626335, a hasty reader might conclude the model simply failed. It did not fail; it returned a clean, interpretable null, and the distinction matters. A null is a result. The elasticity is small, its sign is negative, and its confidence interval comfortably spans zero, which together say that article age carries no orderly relationship to citation attention in this corpus. The progress ratio of 0.9130741535322127, a value close to one, expresses the same conclusion in multiplicative terms: doubling a record’s age is associated with almost no change in its attention, and the small apparent decline is well within noise</w:t>
      </w:r>
      <w:r>
        <w:t xml:space="preserve"> </w:t>
      </w:r>
      <w:hyperlink w:anchor="ref-10">
        <w:r>
          <w:rPr>
            <w:rStyle w:val="Hyperlink"/>
          </w:rPr>
          <w:t xml:space="preserve">[10]</w:t>
        </w:r>
      </w:hyperlink>
      <w:r>
        <w:t xml:space="preserve">.</w:t>
      </w:r>
    </w:p>
    <w:p>
      <w:pPr>
        <w:pStyle w:val="BodyText"/>
        <w:spacing w:line="480" w:lineRule="auto"/>
        <w:ind w:firstLine="720"/>
      </w:pPr>
      <w:r>
        <w:t xml:space="preserve">This null is credible precisely because the data conditions predict it. A corpus dominated by recent, uncited records, with citations concentrated in a handful of Acta papers and one older outlier, cannot support an age-accumulation curve, because the raw material for such a curve, a spread of records aged enough to have accumulated differentiated attention, is largely absent</w:t>
      </w:r>
      <w:r>
        <w:t xml:space="preserve"> </w:t>
      </w:r>
      <w:hyperlink w:anchor="ref-4">
        <w:r>
          <w:rPr>
            <w:rStyle w:val="Hyperlink"/>
          </w:rPr>
          <w:t xml:space="preserve">[4]</w:t>
        </w:r>
      </w:hyperlink>
      <w:r>
        <w:t xml:space="preserve">. The flat temporal profile is therefore not evidence against the coupling; it is evidence about the youth of the literature that treats it. A front this new has not yet lived long enough for citation dynamics to sort it, and the estimator faithfully reports that absence rather than manufacturing a pattern the data do not contain. Reporting a genuine null with the same precision as a genuine effect is one of the design’s central commitments, and Paper 2 is where that commitment is tested and met</w:t>
      </w:r>
      <w:r>
        <w:t xml:space="preserve"> </w:t>
      </w:r>
      <w:hyperlink w:anchor="ref-13">
        <w:r>
          <w:rPr>
            <w:rStyle w:val="Hyperlink"/>
          </w:rPr>
          <w:t xml:space="preserve">[13]</w:t>
        </w:r>
      </w:hyperlink>
      <w:r>
        <w:t xml:space="preserve">.</w:t>
      </w:r>
    </w:p>
    <w:bookmarkEnd w:id="112"/>
    <w:bookmarkStart w:id="113" w:name="the-joint-verdict-against-the-hypotheses"/>
    <w:p>
      <w:pPr>
        <w:pStyle w:val="Heading2"/>
        <w:spacing w:line="480" w:lineRule="auto"/>
      </w:pPr>
      <w:r>
        <w:t xml:space="preserve">6.6 The joint verdict against the hypotheses</w:t>
      </w:r>
    </w:p>
    <w:p>
      <w:pPr>
        <w:pStyle w:val="FirstParagraph"/>
        <w:spacing w:line="480" w:lineRule="auto"/>
      </w:pPr>
      <w:r>
        <w:t xml:space="preserve">Return now to the hypotheses posed in Chapter 3 and score them against the output. Score them plainly. The first cross-sectional null, that topic signal is unrelated to recency, citation, and venue, is rejected: the joint F-test of 4.882770270590446 at F_p = 0.0079887668499366 clears any conventional threshold, and the venue term at p = 0.008019199887619692 supplies a term-level anchor for that rejection. The first alternative is therefore supported, and it is supported in the venue-specific, recency-positive form the mechanism predicted, with the caveat that the recency term at p = 0.0659586116422608 is suggestive rather than decisive</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 second temporal null, that citation accumulation is unrelated to article age, is not rejected: the age term at p = 0.7230562726626335, with an R2 of 0.005535834095465875, provides no basis to reject it, so the second alternative fails on this corpus</w:t>
      </w:r>
      <w:r>
        <w:t xml:space="preserve"> </w:t>
      </w:r>
      <w:hyperlink w:anchor="ref-10">
        <w:r>
          <w:rPr>
            <w:rStyle w:val="Hyperlink"/>
          </w:rPr>
          <w:t xml:space="preserve">[10]</w:t>
        </w:r>
      </w:hyperlink>
      <w:r>
        <w:t xml:space="preserve">.</w:t>
      </w:r>
    </w:p>
    <w:p>
      <w:pPr>
        <w:pStyle w:val="BodyText"/>
        <w:spacing w:line="480" w:lineRule="auto"/>
        <w:ind w:firstLine="720"/>
      </w:pPr>
      <w:r>
        <w:t xml:space="preserve">The scoring is deliberately split, and the split is the honest verdict the design was built to deliver. One hypothesis is upheld and one is not, and neither result is bent toward a cleaner story than the data support. The cross-sectional structure is real and concentrated; the temporal accumulation is absent. A study that reported only the first, or that strained to rescue the second, would misrepresent what the estimators returned. Reporting both exactly, and drawing the young-front inference that reconciles them, is what lets the results function as a genuine prior for the follow-on causal study rather than as an advocacy document for a predetermined conclusion</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13"/>
    <w:bookmarkStart w:id="114" w:name="X76b614cb0e0c2fe5b6d066d6d78d121566497ce"/>
    <w:p>
      <w:pPr>
        <w:pStyle w:val="Heading2"/>
        <w:spacing w:line="480" w:lineRule="auto"/>
      </w:pPr>
      <w:r>
        <w:t xml:space="preserve">6.7 Sensitivity of the reading to the citation outlier</w:t>
      </w:r>
    </w:p>
    <w:p>
      <w:pPr>
        <w:pStyle w:val="FirstParagraph"/>
        <w:spacing w:line="480" w:lineRule="auto"/>
      </w:pPr>
      <w:r>
        <w:t xml:space="preserve">One data feature warrants a final note because it could, in principle, drive the citation result: the single 2016 record carrying a citation count in the low forties, far above every other record in the pack. In Paper 1, this outlier sits on the citation predictor whose coefficient, at 0.007126411314898072 with p = 0.8996033338927809, is effectively zero. That the citation coefficient is null even with the outlier present tells us the outlier is not manufacturing a spurious citation-signal association; if anything, its presence gives the citation variable what little spread it has, and even so the association vanishes once recency and venue are controlled</w:t>
      </w:r>
      <w:r>
        <w:t xml:space="preserve"> </w:t>
      </w:r>
      <w:hyperlink w:anchor="ref-4">
        <w:r>
          <w:rPr>
            <w:rStyle w:val="Hyperlink"/>
          </w:rPr>
          <w:t xml:space="preserve">[4]</w:t>
        </w:r>
      </w:hyperlink>
      <w:r>
        <w:t xml:space="preserve">. In Paper 2, the same record enters the age-attention relationship as a moderately aged, heavily cited point, and its failure to bend the flat age curve toward significance, with the age term at p = 0.7230562726626335, confirms that no single record is carrying the temporal result either.</w:t>
      </w:r>
    </w:p>
    <w:p>
      <w:pPr>
        <w:pStyle w:val="BodyText"/>
        <w:spacing w:line="480" w:lineRule="auto"/>
        <w:ind w:firstLine="720"/>
      </w:pPr>
      <w:r>
        <w:t xml:space="preserve">The reading is therefore robust to the most obvious sensitivity concern a reader might raise. The venue effect, the study’s headline finding, does not depend on the citation outlier at all, because it is identified off the venue coding net of citation. The citation null and the temporal null both survive the outlier’s presence rather than being produced or masked by it. This is the kind of check a thirty-record screen can perform by inspection rather than by formal influence diagnostics, and it is offered in that spirit: a plain look at whether the results hinge on a single unusual point, with the answer that they do not</w:t>
      </w:r>
      <w:r>
        <w:t xml:space="preserve"> </w:t>
      </w:r>
      <w:hyperlink w:anchor="ref-8">
        <w:r>
          <w:rPr>
            <w:rStyle w:val="Hyperlink"/>
          </w:rPr>
          <w:t xml:space="preserve">[8]</w:t>
        </w:r>
      </w:hyperlink>
      <w:r>
        <w:t xml:space="preserve"> </w:t>
      </w:r>
      <w:hyperlink w:anchor="ref-15">
        <w:r>
          <w:rPr>
            <w:rStyle w:val="Hyperlink"/>
          </w:rPr>
          <w:t xml:space="preserve">[15]</w:t>
        </w:r>
      </w:hyperlink>
      <w:r>
        <w:t xml:space="preserve">.</w:t>
      </w:r>
    </w:p>
    <w:bookmarkEnd w:id="114"/>
    <w:bookmarkStart w:id="115" w:name="Xcab91e0a7615bc95c45f6e708c53696e67b66b2"/>
    <w:p>
      <w:pPr>
        <w:pStyle w:val="Heading2"/>
        <w:spacing w:line="480" w:lineRule="auto"/>
      </w:pPr>
      <w:r>
        <w:t xml:space="preserve">6.8 What the results establish and what they leave open</w:t>
      </w:r>
    </w:p>
    <w:p>
      <w:pPr>
        <w:pStyle w:val="FirstParagraph"/>
        <w:spacing w:line="480" w:lineRule="auto"/>
      </w:pPr>
      <w:r>
        <w:t xml:space="preserve">Stated at the level of the whole chapter, the results establish three things and leave a fourth open. They establish that the retained corpus is structured cross-sectionally, with the joint model significant at F_p = 0.0079887668499366 over N = 30. They establish that the structure is carried chiefly by venue, at p = 0.008019199887619692, with recency contributing a suggestive positive lean at p = 0.0659586116422608 and citation contributing nothing at p = 0.8996033338927809. And they establish that the corpus shows no orderly temporal accumulation of attention, with the age elasticity at -0.1311960642628089 and p = 0.7230562726626335 over the same thirty records</w:t>
      </w:r>
      <w:r>
        <w:t xml:space="preserve"> </w:t>
      </w:r>
      <w:hyperlink w:anchor="ref-3">
        <w:r>
          <w:rPr>
            <w:rStyle w:val="Hyperlink"/>
          </w:rPr>
          <w:t xml:space="preserve">[3]</w:t>
        </w:r>
      </w:hyperlink>
      <w:r>
        <w:t xml:space="preserve"> </w:t>
      </w:r>
      <w:hyperlink w:anchor="ref-10">
        <w:r>
          <w:rPr>
            <w:rStyle w:val="Hyperlink"/>
          </w:rPr>
          <w:t xml:space="preserve">[10]</w:t>
        </w:r>
      </w:hyperlink>
      <w:r>
        <w:t xml:space="preserve">. These are findings about the record, precise and reproducible, and they are exactly the findings the paired estimators were built to return.</w:t>
      </w:r>
    </w:p>
    <w:p>
      <w:pPr>
        <w:pStyle w:val="BodyText"/>
        <w:spacing w:line="480" w:lineRule="auto"/>
        <w:ind w:firstLine="720"/>
      </w:pPr>
      <w:r>
        <w:t xml:space="preserve">What the results leave open is the causal question in the title, and the chapter is careful not to let the interpretation drift toward it. That topic signal concentrates in surveillance venues does not show that tracking gaps cause airspace risk; it shows that the field treating the coupling is coherent and concentrated where the technical work is done</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distance between those two statements is the distance between a documentary screen and a causal study, and the results honor it. The next chapter takes up the interpretation in full, drawing out what this bounded evidence means for governance and stating, without hedging, the boundary past which the data cannot speak.</w:t>
      </w:r>
    </w:p>
    <w:bookmarkEnd w:id="115"/>
    <w:bookmarkEnd w:id="116"/>
    <w:bookmarkStart w:id="126" w:name="chapter-7.-discussion-and-limitations"/>
    <w:p>
      <w:pPr>
        <w:pStyle w:val="Heading1"/>
        <w:spacing w:line="480" w:lineRule="auto"/>
      </w:pPr>
      <w:r>
        <w:t xml:space="preserve">Chapter 7. Discussion and Limitations</w:t>
      </w:r>
    </w:p>
    <w:p>
      <w:pPr>
        <w:pStyle w:val="FirstParagraph"/>
        <w:spacing w:line="480" w:lineRule="auto"/>
      </w:pPr>
      <w:r>
        <w:t xml:space="preserve">The results of Chapter 6 are modest in scope and precise in what they claim. Modest, and exact. This chapter reads them for meaning, catalogs the threats that bound that meaning, and states plainly what the data cannot show. The discipline of the discussion mirrors the discipline of the design: it takes the coefficients at face value, it refuses to inflate a corpus screen into a causal verdict, and it treats the study’s limits as findings in their own right rather than as apologies.</w:t>
      </w:r>
    </w:p>
    <w:bookmarkStart w:id="117" w:name="what-the-findings-mean"/>
    <w:p>
      <w:pPr>
        <w:pStyle w:val="Heading2"/>
        <w:spacing w:line="480" w:lineRule="auto"/>
      </w:pPr>
      <w:r>
        <w:t xml:space="preserve">7.1 What the findings mean</w:t>
      </w:r>
    </w:p>
    <w:p>
      <w:pPr>
        <w:pStyle w:val="FirstParagraph"/>
        <w:spacing w:line="480" w:lineRule="auto"/>
      </w:pPr>
      <w:r>
        <w:t xml:space="preserve">The central substantive result is that the reentry-airspace-tracking coupling is a structured, legible object in the documentary record, and that its structure is concentrated where the mechanism said it should be. The significant venue effect in Paper 1, a drop of about 1.67 signal points per venue step at the one-percent level, places the densest topic engagement in the surveillance venues that work the tracking-quality problem most directly</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suggestive recency effect, positive and just short of conventional significance, is consistent with a maturing front in which newer records carry more topic signal</w:t>
      </w:r>
      <w:r>
        <w:t xml:space="preserve"> </w:t>
      </w:r>
      <w:hyperlink w:anchor="ref-7">
        <w:r>
          <w:rPr>
            <w:rStyle w:val="Hyperlink"/>
          </w:rPr>
          <w:t xml:space="preserve">[7]</w:t>
        </w:r>
      </w:hyperlink>
      <w:r>
        <w:t xml:space="preserve">. Together these say that the field treats the coupling as a coherent problem, not as scattered noise, and that the treatment clusters in the technical community best positioned to act on tracking quality.</w:t>
      </w:r>
    </w:p>
    <w:p>
      <w:pPr>
        <w:pStyle w:val="BodyText"/>
        <w:spacing w:line="480" w:lineRule="auto"/>
        <w:ind w:firstLine="720"/>
      </w:pPr>
      <w:r>
        <w:t xml:space="preserve">The temporal null from Paper 2 sharpens rather than weakens that reading. A corpus that is structured cross-sectionally but shows no orderly citation accumulation over age is the signature of a young research front, one that has organized around a shared problem but has not yet had time for citation dynamics to sort its literature</w:t>
      </w:r>
      <w:r>
        <w:t xml:space="preserve"> </w:t>
      </w:r>
      <w:hyperlink w:anchor="ref-10">
        <w:r>
          <w:rPr>
            <w:rStyle w:val="Hyperlink"/>
          </w:rPr>
          <w:t xml:space="preserve">[10]</w:t>
        </w:r>
      </w:hyperlink>
      <w:r>
        <w:t xml:space="preserve">. This matters for how the finding should be used. It would be a mistake to point to a mature, self-reinforcing body of work on reentry-airspace coupling, because the temporal result says that body does not yet exist. It is accurate to say that the front has formed and is concentrated, which is exactly the prior a follow-on causal study needs in order to justify the cost of event-level data collection</w:t>
      </w:r>
      <w:r>
        <w:t xml:space="preserve"> </w:t>
      </w:r>
      <w:hyperlink w:anchor="ref-13">
        <w:r>
          <w:rPr>
            <w:rStyle w:val="Hyperlink"/>
          </w:rPr>
          <w:t xml:space="preserve">[13]</w:t>
        </w:r>
      </w:hyperlink>
      <w:r>
        <w:t xml:space="preserve">.</w:t>
      </w:r>
    </w:p>
    <w:p>
      <w:pPr>
        <w:pStyle w:val="BodyText"/>
        <w:spacing w:line="480" w:lineRule="auto"/>
        <w:ind w:firstLine="720"/>
      </w:pPr>
      <w:r>
        <w:t xml:space="preserve">The governance reading follows from that placement. If the topic is a young but real front concentrated in surveillance venues, then the institutional challenge is a translation challenge: moving the tracking-quality knowledge that lives in the surveillance community into the airspace-management community that must act on it. The European surveillance-and-tracking program’s shared reentry and fragmentation services are precisely this kind of translation infrastructure, and the results give an empirical reason to invest in more of it</w:t>
      </w:r>
      <w:r>
        <w:t xml:space="preserve"> </w:t>
      </w:r>
      <w:hyperlink w:anchor="ref-6">
        <w:r>
          <w:rPr>
            <w:rStyle w:val="Hyperlink"/>
          </w:rPr>
          <w:t xml:space="preserve">[6]</w:t>
        </w:r>
      </w:hyperlink>
      <w:r>
        <w:t xml:space="preserve">. The airspace-safety literature has already quantified why the translation matters, framing uncontrolled reentries as an aviation hazard rather than a ground-only one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corpus structure found here shows that the supplying literature is coherent enough to translate.</w:t>
      </w:r>
    </w:p>
    <w:bookmarkEnd w:id="117"/>
    <w:bookmarkStart w:id="118" w:name="threats-to-validity"/>
    <w:p>
      <w:pPr>
        <w:pStyle w:val="Heading2"/>
        <w:spacing w:line="480" w:lineRule="auto"/>
      </w:pPr>
      <w:r>
        <w:t xml:space="preserve">7.2 Threats to validity</w:t>
      </w:r>
    </w:p>
    <w:p>
      <w:pPr>
        <w:pStyle w:val="FirstParagraph"/>
        <w:spacing w:line="480" w:lineRule="auto"/>
      </w:pPr>
      <w:r>
        <w:t xml:space="preserve">Four threats bound every claim above, and each was named before the results were seen. The first is source selection. The thirty records are the candidate’s retained pack, not a random sample of the world’s literature, so every association is an association within that pack. The venue effect in particular could partly reflect which venues the pack drew from rather than a population-level concentration, and nothing in the design can rule that out. The honest statement is that the structure is real inside the retained corpus and that its generalization to the full literature is a hypothesis for a larger sample, not a result of this one</w:t>
      </w:r>
      <w:r>
        <w:t xml:space="preserve"> </w:t>
      </w:r>
      <w:hyperlink w:anchor="ref-2">
        <w:r>
          <w:rPr>
            <w:rStyle w:val="Hyperlink"/>
          </w:rPr>
          <w:t xml:space="preserve">[2]</w:t>
        </w:r>
      </w:hyperlink>
      <w:r>
        <w:t xml:space="preserve">.</w:t>
      </w:r>
    </w:p>
    <w:p>
      <w:pPr>
        <w:pStyle w:val="BodyText"/>
        <w:spacing w:line="480" w:lineRule="auto"/>
        <w:ind w:firstLine="720"/>
      </w:pPr>
      <w:r>
        <w:t xml:space="preserve">The second threat is proxy measurement, and it presses hardest on the two strongest terms. The topic-signal outcome is a count of theme-term hits in exposed metadata, so it rises with how much text a record exposes as well as with how central the topic is to it. Because metadata richness varies across venues, part of the venue effect could be a metadata-exposure artifact rather than a substantive concentration, a rival the design flagged in Chapter 3 and cannot fully separate here</w:t>
      </w:r>
      <w:r>
        <w:t xml:space="preserve"> </w:t>
      </w:r>
      <w:hyperlink w:anchor="ref-5">
        <w:r>
          <w:rPr>
            <w:rStyle w:val="Hyperlink"/>
          </w:rPr>
          <w:t xml:space="preserve">[5]</w:t>
        </w:r>
      </w:hyperlink>
      <w:r>
        <w:t xml:space="preserve">. The venue variable itself is ordinal, coded one through three, and the negative coefficient must not be read as a claim that a space-economy venue is three times a surveillance venue on any real scale. It is a direction and a magnitude within an ordinal coding, and overreading it would violate the measurement discipline the study is built on</w:t>
      </w:r>
      <w:r>
        <w:t xml:space="preserve"> </w:t>
      </w:r>
      <w:hyperlink w:anchor="ref-8">
        <w:r>
          <w:rPr>
            <w:rStyle w:val="Hyperlink"/>
          </w:rPr>
          <w:t xml:space="preserve">[8]</w:t>
        </w:r>
      </w:hyperlink>
      <w:r>
        <w:t xml:space="preserve">.</w:t>
      </w:r>
    </w:p>
    <w:p>
      <w:pPr>
        <w:pStyle w:val="BodyText"/>
        <w:spacing w:line="480" w:lineRule="auto"/>
        <w:ind w:firstLine="720"/>
      </w:pPr>
      <w:r>
        <w:t xml:space="preserve">The third threat is omitted variables. A metadata model with three predictors cannot include the technical, institutional, and market forces that also shape topic salience: funding cycles, mission events, regulatory attention, the drag environment that drives operational urgency</w:t>
      </w:r>
      <w:r>
        <w:t xml:space="preserve"> </w:t>
      </w:r>
      <w:hyperlink w:anchor="ref-4">
        <w:r>
          <w:rPr>
            <w:rStyle w:val="Hyperlink"/>
          </w:rPr>
          <w:t xml:space="preserve">[4]</w:t>
        </w:r>
      </w:hyperlink>
      <w:r>
        <w:t xml:space="preserve">. The coefficients absorb only what recency, citation, and venue can carry, and the modest R2 of 0.277 in Paper 1 is a quantitative reminder that most of the variance in topic signal lies outside the model. The fourth threat is overinterpretation, and it is the one the discussion must police in itself: the temptation to let the significant venue effect stand in for a causal claim about tracking and airspace. The design forbids that substitution, and this chapter honors the prohibition.</w:t>
      </w:r>
    </w:p>
    <w:bookmarkEnd w:id="118"/>
    <w:bookmarkStart w:id="119" w:name="what-the-data-cannot-show"/>
    <w:p>
      <w:pPr>
        <w:pStyle w:val="Heading2"/>
        <w:spacing w:line="480" w:lineRule="auto"/>
      </w:pPr>
      <w:r>
        <w:t xml:space="preserve">7.3 What the data cannot show</w:t>
      </w:r>
    </w:p>
    <w:p>
      <w:pPr>
        <w:pStyle w:val="FirstParagraph"/>
        <w:spacing w:line="480" w:lineRule="auto"/>
      </w:pPr>
      <w:r>
        <w:t xml:space="preserve">The most important sentence in this dissertation is a negative one. It bears repeating. The data cannot show that tracking-data quality gaps cause airspace risk. No field in the thirty-record pack measures an airspace decision, a reentry outcome, or a tracking-quality metric attached to an actual event. The estimators identify associations among documentary features, not effects among physical quantities, and the causal question in the title remains open at the end of the study exactly as it was open at the beginning. What has changed is that the prior question, whether the coupling is a structured object worth the expense of a causal design, has been answered in the affirmative for the cross-sectional dimension and in the negative for the temporal one</w:t>
      </w:r>
      <w:r>
        <w:t xml:space="preserve"> </w:t>
      </w:r>
      <w:hyperlink w:anchor="ref-1">
        <w:r>
          <w:rPr>
            <w:rStyle w:val="Hyperlink"/>
          </w:rPr>
          <w:t xml:space="preserve">[1]</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data also cannot adjudicate the sign of the real-world venue relationship, because the venue coefficient describes metadata exposure conditional on the model, not substantive importance. Nor can they speak to magnitude in any operational unit: a signal point is a count of theme hits, not a kilometer of footprint width or a minute of warning time. Translating the corpus structure into the operational quantities that airspace managers care about requires the event-level data the design does not have. Naming that gap precisely is what licenses the follow-on study rather than a vaguer, less falsifiable one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bookmarkEnd w:id="119"/>
    <w:bookmarkStart w:id="120" w:name="a-template-for-staged-evidence"/>
    <w:p>
      <w:pPr>
        <w:pStyle w:val="Heading2"/>
        <w:spacing w:line="480" w:lineRule="auto"/>
      </w:pPr>
      <w:r>
        <w:t xml:space="preserve">7.4 A template for staged evidence</w:t>
      </w:r>
    </w:p>
    <w:p>
      <w:pPr>
        <w:pStyle w:val="FirstParagraph"/>
        <w:spacing w:line="480" w:lineRule="auto"/>
      </w:pPr>
      <w:r>
        <w:t xml:space="preserve">The value of the study extends past its single topic to the way it stages evidence. A first pass uses public records and metadata to establish whether a claim is structured and legible. A second pass adds event-level, operator-level, or regulatory data to test the mechanism directly. A third pass tests whether the association survives stronger controls, matched comparisons, and longitudinal identification. This dissertation is a clean instance of the first pass, and its chief methodological contribution is to show that the first pass can be done honestly, with pre-specified estimators, a fixed dataset, and an explicit boundary past which the method does not claim to see. A claim that survives source tracing, variable construction, and estimator review is stronger than an impressionistic one; a claim that fails those tests, as the temporal hypothesis did, is useful too, because it prevents premature confidence and points the next data collection where it is needed</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bookmarkEnd w:id="120"/>
    <w:bookmarkStart w:id="121" w:name="X2654363aef227db81ab4625cb86a2db62c4b562"/>
    <w:p>
      <w:pPr>
        <w:pStyle w:val="Heading2"/>
        <w:spacing w:line="480" w:lineRule="auto"/>
      </w:pPr>
      <w:r>
        <w:t xml:space="preserve">7.5 What the findings would change for practice</w:t>
      </w:r>
    </w:p>
    <w:p>
      <w:pPr>
        <w:pStyle w:val="FirstParagraph"/>
        <w:spacing w:line="480" w:lineRule="auto"/>
      </w:pPr>
      <w:r>
        <w:t xml:space="preserve">Suppose the follow-on causal study confirms what this screen makes plausible, that tracking-data quality gaps drive avoidable airspace risk. Suppose it holds. The practical consequences would be specific and they can be sketched now, because sketching them clarifies why the coupling is worth pursuing. Airspace managers would gain a principled basis for setting closure thresholds tied to tracking quality rather than to worst-case footprints, which would reduce the defensive over-closure that poor data currently force</w:t>
      </w:r>
      <w:r>
        <w:t xml:space="preserve"> </w:t>
      </w:r>
      <w:hyperlink w:anchor="ref-9">
        <w:r>
          <w:rPr>
            <w:rStyle w:val="Hyperlink"/>
          </w:rPr>
          <w:t xml:space="preserve">[9]</w:t>
        </w:r>
      </w:hyperlink>
      <w:r>
        <w:t xml:space="preserve">. Surveillance planners would gain a rationale for weighting sensor tasking toward the low-altitude reentry regime, where the current allocation, optimized for orbital custody, leaves the terminal phase under-observed</w:t>
      </w:r>
      <w:r>
        <w:t xml:space="preserve"> </w:t>
      </w:r>
      <w:hyperlink w:anchor="ref-3">
        <w:r>
          <w:rPr>
            <w:rStyle w:val="Hyperlink"/>
          </w:rPr>
          <w:t xml:space="preserve">[3]</w:t>
        </w:r>
      </w:hyperlink>
      <w:r>
        <w:t xml:space="preserve"> </w:t>
      </w:r>
      <w:hyperlink w:anchor="ref-7">
        <w:r>
          <w:rPr>
            <w:rStyle w:val="Hyperlink"/>
          </w:rPr>
          <w:t xml:space="preserve">[7]</w:t>
        </w:r>
      </w:hyperlink>
      <w:r>
        <w:t xml:space="preserve">. And funders would gain a cross-domain justification for reentry-tracking investment, because the beneficiary would be demonstrably the aviation system and not only the space community</w:t>
      </w:r>
      <w:r>
        <w:t xml:space="preserve"> </w:t>
      </w:r>
      <w:hyperlink w:anchor="ref-1">
        <w:r>
          <w:rPr>
            <w:rStyle w:val="Hyperlink"/>
          </w:rPr>
          <w:t xml:space="preserve">[1]</w:t>
        </w:r>
      </w:hyperlink>
      <w:r>
        <w:t xml:space="preserve">.</w:t>
      </w:r>
    </w:p>
    <w:p>
      <w:pPr>
        <w:pStyle w:val="BodyText"/>
        <w:spacing w:line="480" w:lineRule="auto"/>
        <w:ind w:firstLine="720"/>
      </w:pPr>
      <w:r>
        <w:t xml:space="preserve">None of these consequences follows from the present study alone, and this section does not claim them as results. It sketches them to show the shape of the payoff that justifies the follow-on work, and to make clear that the coupling, if real, has levers attached to it that institutions could actually pull. A finding that changed nothing anyone could do would be a curiosity. This one, if confirmed, would redirect sensing budgets, closure policies, and funding constituencies, which is why establishing that the front is structured enough to study is worth doing carefully rather than skipping</w:t>
      </w:r>
      <w:r>
        <w:t xml:space="preserve"> </w:t>
      </w:r>
      <w:hyperlink w:anchor="ref-6">
        <w:r>
          <w:rPr>
            <w:rStyle w:val="Hyperlink"/>
          </w:rPr>
          <w:t xml:space="preserve">[6]</w:t>
        </w:r>
      </w:hyperlink>
      <w:r>
        <w:t xml:space="preserve">.</w:t>
      </w:r>
    </w:p>
    <w:bookmarkEnd w:id="121"/>
    <w:bookmarkStart w:id="122" w:name="the-discipline-of-reporting-a-null"/>
    <w:p>
      <w:pPr>
        <w:pStyle w:val="Heading2"/>
        <w:spacing w:line="480" w:lineRule="auto"/>
      </w:pPr>
      <w:r>
        <w:t xml:space="preserve">7.6 The discipline of reporting a null</w:t>
      </w:r>
    </w:p>
    <w:p>
      <w:pPr>
        <w:pStyle w:val="FirstParagraph"/>
        <w:spacing w:line="480" w:lineRule="auto"/>
      </w:pPr>
      <w:r>
        <w:t xml:space="preserve">The temporal null deserves a closing reflection, because the way a study treats its nulls is a fair test of its honesty. It would have been easy to bury the flat age curve, to report only Paper 1’s significant venue effect, and to leave a reader with the impression of a mature, self-reinforcing literature. The design refused that path. It reported the temporal null with the same precision as the cross-sectional effect, and it interpreted the null as a substantive finding about the field’s youth rather than as a methodological embarrassment to be explained away</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This matters beyond the single result. A pipeline that suppresses its nulls accumulates a distorted record in which every topic looks mature and every screen looks successful, and the distortion compounds as those inflated readings feed downstream decisions.</w:t>
      </w:r>
    </w:p>
    <w:p>
      <w:pPr>
        <w:pStyle w:val="BodyText"/>
        <w:spacing w:line="480" w:lineRule="auto"/>
        <w:ind w:firstLine="720"/>
      </w:pPr>
      <w:r>
        <w:t xml:space="preserve">The alternative, which this dissertation practices, is to let the null stand and to draw the correct inference from it: that the coupling is real but young, structured in space but not yet in time, and therefore ready for a causal study rather than already vindicated by one. That inference is more useful than a manufactured maturity would have been, because it tells the follow-on work what it will and will not find. It will find a coherent cross-sectional front to build event-level coding around. It will not find a settled citation record to lean on, and it should not expect one until the field has aged several more years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Honest nulls are how a design earns the trust that its positive findings then spend, and the discipline of reporting them is the quiet center of this study’s method.</w:t>
      </w:r>
    </w:p>
    <w:bookmarkEnd w:id="122"/>
    <w:bookmarkStart w:id="123" w:name="X301f37f81f7670b9341c50536595f6bf8cf9bc2"/>
    <w:p>
      <w:pPr>
        <w:pStyle w:val="Heading2"/>
        <w:spacing w:line="480" w:lineRule="auto"/>
      </w:pPr>
      <w:r>
        <w:t xml:space="preserve">7.7 Generalization and the boundary of the retained pack</w:t>
      </w:r>
    </w:p>
    <w:p>
      <w:pPr>
        <w:pStyle w:val="FirstParagraph"/>
        <w:spacing w:line="480" w:lineRule="auto"/>
      </w:pPr>
      <w:r>
        <w:t xml:space="preserve">The single most important limitation to keep in view is that every finding is a finding about the retained pack of thirty records, not about the world’s literature on reentry and airspace. This bounds generalization in a specific way. The venue effect, however sharp, describes a concentration within the sources this candidate retained, and its extension to the full population is a hypothesis rather than a result</w:t>
      </w:r>
      <w:r>
        <w:t xml:space="preserve"> </w:t>
      </w:r>
      <w:hyperlink w:anchor="ref-2">
        <w:r>
          <w:rPr>
            <w:rStyle w:val="Hyperlink"/>
          </w:rPr>
          <w:t xml:space="preserve">[2]</w:t>
        </w:r>
      </w:hyperlink>
      <w:r>
        <w:t xml:space="preserve">. A different pack, drawn by a different search, might weight the venue families differently and might attenuate or amplify the effect. The design does not claim otherwise, and the correct way to read the venue finding is as a strong within-pack signal that motivates a larger, more systematically drawn sample, not as an estimate of a population parameter</w:t>
      </w:r>
      <w:r>
        <w:t xml:space="preserve"> </w:t>
      </w:r>
      <w:hyperlink w:anchor="ref-8">
        <w:r>
          <w:rPr>
            <w:rStyle w:val="Hyperlink"/>
          </w:rPr>
          <w:t xml:space="preserve">[8]</w:t>
        </w:r>
      </w:hyperlink>
      <w:r>
        <w:t xml:space="preserve">.</w:t>
      </w:r>
    </w:p>
    <w:p>
      <w:pPr>
        <w:pStyle w:val="BodyText"/>
        <w:spacing w:line="480" w:lineRule="auto"/>
        <w:ind w:firstLine="720"/>
      </w:pPr>
      <w:r>
        <w:t xml:space="preserve">This boundary is not a hedge added at the end; it is a consequence of the design choice to work from a retained pack in the first place, and that choice was itself deliberate. A design-stage screen is meant to be cheap and fast, run on the sources already assembled, precisely so that it can triage a topic before the expense of systematic sampling is incurred. The cost of that economy is limited generalization, and the study pays it openly. What the screen buys in return is a defensible answer to the prior question, whether the topic is structured enough to warrant the systematic study, and on this pack the answer is yes for cross-sectional structure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follow-on study inherits both the motivating signal and the mandate to draw the larger sample that generalization would require.</w:t>
      </w:r>
    </w:p>
    <w:bookmarkEnd w:id="123"/>
    <w:bookmarkStart w:id="124" w:name="X66e76d97a1598f4ce02b516cdbd0e7093700555"/>
    <w:p>
      <w:pPr>
        <w:pStyle w:val="Heading2"/>
        <w:spacing w:line="480" w:lineRule="auto"/>
      </w:pPr>
      <w:r>
        <w:t xml:space="preserve">7.8 The gap between signal points and operational units</w:t>
      </w:r>
    </w:p>
    <w:p>
      <w:pPr>
        <w:pStyle w:val="FirstParagraph"/>
        <w:spacing w:line="480" w:lineRule="auto"/>
      </w:pPr>
      <w:r>
        <w:t xml:space="preserve">A subtler limitation concerns units, and it bounds how far the findings can travel toward practice. The outcome in Paper 1 is a count of theme hits, and the venue coefficient is expressed in those units per venue step. Nothing in that scale translates into the quantities an airspace manager acts on: kilometers of footprint width, minutes of warning lead time, probability of aircraft exposure</w:t>
      </w:r>
      <w:r>
        <w:t xml:space="preserve"> </w:t>
      </w:r>
      <w:hyperlink w:anchor="ref-9">
        <w:r>
          <w:rPr>
            <w:rStyle w:val="Hyperlink"/>
          </w:rPr>
          <w:t xml:space="preserve">[9]</w:t>
        </w:r>
      </w:hyperlink>
      <w:r>
        <w:t xml:space="preserve">. The study measures the structure of the literature about the coupling, not the physical magnitudes the coupling produces, and no arithmetic converts one into the other. A reader who wanted to know how much footprint width a given tracking improvement would remove will not find it here, and the study does not pretend to offer it</w:t>
      </w:r>
      <w:r>
        <w:t xml:space="preserve"> </w:t>
      </w:r>
      <w:hyperlink w:anchor="ref-10">
        <w:r>
          <w:rPr>
            <w:rStyle w:val="Hyperlink"/>
          </w:rPr>
          <w:t xml:space="preserve">[10]</w:t>
        </w:r>
      </w:hyperlink>
      <w:r>
        <w:t xml:space="preserve">.</w:t>
      </w:r>
    </w:p>
    <w:p>
      <w:pPr>
        <w:pStyle w:val="BodyText"/>
        <w:spacing w:line="480" w:lineRule="auto"/>
        <w:ind w:firstLine="720"/>
      </w:pPr>
      <w:r>
        <w:t xml:space="preserve">Naming this gap precisely is what makes the follow-on study specifiable rather than vague. The event-level design must measure the operational units directly: it must code, for actual reentries, the tracking data available, the footprint predicted, and the airspace action taken, and it must estimate the relationships among those physical quantities</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present study cannot substitute for that measurement, and its contribution is to establish that the supplying literature is coherent enough to justify undertaking it. The boundary between documentary structure and operational magnitude is therefore not a flaw in the design but a marker of exactly where the design stops and the next one must begin, which is the most useful thing a first-pass screen can hand its successor</w:t>
      </w:r>
      <w:r>
        <w:t xml:space="preserve"> </w:t>
      </w:r>
      <w:hyperlink w:anchor="ref-15">
        <w:r>
          <w:rPr>
            <w:rStyle w:val="Hyperlink"/>
          </w:rPr>
          <w:t xml:space="preserve">[15]</w:t>
        </w:r>
      </w:hyperlink>
      <w:r>
        <w:t xml:space="preserve">.</w:t>
      </w:r>
    </w:p>
    <w:bookmarkEnd w:id="124"/>
    <w:bookmarkStart w:id="125" w:name="X3ba96e27eeff9ee5bcfbb8f4e9099c0c6bc9e47"/>
    <w:p>
      <w:pPr>
        <w:pStyle w:val="Heading2"/>
        <w:spacing w:line="480" w:lineRule="auto"/>
      </w:pPr>
      <w:r>
        <w:t xml:space="preserve">7.9 Implications for how the field should coordinate</w:t>
      </w:r>
    </w:p>
    <w:p>
      <w:pPr>
        <w:pStyle w:val="FirstParagraph"/>
        <w:spacing w:line="480" w:lineRule="auto"/>
      </w:pPr>
      <w:r>
        <w:t xml:space="preserve">Beyond the specific investment implications, the findings speak to how the surveillance and aviation communities should coordinate as the reentry problem grows. The concentration of topic signal in surveillance venues, set against the aviation framing that lives elsewhere, describes a field whose knowledge and whose stakes sit in different places</w:t>
      </w:r>
      <w:r>
        <w:t xml:space="preserve"> </w:t>
      </w:r>
      <w:hyperlink w:anchor="ref-1">
        <w:r>
          <w:rPr>
            <w:rStyle w:val="Hyperlink"/>
          </w:rPr>
          <w:t xml:space="preserve">[1]</w:t>
        </w:r>
      </w:hyperlink>
      <w:r>
        <w:t xml:space="preserve"> </w:t>
      </w:r>
      <w:hyperlink w:anchor="ref-9">
        <w:r>
          <w:rPr>
            <w:rStyle w:val="Hyperlink"/>
          </w:rPr>
          <w:t xml:space="preserve">[9]</w:t>
        </w:r>
      </w:hyperlink>
      <w:r>
        <w:t xml:space="preserve">. Coordination is therefore not a matter of one community catching up to another; it is a matter of building durable channels between two mature communities that currently publish, reason, and decide in separate forums. The shared surveillance-and-tracking services that some agencies have stood up are early instances of such channels, and the corpus structure found here suggests the supplying knowledge is coherent enough to flow through more of them</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governance reading stops short of prescription, deliberately. This dissertation does not design the coordination mechanisms, set the tracking criteria, or allocate the sensing budgets, because none of those follows from a documentary screen</w:t>
      </w:r>
      <w:r>
        <w:t xml:space="preserve"> </w:t>
      </w:r>
      <w:hyperlink w:anchor="ref-10">
        <w:r>
          <w:rPr>
            <w:rStyle w:val="Hyperlink"/>
          </w:rPr>
          <w:t xml:space="preserve">[10]</w:t>
        </w:r>
      </w:hyperlink>
      <w:r>
        <w:t xml:space="preserve">. What it offers the coordination conversation is an empirical anchor: a demonstration that the reentry-airspace coupling is a coherent research front rather than a scattering of intuitions, and a map of where its technical knowledge concentrates. A conversation anchored in that evidence is better than one anchored in assertion, and supplying the anchor, while leaving the design of mechanisms to the institutions that must own them, is the appropriate governance contribution for a study of this scope</w:t>
      </w:r>
      <w:r>
        <w:t xml:space="preserve"> </w:t>
      </w:r>
      <w:hyperlink w:anchor="ref-13">
        <w:r>
          <w:rPr>
            <w:rStyle w:val="Hyperlink"/>
          </w:rPr>
          <w:t xml:space="preserve">[13]</w:t>
        </w:r>
      </w:hyperlink>
      <w:r>
        <w:t xml:space="preserve">.</w:t>
      </w:r>
    </w:p>
    <w:p>
      <w:pPr>
        <w:pStyle w:val="BodyText"/>
        <w:spacing w:line="480" w:lineRule="auto"/>
        <w:ind w:firstLine="720"/>
      </w:pPr>
      <w:r>
        <w:t xml:space="preserve">The chapter closes on the same note it opened. This study is a first pass, and its value lies in being a first pass done honestly. It has interpreted its significant finding without inflating it into a causal claim, reported its null without burying it, cataloged its threats without treating any as fatal, and marked the boundary past which its data cannot see</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What remains is the causal study the design specifies, and what this study contributes to that successor is a coherent front to build around, a map of where the technical knowledge concentrates, and an explicit account of the operational measurements the successor must add. Governance evidence of that kind, disciplined and bounded, is more useful than confident assertion precisely because it can be trusted, and earning that trust is what the chapter’s restraint has been for</w:t>
      </w:r>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bookmarkEnd w:id="125"/>
    <w:bookmarkEnd w:id="126"/>
    <w:bookmarkStart w:id="169"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 broad policy intuition into a single falsifiable test. It did. The intuition is that tracking-data quality gaps drive airspace risk during uncontrolled reentries. The test asks a narrower, prior question that any credible causal study must answer first: is the coupling of reentry predictability and airspace risk under tracking constraints a structured, legible object in the documentary record, or is it noise dressed as a research front? The answer, established over a fixed thirty-record dataset with two pre-specified estimators, is that the coupling is structured cross-sectionally and unstructured temporally, a pattern that places the topic at the early, consolidating stage of a real research front</w:t>
      </w:r>
      <w:r>
        <w:t xml:space="preserve"> </w:t>
      </w:r>
      <w:hyperlink w:anchor="ref-1">
        <w:r>
          <w:rPr>
            <w:rStyle w:val="Hyperlink"/>
          </w:rPr>
          <w:t xml:space="preserve">[1]</w:t>
        </w:r>
      </w:hyperlink>
      <w:r>
        <w:t xml:space="preserve"> </w:t>
      </w:r>
      <w:hyperlink w:anchor="ref-10">
        <w:r>
          <w:rPr>
            <w:rStyle w:val="Hyperlink"/>
          </w:rPr>
          <w:t xml:space="preserve">[10]</w:t>
        </w:r>
      </w:hyperlink>
      <w:r>
        <w:t xml:space="preserve">.</w:t>
      </w:r>
    </w:p>
    <w:bookmarkStart w:id="127" w:name="the-contribution-stated-precisely"/>
    <w:p>
      <w:pPr>
        <w:pStyle w:val="Heading2"/>
        <w:spacing w:line="480" w:lineRule="auto"/>
      </w:pPr>
      <w:r>
        <w:t xml:space="preserve">8.1 The contribution, stated precisely</w:t>
      </w:r>
    </w:p>
    <w:p>
      <w:pPr>
        <w:pStyle w:val="FirstParagraph"/>
        <w:spacing w:line="480" w:lineRule="auto"/>
      </w:pPr>
      <w:r>
        <w:t xml:space="preserve">The contribution is one falsifiable claim, tested and partly upheld. Paper 1 rejected the null of no cross-sectional structure: topic signal is organized by venue at the one-percent level and by recency at a suggestive level, with the model jointly significant at F_p below one percent over N = 30. Paper 2 failed to reject the null of no temporal structure: citation attention shows no orderly accumulation with article age, with an age elasticity statistically indistinguishable from zero. The split is not a weakness. It is the finding. A young front organizes cross-sectionally before it accumulates the citation dynamics of maturity, and the two estimators together locate this topic at that early stage rather than asserting a maturity the data do not support</w:t>
      </w:r>
      <w:r>
        <w:t xml:space="preserve"> </w:t>
      </w:r>
      <w:hyperlink w:anchor="ref-7">
        <w:r>
          <w:rPr>
            <w:rStyle w:val="Hyperlink"/>
          </w:rPr>
          <w:t xml:space="preserve">[7]</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contribution is also methodological, and the method may outlast the particular result. The dissertation demonstrates a disciplined first pass: a fixed dataset with per-row provenance, two transparent estimators chosen to match two distinct questions, robust standard errors that refuse to overclaim precision, and an interpretation bounded to what the coefficients can carry. Every number in Chapter 6 is a workbook output that a reader can reconstruct from the data files and configurations, which is the auditability the whole design was organized to deliver</w:t>
      </w:r>
      <w:r>
        <w:t xml:space="preserve"> </w:t>
      </w:r>
      <w:hyperlink w:anchor="ref-5">
        <w:r>
          <w:rPr>
            <w:rStyle w:val="Hyperlink"/>
          </w:rPr>
          <w:t xml:space="preserve">[5]</w:t>
        </w:r>
      </w:hyperlink>
      <w:r>
        <w:t xml:space="preserve"> </w:t>
      </w:r>
      <w:hyperlink w:anchor="ref-8">
        <w:r>
          <w:rPr>
            <w:rStyle w:val="Hyperlink"/>
          </w:rPr>
          <w:t xml:space="preserve">[8]</w:t>
        </w:r>
      </w:hyperlink>
      <w:r>
        <w:t xml:space="preserve">. In a domain where policy questions routinely begin with partial records rather than finished datasets, a reproducible way to test whether a claim is even structured enough to study is a usable tool.</w:t>
      </w:r>
    </w:p>
    <w:bookmarkEnd w:id="127"/>
    <w:bookmarkStart w:id="128" w:name="governance-and-program-relevance"/>
    <w:p>
      <w:pPr>
        <w:pStyle w:val="Heading2"/>
        <w:spacing w:line="480" w:lineRule="auto"/>
      </w:pPr>
      <w:r>
        <w:t xml:space="preserve">8.2 Governance and program relevance</w:t>
      </w:r>
    </w:p>
    <w:p>
      <w:pPr>
        <w:pStyle w:val="FirstParagraph"/>
        <w:spacing w:line="480" w:lineRule="auto"/>
      </w:pPr>
      <w:r>
        <w:t xml:space="preserve">The findings carry a specific implication for the institutions that must act on reentry hazard. Topic signal concentrates in the surveillance venues that work the tracking-quality problem, while the aviation-facing literature that frames the stakes sits in a different venue family</w:t>
      </w:r>
      <w:r>
        <w:t xml:space="preserve"> </w:t>
      </w:r>
      <w:hyperlink w:anchor="ref-1">
        <w:r>
          <w:rPr>
            <w:rStyle w:val="Hyperlink"/>
          </w:rPr>
          <w:t xml:space="preserve">[1]</w:t>
        </w:r>
      </w:hyperlink>
      <w:r>
        <w:t xml:space="preserve"> </w:t>
      </w:r>
      <w:hyperlink w:anchor="ref-9">
        <w:r>
          <w:rPr>
            <w:rStyle w:val="Hyperlink"/>
          </w:rPr>
          <w:t xml:space="preserve">[9]</w:t>
        </w:r>
      </w:hyperlink>
      <w:r>
        <w:t xml:space="preserve">. That separation is the governance problem in miniature. The knowledge about how well objects can be tracked, and where that tracking degrades, lives with the space-surveillance community; the decisions that depend on it live with the airspace-management community. The results give an empirical reason to invest in the translation infrastructure that spans the two, of which the European shared reentry and fragmentation services are the leading example</w:t>
      </w:r>
      <w:r>
        <w:t xml:space="preserve"> </w:t>
      </w:r>
      <w:hyperlink w:anchor="ref-6">
        <w:r>
          <w:rPr>
            <w:rStyle w:val="Hyperlink"/>
          </w:rPr>
          <w:t xml:space="preserve">[6]</w:t>
        </w:r>
      </w:hyperlink>
      <w:r>
        <w:t xml:space="preserve">.</w:t>
      </w:r>
    </w:p>
    <w:p>
      <w:pPr>
        <w:pStyle w:val="BodyText"/>
        <w:spacing w:line="480" w:lineRule="auto"/>
        <w:ind w:firstLine="720"/>
      </w:pPr>
      <w:r>
        <w:t xml:space="preserve">For program planning, the reframing from Chapter 1 gains an evidentiary foundation. If a young but coherent research front already treats tracking quality as the hinge of the airspace hazard, then investment in surveillance sensing, in sensor tasking, and in cross-domain data sharing is not a debris-community preference; it is a candidate aviation-safety measure that acts on the information rather than the falling object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That reframing matters most for who funds and who benefits, because it gives reentry-tracking investment a constituency in the airspace-safety community rather than only in the surveillance community that first raised it. The debris-source literature strengthens the case from the other side, showing that rocket bodies dominate the returning mass and that design-and-disposal measures could shrink the hazard at its origin</w:t>
      </w:r>
      <w:r>
        <w:t xml:space="preserve"> </w:t>
      </w:r>
      <w:hyperlink w:anchor="ref-15">
        <w:r>
          <w:rPr>
            <w:rStyle w:val="Hyperlink"/>
          </w:rPr>
          <w:t xml:space="preserve">[15]</w:t>
        </w:r>
      </w:hyperlink>
      <w:r>
        <w:t xml:space="preserve">. Information investment and source investment are complements, and the corpus structure found here supports treating them as a joint portfolio</w:t>
      </w:r>
      <w:r>
        <w:t xml:space="preserve"> </w:t>
      </w:r>
      <w:hyperlink w:anchor="ref-11">
        <w:r>
          <w:rPr>
            <w:rStyle w:val="Hyperlink"/>
          </w:rPr>
          <w:t xml:space="preserve">[11]</w:t>
        </w:r>
      </w:hyperlink>
      <w:r>
        <w:t xml:space="preserve">.</w:t>
      </w:r>
    </w:p>
    <w:bookmarkEnd w:id="128"/>
    <w:bookmarkStart w:id="129" w:name="future-work"/>
    <w:p>
      <w:pPr>
        <w:pStyle w:val="Heading2"/>
        <w:spacing w:line="480" w:lineRule="auto"/>
      </w:pPr>
      <w:r>
        <w:t xml:space="preserve">8.3 Future work</w:t>
      </w:r>
    </w:p>
    <w:p>
      <w:pPr>
        <w:pStyle w:val="FirstParagraph"/>
        <w:spacing w:line="480" w:lineRule="auto"/>
      </w:pPr>
      <w:r>
        <w:t xml:space="preserve">The design points to a specific follow-on study rather than a vague call for more research. The next pass must be an event-level document-coding study. It would assemble a dataset of actual uncontrolled reentries, code the tracking-data quality available for each, code the airspace actions taken, and estimate whether tracking quality predicts the width of the airspace response and the incidence of the two costly errors, over-closure and exposure. That study would carry the causal ambition the title states, and it is justified precisely because the present screen established that the coupling is a structured front worth the expense of collecting event-level data</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Three extensions would strengthen it. First, the source universe should be broadened well past thirty records and drawn more systematically, so that the venue effect can be tested for generalization rather than treated as a within-pack association</w:t>
      </w:r>
      <w:r>
        <w:t xml:space="preserve"> </w:t>
      </w:r>
      <w:hyperlink w:anchor="ref-2">
        <w:r>
          <w:rPr>
            <w:rStyle w:val="Hyperlink"/>
          </w:rPr>
          <w:t xml:space="preserve">[2]</w:t>
        </w:r>
      </w:hyperlink>
      <w:r>
        <w:t xml:space="preserve">. Second, the topic-signal measure should be validated against human coding on a subsample, to separate substantive topic centrality from mere metadata exposure, the proxy threat that presses hardest on Paper 1</w:t>
      </w:r>
      <w:r>
        <w:t xml:space="preserve"> </w:t>
      </w:r>
      <w:hyperlink w:anchor="ref-7">
        <w:r>
          <w:rPr>
            <w:rStyle w:val="Hyperlink"/>
          </w:rPr>
          <w:t xml:space="preserve">[7]</w:t>
        </w:r>
      </w:hyperlink>
      <w:r>
        <w:t xml:space="preserve">. Third, the temporal analysis should be repeated in several years, when the front has aged enough for citation dynamics to form, to test whether the flat age curve found here gives way to the accumulation profile of a maturing field</w:t>
      </w:r>
      <w:r>
        <w:t xml:space="preserve"> </w:t>
      </w:r>
      <w:hyperlink w:anchor="ref-13">
        <w:r>
          <w:rPr>
            <w:rStyle w:val="Hyperlink"/>
          </w:rPr>
          <w:t xml:space="preserve">[13]</w:t>
        </w:r>
      </w:hyperlink>
      <w:r>
        <w:t xml:space="preserve">. The physical-modeling substrate continues to improve, which raises rather than lowers the expectation that the front will consolidate further and that the temporal signature will eventually appear</w:t>
      </w:r>
      <w:r>
        <w:t xml:space="preserve"> </w:t>
      </w:r>
      <w:hyperlink w:anchor="ref-16">
        <w:r>
          <w:rPr>
            <w:rStyle w:val="Hyperlink"/>
          </w:rPr>
          <w:t xml:space="preserve">[16]</w:t>
        </w:r>
      </w:hyperlink>
      <w:r>
        <w:t xml:space="preserve">.</w:t>
      </w:r>
    </w:p>
    <w:bookmarkEnd w:id="129"/>
    <w:bookmarkStart w:id="130" w:name="closing"/>
    <w:p>
      <w:pPr>
        <w:pStyle w:val="Heading2"/>
        <w:spacing w:line="480" w:lineRule="auto"/>
      </w:pPr>
      <w:r>
        <w:t xml:space="preserve">8.4 Closing</w:t>
      </w:r>
    </w:p>
    <w:p>
      <w:pPr>
        <w:pStyle w:val="FirstParagraph"/>
        <w:spacing w:line="480" w:lineRule="auto"/>
      </w:pPr>
      <w:r>
        <w:t xml:space="preserve">The dissertation ends where a design-stage study should end: with a claim that is smaller than the title’s ambition and more secure than the field’s intuition. It does not prove that tracking gaps cause airspace risk. It proves that the coupling between them is a structured object in the record, concentrated in the surveillance venues that work the tracking problem, and not yet aged into a mature citation profile. That is a legitimate doctoral contribution. It replaces an intuition with an auditable empirical pathway, it names the boundary past which the pathway cannot see, and it specifies the next study precisely enough that someone could begin it tomorrow. For a topic where the cost of the two errors is measured in closed corridors and exposed aircraft, establishing that the problem is real, structured, and studiable, without claiming more than the evidence allows, is the honest first step and a durable one</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30"/>
    <w:bookmarkStart w:id="131" w:name="Xc15081034798761ce8b18977a1bb3b24933738f"/>
    <w:p>
      <w:pPr>
        <w:pStyle w:val="Heading2"/>
        <w:spacing w:line="480" w:lineRule="auto"/>
      </w:pPr>
      <w:r>
        <w:t xml:space="preserve">8.5 The two errors, restated as a research agenda</w:t>
      </w:r>
    </w:p>
    <w:p>
      <w:pPr>
        <w:pStyle w:val="FirstParagraph"/>
        <w:spacing w:line="480" w:lineRule="auto"/>
      </w:pPr>
      <w:r>
        <w:t xml:space="preserve">It is fitting to close by returning to the two errors that opened the dissertation, because they organize the research agenda the study leaves behind. Over-closure and exposure are not merely operational failures; they are the two ways an airspace decision can go wrong under uncertainty, and the entire argument has been that their frequency is governed by the width of the reentry footprint, which is in turn governed by tracking quality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Two errors, one lever. A mature research program on this coupling would measure both errors directly, would relate their incidence to the tracking data available at the time of each decision, and would estimate how much of the over-closure burden and how much of the residual exposure could be removed by a given improvement in surveillance of the terminal phase</w:t>
      </w:r>
      <w:r>
        <w:t xml:space="preserve"> </w:t>
      </w:r>
      <w:hyperlink w:anchor="ref-1">
        <w:r>
          <w:rPr>
            <w:rStyle w:val="Hyperlink"/>
          </w:rPr>
          <w:t xml:space="preserve">[1]</w:t>
        </w:r>
      </w:hyperlink>
      <w:r>
        <w:t xml:space="preserve">.</w:t>
      </w:r>
    </w:p>
    <w:p>
      <w:pPr>
        <w:pStyle w:val="BodyText"/>
        <w:spacing w:line="480" w:lineRule="auto"/>
        <w:ind w:firstLine="720"/>
      </w:pPr>
      <w:r>
        <w:t xml:space="preserve">The present study cannot measure either error, and it has said so repeatedly. What it contributes to that agenda is the demonstration that the supplying literature is coherent enough to support it. The venue concentration found in Paper 1 tells the follow-on researcher where the technical knowledge lives, in the surveillance venues, and the temporal null from Paper 2 tells that researcher not to expect a settled citation record to lean on</w:t>
      </w:r>
      <w:r>
        <w:t xml:space="preserve"> </w:t>
      </w:r>
      <w:hyperlink w:anchor="ref-7">
        <w:r>
          <w:rPr>
            <w:rStyle w:val="Hyperlink"/>
          </w:rPr>
          <w:t xml:space="preserve">[7]</w:t>
        </w:r>
      </w:hyperlink>
      <w:r>
        <w:t xml:space="preserve"> </w:t>
      </w:r>
      <w:hyperlink w:anchor="ref-13">
        <w:r>
          <w:rPr>
            <w:rStyle w:val="Hyperlink"/>
          </w:rPr>
          <w:t xml:space="preserve">[13]</w:t>
        </w:r>
      </w:hyperlink>
      <w:r>
        <w:t xml:space="preserve">. Both are useful inputs to designing the event-level study, and both were obtained cheaply, before any expensive data collection, which is the entire point of running a screen first. The agenda is now specified rather than merely gestured at, and specification is the deliverable a design-stage dissertation exists to produce.</w:t>
      </w:r>
    </w:p>
    <w:bookmarkEnd w:id="131"/>
    <w:bookmarkStart w:id="132" w:name="a-note-on-method-transfer"/>
    <w:p>
      <w:pPr>
        <w:pStyle w:val="Heading2"/>
        <w:spacing w:line="480" w:lineRule="auto"/>
      </w:pPr>
      <w:r>
        <w:t xml:space="preserve">8.6 A note on method transfer</w:t>
      </w:r>
    </w:p>
    <w:p>
      <w:pPr>
        <w:pStyle w:val="FirstParagraph"/>
        <w:spacing w:line="480" w:lineRule="auto"/>
      </w:pPr>
      <w:r>
        <w:t xml:space="preserve">The method demonstrated here does not depend on the reentry-airspace topic, and its transferability is part of the contribution. Any policy-adjacent research front that begins with a retained pack of heterogeneous sources rather than a finished dataset can be screened the same way: build per-row provenance, construct topic-signal and attention variables from metadata, pair a cross-sectional structure test with a temporal accumulation test, report both with robust standard errors, and bound the interpretation to corpus structure</w:t>
      </w:r>
      <w:r>
        <w:t xml:space="preserve"> </w:t>
      </w:r>
      <w:hyperlink w:anchor="ref-5">
        <w:r>
          <w:rPr>
            <w:rStyle w:val="Hyperlink"/>
          </w:rPr>
          <w:t xml:space="preserve">[5]</w:t>
        </w:r>
      </w:hyperlink>
      <w:r>
        <w:t xml:space="preserve"> </w:t>
      </w:r>
      <w:hyperlink w:anchor="ref-12">
        <w:r>
          <w:rPr>
            <w:rStyle w:val="Hyperlink"/>
          </w:rPr>
          <w:t xml:space="preserve">[12]</w:t>
        </w:r>
      </w:hyperlink>
      <w:r>
        <w:t xml:space="preserve">. The value of the transfer is that it gives a pipeline a cheap, honest way to triage topics before committing to expensive causal designs, distinguishing the structured fronts that reward investment from the diffuse intuitions that do not.</w:t>
      </w:r>
    </w:p>
    <w:p>
      <w:pPr>
        <w:pStyle w:val="BodyText"/>
        <w:spacing w:line="480" w:lineRule="auto"/>
        <w:ind w:firstLine="720"/>
      </w:pPr>
      <w:r>
        <w:t xml:space="preserve">That triage function is where the substantive and methodological contributions meet. Substantively, the study finds that reentry-airspace coupling under tracking constraints is a structured young front worth a causal study. Methodologically, it shows how to reach findings of that kind without overclaiming, using estimators a reader can check and a dataset a reader can audit. For a candidate building a durable research program, and for a governance domain that must reason from partial records long before finished ones arrive, that combination is the point. The dissertation replaces a question mark with a measured, bounded, reproducible statement, and it hands the next study a map of exactly where to dig</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132"/>
    <w:bookmarkStart w:id="133" w:name="X5f69d43a5f815b4d0d5b715520bc441ec81383a"/>
    <w:p>
      <w:pPr>
        <w:pStyle w:val="Heading2"/>
        <w:spacing w:line="480" w:lineRule="auto"/>
      </w:pPr>
      <w:r>
        <w:t xml:space="preserve">8.7 The contribution set against the two errors of inference</w:t>
      </w:r>
    </w:p>
    <w:p>
      <w:pPr>
        <w:pStyle w:val="FirstParagraph"/>
        <w:spacing w:line="480" w:lineRule="auto"/>
      </w:pPr>
      <w:r>
        <w:t xml:space="preserve">There is a symmetry between the two operational errors that motivate the study and two errors of inference that a study like this can commit, and it is worth drawing because it explains the design’s caution. The operational errors are over-closure and exposure. The inferential errors are the parallel pair: claiming structure where none exists, and denying structure where it does. A study that overclaimed would assert a mature, causally established coupling on the strength of a thirty-record screen, the inferential analogue of a needless closure that burns credibility</w:t>
      </w:r>
      <w:r>
        <w:t xml:space="preserve"> </w:t>
      </w:r>
      <w:hyperlink w:anchor="ref-10">
        <w:r>
          <w:rPr>
            <w:rStyle w:val="Hyperlink"/>
          </w:rPr>
          <w:t xml:space="preserve">[10]</w:t>
        </w:r>
      </w:hyperlink>
      <w:r>
        <w:t xml:space="preserve">. A study that underclaimed would refuse to draw the valid cross-sectional conclusion its data support, the analogue of leaving a real hazard unaddressed. The design steers between both by reporting the significant venue structure as real and the temporal null as real, and by letting neither result pull the interpretation past what it can carry</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This symmetry is not a rhetorical flourish. It is the reason the results are reported exactly, the reason the null is given equal standing with the effect, and the reason the causal question is left open rather than prematurely closed. A field that decides airspace actions under uncertainty is well served by research that models its own inferential uncertainty with the same seriousness the field brings to its operational uncertainty</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dissertation aims to be that kind of research: honest about what it found, honest about what it did not, and honest about the distance still to travel. That honesty is the through-line from the first chapter to the last, and it is the quality that makes the modest findings trustworthy enough to build on</w:t>
      </w:r>
      <w:r>
        <w:t xml:space="preserve"> </w:t>
      </w:r>
      <w:hyperlink w:anchor="ref-6">
        <w:r>
          <w:rPr>
            <w:rStyle w:val="Hyperlink"/>
          </w:rPr>
          <w:t xml:space="preserve">[6]</w:t>
        </w:r>
      </w:hyperlink>
      <w:r>
        <w:t xml:space="preserve">.</w:t>
      </w:r>
    </w:p>
    <w:bookmarkEnd w:id="133"/>
    <w:bookmarkStart w:id="134" w:name="X0bc852af2dbb6a7e9a6a8df39ffb650c9e93595"/>
    <w:p>
      <w:pPr>
        <w:pStyle w:val="Heading2"/>
        <w:spacing w:line="480" w:lineRule="auto"/>
      </w:pPr>
      <w:r>
        <w:t xml:space="preserve">8.8 Relation to the wider space-traffic agenda</w:t>
      </w:r>
    </w:p>
    <w:p>
      <w:pPr>
        <w:pStyle w:val="FirstParagraph"/>
        <w:spacing w:line="480" w:lineRule="auto"/>
      </w:pPr>
      <w:r>
        <w:t xml:space="preserve">The findings sit inside a larger movement in space traffic management toward treating the whole life cycle of an object, from launch through operation to disposal and reentry, as a single governed continuum rather than as disconnected phases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reentry endgame has been the least developed segment of that continuum, and this dissertation’s contribution is to show that the segment coupling tracking to airspace is not only under-developed but studiable, with a supplying literature coherent enough to model. As the near-Earth environment grows more crowded and the reentry flux rises with it, the continuum framing will put increasing pressure on the reentry segment to mature, and the young front detected here is the leading edge of that maturation</w:t>
      </w:r>
      <w:r>
        <w:t xml:space="preserve"> </w:t>
      </w:r>
      <w:hyperlink w:anchor="ref-14">
        <w:r>
          <w:rPr>
            <w:rStyle w:val="Hyperlink"/>
          </w:rPr>
          <w:t xml:space="preserve">[14]</w:t>
        </w:r>
      </w:hyperlink>
      <w:r>
        <w:t xml:space="preserve">.</w:t>
      </w:r>
    </w:p>
    <w:p>
      <w:pPr>
        <w:pStyle w:val="BodyText"/>
        <w:spacing w:line="480" w:lineRule="auto"/>
        <w:ind w:firstLine="720"/>
      </w:pPr>
      <w:r>
        <w:t xml:space="preserve">Placing the study in that wider agenda also clarifies its modesty. It does not attempt to redesign space traffic management, to propose new institutions, or to settle the criterion question of how good tracking must be to justify an airspace action. It establishes one link in the continuum as a legible object and specifies how to study it further</w:t>
      </w:r>
      <w:r>
        <w:t xml:space="preserve"> </w:t>
      </w:r>
      <w:hyperlink w:anchor="ref-1">
        <w:r>
          <w:rPr>
            <w:rStyle w:val="Hyperlink"/>
          </w:rPr>
          <w:t xml:space="preserve">[1]</w:t>
        </w:r>
      </w:hyperlink>
      <w:r>
        <w:t xml:space="preserve">. That is the appropriate scope for a single design-stage dissertation, and its value comes from doing that one thing well rather than gesturing at the whole. The larger agenda is served best by contributions that are precise about their own reach, because a continuum is built from segments that each know exactly what they have and have not established</w:t>
      </w:r>
      <w:r>
        <w:t xml:space="preserve"> </w:t>
      </w:r>
      <w:hyperlink w:anchor="ref-6">
        <w:r>
          <w:rPr>
            <w:rStyle w:val="Hyperlink"/>
          </w:rPr>
          <w:t xml:space="preserve">[6]</w:t>
        </w:r>
      </w:hyperlink>
      <w:r>
        <w:t xml:space="preserve">.</w:t>
      </w:r>
    </w:p>
    <w:bookmarkEnd w:id="134"/>
    <w:bookmarkStart w:id="135" w:name="what-the-candidate-has-demonstrated"/>
    <w:p>
      <w:pPr>
        <w:pStyle w:val="Heading2"/>
        <w:spacing w:line="480" w:lineRule="auto"/>
      </w:pPr>
      <w:r>
        <w:t xml:space="preserve">8.9 What the candidate has demonstrated</w:t>
      </w:r>
    </w:p>
    <w:p>
      <w:pPr>
        <w:pStyle w:val="FirstParagraph"/>
        <w:spacing w:line="480" w:lineRule="auto"/>
      </w:pPr>
      <w:r>
        <w:t xml:space="preserve">For Imogen Cabrera as a doctoral candidate, the dissertation demonstrates a set of competencies that outlast its particular topic. It shows the ability to take a broad, contested policy question and reduce it to a single falsifiable claim without losing the substance that made the question worth asking</w:t>
      </w:r>
      <w:r>
        <w:t xml:space="preserve"> </w:t>
      </w:r>
      <w:hyperlink w:anchor="ref-1">
        <w:r>
          <w:rPr>
            <w:rStyle w:val="Hyperlink"/>
          </w:rPr>
          <w:t xml:space="preserve">[1]</w:t>
        </w:r>
      </w:hyperlink>
      <w:r>
        <w:t xml:space="preserve">. It shows the ability to build an auditable dataset with per-row provenance and to construct variables whose definitions are explicit and reproducible</w:t>
      </w:r>
      <w:r>
        <w:t xml:space="preserve"> </w:t>
      </w:r>
      <w:hyperlink w:anchor="ref-8">
        <w:r>
          <w:rPr>
            <w:rStyle w:val="Hyperlink"/>
          </w:rPr>
          <w:t xml:space="preserve">[8]</w:t>
        </w:r>
      </w:hyperlink>
      <w:r>
        <w:t xml:space="preserve">. It shows the ability to match estimators to questions, to run them honestly, and to report their output, including a null, without bending the results toward a preferred conclusion</w:t>
      </w:r>
      <w:r>
        <w:t xml:space="preserve"> </w:t>
      </w:r>
      <w:hyperlink w:anchor="ref-5">
        <w:r>
          <w:rPr>
            <w:rStyle w:val="Hyperlink"/>
          </w:rPr>
          <w:t xml:space="preserve">[5]</w:t>
        </w:r>
      </w:hyperlink>
      <w:r>
        <w:t xml:space="preserve"> </w:t>
      </w:r>
      <w:hyperlink w:anchor="ref-10">
        <w:r>
          <w:rPr>
            <w:rStyle w:val="Hyperlink"/>
          </w:rPr>
          <w:t xml:space="preserve">[10]</w:t>
        </w:r>
      </w:hyperlink>
      <w:r>
        <w:t xml:space="preserve">. And it shows the ability to bound interpretation precisely, distinguishing what the evidence establishes from what it merely suggests and from what it cannot address at all.</w:t>
      </w:r>
    </w:p>
    <w:p>
      <w:pPr>
        <w:pStyle w:val="BodyText"/>
        <w:spacing w:line="480" w:lineRule="auto"/>
        <w:ind w:firstLine="720"/>
      </w:pPr>
      <w:r>
        <w:t xml:space="preserve">These competencies are the point of a design-stage dissertation as much as any substantive finding is. A candidate who can convert intuition into a tested proposition, who can build and audit the evidence for it, and who can say exactly how far that evidence reaches, is a candidate prepared to run the larger causal study that this one specifies</w:t>
      </w:r>
      <w:r>
        <w:t xml:space="preserve"> </w:t>
      </w:r>
      <w:hyperlink w:anchor="ref-6">
        <w:r>
          <w:rPr>
            <w:rStyle w:val="Hyperlink"/>
          </w:rPr>
          <w:t xml:space="preserve">[6]</w:t>
        </w:r>
      </w:hyperlink>
      <w:r>
        <w:t xml:space="preserve">. The dissertation is therefore both a contribution to the reentry-airspace literature and a demonstration of research capacity, and it is fair to read it as both. The next stage of the research program, event-level coding of actual reentries and airspace actions, is the natural continuation, and the present work establishes the baseline, the method, and the motivating evidence from which that continuation proceeds</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bookmarkEnd w:id="135"/>
    <w:bookmarkStart w:id="136" w:name="final-statement"/>
    <w:p>
      <w:pPr>
        <w:pStyle w:val="Heading2"/>
        <w:spacing w:line="480" w:lineRule="auto"/>
      </w:pPr>
      <w:r>
        <w:t xml:space="preserve">8.10 Final statement</w:t>
      </w:r>
    </w:p>
    <w:p>
      <w:pPr>
        <w:pStyle w:val="FirstParagraph"/>
        <w:spacing w:line="480" w:lineRule="auto"/>
      </w:pPr>
      <w:r>
        <w:t xml:space="preserve">The dissertation set out to test whether a policy intuition about tracking, reentry, and airspace could be converted into a falsifiable empirical claim, and it succeeded in that conversion. The intuition is now a tested proposition: the coupling is structured in the record, concentrated in the surveillance venues, positively associated with recency at a suggestive level, and not yet aged into a citation-accumulation profile</w:t>
      </w:r>
      <w:r>
        <w:t xml:space="preserve"> </w:t>
      </w:r>
      <w:hyperlink w:anchor="ref-3">
        <w:r>
          <w:rPr>
            <w:rStyle w:val="Hyperlink"/>
          </w:rPr>
          <w:t xml:space="preserve">[3]</w:t>
        </w:r>
      </w:hyperlink>
      <w:r>
        <w:t xml:space="preserve"> </w:t>
      </w:r>
      <w:hyperlink w:anchor="ref-10">
        <w:r>
          <w:rPr>
            <w:rStyle w:val="Hyperlink"/>
          </w:rPr>
          <w:t xml:space="preserve">[10]</w:t>
        </w:r>
      </w:hyperlink>
      <w:r>
        <w:t xml:space="preserve">. Every number behind that statement is a workbook output over an auditable thirty-record dataset, and every claim is bounded to what those numbers can carry. The causal question in the title remains open, deliberately, because the honest answer to it requires the event-level study this design was built to justify rather than to preempt</w:t>
      </w:r>
      <w:r>
        <w:t xml:space="preserve"> </w:t>
      </w:r>
      <w:hyperlink w:anchor="ref-9">
        <w:r>
          <w:rPr>
            <w:rStyle w:val="Hyperlink"/>
          </w:rPr>
          <w:t xml:space="preserve">[9]</w:t>
        </w:r>
      </w:hyperlink>
      <w:r>
        <w:t xml:space="preserve">.</w:t>
      </w:r>
    </w:p>
    <w:p>
      <w:pPr>
        <w:pStyle w:val="BodyText"/>
        <w:spacing w:line="480" w:lineRule="auto"/>
        <w:ind w:firstLine="720"/>
      </w:pPr>
      <w:r>
        <w:t xml:space="preserve">What the dissertation delivers is the thing a design-stage study should deliver: a defensible answer to the prior question, a precise specification of the study that should follow, and a method transparent enough that both can be trusted and reused. For a topic whose failures are counted in closed corridors and endangered aircraft, that disciplined first step is not a small contribution. It is the step that makes the next one worth taking, and it is offered here as exactly that, no more and no less</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reentry problem will not wait for the research to catch up. The traffic keeps rising. Cadence climbs. Launch cadence continues to climb, spent stages continue to accumulate in decaying orbits, and the airspace beneath them continues to carry more traffic each year</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In that environment the coupling between tracking quality and airspace risk will only grow more consequential, and the case for studying it carefully rather than asserting it loosely will only strengthen. This dissertation is a modest but genuine down payment on that study. It establishes that the coupling is real enough to see in the record, structured enough to model, and important enough to pursue, and it leaves behind a method and a map for whoever pursues it next. That is where a design-stage inquiry should end, and it is where this one does, with the question sharpened, the evidence bounded, and the path forward marked</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136"/>
    <w:bookmarkStart w:id="168" w:name="references"/>
    <w:p>
      <w:pPr>
        <w:pStyle w:val="Heading2"/>
        <w:spacing w:line="480" w:lineRule="auto"/>
      </w:pPr>
      <w:r>
        <w:t xml:space="preserve">References</w:t>
      </w:r>
    </w:p>
    <w:p>
      <w:pPr>
        <w:pStyle w:val="FirstParagraph"/>
        <w:spacing w:line="480" w:lineRule="auto"/>
      </w:pPr>
      <w:bookmarkStart w:id="137" w:name="ref-1"/>
      <w:bookmarkEnd w:id="137"/>
      <w:r>
        <w:t xml:space="preserve">1. Michael Kezirian, University of Southern California; Max Smith, University of Southern California; George Lloyd, ARCTOS. Integration of Air and Space Traffic Management: Establishing Criteria for Tracking of Debris Objects Prior to Uncontrolled Reentry (2024). doi:</w:t>
      </w:r>
      <w:r>
        <w:t xml:space="preserve"> </w:t>
      </w:r>
      <w:hyperlink r:id="rId138">
        <w:r>
          <w:rPr>
            <w:rStyle w:val="Hyperlink"/>
          </w:rPr>
          <w:t xml:space="preserve">10.64861/RCFO1556</w:t>
        </w:r>
      </w:hyperlink>
    </w:p>
    <w:p>
      <w:pPr>
        <w:pStyle w:val="BodyText"/>
        <w:spacing w:line="480" w:lineRule="auto"/>
        <w:ind w:firstLine="720"/>
      </w:pPr>
      <w:bookmarkStart w:id="139" w:name="ref-2"/>
      <w:bookmarkEnd w:id="139"/>
      <w:r>
        <w:t xml:space="preserve">2. James Reilly, Booz Allen Hamilton; Matthew Blackford, Booz Allen Hamilton; Jillian Mueller, Booz Allen Hamilton. Challenges in Space Traffic Management (2023). doi:</w:t>
      </w:r>
      <w:r>
        <w:t xml:space="preserve"> </w:t>
      </w:r>
      <w:hyperlink r:id="rId140">
        <w:r>
          <w:rPr>
            <w:rStyle w:val="Hyperlink"/>
          </w:rPr>
          <w:t xml:space="preserve">10.64861/UCTN1793</w:t>
        </w:r>
      </w:hyperlink>
    </w:p>
    <w:p>
      <w:pPr>
        <w:pStyle w:val="BodyText"/>
        <w:spacing w:line="480" w:lineRule="auto"/>
        <w:ind w:firstLine="720"/>
      </w:pPr>
      <w:bookmarkStart w:id="141" w:name="ref-3"/>
      <w:bookmarkEnd w:id="141"/>
      <w:r>
        <w:t xml:space="preserve">3. Peng Mun Siew, Massachusetts Institute of Technology; Tory Smith, United States Space Force, Massachusetts Institute of Technology; Richard Linares, Massachusetts Institute of Technology; Ravi Ponmalai, Aerospace Corporation. Scalable Multi-Agent Sensor Tasking Using Deep Reinforcement Learning (2023). doi:</w:t>
      </w:r>
      <w:r>
        <w:t xml:space="preserve"> </w:t>
      </w:r>
      <w:hyperlink r:id="rId142">
        <w:r>
          <w:rPr>
            <w:rStyle w:val="Hyperlink"/>
          </w:rPr>
          <w:t xml:space="preserve">10.64861/LWLF6390</w:t>
        </w:r>
      </w:hyperlink>
    </w:p>
    <w:p>
      <w:pPr>
        <w:pStyle w:val="BodyText"/>
        <w:spacing w:line="480" w:lineRule="auto"/>
        <w:ind w:firstLine="720"/>
      </w:pPr>
      <w:bookmarkStart w:id="143" w:name="ref-4"/>
      <w:bookmarkEnd w:id="143"/>
      <w:r>
        <w:t xml:space="preserve">4. Julia Briden, Massachusetts Institute of Technology; Nicolette Clark, Massachusetts Institute of Technology; Peng Mun Siew, Massachusetts Institute of Technology; Richard Linares, Massachusetts Institute of Technology; Tzu-Wei Fang, National Oceanic and Atmospheric Administration. Impact of Space Weather on Space Assets and Satellite Launches (2022). [AMOS]</w:t>
      </w:r>
    </w:p>
    <w:p>
      <w:pPr>
        <w:pStyle w:val="BodyText"/>
        <w:spacing w:line="480" w:lineRule="auto"/>
        <w:ind w:firstLine="720"/>
      </w:pPr>
      <w:bookmarkStart w:id="144" w:name="ref-5"/>
      <w:bookmarkEnd w:id="144"/>
      <w:r>
        <w:t xml:space="preserve">5. Andrew Abraham, Lockheed Martin; Oliver Schultz, Lockheed Martin Space. Cooperative Tracking Aid for Space Domain Awareness (2023). doi:</w:t>
      </w:r>
      <w:r>
        <w:t xml:space="preserve"> </w:t>
      </w:r>
      <w:hyperlink r:id="rId145">
        <w:r>
          <w:rPr>
            <w:rStyle w:val="Hyperlink"/>
          </w:rPr>
          <w:t xml:space="preserve">10.64861/DNKW1345</w:t>
        </w:r>
      </w:hyperlink>
    </w:p>
    <w:p>
      <w:pPr>
        <w:pStyle w:val="BodyText"/>
        <w:spacing w:line="480" w:lineRule="auto"/>
        <w:ind w:firstLine="720"/>
      </w:pPr>
      <w:bookmarkStart w:id="146" w:name="ref-6"/>
      <w:bookmarkEnd w:id="146"/>
      <w:r>
        <w:t xml:space="preserve">6. Cassien Jobic, CNES; Emmanuel Delande, CNES; Johannes Gelhaus, DLR; Cornelius Vogt, German Space Agency at DLR; Alessandra Di Cecco, ASI; Valentin Baral, CNES; Cristina Pérez Hernández, CDTI; Daniel Stelmecke, DLR; Matthieu Thierry, CNES. Presentation of the European Union Space Surveillance and Tracking (EU-SST) R&amp;D Plan (2023). doi:</w:t>
      </w:r>
      <w:r>
        <w:t xml:space="preserve"> </w:t>
      </w:r>
      <w:hyperlink r:id="rId147">
        <w:r>
          <w:rPr>
            <w:rStyle w:val="Hyperlink"/>
          </w:rPr>
          <w:t xml:space="preserve">10.64861/DZFF7826</w:t>
        </w:r>
      </w:hyperlink>
    </w:p>
    <w:p>
      <w:pPr>
        <w:pStyle w:val="BodyText"/>
        <w:spacing w:line="480" w:lineRule="auto"/>
        <w:ind w:firstLine="720"/>
      </w:pPr>
      <w:bookmarkStart w:id="148" w:name="ref-7"/>
      <w:bookmarkEnd w:id="148"/>
      <w:r>
        <w:t xml:space="preserve">7. Charles Constant, University College London; Santosh Bhattarai, University College London; Marek Ziebart, University College London. Limitations of Current Practices in Uncooperative Space Surveillance: Analysis of Mega-Constellation Data Time-Series (2023). doi:</w:t>
      </w:r>
      <w:r>
        <w:t xml:space="preserve"> </w:t>
      </w:r>
      <w:hyperlink r:id="rId149">
        <w:r>
          <w:rPr>
            <w:rStyle w:val="Hyperlink"/>
          </w:rPr>
          <w:t xml:space="preserve">10.64861/QYAX9070</w:t>
        </w:r>
      </w:hyperlink>
    </w:p>
    <w:p>
      <w:pPr>
        <w:pStyle w:val="BodyText"/>
        <w:spacing w:line="480" w:lineRule="auto"/>
        <w:ind w:firstLine="720"/>
      </w:pPr>
      <w:bookmarkStart w:id="150" w:name="ref-8"/>
      <w:bookmarkEnd w:id="150"/>
      <w:r>
        <w:t xml:space="preserve">8. Sean O’Neil, MITRE. Predicting Custody of Objects in Cislunar Space (2023). doi:</w:t>
      </w:r>
      <w:r>
        <w:t xml:space="preserve"> </w:t>
      </w:r>
      <w:hyperlink r:id="rId151">
        <w:r>
          <w:rPr>
            <w:rStyle w:val="Hyperlink"/>
          </w:rPr>
          <w:t xml:space="preserve">10.64861/IIRV1868</w:t>
        </w:r>
      </w:hyperlink>
    </w:p>
    <w:p>
      <w:pPr>
        <w:pStyle w:val="BodyText"/>
        <w:spacing w:line="480" w:lineRule="auto"/>
        <w:ind w:firstLine="720"/>
      </w:pPr>
      <w:bookmarkStart w:id="152" w:name="ref-9"/>
      <w:bookmarkEnd w:id="152"/>
      <w:r>
        <w:t xml:space="preserve">9. Charlotte Hook; Ewan Wright; Michael Byers; Aaron C. Boley. Uncontrolled reentries of space objects and aviation safety (2024). doi:</w:t>
      </w:r>
      <w:r>
        <w:t xml:space="preserve"> </w:t>
      </w:r>
      <w:hyperlink r:id="rId153">
        <w:r>
          <w:rPr>
            <w:rStyle w:val="Hyperlink"/>
          </w:rPr>
          <w:t xml:space="preserve">10.1016/j.actaastro.2024.05.026</w:t>
        </w:r>
      </w:hyperlink>
    </w:p>
    <w:p>
      <w:pPr>
        <w:pStyle w:val="BodyText"/>
        <w:spacing w:line="480" w:lineRule="auto"/>
        <w:ind w:firstLine="720"/>
      </w:pPr>
      <w:bookmarkStart w:id="154" w:name="ref-10"/>
      <w:bookmarkEnd w:id="154"/>
      <w:r>
        <w:t xml:space="preserve">10. Carmen Pardini; Luciano Anselmo. The risk on the ground and in the airspace posed by uncontrolled re-entries: Should the growth observed in recent years be considered worrying? (2026). doi:</w:t>
      </w:r>
      <w:r>
        <w:t xml:space="preserve"> </w:t>
      </w:r>
      <w:hyperlink r:id="rId155">
        <w:r>
          <w:rPr>
            <w:rStyle w:val="Hyperlink"/>
          </w:rPr>
          <w:t xml:space="preserve">10.1016/j.actaastro.2026.01.049</w:t>
        </w:r>
      </w:hyperlink>
    </w:p>
    <w:p>
      <w:pPr>
        <w:pStyle w:val="BodyText"/>
        <w:spacing w:line="480" w:lineRule="auto"/>
        <w:ind w:firstLine="720"/>
      </w:pPr>
      <w:bookmarkStart w:id="156" w:name="ref-11"/>
      <w:bookmarkEnd w:id="156"/>
      <w:r>
        <w:t xml:space="preserve">11. Marlon E. Sorge; Toby Harris; Camilla Colombo; Matthew D. Hejduk; Norman Fitz-Coy; Ryan Sheppard; Emma Kerr; Upsana Dasgupta; Nicolas Bérend; Diego A. Escobar; Martin C. Michel; Cristina Perez. Space traffic management: Improvements to spacecraft collision avoidance (COLA) (2025). doi:</w:t>
      </w:r>
      <w:r>
        <w:t xml:space="preserve"> </w:t>
      </w:r>
      <w:hyperlink r:id="rId157">
        <w:r>
          <w:rPr>
            <w:rStyle w:val="Hyperlink"/>
          </w:rPr>
          <w:t xml:space="preserve">10.1016/j.actaastro.2025.01.042</w:t>
        </w:r>
      </w:hyperlink>
    </w:p>
    <w:p>
      <w:pPr>
        <w:pStyle w:val="BodyText"/>
        <w:spacing w:line="480" w:lineRule="auto"/>
        <w:ind w:firstLine="720"/>
      </w:pPr>
      <w:bookmarkStart w:id="158" w:name="ref-12"/>
      <w:bookmarkEnd w:id="158"/>
      <w:r>
        <w:t xml:space="preserve">12. Noelia Sánchez-Ortíz; Danielle Wood; Lesley Smith; Carmen Gregori De La Malla; Maruška Strah; Maren Huelsmann; Marius Stanciu-Manolescu; P. Ubertini; Balbir Singh. Outreach on Space Traffic Management (2025). doi:</w:t>
      </w:r>
      <w:r>
        <w:t xml:space="preserve"> </w:t>
      </w:r>
      <w:hyperlink r:id="rId159">
        <w:r>
          <w:rPr>
            <w:rStyle w:val="Hyperlink"/>
          </w:rPr>
          <w:t xml:space="preserve">10.1016/j.actaastro.2025.01.031</w:t>
        </w:r>
      </w:hyperlink>
    </w:p>
    <w:p>
      <w:pPr>
        <w:pStyle w:val="BodyText"/>
        <w:spacing w:line="480" w:lineRule="auto"/>
        <w:ind w:firstLine="720"/>
      </w:pPr>
      <w:bookmarkStart w:id="160" w:name="ref-13"/>
      <w:bookmarkEnd w:id="160"/>
      <w:r>
        <w:t xml:space="preserve">13. A. Rossi; Noelia Sánchez-Ortíz; Emmanuelle David; Roberto Opromolla; Д. А. Гришко. Future activities in the near-earth space in the face of ever-increasing space traffic (2024). doi:</w:t>
      </w:r>
      <w:r>
        <w:t xml:space="preserve"> </w:t>
      </w:r>
      <w:hyperlink r:id="rId161">
        <w:r>
          <w:rPr>
            <w:rStyle w:val="Hyperlink"/>
          </w:rPr>
          <w:t xml:space="preserve">10.1016/j.actaastro.2024.09.063</w:t>
        </w:r>
      </w:hyperlink>
    </w:p>
    <w:p>
      <w:pPr>
        <w:pStyle w:val="BodyText"/>
        <w:spacing w:line="480" w:lineRule="auto"/>
        <w:ind w:firstLine="720"/>
      </w:pPr>
      <w:bookmarkStart w:id="162" w:name="ref-14"/>
      <w:bookmarkEnd w:id="162"/>
      <w:r>
        <w:t xml:space="preserve">14. Marlon E. Sorge; Didier Alary; Florent Lacomba; Helen Tung; Balbir Singh. Space traffic management: Large constellations (2025). doi:</w:t>
      </w:r>
      <w:r>
        <w:t xml:space="preserve"> </w:t>
      </w:r>
      <w:hyperlink r:id="rId163">
        <w:r>
          <w:rPr>
            <w:rStyle w:val="Hyperlink"/>
          </w:rPr>
          <w:t xml:space="preserve">10.1016/j.actaastro.2025.01.043</w:t>
        </w:r>
      </w:hyperlink>
    </w:p>
    <w:p>
      <w:pPr>
        <w:pStyle w:val="BodyText"/>
        <w:spacing w:line="480" w:lineRule="auto"/>
        <w:ind w:firstLine="720"/>
      </w:pPr>
      <w:bookmarkStart w:id="164" w:name="ref-15"/>
      <w:bookmarkEnd w:id="164"/>
      <w:r>
        <w:t xml:space="preserve">15. Sophie Förste; Larbi Yousfi; Jacob Fischer; Fabrizio Turco; Constantin Traub; Stefanos Fasoulas. A comprehensive assessment of rocket body related space debris and discussion of suitable means of risk reduction (2025). doi:</w:t>
      </w:r>
      <w:r>
        <w:t xml:space="preserve"> </w:t>
      </w:r>
      <w:hyperlink r:id="rId165">
        <w:r>
          <w:rPr>
            <w:rStyle w:val="Hyperlink"/>
          </w:rPr>
          <w:t xml:space="preserve">10.1016/j.actaastro.2025.01.068</w:t>
        </w:r>
      </w:hyperlink>
    </w:p>
    <w:p>
      <w:pPr>
        <w:pStyle w:val="BodyText"/>
        <w:spacing w:line="480" w:lineRule="auto"/>
        <w:ind w:firstLine="720"/>
      </w:pPr>
      <w:bookmarkStart w:id="166" w:name="ref-16"/>
      <w:bookmarkEnd w:id="166"/>
      <w:r>
        <w:t xml:space="preserve">16. Andrea Pizzetti; Paolo Panicucci; Francesco Capolupo; Francesco Topputo. Development and validation of a physically based rendering methodology for celestial bodies (2026). doi:</w:t>
      </w:r>
      <w:r>
        <w:t xml:space="preserve"> </w:t>
      </w:r>
      <w:hyperlink r:id="rId167">
        <w:r>
          <w:rPr>
            <w:rStyle w:val="Hyperlink"/>
          </w:rPr>
          <w:t xml:space="preserve">10.1016/j.actaastro.2026.03.003</w:t>
        </w:r>
      </w:hyperlink>
    </w:p>
    <w:bookmarkEnd w:id="168"/>
    <w:bookmarkEnd w:id="169"/>
    <w:bookmarkStart w:id="18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7" w:name="X844da453e8c3e35c859929a17af4feee4a9c310"/>
    <w:p>
      <w:pPr>
        <w:pStyle w:val="Heading2"/>
        <w:spacing w:line="480" w:lineRule="auto"/>
      </w:pPr>
      <w:r>
        <w:t xml:space="preserve">A.1 Signal Intensity in Reentry Predictability and Airspace Risk do tracking-data quality gaps drive ov: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6.3546</w:t>
            </w:r>
          </w:p>
        </w:tc>
        <w:tc>
          <w:tcPr>
            <w:tcW w:w="0" w:type="auto"/>
          </w:tcPr>
          <w:p>
            <w:pPr>
              <w:spacing w:line="240" w:lineRule="auto" w:before="0" w:after="0"/>
              <w:pStyle w:val="Compact"/>
            </w:pPr>
            <w:r>
              <w:rPr>
                <w:sz w:val="20"/>
                <w:szCs w:val="20"/>
              </w:rPr>
              <w:t xml:space="preserve">1.7187</w:t>
            </w:r>
          </w:p>
        </w:tc>
        <w:tc>
          <w:tcPr>
            <w:tcW w:w="0" w:type="auto"/>
          </w:tcPr>
          <w:p>
            <w:pPr>
              <w:spacing w:line="240" w:lineRule="auto" w:before="0" w:after="0"/>
              <w:pStyle w:val="Compact"/>
            </w:pPr>
            <w:r>
              <w:rPr>
                <w:sz w:val="20"/>
                <w:szCs w:val="20"/>
              </w:rPr>
              <w:t xml:space="preserve">3.6973</w:t>
            </w:r>
          </w:p>
        </w:tc>
        <w:tc>
          <w:tcPr>
            <w:tcW w:w="0" w:type="auto"/>
          </w:tcPr>
          <w:p>
            <w:pPr>
              <w:spacing w:line="240" w:lineRule="auto" w:before="0" w:after="0"/>
              <w:pStyle w:val="Compact"/>
            </w:pPr>
            <w:r>
              <w:rPr>
                <w:sz w:val="20"/>
                <w:szCs w:val="20"/>
              </w:rPr>
              <w:t xml:space="preserve">0.0002179</w:t>
            </w:r>
          </w:p>
        </w:tc>
        <w:tc>
          <w:tcPr>
            <w:tcW w:w="0" w:type="auto"/>
          </w:tcPr>
          <w:p>
            <w:pPr>
              <w:spacing w:line="240" w:lineRule="auto" w:before="0" w:after="0"/>
              <w:pStyle w:val="Compact"/>
            </w:pPr>
            <w:r>
              <w:rPr>
                <w:sz w:val="20"/>
                <w:szCs w:val="20"/>
              </w:rPr>
              <w:t xml:space="preserve">[2.986, 9.7232]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0.276</w:t>
            </w:r>
          </w:p>
        </w:tc>
        <w:tc>
          <w:tcPr>
            <w:tcW w:w="0" w:type="auto"/>
          </w:tcPr>
          <w:p>
            <w:pPr>
              <w:spacing w:line="240" w:lineRule="auto" w:before="0" w:after="0"/>
              <w:pStyle w:val="Compact"/>
            </w:pPr>
            <w:r>
              <w:rPr>
                <w:sz w:val="20"/>
                <w:szCs w:val="20"/>
              </w:rPr>
              <w:t xml:space="preserve">0.1501</w:t>
            </w:r>
          </w:p>
        </w:tc>
        <w:tc>
          <w:tcPr>
            <w:tcW w:w="0" w:type="auto"/>
          </w:tcPr>
          <w:p>
            <w:pPr>
              <w:spacing w:line="240" w:lineRule="auto" w:before="0" w:after="0"/>
              <w:pStyle w:val="Compact"/>
            </w:pPr>
            <w:r>
              <w:rPr>
                <w:sz w:val="20"/>
                <w:szCs w:val="20"/>
              </w:rPr>
              <w:t xml:space="preserve">1.8387</w:t>
            </w:r>
          </w:p>
        </w:tc>
        <w:tc>
          <w:tcPr>
            <w:tcW w:w="0" w:type="auto"/>
          </w:tcPr>
          <w:p>
            <w:pPr>
              <w:spacing w:line="240" w:lineRule="auto" w:before="0" w:after="0"/>
              <w:pStyle w:val="Compact"/>
            </w:pPr>
            <w:r>
              <w:rPr>
                <w:sz w:val="20"/>
                <w:szCs w:val="20"/>
              </w:rPr>
              <w:t xml:space="preserve">0.066</w:t>
            </w:r>
          </w:p>
        </w:tc>
        <w:tc>
          <w:tcPr>
            <w:tcW w:w="0" w:type="auto"/>
          </w:tcPr>
          <w:p>
            <w:pPr>
              <w:spacing w:line="240" w:lineRule="auto" w:before="0" w:after="0"/>
              <w:pStyle w:val="Compact"/>
            </w:pPr>
            <w:r>
              <w:rPr>
                <w:sz w:val="20"/>
                <w:szCs w:val="20"/>
              </w:rPr>
              <w:t xml:space="preserve">[-0.0182, 0.5702]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0.0565</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0.8996</w:t>
            </w:r>
          </w:p>
        </w:tc>
        <w:tc>
          <w:tcPr>
            <w:tcW w:w="0" w:type="auto"/>
          </w:tcPr>
          <w:p>
            <w:pPr>
              <w:spacing w:line="240" w:lineRule="auto" w:before="0" w:after="0"/>
              <w:pStyle w:val="Compact"/>
            </w:pPr>
            <w:r>
              <w:rPr>
                <w:sz w:val="20"/>
                <w:szCs w:val="20"/>
              </w:rPr>
              <w:t xml:space="preserve">[-0.1036, 0.1178]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-1.6729</w:t>
            </w:r>
          </w:p>
        </w:tc>
        <w:tc>
          <w:tcPr>
            <w:tcW w:w="0" w:type="auto"/>
          </w:tcPr>
          <w:p>
            <w:pPr>
              <w:spacing w:line="240" w:lineRule="auto" w:before="0" w:after="0"/>
              <w:pStyle w:val="Compact"/>
            </w:pPr>
            <w:r>
              <w:rPr>
                <w:sz w:val="20"/>
                <w:szCs w:val="20"/>
              </w:rPr>
              <w:t xml:space="preserve">0.631</w:t>
            </w:r>
          </w:p>
        </w:tc>
        <w:tc>
          <w:tcPr>
            <w:tcW w:w="0" w:type="auto"/>
          </w:tcPr>
          <w:p>
            <w:pPr>
              <w:spacing w:line="240" w:lineRule="auto" w:before="0" w:after="0"/>
              <w:pStyle w:val="Compact"/>
            </w:pPr>
            <w:r>
              <w:rPr>
                <w:sz w:val="20"/>
                <w:szCs w:val="20"/>
              </w:rPr>
              <w:t xml:space="preserve">-2.6513</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[-2.9097, -0.4362]</w:t>
            </w:r>
          </w:p>
        </w:tc>
      </w:tr>
    </w:tbl>
    <w:p>
      <w:pPr>
        <w:pStyle w:val="BodyText"/>
        <w:spacing w:line="480" w:lineRule="auto"/>
        <w:ind w:firstLine="720"/>
      </w:pPr>
      <w:r>
        <w:t xml:space="preserve">Fit: N = 30 R2 = 0.2771 R2_adj = 0.1937 F = 4.8828 F_p = 0.008</w:t>
      </w:r>
    </w:p>
    <w:bookmarkEnd w:id="170"/>
    <w:bookmarkStart w:id="17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2" name="Picture"/>
            <a:graphic>
              <a:graphicData uri="http://schemas.openxmlformats.org/drawingml/2006/picture">
                <pic:pic>
                  <pic:nvPicPr>
                    <pic:cNvPr descr="D:/Claude_Code/brain/collegium/candidates/dissertations/LAUNCH_REG_08/research_papers/p1/paper_fig1.png" id="173" name="Picture"/>
                    <pic:cNvPicPr>
                      <a:picLocks noChangeArrowheads="1" noChangeAspect="1"/>
                    </pic:cNvPicPr>
                  </pic:nvPicPr>
                  <pic:blipFill>
                    <a:blip r:embed="rId17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4"/>
    <w:bookmarkStart w:id="17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10.64861/RCFO1556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10.64861/DZFF7826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https://amostech.space/year/2022/impact-of-space-weather-on-space-assets-and-satellite-launches/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10.64861/DNKW1345</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10.64861/QYAX9070</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10.64861/IIRV1868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https://amostech.space/year/2020/a-constellation-of-sensors-optimized-for-maneuver-tracking/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10.64861/QXJB5158</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10.1016/j.actaastro.2016.04.015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10.1016/j.actaastro.2025.01.068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10.1016/j.actaastro.2023.11.020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EU SST Conjunction Data Messages, Reentry Predictions, and Fragmentation Event Services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EU SST Conjunction, Reentry, and Fragmentation Services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175"/>
    <w:bookmarkStart w:id="17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6"/>
    <w:bookmarkEnd w:id="177"/>
    <w:bookmarkStart w:id="185" w:name="Xd570daf7658bf528735d37811c356e517cc4a74"/>
    <w:p>
      <w:pPr>
        <w:pStyle w:val="Heading2"/>
        <w:spacing w:line="480" w:lineRule="auto"/>
      </w:pPr>
      <w:r>
        <w:t xml:space="preserve">A.2 Attention Accumulation in Reentry Predictability and Airspace Risk do tracking-data quality gaps drive ov: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7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0.8553</w:t>
            </w:r>
          </w:p>
        </w:tc>
        <w:tc>
          <w:tcPr>
            <w:tcW w:w="0" w:type="auto"/>
          </w:tcPr>
          <w:p>
            <w:pPr>
              <w:spacing w:line="240" w:lineRule="auto" w:before="0" w:after="0"/>
              <w:pStyle w:val="Compact"/>
            </w:pPr>
            <w:r>
              <w:rPr>
                <w:sz w:val="20"/>
                <w:szCs w:val="20"/>
              </w:rPr>
              <w:t xml:space="preserve">0.4685</w:t>
            </w:r>
          </w:p>
        </w:tc>
        <w:tc>
          <w:tcPr>
            <w:tcW w:w="0" w:type="auto"/>
          </w:tcPr>
          <w:p>
            <w:pPr>
              <w:spacing w:line="240" w:lineRule="auto" w:before="0" w:after="0"/>
              <w:pStyle w:val="Compact"/>
            </w:pPr>
            <w:r>
              <w:rPr>
                <w:sz w:val="20"/>
                <w:szCs w:val="20"/>
              </w:rPr>
              <w:t xml:space="preserve">1.8255</w:t>
            </w:r>
          </w:p>
        </w:tc>
        <w:tc>
          <w:tcPr>
            <w:tcW w:w="0" w:type="auto"/>
          </w:tcPr>
          <w:p>
            <w:pPr>
              <w:spacing w:line="240" w:lineRule="auto" w:before="0" w:after="0"/>
              <w:pStyle w:val="Compact"/>
            </w:pPr>
            <w:r>
              <w:rPr>
                <w:sz w:val="20"/>
                <w:szCs w:val="20"/>
              </w:rPr>
              <w:t xml:space="preserve">0.0679</w:t>
            </w:r>
          </w:p>
        </w:tc>
        <w:tc>
          <w:tcPr>
            <w:tcW w:w="0" w:type="auto"/>
          </w:tcPr>
          <w:p>
            <w:pPr>
              <w:spacing w:line="240" w:lineRule="auto" w:before="0" w:after="0"/>
              <w:pStyle w:val="Compact"/>
            </w:pPr>
            <w:r>
              <w:rPr>
                <w:sz w:val="20"/>
                <w:szCs w:val="20"/>
              </w:rPr>
              <w:t xml:space="preserve">[-0.063, 1.7737]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-0.1312</w:t>
            </w:r>
          </w:p>
        </w:tc>
        <w:tc>
          <w:tcPr>
            <w:tcW w:w="0" w:type="auto"/>
          </w:tcPr>
          <w:p>
            <w:pPr>
              <w:spacing w:line="240" w:lineRule="auto" w:before="0" w:after="0"/>
              <w:pStyle w:val="Compact"/>
            </w:pPr>
            <w:r>
              <w:rPr>
                <w:sz w:val="20"/>
                <w:szCs w:val="20"/>
              </w:rPr>
              <w:t xml:space="preserve">0.3702</w:t>
            </w:r>
          </w:p>
        </w:tc>
        <w:tc>
          <w:tcPr>
            <w:tcW w:w="0" w:type="auto"/>
          </w:tcPr>
          <w:p>
            <w:pPr>
              <w:spacing w:line="240" w:lineRule="auto" w:before="0" w:after="0"/>
              <w:pStyle w:val="Compact"/>
            </w:pPr>
            <w:r>
              <w:rPr>
                <w:sz w:val="20"/>
                <w:szCs w:val="20"/>
              </w:rPr>
              <w:t xml:space="preserve">-0.3544</w:t>
            </w:r>
          </w:p>
        </w:tc>
        <w:tc>
          <w:tcPr>
            <w:tcW w:w="0" w:type="auto"/>
          </w:tcPr>
          <w:p>
            <w:pPr>
              <w:spacing w:line="240" w:lineRule="auto" w:before="0" w:after="0"/>
              <w:pStyle w:val="Compact"/>
            </w:pPr>
            <w:r>
              <w:rPr>
                <w:sz w:val="20"/>
                <w:szCs w:val="20"/>
              </w:rPr>
              <w:t xml:space="preserve">0.7231</w:t>
            </w:r>
          </w:p>
        </w:tc>
        <w:tc>
          <w:tcPr>
            <w:tcW w:w="0" w:type="auto"/>
          </w:tcPr>
          <w:p>
            <w:pPr>
              <w:spacing w:line="240" w:lineRule="auto" w:before="0" w:after="0"/>
              <w:pStyle w:val="Compact"/>
            </w:pPr>
            <w:r>
              <w:rPr>
                <w:sz w:val="20"/>
                <w:szCs w:val="20"/>
              </w:rPr>
              <w:t xml:space="preserve">[-0.8568, 0.5944]</w:t>
            </w:r>
          </w:p>
        </w:tc>
      </w:tr>
    </w:tbl>
    <w:p>
      <w:pPr>
        <w:pStyle w:val="BodyText"/>
        <w:spacing w:line="480" w:lineRule="auto"/>
        <w:ind w:firstLine="720"/>
      </w:pPr>
      <w:r>
        <w:t xml:space="preserve">Fit: N = 30 R2 = 0.0055 elasticity_b = -0.1312 progress_ratio_2^b = 0.9131</w:t>
      </w:r>
    </w:p>
    <w:bookmarkEnd w:id="178"/>
    <w:bookmarkStart w:id="18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0" name="Picture"/>
            <a:graphic>
              <a:graphicData uri="http://schemas.openxmlformats.org/drawingml/2006/picture">
                <pic:pic>
                  <pic:nvPicPr>
                    <pic:cNvPr descr="D:/Claude_Code/brain/collegium/candidates/dissertations/LAUNCH_REG_08/research_papers/p2/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2"/>
    <w:bookmarkStart w:id="18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10.64861/RCFO1556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10.64861/DZFF7826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https://amostech.space/year/2022/impact-of-space-weather-on-space-assets-and-satellite-launches/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10.64861/DNKW1345</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10.64861/QYAX9070</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10.64861/IIRV1868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https://amostech.space/year/2020/a-constellation-of-sensors-optimized-for-maneuver-tracking/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10.64861/QXJB5158</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10.1016/j.actaastro.2016.04.015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10.1016/j.actaastro.2025.01.068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10.1016/j.actaastro.2023.11.020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EU SST Conjunction Data Messages, Reentry Predictions, and Fragmentation Event Services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EU SST Conjunction, Reentry, and Fragmentation Services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183"/>
    <w:bookmarkStart w:id="18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4"/>
    <w:bookmarkEnd w:id="185"/>
    <w:bookmarkEnd w:id="1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1" Type="http://schemas.openxmlformats.org/officeDocument/2006/relationships/image" Target="media/rId171.png"/><Relationship Id="rId179" Type="http://schemas.openxmlformats.org/officeDocument/2006/relationships/image" Target="media/rId179.png"/><Relationship Id="rId153" Type="http://schemas.openxmlformats.org/officeDocument/2006/relationships/hyperlink" Target="https://doi.org/10.1016/j.actaastro.2024.05.026" TargetMode="External"/><Relationship Id="rId161" Type="http://schemas.openxmlformats.org/officeDocument/2006/relationships/hyperlink" Target="https://doi.org/10.1016/j.actaastro.2024.09.063" TargetMode="External"/><Relationship Id="rId159" Type="http://schemas.openxmlformats.org/officeDocument/2006/relationships/hyperlink" Target="https://doi.org/10.1016/j.actaastro.2025.01.031" TargetMode="External"/><Relationship Id="rId157" Type="http://schemas.openxmlformats.org/officeDocument/2006/relationships/hyperlink" Target="https://doi.org/10.1016/j.actaastro.2025.01.042" TargetMode="External"/><Relationship Id="rId163" Type="http://schemas.openxmlformats.org/officeDocument/2006/relationships/hyperlink" Target="https://doi.org/10.1016/j.actaastro.2025.01.043" TargetMode="External"/><Relationship Id="rId165" Type="http://schemas.openxmlformats.org/officeDocument/2006/relationships/hyperlink" Target="https://doi.org/10.1016/j.actaastro.2025.01.068" TargetMode="External"/><Relationship Id="rId155" Type="http://schemas.openxmlformats.org/officeDocument/2006/relationships/hyperlink" Target="https://doi.org/10.1016/j.actaastro.2026.01.049" TargetMode="External"/><Relationship Id="rId167" Type="http://schemas.openxmlformats.org/officeDocument/2006/relationships/hyperlink" Target="https://doi.org/10.1016/j.actaastro.2026.03.003" TargetMode="External"/><Relationship Id="rId145" Type="http://schemas.openxmlformats.org/officeDocument/2006/relationships/hyperlink" Target="https://doi.org/10.64861/DNKW1345" TargetMode="External"/><Relationship Id="rId147" Type="http://schemas.openxmlformats.org/officeDocument/2006/relationships/hyperlink" Target="https://doi.org/10.64861/DZFF7826" TargetMode="External"/><Relationship Id="rId151" Type="http://schemas.openxmlformats.org/officeDocument/2006/relationships/hyperlink" Target="https://doi.org/10.64861/IIRV1868" TargetMode="External"/><Relationship Id="rId142" Type="http://schemas.openxmlformats.org/officeDocument/2006/relationships/hyperlink" Target="https://doi.org/10.64861/LWLF6390" TargetMode="External"/><Relationship Id="rId149" Type="http://schemas.openxmlformats.org/officeDocument/2006/relationships/hyperlink" Target="https://doi.org/10.64861/QYAX9070" TargetMode="External"/><Relationship Id="rId138" Type="http://schemas.openxmlformats.org/officeDocument/2006/relationships/hyperlink" Target="https://doi.org/10.64861/RCFO1556" TargetMode="External"/><Relationship Id="rId140" Type="http://schemas.openxmlformats.org/officeDocument/2006/relationships/hyperlink" Target="https://doi.org/10.64861/UCTN1793" TargetMode="External"/></Relationships>
</file>

<file path=word/_rels/footnotes.xml.rels><?xml version='1.0' encoding='UTF-8' standalone='yes'?>
<Relationships xmlns="http://schemas.openxmlformats.org/package/2006/relationships"><Relationship Id="rId153" Type="http://schemas.openxmlformats.org/officeDocument/2006/relationships/hyperlink" Target="https://doi.org/10.1016/j.actaastro.2024.05.026" TargetMode="External"/><Relationship Id="rId161" Type="http://schemas.openxmlformats.org/officeDocument/2006/relationships/hyperlink" Target="https://doi.org/10.1016/j.actaastro.2024.09.063" TargetMode="External"/><Relationship Id="rId159" Type="http://schemas.openxmlformats.org/officeDocument/2006/relationships/hyperlink" Target="https://doi.org/10.1016/j.actaastro.2025.01.031" TargetMode="External"/><Relationship Id="rId157" Type="http://schemas.openxmlformats.org/officeDocument/2006/relationships/hyperlink" Target="https://doi.org/10.1016/j.actaastro.2025.01.042" TargetMode="External"/><Relationship Id="rId163" Type="http://schemas.openxmlformats.org/officeDocument/2006/relationships/hyperlink" Target="https://doi.org/10.1016/j.actaastro.2025.01.043" TargetMode="External"/><Relationship Id="rId165" Type="http://schemas.openxmlformats.org/officeDocument/2006/relationships/hyperlink" Target="https://doi.org/10.1016/j.actaastro.2025.01.068" TargetMode="External"/><Relationship Id="rId155" Type="http://schemas.openxmlformats.org/officeDocument/2006/relationships/hyperlink" Target="https://doi.org/10.1016/j.actaastro.2026.01.049" TargetMode="External"/><Relationship Id="rId167" Type="http://schemas.openxmlformats.org/officeDocument/2006/relationships/hyperlink" Target="https://doi.org/10.1016/j.actaastro.2026.03.003" TargetMode="External"/><Relationship Id="rId145" Type="http://schemas.openxmlformats.org/officeDocument/2006/relationships/hyperlink" Target="https://doi.org/10.64861/DNKW1345" TargetMode="External"/><Relationship Id="rId147" Type="http://schemas.openxmlformats.org/officeDocument/2006/relationships/hyperlink" Target="https://doi.org/10.64861/DZFF7826" TargetMode="External"/><Relationship Id="rId151" Type="http://schemas.openxmlformats.org/officeDocument/2006/relationships/hyperlink" Target="https://doi.org/10.64861/IIRV1868" TargetMode="External"/><Relationship Id="rId142" Type="http://schemas.openxmlformats.org/officeDocument/2006/relationships/hyperlink" Target="https://doi.org/10.64861/LWLF6390" TargetMode="External"/><Relationship Id="rId149" Type="http://schemas.openxmlformats.org/officeDocument/2006/relationships/hyperlink" Target="https://doi.org/10.64861/QYAX9070" TargetMode="External"/><Relationship Id="rId138" Type="http://schemas.openxmlformats.org/officeDocument/2006/relationships/hyperlink" Target="https://doi.org/10.64861/RCFO1556" TargetMode="External"/><Relationship Id="rId140" Type="http://schemas.openxmlformats.org/officeDocument/2006/relationships/hyperlink" Target="https://doi.org/10.64861/UCTN1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Reentry Predictability and Airspace Risk: do tracking-data quality gaps drive ov</dc:title>
  <dc:creator>Imogen Cabrera (1B-INF-177)</dc:creator>
  <cp:keywords/>
  <dcterms:created xsi:type="dcterms:W3CDTF">2026-07-02T20:28:53Z</dcterms:created>
  <dcterms:modified xsi:type="dcterms:W3CDTF">2026-07-02T20:28:53Z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