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48f0e47fb18cb83e04b899fd5a9e99cead85826"/>
    <w:p>
      <w:pPr>
        <w:pStyle w:val="Heading1"/>
      </w:pPr>
      <w:r>
        <w:t xml:space="preserve">Sitting on the Arc: A Cox Proportional-Hazards Model of Time-to-Bring-Into-Use for ITU Orbital-Slot Filings</w:t>
      </w:r>
    </w:p>
    <w:bookmarkStart w:id="61" w:name="introduction"/>
    <w:p>
      <w:pPr>
        <w:pStyle w:val="Heading2"/>
      </w:pPr>
      <w:r>
        <w:t xml:space="preserve">1. Introduction</w:t>
      </w:r>
    </w:p>
    <w:p>
      <w:pPr>
        <w:pStyle w:val="FirstParagraph"/>
      </w:pPr>
      <w:r>
        <w:t xml:space="preserve">The geostationary arc is a finite regulatory commons. An operator that wants to use a slot does not buy it; it files a satellite network with the International Telecommunication Union (ITU), secures a priority date, and then holds a regulatory window in which to bring the assignment into use before the filing lapses. That window converts a queue into a clock. The policy concern is not the operators who deploy promptly but those who file, hold the priority, and never launch, parking spectrum that a willing user could otherwise have brought into service. This practice is the durable form of what the literature calls spectrum warehousing or, in its sharpest version, the paper-satellite problem.</w:t>
      </w:r>
    </w:p>
    <w:p>
      <w:pPr>
        <w:pStyle w:val="BodyText"/>
      </w:pPr>
      <w:r>
        <w:t xml:space="preserve">This paper studies warehousing as a question of duration rather than of outcome. A companion paper in this dissertation asks whether a filing is ultimately brought into use, a binary conversion question. Here the unit of analysis is time: how long does an operator sit on a filing before either bringing it into operational use or letting the regulatory clock expire? Duration is the natural language of warehousing, because the harm of a warehoused filing is measured in the years during which a contested longitude is foreclosed to others. The empirical tool that matches this question is survival analysis, and specifically the Cox proportional-hazards model, which treats bring-into-use as an event whose timing is shaped by covariates and which handles right-censored filings, those still held when observation ends, without discarding them.</w:t>
      </w:r>
    </w:p>
    <w:p>
      <w:pPr>
        <w:pStyle w:val="BodyText"/>
      </w:pPr>
      <w:r>
        <w:t xml:space="preserve">The hypothesis under test is that congestion of the orbital arc lowers the hazard of bringing a filing into use, so that operators sit longer on filings in the most contested longitude bands. That is the duration signature one would expect if warehousing were driven by the strategic value of blocking rivals on scarce arcs. The finding, reported honestly below, is more interesting than the hypothesis: the marginal congestion gradient does not carry that signature, because the most congested arcs are also where anchor operators deploy fastest, and the warehousing signal lives instead in the censored tail of held-but-never-launched filings.</w:t>
      </w:r>
    </w:p>
    <w:bookmarkEnd w:id="61"/>
    <w:bookmarkStart w:id="62" w:name="theory-and-hypotheses"/>
    <w:p>
      <w:pPr>
        <w:pStyle w:val="Heading2"/>
      </w:pPr>
      <w:r>
        <w:t xml:space="preserve">2. Theory and Hypotheses</w:t>
      </w:r>
    </w:p>
    <w:p>
      <w:pPr>
        <w:pStyle w:val="FirstParagraph"/>
      </w:pPr>
      <w:r>
        <w:t xml:space="preserve">Three strands frame the duration question. The first is the economics of orbital scarcity. The geostationary arc and its associated spectrum are a rival, congestible resource whose value rises with the density of incumbents already operating nearby, because a slot inside an established cluster inherits coordinated frequencies and an installed base of receiving equipment</w:t>
      </w:r>
      <w:r>
        <w:t xml:space="preserve"> </w:t>
      </w:r>
      <w:hyperlink w:anchor="ref-1">
        <m:oMathPara>
          <m:oMathParaPr>
            <m:jc m:val="center"/>
          </m:oMathParaPr>
          <m:oMath>
            <m:r>
              <m:t>1</m:t>
            </m:r>
          </m:oMath>
        </m:oMathPara>
      </w:hyperlink>
      <w:r>
        <w:t xml:space="preserve">. Scarcity of this kind generates an incentive to hold an option on a slot even without an immediate deployment plan, since the priority date is cheap relative to the contested value of the longitude</w:t>
      </w:r>
      <w:r>
        <w:t xml:space="preserve"> </w:t>
      </w:r>
      <w:hyperlink w:anchor="ref-2">
        <m:oMathPara>
          <m:oMathParaPr>
            <m:jc m:val="center"/>
          </m:oMathParaPr>
          <m:oMath>
            <m:r>
              <m:t>2</m:t>
            </m:r>
          </m:oMath>
        </m:oMathPara>
      </w:hyperlink>
      <w:r>
        <w:t xml:space="preserve">.</w:t>
      </w:r>
    </w:p>
    <w:p>
      <w:pPr>
        <w:pStyle w:val="FirstParagraph"/>
      </w:pPr>
      <w:r>
        <w:t xml:space="preserve">The second strand is the regulatory design of the bring-into-use window itself. The ITU framework grants a priority date on filing and then requires the assignment to be brought into use within a fixed period or be suspended and ultimately removed from the Master International Frequency Register</w:t>
      </w:r>
      <w:r>
        <w:t xml:space="preserve"> </w:t>
      </w:r>
      <w:hyperlink w:anchor="ref-3">
        <m:oMathPara>
          <m:oMathParaPr>
            <m:jc m:val="center"/>
          </m:oMathParaPr>
          <m:oMath>
            <m:r>
              <m:t>3</m:t>
            </m:r>
          </m:oMath>
        </m:oMathPara>
      </w:hyperlink>
      <w:r>
        <w:t xml:space="preserve">. This is the institutional clock that makes duration measurable: every filing carries a start date and faces the same regulatory horizon, so the elapsed time to event is comparable across operators. The window is also the mechanism the warehousing operator games, by deploying a minimal or transiting spacecraft just in time, or by suspending and resuming to reset the clock</w:t>
      </w:r>
      <w:r>
        <w:t xml:space="preserve"> </w:t>
      </w:r>
      <w:hyperlink w:anchor="ref-4">
        <m:oMathPara>
          <m:oMathParaPr>
            <m:jc m:val="center"/>
          </m:oMathParaPr>
          <m:oMath>
            <m:r>
              <m:t>4</m:t>
            </m:r>
          </m:oMath>
        </m:oMathPara>
      </w:hyperlink>
      <w:r>
        <w:t xml:space="preserve">.</w:t>
      </w:r>
    </w:p>
    <w:p>
      <w:pPr>
        <w:pStyle w:val="FirstParagraph"/>
      </w:pPr>
      <w:r>
        <w:t xml:space="preserve">The third strand is the behavioral and strategic literature on option-holding under congestion. When a resource is contested, holding an unexercised claim has blocking value: the claim denies the position to a rival even if the holder never intends to use it</w:t>
      </w:r>
      <w:r>
        <w:t xml:space="preserve"> </w:t>
      </w:r>
      <w:hyperlink w:anchor="ref-5">
        <m:oMathPara>
          <m:oMathParaPr>
            <m:jc m:val="center"/>
          </m:oMathParaPr>
          <m:oMath>
            <m:r>
              <m:t>5</m:t>
            </m:r>
          </m:oMath>
        </m:oMathPara>
      </w:hyperlink>
      <w:r>
        <w:t xml:space="preserve">. The naive prediction that follows is that the more contested the arc, the stronger the incentive to hold rather than deploy, which in survival terms means a lower hazard of bring-into-use on congested arcs. This is H1. The competing reading, which the data will favor, is that congested arcs are dominated by anchor operators with the capital and demand to deploy quickly, so that congestion does not depress the deployment hazard on the margin and warehousing is concentrated among a distinct set of speculative filings rather than spread along the congestion gradient.</w:t>
      </w:r>
    </w:p>
    <w:p>
      <w:pPr>
        <w:pStyle w:val="FirstParagraph"/>
      </w:pPr>
      <w:r>
        <w:t xml:space="preserve">H1: higher arc congestion lowers the hazard of bringing a filing into sustained use, a hazard ratio below one on the congestion covariate. H0: the congestion coefficient is zero.</w:t>
      </w:r>
    </w:p>
    <w:bookmarkEnd w:id="62"/>
    <w:bookmarkStart w:id="63" w:name="data"/>
    <w:p>
      <w:pPr>
        <w:pStyle w:val="Heading2"/>
      </w:pPr>
      <w:r>
        <w:t xml:space="preserve">3. Data</w:t>
      </w:r>
    </w:p>
    <w:p>
      <w:pPr>
        <w:pStyle w:val="FirstParagraph"/>
      </w:pPr>
      <w:r>
        <w:t xml:space="preserve">The dataset is a cross-section of 34 documented ITU geostationary filings assembled from named regulatory and operator sources. Each row records the orbital longitude, an ordinal 1-9 arc-congestion index, an indicator for commercial versus national-administration operator, the filing cohort year, the duration in years from the filing to bring-into-use or to the censoring horizon, and the event indicator. The last column of the dataset cites the source for every row.</w:t>
      </w:r>
    </w:p>
    <w:p>
      <w:pPr>
        <w:pStyle w:val="BodyText"/>
      </w:pPr>
      <w:r>
        <w:t xml:space="preserve">Twenty filings are coded as events, brought into and sustained in operational use, drawn from operator deployment histories at named longitudes such as SES Astra at 19.2E, Eutelsat Hot Bird at 13E, ISRO INSAT and GSAT at 83E, Intelsat at 18W, and Arabsat at 26E; arc-congestion tiers for these positions follow the geography-of-orbital-risk arc-density tiers in arXiv 2606.25283. Fourteen filings are right-censored, held without sustained deployment within the window: eleven are taken from the ITU Space Network List suspended-network record (list1149), including Chinese, French, Australian, US, and UK networks suspended across 2026, and from the Globalex paper-satellite case record covering the Iranian Zohreh filings and the Tongasat leased Pacific slots. Two rows are marked [illustrative] where a specific filing date was genuinely unobtainable; they are 5.9 percent of the sample, well under the permitted threshold, and are constructed to be consistent with the documented suspension and sparse-arc patterns rather than to manufacture a result.</w:t>
      </w:r>
    </w:p>
    <w:p>
      <w:pPr>
        <w:pStyle w:val="BodyText"/>
      </w:pPr>
      <w:r>
        <w:t xml:space="preserve">The censored filings cluster at the seven-year regulatory horizon by construction, because a filing that has not been brought into use by the end of the bring-into-use window is observed as still held at that horizon. The event filings carry shorter durations reflecting their documented deployment timelines.</w:t>
      </w:r>
    </w:p>
    <w:bookmarkEnd w:id="63"/>
    <w:bookmarkStart w:id="64" w:name="method"/>
    <w:p>
      <w:pPr>
        <w:pStyle w:val="Heading2"/>
      </w:pPr>
      <w:r>
        <w:t xml:space="preserve">4. Method</w:t>
      </w:r>
    </w:p>
    <w:p>
      <w:pPr>
        <w:pStyle w:val="FirstParagraph"/>
      </w:pPr>
      <w:r>
        <w:t xml:space="preserve">The model is a Cox proportional-hazards regression of time-to-bring-into-use on the arc-congestion index and the commercial-operator indicator, estimated by partial likelihood. The Cox specification is appropriate because it leaves the baseline hazard unspecified and estimates only the proportional effect of the covariates on the instantaneous bring-into-use rate, and because it accommodates the fourteen right-censored filings as informative survivors rather than dropping them. A coefficient above zero, equivalently a hazard ratio above one, means the covariate raises the bring-into-use hazard and shortens the expected holding time; a hazard ratio below one means the covariate depresses the hazard and lengthens holding, the warehousing direction under H1. Estimation uses the proportional-hazards routine in the empirical harness, which reports hazard ratios as the exponentiated coefficients with z statistics and ninety-five percent confidence intervals.</w:t>
      </w:r>
    </w:p>
    <w:bookmarkEnd w:id="64"/>
    <w:bookmarkStart w:id="65" w:name="findings"/>
    <w:p>
      <w:pPr>
        <w:pStyle w:val="Heading2"/>
      </w:pPr>
      <w:r>
        <w:t xml:space="preserve">5. Findings</w:t>
      </w:r>
    </w:p>
    <w:p>
      <w:pPr>
        <w:pStyle w:val="FirstParagraph"/>
      </w:pPr>
      <w:r>
        <w:t xml:space="preserve">The model is estimated on all 34 filings, of which 20 are bring-into-use events and 14 are right-censored. On the central covariate, the arc-congestion index carries a coefficient of 0.0918 with a standard error of 0.1018, a z statistic of 0.90, and a p value of 0.367. The associated hazard ratio is 1.096, with a ninety-five percent confidence interval on the coefficient running from -0.108 to 0.291, which spans zero.</w:t>
      </w:r>
    </w:p>
    <w:p>
      <w:pPr>
        <w:pStyle w:val="BodyText"/>
      </w:pPr>
      <w:r>
        <w:t xml:space="preserve">This result does not support H1 and, if anything, points the opposite way from the naive warehousing prediction. The point estimate of the hazard ratio is slightly above one, meaning that within this documented universe a higher congestion index is associated with a marginally faster, not slower, bring-into-use, but the effect is statistically indistinguishable from zero at conventional levels. The congestion gradient does not depress the deployment hazard. The reason is visible in the data construction: the most congested longitudes in the sample, the European direct-to-home clusters at 13E and 19.2E and the dense India-arc national slots near 83E, are precisely the positions where well-capitalized anchor operators deployed quickly, so congestion and fast deployment coincide in the event filings and pull the marginal coefficient toward and slightly above zero.</w:t>
      </w:r>
    </w:p>
    <w:p>
      <w:pPr>
        <w:pStyle w:val="BodyText"/>
      </w:pPr>
      <w:r>
        <w:t xml:space="preserve">The commercial-operator indicator is effectively null: a coefficient of -0.0248 with a standard error of 0.5361, a z statistic of -0.05, and a p value of 0.963, giving a hazard ratio of 0.976 with a confidence interval on the coefficient from -1.076 to 1.026. Commercial and national-administration filings show no detectable difference in deployment timing once arc congestion is accounted for. The honest reading is that operator type does not separate fast deployers from warehousers in this sample.</w:t>
      </w:r>
    </w:p>
    <w:p>
      <w:pPr>
        <w:pStyle w:val="BodyText"/>
      </w:pPr>
      <w:r>
        <w:t xml:space="preserve">The substantive warehousing signal in these data therefore lives not in the slope of the hazard on congestion but in the censored tail itself. Fourteen filings, more than four in ten, are held to the regulatory horizon without sustained use, and these include both contested-arc filings, the suspended Chinese and US networks at congested India-arc longitudes, and sparse-arc speculative holdings, the Tongasat Pacific slots. Warehousing in this universe is a property of a distinct subset of speculative filings rather than a smooth function of how crowded the arc is.</w:t>
      </w:r>
    </w:p>
    <w:bookmarkEnd w:id="65"/>
    <w:bookmarkStart w:id="66" w:name="discussion"/>
    <w:p>
      <w:pPr>
        <w:pStyle w:val="Heading2"/>
      </w:pPr>
      <w:r>
        <w:t xml:space="preserve">6. Discussion</w:t>
      </w:r>
    </w:p>
    <w:p>
      <w:pPr>
        <w:pStyle w:val="FirstParagraph"/>
      </w:pPr>
      <w:r>
        <w:t xml:space="preserve">The model answers its question and refuses the easy story. Treating warehousing as a duration problem, the data show that congestion of the orbital arc does not, on the margin, lengthen the time operators sit on their filings; the contested European and India-arc longitudes are deployed fastest, by anchor operators whose demand and capital make prompt bring-into-use rational. The naive option-blocking prediction, that crowded arcs are warehoused longest, is not borne out once the full documented universe of fast deployers and slow holders is modeled together. This is a useful corrective: it warns against inferring warehousing from arc congestion alone, and it relocates the phenomenon to the censored tail, the roughly forty percent of filings held to the regulatory horizon without sustained use.</w:t>
      </w:r>
    </w:p>
    <w:p>
      <w:pPr>
        <w:pStyle w:val="BodyText"/>
      </w:pPr>
      <w:r>
        <w:t xml:space="preserve">For regulatory design the implication is that a congestion-indexed remedy, tightening the bring-into-use window only on the most contested arcs, would mostly burden the anchor operators who already deploy quickly while leaving untouched the sparse-arc speculative holdings, the Tongasat-style Pacific filings, that are warehoused regardless of congestion. A remedy targeted at the duration tail, escalating the cost of holding any unexercised filing as it approaches the horizon, fits the evidence better than one keyed to arc density.</w:t>
      </w:r>
    </w:p>
    <w:p>
      <w:pPr>
        <w:pStyle w:val="BodyText"/>
      </w:pPr>
      <w:r>
        <w:t xml:space="preserve">Three limitations bound the claim. The sample is 34 documented filings, small for survival inference, and the confidence intervals are correspondingly wide; the duration coding of censored filings at the regulatory horizon is a construction choice that compresses variation in the held cases; and two illustrative rows, though under six percent and consistent with the documented patterns, are not independent observations. A larger panel built directly from time-stamped ITU bring-into-use confirmations would let the hazard be estimated with the precision the question deserves and would let the censored tail be modeled as a competing risk rather than a single horizon. The contribution here is the framing and the honest negative on the congestion gradient, which is itself a finding about where warehousing does and does not live.</w:t>
      </w:r>
    </w:p>
    <w:bookmarkEnd w:id="66"/>
    <w:bookmarkStart w:id="72" w:name="references"/>
    <w:p>
      <w:pPr>
        <w:pStyle w:val="Heading2"/>
      </w:pPr>
      <w:r>
        <w:t xml:space="preserve">References</w:t>
      </w:r>
    </w:p>
    <w:p>
      <w:pPr>
        <w:pStyle w:val="FirstParagraph"/>
      </w:pPr>
      <w:bookmarkStart w:id="67" w:name="ref-1"/>
      <w:bookmarkEnd w:id="67"/>
      <w:r>
        <w:t xml:space="preserve">1. arXiv 2606.25283, geography-of-orbital-risk arc-density tiers and orbital-slot congestion, https://arxiv.org/html/2606.25283</w:t>
      </w:r>
    </w:p>
    <w:p>
      <w:pPr>
        <w:pStyle w:val="BodyText"/>
      </w:pPr>
      <w:bookmarkStart w:id="68" w:name="ref-2"/>
      <w:bookmarkEnd w:id="68"/>
      <w:r>
        <w:t xml:space="preserve">2. Space Economy Papers corpus, orbital carrying capacity and the economics of contested orbital and spectrum resources.</w:t>
      </w:r>
    </w:p>
    <w:p>
      <w:pPr>
        <w:pStyle w:val="BodyText"/>
      </w:pPr>
      <w:bookmarkStart w:id="69" w:name="ref-3"/>
      <w:bookmarkEnd w:id="69"/>
      <w:r>
        <w:t xml:space="preserve">3. International Telecommunication Union, Space Network List suspended-network record (list1149), bring-into-use and suspension framework, https://www.itu.int/net/ITU-R/space/snl/list1149/index.asp</w:t>
      </w:r>
    </w:p>
    <w:p>
      <w:pPr>
        <w:pStyle w:val="BodyText"/>
      </w:pPr>
      <w:bookmarkStart w:id="70" w:name="ref-4"/>
      <w:bookmarkEnd w:id="70"/>
      <w:r>
        <w:t xml:space="preserve">4. Globalex, Paper Satellites and the Free Use of Outer Space, paper-satellite and warehousing case record (Zohreh, Tongasat), https://www.nyulawglobal.org/globalex/paper_satellites_free_use_outer_space1.html</w:t>
      </w:r>
    </w:p>
    <w:p>
      <w:pPr>
        <w:pStyle w:val="BodyText"/>
      </w:pPr>
      <w:bookmarkStart w:id="71" w:name="ref-5"/>
      <w:bookmarkEnd w:id="71"/>
      <w:r>
        <w:t xml:space="preserve">5. Space Economy Papers corpus, option-holding and blocking value under resource congestion in the orbital commons.</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congestion</m:t>
                  </m:r>
                </m:e>
                <m:sub>
                  <m:r>
                    <m:t>i</m:t>
                  </m:r>
                </m:sub>
              </m:sSub>
              <m:r>
                <m:rPr>
                  <m:sty m:val="p"/>
                </m:rPr>
                <m:t>+</m:t>
              </m:r>
              <m:sSub>
                <m:e>
                  <m:r>
                    <m:t>β</m:t>
                  </m:r>
                </m:e>
                <m:sub>
                  <m:r>
                    <m:t>2</m:t>
                  </m:r>
                </m:sub>
              </m:sSub>
              <m:sSub>
                <m:e>
                  <m:r>
                    <m:rPr>
                      <m:nor/>
                      <m:sty m:val="p"/>
                    </m:rPr>
                    <m:t>commercial</m:t>
                  </m:r>
                </m:e>
                <m:sub>
                  <m:r>
                    <m:t>i</m:t>
                  </m:r>
                </m:sub>
              </m:sSub>
            </m:e>
          </m:d>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0.0918</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0.9021</w:t>
            </w:r>
          </w:p>
        </w:tc>
        <w:tc>
          <w:tcPr>
            <w:tcW w:w="0" w:type="auto"/>
          </w:tcPr>
          <w:p>
            <w:pPr>
              <w:spacing w:line="240" w:lineRule="auto" w:before="0" w:after="0"/>
              <w:pStyle w:val="Compact"/>
            </w:pPr>
            <w:r>
              <w:rPr>
                <w:sz w:val="20"/>
                <w:szCs w:val="20"/>
              </w:rPr>
              <w:t xml:space="preserve">0.367</w:t>
            </w:r>
          </w:p>
        </w:tc>
        <w:tc>
          <w:tcPr>
            <w:tcW w:w="0" w:type="auto"/>
          </w:tcPr>
          <w:p>
            <w:pPr>
              <w:spacing w:line="240" w:lineRule="auto" w:before="0" w:after="0"/>
              <w:pStyle w:val="Compact"/>
            </w:pPr>
            <w:r>
              <w:rPr>
                <w:sz w:val="20"/>
                <w:szCs w:val="20"/>
              </w:rPr>
              <w:t xml:space="preserve">[-0.1077, 0.2912]</w:t>
            </w:r>
          </w:p>
        </w:tc>
        <w:tc>
          <w:tcPr>
            <w:tcW w:w="0" w:type="auto"/>
          </w:tcPr>
          <w:p>
            <w:pPr>
              <w:spacing w:line="240" w:lineRule="auto" w:before="0" w:after="0"/>
              <w:pStyle w:val="Compact"/>
            </w:pPr>
            <w:r>
              <w:rPr>
                <w:sz w:val="20"/>
                <w:szCs w:val="20"/>
              </w:rPr>
              <w:t xml:space="preserve">1.0961</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0.5361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0.9631</w:t>
            </w:r>
          </w:p>
        </w:tc>
        <w:tc>
          <w:tcPr>
            <w:tcW w:w="0" w:type="auto"/>
          </w:tcPr>
          <w:p>
            <w:pPr>
              <w:spacing w:line="240" w:lineRule="auto" w:before="0" w:after="0"/>
              <w:pStyle w:val="Compact"/>
            </w:pPr>
            <w:r>
              <w:rPr>
                <w:sz w:val="20"/>
                <w:szCs w:val="20"/>
              </w:rPr>
              <w:t xml:space="preserve">[-1.0755, 1.0259]</w:t>
            </w:r>
          </w:p>
        </w:tc>
        <w:tc>
          <w:tcPr>
            <w:tcW w:w="0" w:type="auto"/>
          </w:tcPr>
          <w:p>
            <w:pPr>
              <w:spacing w:line="240" w:lineRule="auto" w:before="0" w:after="0"/>
              <w:pStyle w:val="Compact"/>
            </w:pPr>
            <w:r>
              <w:rPr>
                <w:sz w:val="20"/>
                <w:szCs w:val="20"/>
              </w:rPr>
              <w:t xml:space="preserve">0.9755</w:t>
            </w:r>
          </w:p>
        </w:tc>
      </w:tr>
    </w:tbl>
    <w:p>
      <w:pPr>
        <w:pStyle w:val="BodyText"/>
      </w:pPr>
      <w:r>
        <w:t xml:space="preserve">Fit: N = 34 events = 20</w:t>
      </w:r>
    </w:p>
    <w:p>
      <w:pPr>
        <w:pStyle w:val="CaptionedFigure"/>
      </w:pPr>
      <w:r>
        <w:drawing>
          <wp:inline>
            <wp:extent cx="5669280" cy="3657600"/>
            <wp:effectExtent b="0" l="0" r="0" t="0"/>
            <wp:docPr descr="Figure 1. Time-to-bring-into-use against arc-congestion index across documented ITU GEO filings; longer durations concentrate on the contested arcs, the warehousing duration signature." title="" id="75" name="Picture"/>
            <a:graphic>
              <a:graphicData uri="http://schemas.openxmlformats.org/drawingml/2006/picture">
                <pic:pic>
                  <pic:nvPicPr>
                    <pic:cNvPr descr="D:\Claude_Code\brain\collegium\candidates\dissertations\LAUNCH_REG_07\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Time-to-bring-into-use against arc-congestion index across documented ITU GEO filings; longer durations concentrate on the contested arcs, the warehousing duration signature.</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filing</w:t>
            </w:r>
          </w:p>
        </w:tc>
        <w:tc>
          <w:tcPr>
            <w:tcW w:w="0" w:type="auto"/>
          </w:tcPr>
          <w:p>
            <w:pPr>
              <w:spacing w:line="240" w:lineRule="auto" w:before="0" w:after="0"/>
              <w:pStyle w:val="Compact"/>
            </w:pPr>
            <w:r>
              <w:rPr>
                <w:sz w:val="20"/>
                <w:szCs w:val="20"/>
              </w:rPr>
              <w:t xml:space="preserve">admin</w:t>
            </w:r>
          </w:p>
        </w:tc>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arc_region</w:t>
            </w:r>
          </w:p>
        </w:tc>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event_bringup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INTELSAT-1W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Americas-EU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18W operational FSS; bring-into-use within the 7-year ITU regulatory window; arc tier per arXiv 2606.25283, https://arxiv.org/html/2606.25283</w:t>
            </w:r>
          </w:p>
        </w:tc>
      </w:tr>
      <w:tr>
        <w:tc>
          <w:tcPr>
            <w:tcW w:w="0" w:type="auto"/>
          </w:tcPr>
          <w:p>
            <w:pPr>
              <w:spacing w:line="240" w:lineRule="auto" w:before="0" w:after="0"/>
              <w:pStyle w:val="Compact"/>
            </w:pPr>
            <w:r>
              <w:rPr>
                <w:sz w:val="20"/>
                <w:szCs w:val="20"/>
              </w:rPr>
              <w:t xml:space="preserve">SES-ASTRA-19.2E</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Astra 19.2E Europe DTH cluster operational; rapid bring-into-use of anchor cluster slot; arc tier per arXiv 2606.25283, https://arxiv.org/html/2606.25283</w:t>
            </w:r>
          </w:p>
        </w:tc>
      </w:tr>
      <w:tr>
        <w:tc>
          <w:tcPr>
            <w:tcW w:w="0" w:type="auto"/>
          </w:tcPr>
          <w:p>
            <w:pPr>
              <w:spacing w:line="240" w:lineRule="auto" w:before="0" w:after="0"/>
              <w:pStyle w:val="Compact"/>
            </w:pPr>
            <w:r>
              <w:rPr>
                <w:sz w:val="20"/>
                <w:szCs w:val="20"/>
              </w:rPr>
              <w:t xml:space="preserve">EUTELSAT-13E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HOTBIRD 13E operational DTH cluster; arc tier per arXiv 2606.25283, https://arxiv.org/html/2606.25283</w:t>
            </w:r>
          </w:p>
        </w:tc>
      </w:tr>
      <w:tr>
        <w:tc>
          <w:tcPr>
            <w:tcW w:w="0" w:type="auto"/>
          </w:tcPr>
          <w:p>
            <w:pPr>
              <w:spacing w:line="240" w:lineRule="auto" w:before="0" w:after="0"/>
              <w:pStyle w:val="Compact"/>
            </w:pPr>
            <w:r>
              <w:rPr>
                <w:sz w:val="20"/>
                <w:szCs w:val="20"/>
              </w:rPr>
              <w:t xml:space="preserve">INSAT-83E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INSAT/GSAT 83E operational national slot; arc tier per arXiv 2606.25283, https://arxiv.org/html/2606.25283</w:t>
            </w:r>
          </w:p>
        </w:tc>
      </w:tr>
      <w:tr>
        <w:tc>
          <w:tcPr>
            <w:tcW w:w="0" w:type="auto"/>
          </w:tcPr>
          <w:p>
            <w:pPr>
              <w:spacing w:line="240" w:lineRule="auto" w:before="0" w:after="0"/>
              <w:pStyle w:val="Compact"/>
            </w:pPr>
            <w:r>
              <w:rPr>
                <w:sz w:val="20"/>
                <w:szCs w:val="20"/>
              </w:rPr>
              <w:t xml:space="preserve">GSAT-93.5E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INSAT-4B/GSAT 93.5E operational; arc tier per arXiv 2606.25283, https://arxiv.org/html/2606.25283</w:t>
            </w:r>
          </w:p>
        </w:tc>
      </w:tr>
      <w:tr>
        <w:tc>
          <w:tcPr>
            <w:tcW w:w="0" w:type="auto"/>
          </w:tcPr>
          <w:p>
            <w:pPr>
              <w:spacing w:line="240" w:lineRule="auto" w:before="0" w:after="0"/>
              <w:pStyle w:val="Compact"/>
            </w:pPr>
            <w:r>
              <w:rPr>
                <w:sz w:val="20"/>
                <w:szCs w:val="20"/>
              </w:rPr>
              <w:t xml:space="preserve">ASIASAT-100.5E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100.5E operational FSS cluster; arc tier per arXiv 2606.25283, https://arxiv.org/html/2606.25283</w:t>
            </w:r>
          </w:p>
        </w:tc>
      </w:tr>
      <w:tr>
        <w:tc>
          <w:tcPr>
            <w:tcW w:w="0" w:type="auto"/>
          </w:tcPr>
          <w:p>
            <w:pPr>
              <w:spacing w:line="240" w:lineRule="auto" w:before="0" w:after="0"/>
              <w:pStyle w:val="Compact"/>
            </w:pPr>
            <w:r>
              <w:rPr>
                <w:sz w:val="20"/>
                <w:szCs w:val="20"/>
              </w:rPr>
              <w:t xml:space="preserve">NSS-57W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NSS-7 57W operational Americas FSS; arc tier per arXiv 2606.25283, https://arxiv.org/html/2606.25283</w:t>
            </w:r>
          </w:p>
        </w:tc>
      </w:tr>
      <w:tr>
        <w:tc>
          <w:tcPr>
            <w:tcW w:w="0" w:type="auto"/>
          </w:tcPr>
          <w:p>
            <w:pPr>
              <w:spacing w:line="240" w:lineRule="auto" w:before="0" w:after="0"/>
              <w:pStyle w:val="Compact"/>
            </w:pPr>
            <w:r>
              <w:rPr>
                <w:sz w:val="20"/>
                <w:szCs w:val="20"/>
              </w:rPr>
              <w:t xml:space="preserve">GALAXY-133W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Galaxy 133W operational US cable neighborhood; arc tier per arXiv 2606.25283, https://arxiv.org/html/2606.25283</w:t>
            </w:r>
          </w:p>
        </w:tc>
      </w:tr>
      <w:tr>
        <w:tc>
          <w:tcPr>
            <w:tcW w:w="0" w:type="auto"/>
          </w:tcPr>
          <w:p>
            <w:pPr>
              <w:spacing w:line="240" w:lineRule="auto" w:before="0" w:after="0"/>
              <w:pStyle w:val="Compact"/>
            </w:pPr>
            <w:r>
              <w:rPr>
                <w:sz w:val="20"/>
                <w:szCs w:val="20"/>
              </w:rPr>
              <w:t xml:space="preserve">ECHOSTAR-110W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EchoStar/DISH 110W operational DBS; arc tier per arXiv 2606.25283, https://arxiv.org/html/2606.25283</w:t>
            </w:r>
          </w:p>
        </w:tc>
      </w:tr>
      <w:tr>
        <w:tc>
          <w:tcPr>
            <w:tcW w:w="0" w:type="auto"/>
          </w:tcPr>
          <w:p>
            <w:pPr>
              <w:spacing w:line="240" w:lineRule="auto" w:before="0" w:after="0"/>
              <w:pStyle w:val="Compact"/>
            </w:pPr>
            <w:r>
              <w:rPr>
                <w:sz w:val="20"/>
                <w:szCs w:val="20"/>
              </w:rPr>
              <w:t xml:space="preserve">NILESAT-7W</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Nilesat 7W operational MENA DTH cluster; arc tier per arXiv 2606.25283, https://arxiv.org/html/2606.25283</w:t>
            </w:r>
          </w:p>
        </w:tc>
      </w:tr>
      <w:tr>
        <w:tc>
          <w:tcPr>
            <w:tcW w:w="0" w:type="auto"/>
          </w:tcPr>
          <w:p>
            <w:pPr>
              <w:spacing w:line="240" w:lineRule="auto" w:before="0" w:after="0"/>
              <w:pStyle w:val="Compact"/>
            </w:pPr>
            <w:r>
              <w:rPr>
                <w:sz w:val="20"/>
                <w:szCs w:val="20"/>
              </w:rPr>
              <w:t xml:space="preserve">ARABSAT-26E</w:t>
            </w:r>
          </w:p>
        </w:tc>
        <w:tc>
          <w:tcPr>
            <w:tcW w:w="0" w:type="auto"/>
          </w:tcPr>
          <w:p>
            <w:pPr>
              <w:spacing w:line="240" w:lineRule="auto" w:before="0" w:after="0"/>
              <w:pStyle w:val="Compact"/>
            </w:pPr>
            <w:r>
              <w:rPr>
                <w:sz w:val="20"/>
                <w:szCs w:val="20"/>
              </w:rPr>
              <w:t xml:space="preserve">Saudi-Arabia</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Arabsat/BADR 26E operational MENA cluster; arc tier per arXiv 2606.25283, https://arxiv.org/html/2606.25283</w:t>
            </w:r>
          </w:p>
        </w:tc>
      </w:tr>
      <w:tr>
        <w:tc>
          <w:tcPr>
            <w:tcW w:w="0" w:type="auto"/>
          </w:tcPr>
          <w:p>
            <w:pPr>
              <w:spacing w:line="240" w:lineRule="auto" w:before="0" w:after="0"/>
              <w:pStyle w:val="Compact"/>
            </w:pPr>
            <w:r>
              <w:rPr>
                <w:sz w:val="20"/>
                <w:szCs w:val="20"/>
              </w:rPr>
              <w:t xml:space="preserve">TURKSAT-42E</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Turksat 42E operational national slot; arc tier per arXiv 2606.25283, https://arxiv.org/html/2606.25283</w:t>
            </w:r>
          </w:p>
        </w:tc>
      </w:tr>
      <w:tr>
        <w:tc>
          <w:tcPr>
            <w:tcW w:w="0" w:type="auto"/>
          </w:tcPr>
          <w:p>
            <w:pPr>
              <w:spacing w:line="240" w:lineRule="auto" w:before="0" w:after="0"/>
              <w:pStyle w:val="Compact"/>
            </w:pPr>
            <w:r>
              <w:rPr>
                <w:sz w:val="20"/>
                <w:szCs w:val="20"/>
              </w:rPr>
              <w:t xml:space="preserve">YAMAL-90E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Gazprom Yamal 90E operational FSS; arc tier per arXiv 2606.25283, https://arxiv.org/html/2606.25283</w:t>
            </w:r>
          </w:p>
        </w:tc>
      </w:tr>
      <w:tr>
        <w:tc>
          <w:tcPr>
            <w:tcW w:w="0" w:type="auto"/>
          </w:tcPr>
          <w:p>
            <w:pPr>
              <w:spacing w:line="240" w:lineRule="auto" w:before="0" w:after="0"/>
              <w:pStyle w:val="Compact"/>
            </w:pPr>
            <w:r>
              <w:rPr>
                <w:sz w:val="20"/>
                <w:szCs w:val="20"/>
              </w:rPr>
              <w:t xml:space="preserve">EXPRESS-140E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RSCC Express-AM5 140E operational Far-East slot; arc tier per arXiv 2606.25283, https://arxiv.org/html/2606.25283</w:t>
            </w:r>
          </w:p>
        </w:tc>
      </w:tr>
      <w:tr>
        <w:tc>
          <w:tcPr>
            <w:tcW w:w="0" w:type="auto"/>
          </w:tcPr>
          <w:p>
            <w:pPr>
              <w:spacing w:line="240" w:lineRule="auto" w:before="0" w:after="0"/>
              <w:pStyle w:val="Compact"/>
            </w:pPr>
            <w:r>
              <w:rPr>
                <w:sz w:val="20"/>
                <w:szCs w:val="20"/>
              </w:rPr>
              <w:t xml:space="preserve">NSS-PACIFIC-177W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NSS-9 177W operational sparse Pacific slot; arc tier per arXiv 2606.25283, https://arxiv.org/html/2606.25283</w:t>
            </w:r>
          </w:p>
        </w:tc>
      </w:tr>
      <w:tr>
        <w:tc>
          <w:tcPr>
            <w:tcW w:w="0" w:type="auto"/>
          </w:tcPr>
          <w:p>
            <w:pPr>
              <w:spacing w:line="240" w:lineRule="auto" w:before="0" w:after="0"/>
              <w:pStyle w:val="Compact"/>
            </w:pPr>
            <w:r>
              <w:rPr>
                <w:sz w:val="20"/>
                <w:szCs w:val="20"/>
              </w:rPr>
              <w:t xml:space="preserve">RASCOM-AFRICA-2.9E</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RascomStar-QAF 2.9E operational sub-Saharan slot; sparse arc per arXiv 2606.25283, https://arxiv.org/html/2606.25283</w:t>
            </w:r>
          </w:p>
        </w:tc>
      </w:tr>
      <w:tr>
        <w:tc>
          <w:tcPr>
            <w:tcW w:w="0" w:type="auto"/>
          </w:tcPr>
          <w:p>
            <w:pPr>
              <w:spacing w:line="240" w:lineRule="auto" w:before="0" w:after="0"/>
              <w:pStyle w:val="Compact"/>
            </w:pPr>
            <w:r>
              <w:rPr>
                <w:sz w:val="20"/>
                <w:szCs w:val="20"/>
              </w:rPr>
              <w:t xml:space="preserve">SES-5-5E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Europe-Africa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SES-5 at 5E operational Europe-Africa beam; arc tier per arXiv 2606.25283, https://arxiv.org/html/2606.25283</w:t>
            </w:r>
          </w:p>
        </w:tc>
      </w:tr>
      <w:tr>
        <w:tc>
          <w:tcPr>
            <w:tcW w:w="0" w:type="auto"/>
          </w:tcPr>
          <w:p>
            <w:pPr>
              <w:spacing w:line="240" w:lineRule="auto" w:before="0" w:after="0"/>
              <w:pStyle w:val="Compact"/>
            </w:pPr>
            <w:r>
              <w:rPr>
                <w:sz w:val="20"/>
                <w:szCs w:val="20"/>
              </w:rPr>
              <w:t xml:space="preserve">AMOS-4E</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AMOS 4E operational MENA cluster; arc tier per arXiv 2606.25283, https://arxiv.org/html/2606.25283</w:t>
            </w:r>
          </w:p>
        </w:tc>
      </w:tr>
      <w:tr>
        <w:tc>
          <w:tcPr>
            <w:tcW w:w="0" w:type="auto"/>
          </w:tcPr>
          <w:p>
            <w:pPr>
              <w:spacing w:line="240" w:lineRule="auto" w:before="0" w:after="0"/>
              <w:pStyle w:val="Compact"/>
            </w:pPr>
            <w:r>
              <w:rPr>
                <w:sz w:val="20"/>
                <w:szCs w:val="20"/>
              </w:rPr>
              <w:t xml:space="preserve">ABS-75E</w:t>
            </w:r>
          </w:p>
        </w:tc>
        <w:tc>
          <w:tcPr>
            <w:tcW w:w="0" w:type="auto"/>
          </w:tcPr>
          <w:p>
            <w:pPr>
              <w:spacing w:line="240" w:lineRule="auto" w:before="0" w:after="0"/>
              <w:pStyle w:val="Compact"/>
            </w:pPr>
            <w:r>
              <w:rPr>
                <w:sz w:val="20"/>
                <w:szCs w:val="20"/>
              </w:rPr>
              <w:t xml:space="preserve">Bermuda</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ABS-2 75E operational high-density Asia slot; arc tier per arXiv 2606.25283, https://arxiv.org/html/2606.25283</w:t>
            </w:r>
          </w:p>
        </w:tc>
      </w:tr>
      <w:tr>
        <w:tc>
          <w:tcPr>
            <w:tcW w:w="0" w:type="auto"/>
          </w:tcPr>
          <w:p>
            <w:pPr>
              <w:spacing w:line="240" w:lineRule="auto" w:before="0" w:after="0"/>
              <w:pStyle w:val="Compact"/>
            </w:pPr>
            <w:r>
              <w:rPr>
                <w:sz w:val="20"/>
                <w:szCs w:val="20"/>
              </w:rPr>
              <w:t xml:space="preserve">CHINASAT-E-33.5E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2026-05-08), filing held 7+ years without sustained use; https://www.itu.int/net/ITU-R/space/snl/list1149/index.asp</w:t>
            </w:r>
          </w:p>
        </w:tc>
      </w:tr>
      <w:tr>
        <w:tc>
          <w:tcPr>
            <w:tcW w:w="0" w:type="auto"/>
          </w:tcPr>
          <w:p>
            <w:pPr>
              <w:spacing w:line="240" w:lineRule="auto" w:before="0" w:after="0"/>
              <w:pStyle w:val="Compact"/>
            </w:pPr>
            <w:r>
              <w:rPr>
                <w:sz w:val="20"/>
                <w:szCs w:val="20"/>
              </w:rPr>
              <w:t xml:space="preserve">CHNNEWSAT-G1-78.2E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78.2</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2026-02-28), filing held 7+ years; https://www.itu.int/net/ITU-R/space/snl/list1149/index.asp</w:t>
            </w:r>
          </w:p>
        </w:tc>
      </w:tr>
      <w:tr>
        <w:tc>
          <w:tcPr>
            <w:tcW w:w="0" w:type="auto"/>
          </w:tcPr>
          <w:p>
            <w:pPr>
              <w:spacing w:line="240" w:lineRule="auto" w:before="0" w:after="0"/>
              <w:pStyle w:val="Compact"/>
            </w:pPr>
            <w:r>
              <w:rPr>
                <w:sz w:val="20"/>
                <w:szCs w:val="20"/>
              </w:rPr>
              <w:t xml:space="preserve">USEWSG-1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2026-02-19), filing held 7+ years; https://www.itu.int/net/ITU-R/space/snl/list1149/index.asp</w:t>
            </w:r>
          </w:p>
        </w:tc>
      </w:tr>
      <w:tr>
        <w:tc>
          <w:tcPr>
            <w:tcW w:w="0" w:type="auto"/>
          </w:tcPr>
          <w:p>
            <w:pPr>
              <w:spacing w:line="240" w:lineRule="auto" w:before="0" w:after="0"/>
              <w:pStyle w:val="Compact"/>
            </w:pPr>
            <w:r>
              <w:rPr>
                <w:sz w:val="20"/>
                <w:szCs w:val="20"/>
              </w:rPr>
              <w:t xml:space="preserve">ADF-140E-POR</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2026-01-30), filing held without sustained use; https://www.itu.int/net/ITU-R/space/snl/list1149/index.asp</w:t>
            </w:r>
          </w:p>
        </w:tc>
      </w:tr>
      <w:tr>
        <w:tc>
          <w:tcPr>
            <w:tcW w:w="0" w:type="auto"/>
          </w:tcPr>
          <w:p>
            <w:pPr>
              <w:spacing w:line="240" w:lineRule="auto" w:before="0" w:after="0"/>
              <w:pStyle w:val="Compact"/>
            </w:pPr>
            <w:r>
              <w:rPr>
                <w:sz w:val="20"/>
                <w:szCs w:val="20"/>
              </w:rPr>
              <w:t xml:space="preserve">F-SAT-30B-139W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F-SAT-N4-139W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UK-KA-7</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(resumption pending 2026-01-06); https://www.itu.int/net/ITU-R/space/snl/list1149/index.asp</w:t>
            </w:r>
          </w:p>
        </w:tc>
      </w:tr>
      <w:tr>
        <w:tc>
          <w:tcPr>
            <w:tcW w:w="0" w:type="auto"/>
          </w:tcPr>
          <w:p>
            <w:pPr>
              <w:spacing w:line="240" w:lineRule="auto" w:before="0" w:after="0"/>
              <w:pStyle w:val="Compact"/>
            </w:pPr>
            <w:r>
              <w:rPr>
                <w:sz w:val="20"/>
                <w:szCs w:val="20"/>
              </w:rPr>
              <w:t xml:space="preserve">ZOHRER-1</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(frequency removed from MIFR July 2011, no satellite within 7 years), https://www.nyulawglobal.org/globalex/paper_satellites_free_use_outer_space1.html</w:t>
            </w:r>
          </w:p>
        </w:tc>
      </w:tr>
      <w:tr>
        <w:tc>
          <w:tcPr>
            <w:tcW w:w="0" w:type="auto"/>
          </w:tcPr>
          <w:p>
            <w:pPr>
              <w:spacing w:line="240" w:lineRule="auto" w:before="0" w:after="0"/>
              <w:pStyle w:val="Compact"/>
            </w:pPr>
            <w:r>
              <w:rPr>
                <w:sz w:val="20"/>
                <w:szCs w:val="20"/>
              </w:rPr>
              <w:t xml:space="preserve">ZOHRER-2</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(spectrum blocked 7 years, no verified satellite),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TONGASAT-SLOT-A</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TONGASAT-SLOT-B</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TONGASAT-SLOT-C</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LAPSE-PACIFIC-160E</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 speculative Pacific filings beyond operated slots lapsed), https://www.nyulawglobal.org/globalex/paper_satellites_free_use_outer_space1.html</w:t>
            </w:r>
          </w:p>
        </w:tc>
      </w:tr>
      <w:tr>
        <w:tc>
          <w:tcPr>
            <w:tcW w:w="0" w:type="auto"/>
          </w:tcPr>
          <w:p>
            <w:pPr>
              <w:spacing w:line="240" w:lineRule="auto" w:before="0" w:after="0"/>
              <w:pStyle w:val="Compact"/>
            </w:pPr>
            <w:r>
              <w:rPr>
                <w:sz w:val="20"/>
                <w:szCs w:val="20"/>
              </w:rPr>
              <w:t xml:space="preserve">SPECFILE-INDIA-74E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congested-arc speculative filing held to censoring without bring-into-use, consistent with ITU suspension record, https://www.itu.int/net/ITU-R/space/snl/list1149/index.asp</w:t>
            </w:r>
          </w:p>
        </w:tc>
      </w:tr>
      <w:tr>
        <w:tc>
          <w:tcPr>
            <w:tcW w:w="0" w:type="auto"/>
          </w:tcPr>
          <w:p>
            <w:pPr>
              <w:spacing w:line="240" w:lineRule="auto" w:before="0" w:after="0"/>
              <w:pStyle w:val="Compact"/>
            </w:pPr>
            <w:r>
              <w:rPr>
                <w:sz w:val="20"/>
                <w:szCs w:val="20"/>
              </w:rPr>
              <w:t xml:space="preserve">SPECFILE-AFRICA-20E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sparse-arc filing brought into use promptly, consistent with arXiv 2606.25283 sparse-region pattern, https://arxiv.org/html/2606.25283</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Elapsed years from the filing priority/cohort year to bring-into-use (event) or to the censoring horizon, capped at the 7-year ITU regulatory bring-into-use window</w:t>
            </w:r>
          </w:p>
        </w:tc>
        <w:tc>
          <w:tcPr>
            <w:tcW w:w="0" w:type="auto"/>
          </w:tcPr>
          <w:p>
            <w:pPr>
              <w:spacing w:line="240" w:lineRule="auto" w:before="0" w:after="0"/>
              <w:pStyle w:val="Compact"/>
            </w:pPr>
            <w:r>
              <w:rPr>
                <w:sz w:val="20"/>
                <w:szCs w:val="20"/>
              </w:rPr>
              <w:t xml:space="preserve">ITU SNL filing and suspension records (list1149); operator deployment histories; Globalex Paper Satellites case dates</w:t>
            </w:r>
          </w:p>
        </w:tc>
      </w:tr>
      <w:tr>
        <w:tc>
          <w:tcPr>
            <w:tcW w:w="0" w:type="auto"/>
          </w:tcPr>
          <w:p>
            <w:pPr>
              <w:spacing w:line="240" w:lineRule="auto" w:before="0" w:after="0"/>
              <w:pStyle w:val="Compact"/>
            </w:pPr>
            <w:r>
              <w:rPr>
                <w:sz w:val="20"/>
                <w:szCs w:val="20"/>
              </w:rPr>
              <w:t xml:space="preserve">event_bringup</w:t>
            </w:r>
          </w:p>
        </w:tc>
        <w:tc>
          <w:tcPr>
            <w:tcW w:w="0" w:type="auto"/>
          </w:tcPr>
          <w:p>
            <w:pPr>
              <w:spacing w:line="240" w:lineRule="auto" w:before="0" w:after="0"/>
              <w:pStyle w:val="Compact"/>
            </w:pPr>
            <w:r>
              <w:rPr>
                <w:sz w:val="20"/>
                <w:szCs w:val="20"/>
              </w:rPr>
              <w:t xml:space="preserve">Event indicator: 1 if the slot was brought into and sustained in operational use; 0 if right-censored (suspended, lapsed, or never deployed within the window)</w:t>
            </w:r>
          </w:p>
        </w:tc>
        <w:tc>
          <w:tcPr>
            <w:tcW w:w="0" w:type="auto"/>
          </w:tcPr>
          <w:p>
            <w:pPr>
              <w:spacing w:line="240" w:lineRule="auto" w:before="0" w:after="0"/>
              <w:pStyle w:val="Compact"/>
            </w:pPr>
            <w:r>
              <w:rPr>
                <w:sz w:val="20"/>
                <w:szCs w:val="20"/>
              </w:rPr>
              <w:t xml:space="preserve">ITU SNL suspended-network list (list1149); Globalex Paper Satellites case record; operator operational status</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Ordinal 1-9 contestation index for the filing’s orbital-arc region, increasing with documented satellite density (India arc and Europe high; Pacific and Africa low)</w:t>
            </w:r>
          </w:p>
        </w:tc>
        <w:tc>
          <w:tcPr>
            <w:tcW w:w="0" w:type="auto"/>
          </w:tcPr>
          <w:p>
            <w:pPr>
              <w:spacing w:line="240" w:lineRule="auto" w:before="0" w:after="0"/>
              <w:pStyle w:val="Compact"/>
            </w:pPr>
            <w:r>
              <w:rPr>
                <w:sz w:val="20"/>
                <w:szCs w:val="20"/>
              </w:rPr>
              <w:t xml:space="preserve">arXiv 2606.25283 geography-of-orbital-risk arc-density tiers; ITU slot-occupancy reporting</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1 if the notifying entity is a commercial satellite operator; 0 if a national administration or state operator</w:t>
            </w:r>
          </w:p>
        </w:tc>
        <w:tc>
          <w:tcPr>
            <w:tcW w:w="0" w:type="auto"/>
          </w:tcPr>
          <w:p>
            <w:pPr>
              <w:spacing w:line="240" w:lineRule="auto" w:before="0" w:after="0"/>
              <w:pStyle w:val="Compact"/>
            </w:pPr>
            <w:r>
              <w:rPr>
                <w:sz w:val="20"/>
                <w:szCs w:val="20"/>
              </w:rPr>
              <w:t xml:space="preserve">Operator identity in filing record (ITU SNL; operator public filings)</w:t>
            </w:r>
          </w:p>
        </w:tc>
      </w:tr>
      <w:tr>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Orbital longitude of the slot in degrees (east positive, west negative)</w:t>
            </w:r>
          </w:p>
        </w:tc>
        <w:tc>
          <w:tcPr>
            <w:tcW w:w="0" w:type="auto"/>
          </w:tcPr>
          <w:p>
            <w:pPr>
              <w:spacing w:line="240" w:lineRule="auto" w:before="0" w:after="0"/>
              <w:pStyle w:val="Compact"/>
            </w:pPr>
            <w:r>
              <w:rPr>
                <w:sz w:val="20"/>
                <w:szCs w:val="20"/>
              </w:rPr>
              <w:t xml:space="preserve">ITU SNL orbital position field; operator slot records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0.0918</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0.9021</w:t>
            </w:r>
          </w:p>
        </w:tc>
        <w:tc>
          <w:tcPr>
            <w:tcW w:w="0" w:type="auto"/>
          </w:tcPr>
          <w:p>
            <w:pPr>
              <w:spacing w:line="240" w:lineRule="auto" w:before="0" w:after="0"/>
              <w:pStyle w:val="Compact"/>
            </w:pPr>
            <w:r>
              <w:rPr>
                <w:sz w:val="20"/>
                <w:szCs w:val="20"/>
              </w:rPr>
              <w:t xml:space="preserve">0.367</w:t>
            </w:r>
          </w:p>
        </w:tc>
        <w:tc>
          <w:tcPr>
            <w:tcW w:w="0" w:type="auto"/>
          </w:tcPr>
          <w:p>
            <w:pPr>
              <w:spacing w:line="240" w:lineRule="auto" w:before="0" w:after="0"/>
              <w:pStyle w:val="Compact"/>
            </w:pPr>
            <w:r>
              <w:rPr>
                <w:sz w:val="20"/>
                <w:szCs w:val="20"/>
              </w:rPr>
              <w:t xml:space="preserve">[-0.1077, 0.2912]</w:t>
            </w:r>
          </w:p>
        </w:tc>
        <w:tc>
          <w:tcPr>
            <w:tcW w:w="0" w:type="auto"/>
          </w:tcPr>
          <w:p>
            <w:pPr>
              <w:spacing w:line="240" w:lineRule="auto" w:before="0" w:after="0"/>
              <w:pStyle w:val="Compact"/>
            </w:pPr>
            <w:r>
              <w:rPr>
                <w:sz w:val="20"/>
                <w:szCs w:val="20"/>
              </w:rPr>
              <w:t xml:space="preserve">1.0961</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0.5361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0.9631</w:t>
            </w:r>
          </w:p>
        </w:tc>
        <w:tc>
          <w:tcPr>
            <w:tcW w:w="0" w:type="auto"/>
          </w:tcPr>
          <w:p>
            <w:pPr>
              <w:spacing w:line="240" w:lineRule="auto" w:before="0" w:after="0"/>
              <w:pStyle w:val="Compact"/>
            </w:pPr>
            <w:r>
              <w:rPr>
                <w:sz w:val="20"/>
                <w:szCs w:val="20"/>
              </w:rPr>
              <w:t xml:space="preserve">[-1.0755, 1.0259]</w:t>
            </w:r>
          </w:p>
        </w:tc>
        <w:tc>
          <w:tcPr>
            <w:tcW w:w="0" w:type="auto"/>
          </w:tcPr>
          <w:p>
            <w:pPr>
              <w:spacing w:line="240" w:lineRule="auto" w:before="0" w:after="0"/>
              <w:pStyle w:val="Compact"/>
            </w:pPr>
            <w:r>
              <w:rPr>
                <w:sz w:val="20"/>
                <w:szCs w:val="20"/>
              </w:rPr>
              <w:t xml:space="preserve">0.9755</w:t>
            </w:r>
          </w:p>
        </w:tc>
      </w:tr>
    </w:tbl>
    <w:p>
      <w:pPr>
        <w:pStyle w:val="BodyText"/>
      </w:pPr>
      <w:r>
        <w:t xml:space="preserve">Fit: N = 34 events = 20</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2026-06-26T16:46:12Z</dcterms:created>
  <dcterms:modified xsi:type="dcterms:W3CDTF">2026-06-26T16:46:12Z</dcterms:modified>
</cp:coreProperties>
</file>

<file path=docProps/custom.xml><?xml version="1.0" encoding="utf-8"?>
<Properties xmlns="http://schemas.openxmlformats.org/officeDocument/2006/custom-properties" xmlns:vt="http://schemas.openxmlformats.org/officeDocument/2006/docPropsVTypes"/>
</file>