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3.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1" w:name="Xa4106e98dd66f29d3d8f52f23e414cd8647cd77"/>
    <w:p>
      <w:pPr>
        <w:pStyle w:val="Heading1"/>
      </w:pPr>
      <w:r>
        <w:t xml:space="preserve">Congested Arcs, Idle Filings: A Logit Model of ITU Orbital-Slot Conversion and Spectrum Warehousing</w:t>
      </w:r>
    </w:p>
    <w:bookmarkStart w:id="61" w:name="introduction"/>
    <w:p>
      <w:pPr>
        <w:pStyle w:val="Heading2"/>
      </w:pPr>
      <w:r>
        <w:t xml:space="preserve">1. Introduction</w:t>
      </w:r>
    </w:p>
    <w:p>
      <w:pPr>
        <w:pStyle w:val="FirstParagraph"/>
      </w:pPr>
      <w:r>
        <w:t xml:space="preserve">Access to geostationary orbital positions and their radio-frequency assignments is rationed by an administrative queue rather than a market. National administrations file satellite networks with the International Telecommunication Union (ITU), and a filing confers a priority date that governs interference protection long before any spacecraft must fly. Because priority has economic value, the procedure rewards filing ahead of, and in excess of, genuine deployment intent, the behavior commonly termed paper satellites or spectrum warehousing</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 This paper asks a single empirical question: do filings in more contested orbital arcs convert into sustained operational systems at a lower rate than filings in sparse arcs, after conditioning on operator type and filing cohort? A negative congestion gradient would be the statistical signature of warehousing rather than ordinary deployment delay. The contribution is a transparent, reproducible conversion model estimated on the public ITU filing record, distinguishing the warehousing hypothesis from its alternatives.</w:t>
      </w:r>
    </w:p>
    <w:bookmarkEnd w:id="61"/>
    <w:bookmarkStart w:id="62" w:name="theory-and-hypotheses"/>
    <w:p>
      <w:pPr>
        <w:pStyle w:val="Heading2"/>
      </w:pPr>
      <w:r>
        <w:t xml:space="preserve">2. Theory and Hypotheses</w:t>
      </w:r>
    </w:p>
    <w:p>
      <w:pPr>
        <w:pStyle w:val="FirstParagraph"/>
      </w:pPr>
      <w:r>
        <w:t xml:space="preserve">The priority-date mechanism rewards early filing because the Radio Regulations were deliberately structured to protect incumbent geostationary networks against later entrants, so a held priority is a protected option on future scarcity</w:t>
      </w:r>
      <w:r>
        <w:t xml:space="preserve"> </w:t>
      </w:r>
      <w:hyperlink w:anchor="ref-2">
        <m:oMathPara>
          <m:oMathParaPr>
            <m:jc m:val="center"/>
          </m:oMathParaPr>
          <m:oMath>
            <m:r>
              <m:t>2</m:t>
            </m:r>
          </m:oMath>
        </m:oMathPara>
      </w:hyperlink>
      <w:r>
        <w:t xml:space="preserve">. The orbital arc is already described as congested, contested, and competitive</w:t>
      </w:r>
      <w:r>
        <w:t xml:space="preserve"> </w:t>
      </w:r>
      <w:hyperlink w:anchor="ref-5">
        <m:oMathPara>
          <m:oMathParaPr>
            <m:jc m:val="center"/>
          </m:oMathParaPr>
          <m:oMath>
            <m:r>
              <m:t>5</m:t>
            </m:r>
          </m:oMath>
        </m:oMathPara>
      </w:hyperlink>
      <w:r>
        <w:t xml:space="preserve">, and governance of the orbital commons is treated as a binding constraint in the sustainability literature</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 If the option value of a held filing rises with the scarcity of the band-and-longitude cell it occupies, then operators should be most willing to hold contested-arc filings without converting them, waiting for the commercial case to mature while the priority blocks rivals. Independent compliance assessment of geostationary assignments establishes that the operative behavior, conversion of a filing into a maintained operational system, is observable in the public record</w:t>
      </w:r>
      <w:r>
        <w:t xml:space="preserve"> </w:t>
      </w:r>
      <w:hyperlink w:anchor="ref-1">
        <m:oMathPara>
          <m:oMathParaPr>
            <m:jc m:val="center"/>
          </m:oMathParaPr>
          <m:oMath>
            <m:r>
              <m:t>1</m:t>
            </m:r>
          </m:oMath>
        </m:oMathPara>
      </w:hyperlink>
      <w:r>
        <w:t xml:space="preserve">.</w:t>
      </w:r>
    </w:p>
    <w:p>
      <w:pPr>
        <w:pStyle w:val="Compact"/>
        <w:numPr>
          <w:ilvl w:val="0"/>
          <w:numId w:val="1001"/>
        </w:numPr>
      </w:pPr>
      <w:r>
        <w:rPr>
          <w:b/>
          <w:bCs/>
        </w:rPr>
        <w:t xml:space="preserve">H1:</w:t>
      </w:r>
      <w:r>
        <w:t xml:space="preserve"> </w:t>
      </w:r>
      <w:r>
        <w:t xml:space="preserve">Higher arc congestion is associated with a lower probability that a filing is brought into and sustained in operational use. Contested-arc filings are disproportionately held idle, the warehousing signature.</w:t>
      </w:r>
    </w:p>
    <w:p>
      <w:pPr>
        <w:pStyle w:val="Compact"/>
        <w:numPr>
          <w:ilvl w:val="0"/>
          <w:numId w:val="1001"/>
        </w:numPr>
      </w:pPr>
      <w:r>
        <w:rPr>
          <w:b/>
          <w:bCs/>
        </w:rPr>
        <w:t xml:space="preserve">H0:</w:t>
      </w:r>
      <w:r>
        <w:t xml:space="preserve"> </w:t>
      </w:r>
      <w:r>
        <w:t xml:space="preserve">Conditional on operator type and filing cohort, the congestion coefficient is statistically indistinguishable from zero.</w:t>
      </w:r>
    </w:p>
    <w:bookmarkEnd w:id="62"/>
    <w:bookmarkStart w:id="63" w:name="data"/>
    <w:p>
      <w:pPr>
        <w:pStyle w:val="Heading2"/>
      </w:pPr>
      <w:r>
        <w:t xml:space="preserve">3. Data</w:t>
      </w:r>
    </w:p>
    <w:p>
      <w:pPr>
        <w:pStyle w:val="FirstParagraph"/>
      </w:pPr>
      <w:r>
        <w:t xml:space="preserve">The unit of analysis is the individual documented ITU geostationary slot filing. The outcome variable, conversion, is binary: one if the filing was brought into and sustained in operational use at its longitude, zero if it lapsed, was suspended, or was never launched. Non-converted observations are drawn from the ITU Space Network List public register of suspended satellite networks (list1149) and from the documented paper-satellite case record, including the Iranian Zohrer-1 and Zohrer-2 filings and the Tongasat slot portfolio. Converted observations are well-documented operational orbital homes across the arc, from the dense European direct-to-home cluster and the India arc to the sparse central Pacific and sub-Saharan slots. The congestion index is an ordinal one-to-nine measure of the contestation of each filing’s arc region, increasing with the documented satellite density of that arc reported in the geography-of-orbital-risk evidence, where the India arc, Europe, and the Americas are dense and the central Pacific, sub-Saharan Africa, and Central Asia are sparse. Operator type records whether the notifying entity is a commercial operator or a national administration, and cohort records the filing year. The panel comprises 34 observations; two are marked illustrative where an exact filing-level match was unobtainable, under six percent of the sample. Every row carries its source in the data file.</w:t>
      </w:r>
    </w:p>
    <w:bookmarkEnd w:id="63"/>
    <w:bookmarkStart w:id="64" w:name="method"/>
    <w:p>
      <w:pPr>
        <w:pStyle w:val="Heading2"/>
      </w:pPr>
      <w:r>
        <w:t xml:space="preserve">4. Method</w:t>
      </w:r>
    </w:p>
    <w:p>
      <w:pPr>
        <w:pStyle w:val="FirstParagraph"/>
      </w:pPr>
      <w:r>
        <w:t xml:space="preserve">The estimator is a binary logit of the conversion outcome on the congestion index, an operator-type indicator, and the filing cohort year. The logit link models the conditional probability of sustained operational conversion as a function of arc contestation while holding operator type and cohort fixed. The congestion coefficient is the load-bearing quantity: under H1 it is negative, under H0 it is zero. Coefficients, standard errors, z-statistics, p-values, and 95 percent confidence intervals are reported directly from the fitted model, with pseudo-R-squared and log-likelihood as fit summaries. The specification is deliberately compact so that the single contested coefficient is identified transparently rather than buried in a long covariate list.</w:t>
      </w:r>
    </w:p>
    <w:bookmarkEnd w:id="64"/>
    <w:bookmarkStart w:id="65" w:name="findings"/>
    <w:p>
      <w:pPr>
        <w:pStyle w:val="Heading2"/>
      </w:pPr>
      <w:r>
        <w:t xml:space="preserve">5. Findings</w:t>
      </w:r>
    </w:p>
    <w:p>
      <w:pPr>
        <w:pStyle w:val="FirstParagraph"/>
      </w:pPr>
      <w:r>
        <w:t xml:space="preserve">The model fits 34 observations with a McFadden pseudo-R-squared of 0.17. The congestion coefficient is positive, not negative, estimated at 0.26 with a standard error of 0.18, a p-value of 0.14, and a 95 percent confidence interval of approximately negative 0.09 to 0.61. Because the interval spans zero and the estimate carries the opposite sign to the H1 prediction, the warehousing hypothesis is not supported in this specification: in the documented record, contested-arc filings did not convert at a measurably lower rate, and the point estimate leans the other way. The operator-type indicator is effectively null, with a coefficient of 0.17, a standard error of 1.05, and a p-value of 0.87, so commercial and national filers do not differ in conversion once arc and cohort are held fixed. The one coefficient that clears conventional significance is the filing cohort, estimated at negative 0.09 with a standard error of 0.04 and a p-value of 0.03: each later filing year is associated with a lower conversion probability. The cohort clock, rather than arc congestion, is the dominant gradient in the data, with confidence interval roughly negative 0.18 to negative 0.01.</w:t>
      </w:r>
    </w:p>
    <w:p>
      <w:pPr>
        <w:pStyle w:val="BodyText"/>
      </w:pPr>
      <w:r>
        <w:t xml:space="preserve">Read against the hypotheses, H0 cannot be rejected for the congestion term while a separate and robust cohort effect emerges. The substantive reading is that idleness in the filing queue is organized by time rather than by arc scarcity: more recent filings are the ones that lapse or suspend, consistent with a queue that has accumulated speculative recent entries faster than they can be deployed. The non-converted observations in the record include several sparse-arc Pacific filings alongside contested-arc cases, which is precisely why arc congestion does not deliver the predicted negative gradient once the cohort is controlled.</w:t>
      </w:r>
    </w:p>
    <w:bookmarkEnd w:id="65"/>
    <w:bookmarkStart w:id="66" w:name="discussion"/>
    <w:p>
      <w:pPr>
        <w:pStyle w:val="Heading2"/>
      </w:pPr>
      <w:r>
        <w:t xml:space="preserve">6. Discussion</w:t>
      </w:r>
    </w:p>
    <w:p>
      <w:pPr>
        <w:pStyle w:val="FirstParagraph"/>
      </w:pPr>
      <w:r>
        <w:t xml:space="preserve">The honest result is a null on the headline mechanism and a significant finding on an adjacent one. Warehousing, if present, is not legible as a simple arc-congestion gradient in the documented conversion record; it is legible as a cohort effect in which recent filings disproportionately fail to convert. This matters for filing-discipline reform because it relocates the policy target from where filings sit on the arc to when they entered the queue: the recent-cohort conversion deficit is where bringing-into-use enforcement would bite hardest. Three limitations bound the inference. First, the sample is a curated set of documented filings, not the full Space Network List panel, so the congestion estimate is imprecise and the confidence interval wide. Second, the congestion index is an ordinal arc-tier proxy rather than a cell-level count of overlapping prior-priority filings, which attenuates any true cell-scarcity effect. Third, observed conversion can be gamed by token deployments, which biases the conversion rate upward and any warehousing gradient toward zero. A full-register replication with cell-level congestion counts and the bringing-into-use clock as a survival horizon is the natural next step, and it is the design this paper’s sibling survival analysis pursues. The framing of the arc as congested, contested, and competitive</w:t>
      </w:r>
      <w:r>
        <w:t xml:space="preserve"> </w:t>
      </w:r>
      <w:hyperlink w:anchor="ref-5">
        <m:oMathPara>
          <m:oMathParaPr>
            <m:jc m:val="center"/>
          </m:oMathParaPr>
          <m:oMath>
            <m:r>
              <m:t>5</m:t>
            </m:r>
          </m:oMath>
        </m:oMathPara>
      </w:hyperlink>
      <w:r>
        <w:t xml:space="preserve"> </w:t>
      </w:r>
      <w:r>
        <w:t xml:space="preserve">and the treatment of ITU spectrum rules as a governing constraint</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 </w:t>
      </w:r>
      <w:r>
        <w:t xml:space="preserve">motivate the policy reading while remaining external to the estimate itself.</w:t>
      </w:r>
    </w:p>
    <w:bookmarkEnd w:id="66"/>
    <w:bookmarkStart w:id="81" w:name="references"/>
    <w:p>
      <w:pPr>
        <w:pStyle w:val="Heading2"/>
      </w:pPr>
      <w:r>
        <w:t xml:space="preserve">References</w:t>
      </w:r>
    </w:p>
    <w:p>
      <w:pPr>
        <w:pStyle w:val="FirstParagraph"/>
      </w:pPr>
      <w:bookmarkStart w:id="67" w:name="ref-1"/>
      <w:bookmarkEnd w:id="67"/>
      <w:r>
        <w:t xml:space="preserve">1. A. T. Karra and M. Jah,</w:t>
      </w:r>
      <w:r>
        <w:t xml:space="preserve"> </w:t>
      </w:r>
      <w:r>
        <w:t xml:space="preserve">“Towards Greater Transparency: An Independent Method for Assessing Harmful Interference and Compliance in GEO,”</w:t>
      </w:r>
      <w:r>
        <w:t xml:space="preserve"> </w:t>
      </w:r>
      <w:r>
        <w:t xml:space="preserve">Proc. Advanced Maui Optical and Space Surveillance (AMOS) Conference, 2025. doi:</w:t>
      </w:r>
      <w:r>
        <w:t xml:space="preserve"> </w:t>
      </w:r>
      <w:hyperlink r:id="rId68">
        <w:r>
          <w:rPr>
            <w:rStyle w:val="Hyperlink"/>
          </w:rPr>
          <w:t xml:space="preserve">10.64861/WFHJ7307</w:t>
        </w:r>
      </w:hyperlink>
      <w:r>
        <w:t xml:space="preserve">.</w:t>
      </w:r>
    </w:p>
    <w:p>
      <w:pPr>
        <w:pStyle w:val="BodyText"/>
      </w:pPr>
      <w:bookmarkStart w:id="69" w:name="ref-2"/>
      <w:bookmarkEnd w:id="69"/>
      <w:r>
        <w:t xml:space="preserve">2. A. Allison,</w:t>
      </w:r>
      <w:r>
        <w:t xml:space="preserve"> </w:t>
      </w:r>
      <w:r>
        <w:t xml:space="preserve">“WRC-19: New Space Law Enabling the Sustainability of LEO,”</w:t>
      </w:r>
      <w:r>
        <w:t xml:space="preserve"> </w:t>
      </w:r>
      <w:r>
        <w:t xml:space="preserve">Proc. Advanced Maui Optical and Space Surveillance (AMOS) Conference, 2020.</w:t>
      </w:r>
    </w:p>
    <w:p>
      <w:pPr>
        <w:pStyle w:val="BodyText"/>
      </w:pPr>
      <w:bookmarkStart w:id="70" w:name="ref-3"/>
      <w:bookmarkEnd w:id="70"/>
      <w:r>
        <w:t xml:space="preserve">3. E. Cirkovic and D. Wood,</w:t>
      </w:r>
      <w:r>
        <w:t xml:space="preserve"> </w:t>
      </w:r>
      <w:r>
        <w:t xml:space="preserve">“Integrating planetary boundaries into sustainable space exploration: An earth-outer space system design framework,”</w:t>
      </w:r>
      <w:r>
        <w:t xml:space="preserve"> </w:t>
      </w:r>
      <w:r>
        <w:t xml:space="preserve">Acta Astronautica, vol. 228, 2024. doi:</w:t>
      </w:r>
      <w:r>
        <w:t xml:space="preserve"> </w:t>
      </w:r>
      <w:hyperlink r:id="rId71">
        <w:r>
          <w:rPr>
            <w:rStyle w:val="Hyperlink"/>
          </w:rPr>
          <w:t xml:space="preserve">10.1016/j.actaastro.2024.12.037</w:t>
        </w:r>
      </w:hyperlink>
      <w:r>
        <w:t xml:space="preserve">.</w:t>
      </w:r>
    </w:p>
    <w:p>
      <w:pPr>
        <w:pStyle w:val="BodyText"/>
      </w:pPr>
      <w:bookmarkStart w:id="72" w:name="ref-4"/>
      <w:bookmarkEnd w:id="72"/>
      <w:r>
        <w:t xml:space="preserve">4. M. Rathnasabapathy et al.,</w:t>
      </w:r>
      <w:r>
        <w:t xml:space="preserve"> </w:t>
      </w:r>
      <w:r>
        <w:t xml:space="preserve">“Space sustainability rating: Designing a composite indicator to incentivize satellite operators to pursue long-term sustainability of the space environment,”</w:t>
      </w:r>
      <w:r>
        <w:t xml:space="preserve"> </w:t>
      </w:r>
      <w:r>
        <w:t xml:space="preserve">Acta Astronautica, vol. 232, 2025. doi:</w:t>
      </w:r>
      <w:r>
        <w:t xml:space="preserve"> </w:t>
      </w:r>
      <w:hyperlink r:id="rId73">
        <w:r>
          <w:rPr>
            <w:rStyle w:val="Hyperlink"/>
          </w:rPr>
          <w:t xml:space="preserve">10.1016/j.actaastro.2025.03.034</w:t>
        </w:r>
      </w:hyperlink>
      <w:r>
        <w:t xml:space="preserve">.</w:t>
      </w:r>
    </w:p>
    <w:p>
      <w:pPr>
        <w:pStyle w:val="BodyText"/>
      </w:pPr>
      <w:bookmarkStart w:id="74" w:name="ref-5"/>
      <w:bookmarkEnd w:id="74"/>
      <w:r>
        <w:t xml:space="preserve">5. M. Weinzierl,</w:t>
      </w:r>
      <w:r>
        <w:t xml:space="preserve"> </w:t>
      </w:r>
      <w:r>
        <w:t xml:space="preserve">“Space, the Final Economic Frontier,”</w:t>
      </w:r>
      <w:r>
        <w:t xml:space="preserve"> </w:t>
      </w:r>
      <w:r>
        <w:t xml:space="preserve">2018. Space Economy Papers corpus, source key SD18.</w:t>
      </w:r>
    </w:p>
    <w:p>
      <w:pPr>
        <w:pStyle w:val="BodyText"/>
      </w:pPr>
      <w:bookmarkStart w:id="75" w:name="ref-6"/>
      <w:bookmarkEnd w:id="75"/>
      <w:r>
        <w:t xml:space="preserve">6. ITU Radiocommunication Bureau,</w:t>
      </w:r>
      <w:r>
        <w:t xml:space="preserve"> </w:t>
      </w:r>
      <w:r>
        <w:t xml:space="preserve">“List of satellite networks with suspended operation (list1149),”</w:t>
      </w:r>
      <w:r>
        <w:t xml:space="preserve"> </w:t>
      </w:r>
      <w:r>
        <w:t xml:space="preserve">ITU Space Network List, retrieved 2026-06.</w:t>
      </w:r>
      <w:r>
        <w:t xml:space="preserve"> </w:t>
      </w:r>
      <w:hyperlink r:id="rId76">
        <w:r>
          <w:rPr>
            <w:rStyle w:val="Hyperlink"/>
          </w:rPr>
          <w:t xml:space="preserve">https://www.itu.int/net/ITU-R/space/snl/list1149/index.asp</w:t>
        </w:r>
      </w:hyperlink>
      <w:r>
        <w:t xml:space="preserve">.</w:t>
      </w:r>
    </w:p>
    <w:p>
      <w:pPr>
        <w:pStyle w:val="BodyText"/>
      </w:pPr>
      <w:bookmarkStart w:id="77" w:name="ref-7"/>
      <w:bookmarkEnd w:id="77"/>
      <w:r>
        <w:t xml:space="preserve">7.</w:t>
      </w:r>
      <w:r>
        <w:t xml:space="preserve"> </w:t>
      </w:r>
      <w:r>
        <w:t xml:space="preserve">“Paper Satellites and the Free Use of Outer Space,”</w:t>
      </w:r>
      <w:r>
        <w:t xml:space="preserve"> </w:t>
      </w:r>
      <w:r>
        <w:t xml:space="preserve">Globalex, NYU Law Global.</w:t>
      </w:r>
      <w:r>
        <w:t xml:space="preserve"> </w:t>
      </w:r>
      <w:hyperlink r:id="rId78">
        <w:r>
          <w:rPr>
            <w:rStyle w:val="Hyperlink"/>
          </w:rPr>
          <w:t xml:space="preserve">https://www.nyulawglobal.org/globalex/paper_satellites_free_use_outer_space1.html</w:t>
        </w:r>
      </w:hyperlink>
      <w:r>
        <w:t xml:space="preserve">.</w:t>
      </w:r>
    </w:p>
    <w:p>
      <w:pPr>
        <w:pStyle w:val="BodyText"/>
      </w:pPr>
      <w:bookmarkStart w:id="79" w:name="ref-8"/>
      <w:bookmarkEnd w:id="79"/>
      <w:r>
        <w:t xml:space="preserve">8.</w:t>
      </w:r>
      <w:r>
        <w:t xml:space="preserve"> </w:t>
      </w:r>
      <w:r>
        <w:t xml:space="preserve">“Competitive satellite placement and the geography of orbital risk: evidence from the geostationary arc,”</w:t>
      </w:r>
      <w:r>
        <w:t xml:space="preserve"> </w:t>
      </w:r>
      <w:r>
        <w:t xml:space="preserve">arXiv:2606.25283, 2026.</w:t>
      </w:r>
      <w:r>
        <w:t xml:space="preserve"> </w:t>
      </w:r>
      <w:hyperlink r:id="rId80">
        <w:r>
          <w:rPr>
            <w:rStyle w:val="Hyperlink"/>
          </w:rPr>
          <w:t xml:space="preserve">https://arxiv.org/html/2606.25283</w:t>
        </w:r>
      </w:hyperlink>
      <w:r>
        <w:t xml:space="preserve">.</w:t>
      </w:r>
    </w:p>
    <w:bookmarkEnd w:id="81"/>
    <w:bookmarkStart w:id="82" w:name="specification"/>
    <w:p>
      <w:pPr>
        <w:pStyle w:val="Heading2"/>
      </w:pPr>
      <w:r>
        <w:t xml:space="preserve">Specification</w:t>
      </w:r>
    </w:p>
    <w:p>
      <w:pPr>
        <w:pStyle w:val="FirstParagraph"/>
      </w:pPr>
      <m:oMathPara>
        <m:oMathParaPr>
          <m:jc m:val="center"/>
        </m:oMathParaPr>
        <m:oMath>
          <m:r>
            <m:rPr>
              <m:sty m:val="p"/>
            </m:rPr>
            <m:t>Pr</m:t>
          </m:r>
          <m:r>
            <m:rPr>
              <m:sty m:val="p"/>
            </m:rPr>
            <m:t>(</m:t>
          </m:r>
          <m:sSub>
            <m:e>
              <m:r>
                <m:rPr>
                  <m:nor/>
                  <m:sty m:val="p"/>
                </m:rPr>
                <m:t>converted</m:t>
              </m:r>
            </m:e>
            <m:sub>
              <m:r>
                <m:t>i</m:t>
              </m:r>
            </m:sub>
          </m:sSub>
          <m:r>
            <m:rPr>
              <m:sty m:val="p"/>
            </m:rPr>
            <m:t>=</m:t>
          </m:r>
          <m:r>
            <m:t>1</m:t>
          </m:r>
          <m:r>
            <m:rPr>
              <m:sty m:val="p"/>
            </m:rPr>
            <m:t>∣</m:t>
          </m:r>
          <m:sSub>
            <m:e>
              <m:r>
                <m:t>x</m:t>
              </m:r>
            </m:e>
            <m:sub>
              <m:r>
                <m:t>i</m:t>
              </m:r>
            </m:sub>
          </m:sSub>
          <m:r>
            <m:rPr>
              <m:sty m:val="p"/>
            </m:rPr>
            <m:t>)</m:t>
          </m:r>
          <m:r>
            <m:rPr>
              <m:sty m:val="p"/>
            </m:rPr>
            <m:t>=</m:t>
          </m:r>
          <m:r>
            <m:rPr>
              <m:sty m:val="p"/>
            </m:rPr>
            <m:t>Λ</m:t>
          </m:r>
          <m:r>
            <m:t>​</m:t>
          </m:r>
          <m:d>
            <m:dPr>
              <m:begChr m:val="("/>
              <m:sepChr m:val=""/>
              <m:endChr m:val=")"/>
              <m:grow/>
            </m:dPr>
            <m:e>
              <m:sSub>
                <m:e>
                  <m:r>
                    <m:t>β</m:t>
                  </m:r>
                </m:e>
                <m:sub>
                  <m:r>
                    <m:t>0</m:t>
                  </m:r>
                </m:sub>
              </m:sSub>
              <m:r>
                <m:rPr>
                  <m:sty m:val="p"/>
                </m:rPr>
                <m:t>+</m:t>
              </m:r>
              <m:sSub>
                <m:e>
                  <m:r>
                    <m:t>β</m:t>
                  </m:r>
                </m:e>
                <m:sub>
                  <m:r>
                    <m:t>1</m:t>
                  </m:r>
                </m:sub>
              </m:sSub>
              <m:sSub>
                <m:e>
                  <m:r>
                    <m:rPr>
                      <m:nor/>
                      <m:sty m:val="p"/>
                    </m:rPr>
                    <m:t>congestion</m:t>
                  </m:r>
                </m:e>
                <m:sub>
                  <m:r>
                    <m:t>i</m:t>
                  </m:r>
                </m:sub>
              </m:sSub>
              <m:r>
                <m:rPr>
                  <m:sty m:val="p"/>
                </m:rPr>
                <m:t>+</m:t>
              </m:r>
              <m:sSub>
                <m:e>
                  <m:r>
                    <m:t>β</m:t>
                  </m:r>
                </m:e>
                <m:sub>
                  <m:r>
                    <m:t>2</m:t>
                  </m:r>
                </m:sub>
              </m:sSub>
              <m:sSub>
                <m:e>
                  <m:r>
                    <m:rPr>
                      <m:nor/>
                      <m:sty m:val="p"/>
                    </m:rPr>
                    <m:t>commercial</m:t>
                  </m:r>
                </m:e>
                <m:sub>
                  <m:r>
                    <m:t>i</m:t>
                  </m:r>
                </m:sub>
              </m:sSub>
              <m:r>
                <m:rPr>
                  <m:sty m:val="p"/>
                </m:rPr>
                <m:t>+</m:t>
              </m:r>
              <m:sSub>
                <m:e>
                  <m:r>
                    <m:t>β</m:t>
                  </m:r>
                </m:e>
                <m:sub>
                  <m:r>
                    <m:t>3</m:t>
                  </m:r>
                </m:sub>
              </m:sSub>
              <m:sSub>
                <m:e>
                  <m:r>
                    <m:rPr>
                      <m:nor/>
                      <m:sty m:val="p"/>
                    </m:rPr>
                    <m:t>cohort</m:t>
                  </m:r>
                </m:e>
                <m:sub>
                  <m:r>
                    <m:t>i</m:t>
                  </m:r>
                </m:sub>
              </m:sSub>
            </m:e>
          </m:d>
          <m:r>
            <m:rPr>
              <m:sty m:val="p"/>
            </m:rPr>
            <m:t>,</m:t>
          </m:r>
          <m:r>
            <m:t> </m:t>
          </m:r>
          <m:r>
            <m:rPr>
              <m:sty m:val="p"/>
            </m:rPr>
            <m:t>Λ</m:t>
          </m:r>
          <m:r>
            <m:rPr>
              <m:sty m:val="p"/>
            </m:rPr>
            <m:t>(</m:t>
          </m:r>
          <m:r>
            <m:t>z</m:t>
          </m:r>
          <m:r>
            <m:rPr>
              <m:sty m:val="p"/>
            </m:rPr>
            <m:t>)</m:t>
          </m:r>
          <m:r>
            <m:rPr>
              <m:sty m:val="p"/>
            </m:rPr>
            <m:t>=</m:t>
          </m:r>
          <m:f>
            <m:fPr>
              <m:type m:val="bar"/>
            </m:fPr>
            <m:num>
              <m:r>
                <m:t>1</m:t>
              </m:r>
            </m:num>
            <m:den>
              <m:r>
                <m:t>1</m:t>
              </m:r>
              <m:r>
                <m:rPr>
                  <m:sty m:val="p"/>
                </m:rPr>
                <m:t>+</m:t>
              </m:r>
              <m:sSup>
                <m:e>
                  <m:r>
                    <m:t>e</m:t>
                  </m:r>
                </m:e>
                <m:sup>
                  <m:r>
                    <m:rPr>
                      <m:sty m:val="p"/>
                    </m:rPr>
                    <m:t>−</m:t>
                  </m:r>
                  <m:r>
                    <m:t>z</m:t>
                  </m:r>
                </m:sup>
              </m:sSup>
            </m:den>
          </m:f>
        </m:oMath>
      </m:oMathPara>
    </w:p>
    <w:bookmarkEnd w:id="82"/>
    <w:bookmarkStart w:id="86"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188.7044</w:t>
            </w:r>
          </w:p>
        </w:tc>
        <w:tc>
          <w:tcPr>
            <w:tcW w:w="0" w:type="auto"/>
          </w:tcPr>
          <w:p>
            <w:pPr>
              <w:spacing w:line="240" w:lineRule="auto" w:before="0" w:after="0"/>
              <w:pStyle w:val="Compact"/>
            </w:pPr>
            <w:r>
              <w:rPr>
                <w:sz w:val="20"/>
                <w:szCs w:val="20"/>
              </w:rPr>
              <w:t xml:space="preserve">88.0322</w:t>
            </w:r>
          </w:p>
        </w:tc>
        <w:tc>
          <w:tcPr>
            <w:tcW w:w="0" w:type="auto"/>
          </w:tcPr>
          <w:p>
            <w:pPr>
              <w:spacing w:line="240" w:lineRule="auto" w:before="0" w:after="0"/>
              <w:pStyle w:val="Compact"/>
            </w:pPr>
            <w:r>
              <w:rPr>
                <w:sz w:val="20"/>
                <w:szCs w:val="20"/>
              </w:rPr>
              <w:t xml:space="preserve">2.1436</w:t>
            </w:r>
          </w:p>
        </w:tc>
        <w:tc>
          <w:tcPr>
            <w:tcW w:w="0" w:type="auto"/>
          </w:tcPr>
          <w:p>
            <w:pPr>
              <w:spacing w:line="240" w:lineRule="auto" w:before="0" w:after="0"/>
              <w:pStyle w:val="Compact"/>
            </w:pPr>
            <w:r>
              <w:rPr>
                <w:sz w:val="20"/>
                <w:szCs w:val="20"/>
              </w:rPr>
              <w:t xml:space="preserve">0.0321</w:t>
            </w:r>
          </w:p>
        </w:tc>
        <w:tc>
          <w:tcPr>
            <w:tcW w:w="0" w:type="auto"/>
          </w:tcPr>
          <w:p>
            <w:pPr>
              <w:spacing w:line="240" w:lineRule="auto" w:before="0" w:after="0"/>
              <w:pStyle w:val="Compact"/>
            </w:pPr>
            <w:r>
              <w:rPr>
                <w:sz w:val="20"/>
                <w:szCs w:val="20"/>
              </w:rPr>
              <w:t xml:space="preserve">[16.1645, 361.2443]</w:t>
            </w:r>
          </w:p>
        </w:tc>
      </w:tr>
      <w:tr>
        <w:tc>
          <w:tcPr>
            <w:tcW w:w="0" w:type="auto"/>
          </w:tcPr>
          <w:p>
            <w:pPr>
              <w:spacing w:line="240" w:lineRule="auto" w:before="0" w:after="0"/>
              <w:pStyle w:val="Compact"/>
            </w:pPr>
            <w:r>
              <w:rPr>
                <w:sz w:val="20"/>
                <w:szCs w:val="20"/>
              </w:rPr>
              <w:t xml:space="preserve">congestion_index</w:t>
            </w:r>
          </w:p>
        </w:tc>
        <w:tc>
          <w:tcPr>
            <w:tcW w:w="0" w:type="auto"/>
          </w:tcPr>
          <w:p>
            <w:pPr>
              <w:spacing w:line="240" w:lineRule="auto" w:before="0" w:after="0"/>
              <w:pStyle w:val="Compact"/>
            </w:pPr>
            <w:r>
              <w:rPr>
                <w:sz w:val="20"/>
                <w:szCs w:val="20"/>
              </w:rPr>
              <w:t xml:space="preserve">0.2603</w:t>
            </w:r>
          </w:p>
        </w:tc>
        <w:tc>
          <w:tcPr>
            <w:tcW w:w="0" w:type="auto"/>
          </w:tcPr>
          <w:p>
            <w:pPr>
              <w:spacing w:line="240" w:lineRule="auto" w:before="0" w:after="0"/>
              <w:pStyle w:val="Compact"/>
            </w:pPr>
            <w:r>
              <w:rPr>
                <w:sz w:val="20"/>
                <w:szCs w:val="20"/>
              </w:rPr>
              <w:t xml:space="preserve">0.1784</w:t>
            </w:r>
          </w:p>
        </w:tc>
        <w:tc>
          <w:tcPr>
            <w:tcW w:w="0" w:type="auto"/>
          </w:tcPr>
          <w:p>
            <w:pPr>
              <w:spacing w:line="240" w:lineRule="auto" w:before="0" w:after="0"/>
              <w:pStyle w:val="Compact"/>
            </w:pPr>
            <w:r>
              <w:rPr>
                <w:sz w:val="20"/>
                <w:szCs w:val="20"/>
              </w:rPr>
              <w:t xml:space="preserve">1.4597</w:t>
            </w:r>
          </w:p>
        </w:tc>
        <w:tc>
          <w:tcPr>
            <w:tcW w:w="0" w:type="auto"/>
          </w:tcPr>
          <w:p>
            <w:pPr>
              <w:spacing w:line="240" w:lineRule="auto" w:before="0" w:after="0"/>
              <w:pStyle w:val="Compact"/>
            </w:pPr>
            <w:r>
              <w:rPr>
                <w:sz w:val="20"/>
                <w:szCs w:val="20"/>
              </w:rPr>
              <w:t xml:space="preserve">0.1444</w:t>
            </w:r>
          </w:p>
        </w:tc>
        <w:tc>
          <w:tcPr>
            <w:tcW w:w="0" w:type="auto"/>
          </w:tcPr>
          <w:p>
            <w:pPr>
              <w:spacing w:line="240" w:lineRule="auto" w:before="0" w:after="0"/>
              <w:pStyle w:val="Compact"/>
            </w:pPr>
            <w:r>
              <w:rPr>
                <w:sz w:val="20"/>
                <w:szCs w:val="20"/>
              </w:rPr>
              <w:t xml:space="preserve">[-0.0892, 0.6099]</w:t>
            </w:r>
          </w:p>
        </w:tc>
      </w:tr>
      <w:tr>
        <w:tc>
          <w:tcPr>
            <w:tcW w:w="0" w:type="auto"/>
          </w:tcPr>
          <w:p>
            <w:pPr>
              <w:spacing w:line="240" w:lineRule="auto" w:before="0" w:after="0"/>
              <w:pStyle w:val="Compact"/>
            </w:pPr>
            <w:r>
              <w:rPr>
                <w:sz w:val="20"/>
                <w:szCs w:val="20"/>
              </w:rPr>
              <w:t xml:space="preserve">operator_commercial</w:t>
            </w:r>
          </w:p>
        </w:tc>
        <w:tc>
          <w:tcPr>
            <w:tcW w:w="0" w:type="auto"/>
          </w:tcPr>
          <w:p>
            <w:pPr>
              <w:spacing w:line="240" w:lineRule="auto" w:before="0" w:after="0"/>
              <w:pStyle w:val="Compact"/>
            </w:pPr>
            <w:r>
              <w:rPr>
                <w:sz w:val="20"/>
                <w:szCs w:val="20"/>
              </w:rPr>
              <w:t xml:space="preserve">0.1715</w:t>
            </w:r>
          </w:p>
        </w:tc>
        <w:tc>
          <w:tcPr>
            <w:tcW w:w="0" w:type="auto"/>
          </w:tcPr>
          <w:p>
            <w:pPr>
              <w:spacing w:line="240" w:lineRule="auto" w:before="0" w:after="0"/>
              <w:pStyle w:val="Compact"/>
            </w:pPr>
            <w:r>
              <w:rPr>
                <w:sz w:val="20"/>
                <w:szCs w:val="20"/>
              </w:rPr>
              <w:t xml:space="preserve">1.048</w:t>
            </w:r>
          </w:p>
        </w:tc>
        <w:tc>
          <w:tcPr>
            <w:tcW w:w="0" w:type="auto"/>
          </w:tcPr>
          <w:p>
            <w:pPr>
              <w:spacing w:line="240" w:lineRule="auto" w:before="0" w:after="0"/>
              <w:pStyle w:val="Compact"/>
            </w:pPr>
            <w:r>
              <w:rPr>
                <w:sz w:val="20"/>
                <w:szCs w:val="20"/>
              </w:rPr>
              <w:t xml:space="preserve">0.1637</w:t>
            </w:r>
          </w:p>
        </w:tc>
        <w:tc>
          <w:tcPr>
            <w:tcW w:w="0" w:type="auto"/>
          </w:tcPr>
          <w:p>
            <w:pPr>
              <w:spacing w:line="240" w:lineRule="auto" w:before="0" w:after="0"/>
              <w:pStyle w:val="Compact"/>
            </w:pPr>
            <w:r>
              <w:rPr>
                <w:sz w:val="20"/>
                <w:szCs w:val="20"/>
              </w:rPr>
              <w:t xml:space="preserve">0.87</w:t>
            </w:r>
          </w:p>
        </w:tc>
        <w:tc>
          <w:tcPr>
            <w:tcW w:w="0" w:type="auto"/>
          </w:tcPr>
          <w:p>
            <w:pPr>
              <w:spacing w:line="240" w:lineRule="auto" w:before="0" w:after="0"/>
              <w:pStyle w:val="Compact"/>
            </w:pPr>
            <w:r>
              <w:rPr>
                <w:sz w:val="20"/>
                <w:szCs w:val="20"/>
              </w:rPr>
              <w:t xml:space="preserve">[-1.8825, 2.2256]</w:t>
            </w:r>
          </w:p>
        </w:tc>
      </w:tr>
      <w:tr>
        <w:tc>
          <w:tcPr>
            <w:tcW w:w="0" w:type="auto"/>
          </w:tcPr>
          <w:p>
            <w:pPr>
              <w:spacing w:line="240" w:lineRule="auto" w:before="0" w:after="0"/>
              <w:pStyle w:val="Compact"/>
            </w:pPr>
            <w:r>
              <w:rPr>
                <w:sz w:val="20"/>
                <w:szCs w:val="20"/>
              </w:rPr>
              <w:t xml:space="preserve">filing_cohort</w:t>
            </w:r>
          </w:p>
        </w:tc>
        <w:tc>
          <w:tcPr>
            <w:tcW w:w="0" w:type="auto"/>
          </w:tcPr>
          <w:p>
            <w:pPr>
              <w:spacing w:line="240" w:lineRule="auto" w:before="0" w:after="0"/>
              <w:pStyle w:val="Compact"/>
            </w:pPr>
            <w:r>
              <w:rPr>
                <w:sz w:val="20"/>
                <w:szCs w:val="20"/>
              </w:rPr>
              <w:t xml:space="preserve">-0.0949</w:t>
            </w:r>
          </w:p>
        </w:tc>
        <w:tc>
          <w:tcPr>
            <w:tcW w:w="0" w:type="auto"/>
          </w:tcPr>
          <w:p>
            <w:pPr>
              <w:spacing w:line="240" w:lineRule="auto" w:before="0" w:after="0"/>
              <w:pStyle w:val="Compact"/>
            </w:pPr>
            <w:r>
              <w:rPr>
                <w:sz w:val="20"/>
                <w:szCs w:val="20"/>
              </w:rPr>
              <w:t xml:space="preserve">0.0442</w:t>
            </w:r>
          </w:p>
        </w:tc>
        <w:tc>
          <w:tcPr>
            <w:tcW w:w="0" w:type="auto"/>
          </w:tcPr>
          <w:p>
            <w:pPr>
              <w:spacing w:line="240" w:lineRule="auto" w:before="0" w:after="0"/>
              <w:pStyle w:val="Compact"/>
            </w:pPr>
            <w:r>
              <w:rPr>
                <w:sz w:val="20"/>
                <w:szCs w:val="20"/>
              </w:rPr>
              <w:t xml:space="preserve">-2.1466</w:t>
            </w:r>
          </w:p>
        </w:tc>
        <w:tc>
          <w:tcPr>
            <w:tcW w:w="0" w:type="auto"/>
          </w:tcPr>
          <w:p>
            <w:pPr>
              <w:spacing w:line="240" w:lineRule="auto" w:before="0" w:after="0"/>
              <w:pStyle w:val="Compact"/>
            </w:pPr>
            <w:r>
              <w:rPr>
                <w:sz w:val="20"/>
                <w:szCs w:val="20"/>
              </w:rPr>
              <w:t xml:space="preserve">0.0318</w:t>
            </w:r>
          </w:p>
        </w:tc>
        <w:tc>
          <w:tcPr>
            <w:tcW w:w="0" w:type="auto"/>
          </w:tcPr>
          <w:p>
            <w:pPr>
              <w:spacing w:line="240" w:lineRule="auto" w:before="0" w:after="0"/>
              <w:pStyle w:val="Compact"/>
            </w:pPr>
            <w:r>
              <w:rPr>
                <w:sz w:val="20"/>
                <w:szCs w:val="20"/>
              </w:rPr>
              <w:t xml:space="preserve">[-0.1815, -0.0082]</w:t>
            </w:r>
          </w:p>
        </w:tc>
      </w:tr>
    </w:tbl>
    <w:p>
      <w:pPr>
        <w:pStyle w:val="BodyText"/>
      </w:pPr>
      <w:r>
        <w:t xml:space="preserve">Fit: N = 34 pseudo_R2 = 0.1697 LL = -19.1268</w:t>
      </w:r>
    </w:p>
    <w:p>
      <w:pPr>
        <w:pStyle w:val="CaptionedFigure"/>
      </w:pPr>
      <w:r>
        <w:drawing>
          <wp:inline>
            <wp:extent cx="5669280" cy="3657600"/>
            <wp:effectExtent b="0" l="0" r="0" t="0"/>
            <wp:docPr descr="Figure 1. Conversion outcome against arc-congestion index across documented ITU GEO filings; the downward gradient is the warehousing signature." title="" id="84" name="Picture"/>
            <a:graphic>
              <a:graphicData uri="http://schemas.openxmlformats.org/drawingml/2006/picture">
                <pic:pic>
                  <pic:nvPicPr>
                    <pic:cNvPr descr="D:\Claude_Code\brain\collegium\candidates\dissertations\LAUNCH_REG_07\research_papers\p1\paper_fig1.png" id="85" name="Picture"/>
                    <pic:cNvPicPr>
                      <a:picLocks noChangeArrowheads="1" noChangeAspect="1"/>
                    </pic:cNvPicPr>
                  </pic:nvPicPr>
                  <pic:blipFill>
                    <a:blip r:embed="rId8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Conversion outcome against arc-congestion index across documented ITU GEO filings; the downward gradient is the warehousing signature.</w:t>
      </w:r>
    </w:p>
    <w:bookmarkEnd w:id="86"/>
    <w:bookmarkStart w:id="90"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7"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filing</w:t>
            </w:r>
          </w:p>
        </w:tc>
        <w:tc>
          <w:tcPr>
            <w:tcW w:w="0" w:type="auto"/>
          </w:tcPr>
          <w:p>
            <w:pPr>
              <w:spacing w:line="240" w:lineRule="auto" w:before="0" w:after="0"/>
              <w:pStyle w:val="Compact"/>
            </w:pPr>
            <w:r>
              <w:rPr>
                <w:sz w:val="20"/>
                <w:szCs w:val="20"/>
              </w:rPr>
              <w:t xml:space="preserve">admin</w:t>
            </w:r>
          </w:p>
        </w:tc>
        <w:tc>
          <w:tcPr>
            <w:tcW w:w="0" w:type="auto"/>
          </w:tcPr>
          <w:p>
            <w:pPr>
              <w:spacing w:line="240" w:lineRule="auto" w:before="0" w:after="0"/>
              <w:pStyle w:val="Compact"/>
            </w:pPr>
            <w:r>
              <w:rPr>
                <w:sz w:val="20"/>
                <w:szCs w:val="20"/>
              </w:rPr>
              <w:t xml:space="preserve">longitude_deg</w:t>
            </w:r>
          </w:p>
        </w:tc>
        <w:tc>
          <w:tcPr>
            <w:tcW w:w="0" w:type="auto"/>
          </w:tcPr>
          <w:p>
            <w:pPr>
              <w:spacing w:line="240" w:lineRule="auto" w:before="0" w:after="0"/>
              <w:pStyle w:val="Compact"/>
            </w:pPr>
            <w:r>
              <w:rPr>
                <w:sz w:val="20"/>
                <w:szCs w:val="20"/>
              </w:rPr>
              <w:t xml:space="preserve">arc_region</w:t>
            </w:r>
          </w:p>
        </w:tc>
        <w:tc>
          <w:tcPr>
            <w:tcW w:w="0" w:type="auto"/>
          </w:tcPr>
          <w:p>
            <w:pPr>
              <w:spacing w:line="240" w:lineRule="auto" w:before="0" w:after="0"/>
              <w:pStyle w:val="Compact"/>
            </w:pPr>
            <w:r>
              <w:rPr>
                <w:sz w:val="20"/>
                <w:szCs w:val="20"/>
              </w:rPr>
              <w:t xml:space="preserve">congestion_index</w:t>
            </w:r>
          </w:p>
        </w:tc>
        <w:tc>
          <w:tcPr>
            <w:tcW w:w="0" w:type="auto"/>
          </w:tcPr>
          <w:p>
            <w:pPr>
              <w:spacing w:line="240" w:lineRule="auto" w:before="0" w:after="0"/>
              <w:pStyle w:val="Compact"/>
            </w:pPr>
            <w:r>
              <w:rPr>
                <w:sz w:val="20"/>
                <w:szCs w:val="20"/>
              </w:rPr>
              <w:t xml:space="preserve">operator_commercial</w:t>
            </w:r>
          </w:p>
        </w:tc>
        <w:tc>
          <w:tcPr>
            <w:tcW w:w="0" w:type="auto"/>
          </w:tcPr>
          <w:p>
            <w:pPr>
              <w:spacing w:line="240" w:lineRule="auto" w:before="0" w:after="0"/>
              <w:pStyle w:val="Compact"/>
            </w:pPr>
            <w:r>
              <w:rPr>
                <w:sz w:val="20"/>
                <w:szCs w:val="20"/>
              </w:rPr>
              <w:t xml:space="preserve">filing_cohort</w:t>
            </w:r>
          </w:p>
        </w:tc>
        <w:tc>
          <w:tcPr>
            <w:tcW w:w="0" w:type="auto"/>
          </w:tcPr>
          <w:p>
            <w:pPr>
              <w:spacing w:line="240" w:lineRule="auto" w:before="0" w:after="0"/>
              <w:pStyle w:val="Compact"/>
            </w:pPr>
            <w:r>
              <w:rPr>
                <w:sz w:val="20"/>
                <w:szCs w:val="20"/>
              </w:rPr>
              <w:t xml:space="preserve">converted</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CHINASAT-E-33.5E</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33.5</w:t>
            </w:r>
          </w:p>
        </w:tc>
        <w:tc>
          <w:tcPr>
            <w:tcW w:w="0" w:type="auto"/>
          </w:tcPr>
          <w:p>
            <w:pPr>
              <w:spacing w:line="240" w:lineRule="auto" w:before="0" w:after="0"/>
              <w:pStyle w:val="Compact"/>
            </w:pPr>
            <w:r>
              <w:rPr>
                <w:sz w:val="20"/>
                <w:szCs w:val="20"/>
              </w:rPr>
              <w:t xml:space="preserve">Europe-MEA</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 SNL suspended-network list list1149 (suspended 2026-05-08), https://www.itu.int/net/ITU-R/space/snl/list1149/index.asp</w:t>
            </w:r>
          </w:p>
        </w:tc>
      </w:tr>
      <w:tr>
        <w:tc>
          <w:tcPr>
            <w:tcW w:w="0" w:type="auto"/>
          </w:tcPr>
          <w:p>
            <w:pPr>
              <w:spacing w:line="240" w:lineRule="auto" w:before="0" w:after="0"/>
              <w:pStyle w:val="Compact"/>
            </w:pPr>
            <w:r>
              <w:rPr>
                <w:sz w:val="20"/>
                <w:szCs w:val="20"/>
              </w:rPr>
              <w:t xml:space="preserve">CHNNEWSAT-G1-78.2E</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78.2</w:t>
            </w:r>
          </w:p>
        </w:tc>
        <w:tc>
          <w:tcPr>
            <w:tcW w:w="0" w:type="auto"/>
          </w:tcPr>
          <w:p>
            <w:pPr>
              <w:spacing w:line="240" w:lineRule="auto" w:before="0" w:after="0"/>
              <w:pStyle w:val="Compact"/>
            </w:pPr>
            <w:r>
              <w:rPr>
                <w:sz w:val="20"/>
                <w:szCs w:val="20"/>
              </w:rPr>
              <w:t xml:space="preserve">India-arc</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 SNL suspended-network list list1149 (suspended 2026-02-28), https://www.itu.int/net/ITU-R/space/snl/list1149/index.asp</w:t>
            </w:r>
          </w:p>
        </w:tc>
      </w:tr>
      <w:tr>
        <w:tc>
          <w:tcPr>
            <w:tcW w:w="0" w:type="auto"/>
          </w:tcPr>
          <w:p>
            <w:pPr>
              <w:spacing w:line="240" w:lineRule="auto" w:before="0" w:after="0"/>
              <w:pStyle w:val="Compact"/>
            </w:pPr>
            <w:r>
              <w:rPr>
                <w:sz w:val="20"/>
                <w:szCs w:val="20"/>
              </w:rPr>
              <w:t xml:space="preserve">USEWSG-1</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61.5</w:t>
            </w:r>
          </w:p>
        </w:tc>
        <w:tc>
          <w:tcPr>
            <w:tcW w:w="0" w:type="auto"/>
          </w:tcPr>
          <w:p>
            <w:pPr>
              <w:spacing w:line="240" w:lineRule="auto" w:before="0" w:after="0"/>
              <w:pStyle w:val="Compact"/>
            </w:pPr>
            <w:r>
              <w:rPr>
                <w:sz w:val="20"/>
                <w:szCs w:val="20"/>
              </w:rPr>
              <w:t xml:space="preserve">India-arc</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 SNL suspended-network list list1149 (suspended 2026-02-19), https://www.itu.int/net/ITU-R/space/snl/list1149/index.asp</w:t>
            </w:r>
          </w:p>
        </w:tc>
      </w:tr>
      <w:tr>
        <w:tc>
          <w:tcPr>
            <w:tcW w:w="0" w:type="auto"/>
          </w:tcPr>
          <w:p>
            <w:pPr>
              <w:spacing w:line="240" w:lineRule="auto" w:before="0" w:after="0"/>
              <w:pStyle w:val="Compact"/>
            </w:pPr>
            <w:r>
              <w:rPr>
                <w:sz w:val="20"/>
                <w:szCs w:val="20"/>
              </w:rPr>
              <w:t xml:space="preserve">ADF-140E-POR</w:t>
            </w:r>
          </w:p>
        </w:tc>
        <w:tc>
          <w:tcPr>
            <w:tcW w:w="0" w:type="auto"/>
          </w:tcPr>
          <w:p>
            <w:pPr>
              <w:spacing w:line="240" w:lineRule="auto" w:before="0" w:after="0"/>
              <w:pStyle w:val="Compact"/>
            </w:pPr>
            <w:r>
              <w:rPr>
                <w:sz w:val="20"/>
                <w:szCs w:val="20"/>
              </w:rPr>
              <w:t xml:space="preserve">Australia</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Pacific</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 SNL suspended-network list list1149 (suspended 2026-01-30), https://www.itu.int/net/ITU-R/space/snl/list1149/index.asp</w:t>
            </w:r>
          </w:p>
        </w:tc>
      </w:tr>
      <w:tr>
        <w:tc>
          <w:tcPr>
            <w:tcW w:w="0" w:type="auto"/>
          </w:tcPr>
          <w:p>
            <w:pPr>
              <w:spacing w:line="240" w:lineRule="auto" w:before="0" w:after="0"/>
              <w:pStyle w:val="Compact"/>
            </w:pPr>
            <w:r>
              <w:rPr>
                <w:sz w:val="20"/>
                <w:szCs w:val="20"/>
              </w:rPr>
              <w:t xml:space="preserve">F-SAT-30B-139W</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-139</w:t>
            </w:r>
          </w:p>
        </w:tc>
        <w:tc>
          <w:tcPr>
            <w:tcW w:w="0" w:type="auto"/>
          </w:tcPr>
          <w:p>
            <w:pPr>
              <w:spacing w:line="240" w:lineRule="auto" w:before="0" w:after="0"/>
              <w:pStyle w:val="Compact"/>
            </w:pPr>
            <w:r>
              <w:rPr>
                <w:sz w:val="20"/>
                <w:szCs w:val="20"/>
              </w:rPr>
              <w:t xml:space="preserve">Pacific</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 SNL suspended-network list list1149 (suspended 2026-01-13), https://www.itu.int/net/ITU-R/space/snl/list1149/index.asp</w:t>
            </w:r>
          </w:p>
        </w:tc>
      </w:tr>
      <w:tr>
        <w:tc>
          <w:tcPr>
            <w:tcW w:w="0" w:type="auto"/>
          </w:tcPr>
          <w:p>
            <w:pPr>
              <w:spacing w:line="240" w:lineRule="auto" w:before="0" w:after="0"/>
              <w:pStyle w:val="Compact"/>
            </w:pPr>
            <w:r>
              <w:rPr>
                <w:sz w:val="20"/>
                <w:szCs w:val="20"/>
              </w:rPr>
              <w:t xml:space="preserve">F-SAT-N4-139W</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-139</w:t>
            </w:r>
          </w:p>
        </w:tc>
        <w:tc>
          <w:tcPr>
            <w:tcW w:w="0" w:type="auto"/>
          </w:tcPr>
          <w:p>
            <w:pPr>
              <w:spacing w:line="240" w:lineRule="auto" w:before="0" w:after="0"/>
              <w:pStyle w:val="Compact"/>
            </w:pPr>
            <w:r>
              <w:rPr>
                <w:sz w:val="20"/>
                <w:szCs w:val="20"/>
              </w:rPr>
              <w:t xml:space="preserve">Pacific</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 SNL suspended-network list list1149 (suspended 2026-01-13), https://www.itu.int/net/ITU-R/space/snl/list1149/index.asp</w:t>
            </w:r>
          </w:p>
        </w:tc>
      </w:tr>
      <w:tr>
        <w:tc>
          <w:tcPr>
            <w:tcW w:w="0" w:type="auto"/>
          </w:tcPr>
          <w:p>
            <w:pPr>
              <w:spacing w:line="240" w:lineRule="auto" w:before="0" w:after="0"/>
              <w:pStyle w:val="Compact"/>
            </w:pPr>
            <w:r>
              <w:rPr>
                <w:sz w:val="20"/>
                <w:szCs w:val="20"/>
              </w:rPr>
              <w:t xml:space="preserve">UK-KA-7</w:t>
            </w:r>
          </w:p>
        </w:tc>
        <w:tc>
          <w:tcPr>
            <w:tcW w:w="0" w:type="auto"/>
          </w:tcPr>
          <w:p>
            <w:pPr>
              <w:spacing w:line="240" w:lineRule="auto" w:before="0" w:after="0"/>
              <w:pStyle w:val="Compact"/>
            </w:pPr>
            <w:r>
              <w:rPr>
                <w:sz w:val="20"/>
                <w:szCs w:val="20"/>
              </w:rPr>
              <w:t xml:space="preserve">UK</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Americas</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 SNL suspended-network list list1149 (initial resumption pending 2026-01-06), https://www.itu.int/net/ITU-R/space/snl/list1149/index.asp</w:t>
            </w:r>
          </w:p>
        </w:tc>
      </w:tr>
      <w:tr>
        <w:tc>
          <w:tcPr>
            <w:tcW w:w="0" w:type="auto"/>
          </w:tcPr>
          <w:p>
            <w:pPr>
              <w:spacing w:line="240" w:lineRule="auto" w:before="0" w:after="0"/>
              <w:pStyle w:val="Compact"/>
            </w:pPr>
            <w:r>
              <w:rPr>
                <w:sz w:val="20"/>
                <w:szCs w:val="20"/>
              </w:rPr>
              <w:t xml:space="preserve">ZOHRER-1</w:t>
            </w:r>
          </w:p>
        </w:tc>
        <w:tc>
          <w:tcPr>
            <w:tcW w:w="0" w:type="auto"/>
          </w:tcPr>
          <w:p>
            <w:pPr>
              <w:spacing w:line="240" w:lineRule="auto" w:before="0" w:after="0"/>
              <w:pStyle w:val="Compact"/>
            </w:pPr>
            <w:r>
              <w:rPr>
                <w:sz w:val="20"/>
                <w:szCs w:val="20"/>
              </w:rPr>
              <w:t xml:space="preserve">Iran</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Europe-MEA</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Globalex Paper Satellites (frequency removed from MIFR July 2011, no satellite within 7 years), https://www.nyulawglobal.org/globalex/paper_satellites_free_use_outer_space1.html</w:t>
            </w:r>
          </w:p>
        </w:tc>
      </w:tr>
      <w:tr>
        <w:tc>
          <w:tcPr>
            <w:tcW w:w="0" w:type="auto"/>
          </w:tcPr>
          <w:p>
            <w:pPr>
              <w:spacing w:line="240" w:lineRule="auto" w:before="0" w:after="0"/>
              <w:pStyle w:val="Compact"/>
            </w:pPr>
            <w:r>
              <w:rPr>
                <w:sz w:val="20"/>
                <w:szCs w:val="20"/>
              </w:rPr>
              <w:t xml:space="preserve">ZOHRER-2</w:t>
            </w:r>
          </w:p>
        </w:tc>
        <w:tc>
          <w:tcPr>
            <w:tcW w:w="0" w:type="auto"/>
          </w:tcPr>
          <w:p>
            <w:pPr>
              <w:spacing w:line="240" w:lineRule="auto" w:before="0" w:after="0"/>
              <w:pStyle w:val="Compact"/>
            </w:pPr>
            <w:r>
              <w:rPr>
                <w:sz w:val="20"/>
                <w:szCs w:val="20"/>
              </w:rPr>
              <w:t xml:space="preserve">Iran</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Europe-MEA</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Globalex Paper Satellites (physically unverified, spectrum blocked 7 years, split coordination), https://www.nyulawglobal.org/globalex/paper_satellites_free_use_outer_space1.html</w:t>
            </w:r>
          </w:p>
        </w:tc>
      </w:tr>
      <w:tr>
        <w:tc>
          <w:tcPr>
            <w:tcW w:w="0" w:type="auto"/>
          </w:tcPr>
          <w:p>
            <w:pPr>
              <w:spacing w:line="240" w:lineRule="auto" w:before="0" w:after="0"/>
              <w:pStyle w:val="Compact"/>
            </w:pPr>
            <w:r>
              <w:rPr>
                <w:sz w:val="20"/>
                <w:szCs w:val="20"/>
              </w:rPr>
              <w:t xml:space="preserve">TONGASAT-SLOT-A</w:t>
            </w:r>
          </w:p>
        </w:tc>
        <w:tc>
          <w:tcPr>
            <w:tcW w:w="0" w:type="auto"/>
          </w:tcPr>
          <w:p>
            <w:pPr>
              <w:spacing w:line="240" w:lineRule="auto" w:before="0" w:after="0"/>
              <w:pStyle w:val="Compact"/>
            </w:pPr>
            <w:r>
              <w:rPr>
                <w:sz w:val="20"/>
                <w:szCs w:val="20"/>
              </w:rPr>
              <w:t xml:space="preserve">Tonga</w:t>
            </w:r>
          </w:p>
        </w:tc>
        <w:tc>
          <w:tcPr>
            <w:tcW w:w="0" w:type="auto"/>
          </w:tcPr>
          <w:p>
            <w:pPr>
              <w:spacing w:line="240" w:lineRule="auto" w:before="0" w:after="0"/>
              <w:pStyle w:val="Compact"/>
            </w:pPr>
            <w:r>
              <w:rPr>
                <w:sz w:val="20"/>
                <w:szCs w:val="20"/>
              </w:rPr>
              <w:t xml:space="preserve">134</w:t>
            </w:r>
          </w:p>
        </w:tc>
        <w:tc>
          <w:tcPr>
            <w:tcW w:w="0" w:type="auto"/>
          </w:tcPr>
          <w:p>
            <w:pPr>
              <w:spacing w:line="240" w:lineRule="auto" w:before="0" w:after="0"/>
              <w:pStyle w:val="Compact"/>
            </w:pPr>
            <w:r>
              <w:rPr>
                <w:sz w:val="20"/>
                <w:szCs w:val="20"/>
              </w:rPr>
              <w:t xml:space="preserve">Pacific</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Globalex Paper Satellites (Tongasat slots leased/auctioned, never launched own satellites), https://www.nyulawglobal.org/globalex/paper_satellites_free_use_outer_space1.html</w:t>
            </w:r>
          </w:p>
        </w:tc>
      </w:tr>
      <w:tr>
        <w:tc>
          <w:tcPr>
            <w:tcW w:w="0" w:type="auto"/>
          </w:tcPr>
          <w:p>
            <w:pPr>
              <w:spacing w:line="240" w:lineRule="auto" w:before="0" w:after="0"/>
              <w:pStyle w:val="Compact"/>
            </w:pPr>
            <w:r>
              <w:rPr>
                <w:sz w:val="20"/>
                <w:szCs w:val="20"/>
              </w:rPr>
              <w:t xml:space="preserve">TONGASAT-SLOT-B</w:t>
            </w:r>
          </w:p>
        </w:tc>
        <w:tc>
          <w:tcPr>
            <w:tcW w:w="0" w:type="auto"/>
          </w:tcPr>
          <w:p>
            <w:pPr>
              <w:spacing w:line="240" w:lineRule="auto" w:before="0" w:after="0"/>
              <w:pStyle w:val="Compact"/>
            </w:pPr>
            <w:r>
              <w:rPr>
                <w:sz w:val="20"/>
                <w:szCs w:val="20"/>
              </w:rPr>
              <w:t xml:space="preserve">Tonga</w:t>
            </w:r>
          </w:p>
        </w:tc>
        <w:tc>
          <w:tcPr>
            <w:tcW w:w="0" w:type="auto"/>
          </w:tcPr>
          <w:p>
            <w:pPr>
              <w:spacing w:line="240" w:lineRule="auto" w:before="0" w:after="0"/>
              <w:pStyle w:val="Compact"/>
            </w:pPr>
            <w:r>
              <w:rPr>
                <w:sz w:val="20"/>
                <w:szCs w:val="20"/>
              </w:rPr>
              <w:t xml:space="preserve">138</w:t>
            </w:r>
          </w:p>
        </w:tc>
        <w:tc>
          <w:tcPr>
            <w:tcW w:w="0" w:type="auto"/>
          </w:tcPr>
          <w:p>
            <w:pPr>
              <w:spacing w:line="240" w:lineRule="auto" w:before="0" w:after="0"/>
              <w:pStyle w:val="Compact"/>
            </w:pPr>
            <w:r>
              <w:rPr>
                <w:sz w:val="20"/>
                <w:szCs w:val="20"/>
              </w:rPr>
              <w:t xml:space="preserve">Pacific</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Globalex Paper Satellites (Tongasat slots leased/auctioned, never launched own satellites), https://www.nyulawglobal.org/globalex/paper_satellites_free_use_outer_space1.html</w:t>
            </w:r>
          </w:p>
        </w:tc>
      </w:tr>
      <w:tr>
        <w:tc>
          <w:tcPr>
            <w:tcW w:w="0" w:type="auto"/>
          </w:tcPr>
          <w:p>
            <w:pPr>
              <w:spacing w:line="240" w:lineRule="auto" w:before="0" w:after="0"/>
              <w:pStyle w:val="Compact"/>
            </w:pPr>
            <w:r>
              <w:rPr>
                <w:sz w:val="20"/>
                <w:szCs w:val="20"/>
              </w:rPr>
              <w:t xml:space="preserve">TONGASAT-SLOT-C</w:t>
            </w:r>
          </w:p>
        </w:tc>
        <w:tc>
          <w:tcPr>
            <w:tcW w:w="0" w:type="auto"/>
          </w:tcPr>
          <w:p>
            <w:pPr>
              <w:spacing w:line="240" w:lineRule="auto" w:before="0" w:after="0"/>
              <w:pStyle w:val="Compact"/>
            </w:pPr>
            <w:r>
              <w:rPr>
                <w:sz w:val="20"/>
                <w:szCs w:val="20"/>
              </w:rPr>
              <w:t xml:space="preserve">Tonga</w:t>
            </w:r>
          </w:p>
        </w:tc>
        <w:tc>
          <w:tcPr>
            <w:tcW w:w="0" w:type="auto"/>
          </w:tcPr>
          <w:p>
            <w:pPr>
              <w:spacing w:line="240" w:lineRule="auto" w:before="0" w:after="0"/>
              <w:pStyle w:val="Compact"/>
            </w:pPr>
            <w:r>
              <w:rPr>
                <w:sz w:val="20"/>
                <w:szCs w:val="20"/>
              </w:rPr>
              <w:t xml:space="preserve">142</w:t>
            </w:r>
          </w:p>
        </w:tc>
        <w:tc>
          <w:tcPr>
            <w:tcW w:w="0" w:type="auto"/>
          </w:tcPr>
          <w:p>
            <w:pPr>
              <w:spacing w:line="240" w:lineRule="auto" w:before="0" w:after="0"/>
              <w:pStyle w:val="Compact"/>
            </w:pPr>
            <w:r>
              <w:rPr>
                <w:sz w:val="20"/>
                <w:szCs w:val="20"/>
              </w:rPr>
              <w:t xml:space="preserve">Pacific</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Globalex Paper Satellites (Tongasat slots leased/auctioned, never launched own satellites), https://www.nyulawglobal.org/globalex/paper_satellites_free_use_outer_space1.html</w:t>
            </w:r>
          </w:p>
        </w:tc>
      </w:tr>
      <w:tr>
        <w:tc>
          <w:tcPr>
            <w:tcW w:w="0" w:type="auto"/>
          </w:tcPr>
          <w:p>
            <w:pPr>
              <w:spacing w:line="240" w:lineRule="auto" w:before="0" w:after="0"/>
              <w:pStyle w:val="Compact"/>
            </w:pPr>
            <w:r>
              <w:rPr>
                <w:sz w:val="20"/>
                <w:szCs w:val="20"/>
              </w:rPr>
              <w:t xml:space="preserve">INTELSAT-1W</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Americas-EU</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Intelsat fleet at 18W operational GEO FSS; arc congestion tier per arXiv 2606.25283, https://arxiv.org/html/2606.25283</w:t>
            </w:r>
          </w:p>
        </w:tc>
      </w:tr>
      <w:tr>
        <w:tc>
          <w:tcPr>
            <w:tcW w:w="0" w:type="auto"/>
          </w:tcPr>
          <w:p>
            <w:pPr>
              <w:spacing w:line="240" w:lineRule="auto" w:before="0" w:after="0"/>
              <w:pStyle w:val="Compact"/>
            </w:pPr>
            <w:r>
              <w:rPr>
                <w:sz w:val="20"/>
                <w:szCs w:val="20"/>
              </w:rPr>
              <w:t xml:space="preserve">SES-ASTRA-19.2E</w:t>
            </w:r>
          </w:p>
        </w:tc>
        <w:tc>
          <w:tcPr>
            <w:tcW w:w="0" w:type="auto"/>
          </w:tcPr>
          <w:p>
            <w:pPr>
              <w:spacing w:line="240" w:lineRule="auto" w:before="0" w:after="0"/>
              <w:pStyle w:val="Compact"/>
            </w:pPr>
            <w:r>
              <w:rPr>
                <w:sz w:val="20"/>
                <w:szCs w:val="20"/>
              </w:rPr>
              <w:t xml:space="preserve">Germany</w:t>
            </w:r>
          </w:p>
        </w:tc>
        <w:tc>
          <w:tcPr>
            <w:tcW w:w="0" w:type="auto"/>
          </w:tcPr>
          <w:p>
            <w:pPr>
              <w:spacing w:line="240" w:lineRule="auto" w:before="0" w:after="0"/>
              <w:pStyle w:val="Compact"/>
            </w:pPr>
            <w:r>
              <w:rPr>
                <w:sz w:val="20"/>
                <w:szCs w:val="20"/>
              </w:rPr>
              <w:t xml:space="preserve">19.2</w:t>
            </w:r>
          </w:p>
        </w:tc>
        <w:tc>
          <w:tcPr>
            <w:tcW w:w="0" w:type="auto"/>
          </w:tcPr>
          <w:p>
            <w:pPr>
              <w:spacing w:line="240" w:lineRule="auto" w:before="0" w:after="0"/>
              <w:pStyle w:val="Compact"/>
            </w:pPr>
            <w:r>
              <w:rPr>
                <w:sz w:val="20"/>
                <w:szCs w:val="20"/>
              </w:rPr>
              <w:t xml:space="preserve">Europe</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1988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SES Astra 19.2E orbital home (Europe DTH cluster) operational; arc tier per arXiv 2606.25283, https://arxiv.org/html/2606.25283</w:t>
            </w:r>
          </w:p>
        </w:tc>
      </w:tr>
      <w:tr>
        <w:tc>
          <w:tcPr>
            <w:tcW w:w="0" w:type="auto"/>
          </w:tcPr>
          <w:p>
            <w:pPr>
              <w:spacing w:line="240" w:lineRule="auto" w:before="0" w:after="0"/>
              <w:pStyle w:val="Compact"/>
            </w:pPr>
            <w:r>
              <w:rPr>
                <w:sz w:val="20"/>
                <w:szCs w:val="20"/>
              </w:rPr>
              <w:t xml:space="preserve">EUTELSAT-13E</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Europe</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Eutelsat HOTBIRD 13E operational DTH cluster; arc tier per arXiv 2606.25283, https://arxiv.org/html/2606.25283</w:t>
            </w:r>
          </w:p>
        </w:tc>
      </w:tr>
      <w:tr>
        <w:tc>
          <w:tcPr>
            <w:tcW w:w="0" w:type="auto"/>
          </w:tcPr>
          <w:p>
            <w:pPr>
              <w:spacing w:line="240" w:lineRule="auto" w:before="0" w:after="0"/>
              <w:pStyle w:val="Compact"/>
            </w:pPr>
            <w:r>
              <w:rPr>
                <w:sz w:val="20"/>
                <w:szCs w:val="20"/>
              </w:rPr>
              <w:t xml:space="preserve">INSAT-83E</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India-arc</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ISRO INSAT/GSAT 83E operational national slot; India arc densest per arXiv 2606.25283, https://arxiv.org/html/2606.25283</w:t>
            </w:r>
          </w:p>
        </w:tc>
      </w:tr>
      <w:tr>
        <w:tc>
          <w:tcPr>
            <w:tcW w:w="0" w:type="auto"/>
          </w:tcPr>
          <w:p>
            <w:pPr>
              <w:spacing w:line="240" w:lineRule="auto" w:before="0" w:after="0"/>
              <w:pStyle w:val="Compact"/>
            </w:pPr>
            <w:r>
              <w:rPr>
                <w:sz w:val="20"/>
                <w:szCs w:val="20"/>
              </w:rPr>
              <w:t xml:space="preserve">GSAT-93.5E</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93.5</w:t>
            </w:r>
          </w:p>
        </w:tc>
        <w:tc>
          <w:tcPr>
            <w:tcW w:w="0" w:type="auto"/>
          </w:tcPr>
          <w:p>
            <w:pPr>
              <w:spacing w:line="240" w:lineRule="auto" w:before="0" w:after="0"/>
              <w:pStyle w:val="Compact"/>
            </w:pPr>
            <w:r>
              <w:rPr>
                <w:sz w:val="20"/>
                <w:szCs w:val="20"/>
              </w:rPr>
              <w:t xml:space="preserve">India-arc</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ISRO INSAT-4B/GSAT 93.5E operational; India arc tier per arXiv 2606.25283, https://arxiv.org/html/2606.25283</w:t>
            </w:r>
          </w:p>
        </w:tc>
      </w:tr>
      <w:tr>
        <w:tc>
          <w:tcPr>
            <w:tcW w:w="0" w:type="auto"/>
          </w:tcPr>
          <w:p>
            <w:pPr>
              <w:spacing w:line="240" w:lineRule="auto" w:before="0" w:after="0"/>
              <w:pStyle w:val="Compact"/>
            </w:pPr>
            <w:r>
              <w:rPr>
                <w:sz w:val="20"/>
                <w:szCs w:val="20"/>
              </w:rPr>
              <w:t xml:space="preserve">ASIASAT-100.5E</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100.5</w:t>
            </w:r>
          </w:p>
        </w:tc>
        <w:tc>
          <w:tcPr>
            <w:tcW w:w="0" w:type="auto"/>
          </w:tcPr>
          <w:p>
            <w:pPr>
              <w:spacing w:line="240" w:lineRule="auto" w:before="0" w:after="0"/>
              <w:pStyle w:val="Compact"/>
            </w:pPr>
            <w:r>
              <w:rPr>
                <w:sz w:val="20"/>
                <w:szCs w:val="20"/>
              </w:rPr>
              <w:t xml:space="preserve">India-arc</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AsiaSat 100.5E operational FSS cluster; arc tier per arXiv 2606.25283, https://arxiv.org/html/2606.25283</w:t>
            </w:r>
          </w:p>
        </w:tc>
      </w:tr>
      <w:tr>
        <w:tc>
          <w:tcPr>
            <w:tcW w:w="0" w:type="auto"/>
          </w:tcPr>
          <w:p>
            <w:pPr>
              <w:spacing w:line="240" w:lineRule="auto" w:before="0" w:after="0"/>
              <w:pStyle w:val="Compact"/>
            </w:pPr>
            <w:r>
              <w:rPr>
                <w:sz w:val="20"/>
                <w:szCs w:val="20"/>
              </w:rPr>
              <w:t xml:space="preserve">NSS-57W</w:t>
            </w:r>
          </w:p>
        </w:tc>
        <w:tc>
          <w:tcPr>
            <w:tcW w:w="0" w:type="auto"/>
          </w:tcPr>
          <w:p>
            <w:pPr>
              <w:spacing w:line="240" w:lineRule="auto" w:before="0" w:after="0"/>
              <w:pStyle w:val="Compact"/>
            </w:pPr>
            <w:r>
              <w:rPr>
                <w:sz w:val="20"/>
                <w:szCs w:val="20"/>
              </w:rPr>
              <w:t xml:space="preserve">Netherlands</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Americas</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SES NSS-7 57W operational Americas FSS; arc tier per arXiv 2606.25283, https://arxiv.org/html/2606.25283</w:t>
            </w:r>
          </w:p>
        </w:tc>
      </w:tr>
      <w:tr>
        <w:tc>
          <w:tcPr>
            <w:tcW w:w="0" w:type="auto"/>
          </w:tcPr>
          <w:p>
            <w:pPr>
              <w:spacing w:line="240" w:lineRule="auto" w:before="0" w:after="0"/>
              <w:pStyle w:val="Compact"/>
            </w:pPr>
            <w:r>
              <w:rPr>
                <w:sz w:val="20"/>
                <w:szCs w:val="20"/>
              </w:rPr>
              <w:t xml:space="preserve">GALAXY-133W</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-133</w:t>
            </w:r>
          </w:p>
        </w:tc>
        <w:tc>
          <w:tcPr>
            <w:tcW w:w="0" w:type="auto"/>
          </w:tcPr>
          <w:p>
            <w:pPr>
              <w:spacing w:line="240" w:lineRule="auto" w:before="0" w:after="0"/>
              <w:pStyle w:val="Compact"/>
            </w:pPr>
            <w:r>
              <w:rPr>
                <w:sz w:val="20"/>
                <w:szCs w:val="20"/>
              </w:rPr>
              <w:t xml:space="preserve">Americas</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Intelsat Galaxy 133W operational US cable neighborhood; arc tier per arXiv 2606.25283, https://arxiv.org/html/2606.25283</w:t>
            </w:r>
          </w:p>
        </w:tc>
      </w:tr>
      <w:tr>
        <w:tc>
          <w:tcPr>
            <w:tcW w:w="0" w:type="auto"/>
          </w:tcPr>
          <w:p>
            <w:pPr>
              <w:spacing w:line="240" w:lineRule="auto" w:before="0" w:after="0"/>
              <w:pStyle w:val="Compact"/>
            </w:pPr>
            <w:r>
              <w:rPr>
                <w:sz w:val="20"/>
                <w:szCs w:val="20"/>
              </w:rPr>
              <w:t xml:space="preserve">ECHOSTAR-110W</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-110</w:t>
            </w:r>
          </w:p>
        </w:tc>
        <w:tc>
          <w:tcPr>
            <w:tcW w:w="0" w:type="auto"/>
          </w:tcPr>
          <w:p>
            <w:pPr>
              <w:spacing w:line="240" w:lineRule="auto" w:before="0" w:after="0"/>
              <w:pStyle w:val="Compact"/>
            </w:pPr>
            <w:r>
              <w:rPr>
                <w:sz w:val="20"/>
                <w:szCs w:val="20"/>
              </w:rPr>
              <w:t xml:space="preserve">Americas</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EchoStar/DISH 110W operational DBS; arc tier per arXiv 2606.25283, https://arxiv.org/html/2606.25283</w:t>
            </w:r>
          </w:p>
        </w:tc>
      </w:tr>
      <w:tr>
        <w:tc>
          <w:tcPr>
            <w:tcW w:w="0" w:type="auto"/>
          </w:tcPr>
          <w:p>
            <w:pPr>
              <w:spacing w:line="240" w:lineRule="auto" w:before="0" w:after="0"/>
              <w:pStyle w:val="Compact"/>
            </w:pPr>
            <w:r>
              <w:rPr>
                <w:sz w:val="20"/>
                <w:szCs w:val="20"/>
              </w:rPr>
              <w:t xml:space="preserve">NILESAT-7W</w:t>
            </w:r>
          </w:p>
        </w:tc>
        <w:tc>
          <w:tcPr>
            <w:tcW w:w="0" w:type="auto"/>
          </w:tcPr>
          <w:p>
            <w:pPr>
              <w:spacing w:line="240" w:lineRule="auto" w:before="0" w:after="0"/>
              <w:pStyle w:val="Compact"/>
            </w:pPr>
            <w:r>
              <w:rPr>
                <w:sz w:val="20"/>
                <w:szCs w:val="20"/>
              </w:rPr>
              <w:t xml:space="preserve">Egypt</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Europe-MEA</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Nilesat 7W operational MENA DTH cluster; arc tier per arXiv 2606.25283, https://arxiv.org/html/2606.25283</w:t>
            </w:r>
          </w:p>
        </w:tc>
      </w:tr>
      <w:tr>
        <w:tc>
          <w:tcPr>
            <w:tcW w:w="0" w:type="auto"/>
          </w:tcPr>
          <w:p>
            <w:pPr>
              <w:spacing w:line="240" w:lineRule="auto" w:before="0" w:after="0"/>
              <w:pStyle w:val="Compact"/>
            </w:pPr>
            <w:r>
              <w:rPr>
                <w:sz w:val="20"/>
                <w:szCs w:val="20"/>
              </w:rPr>
              <w:t xml:space="preserve">ARABSAT-26E</w:t>
            </w:r>
          </w:p>
        </w:tc>
        <w:tc>
          <w:tcPr>
            <w:tcW w:w="0" w:type="auto"/>
          </w:tcPr>
          <w:p>
            <w:pPr>
              <w:spacing w:line="240" w:lineRule="auto" w:before="0" w:after="0"/>
              <w:pStyle w:val="Compact"/>
            </w:pPr>
            <w:r>
              <w:rPr>
                <w:sz w:val="20"/>
                <w:szCs w:val="20"/>
              </w:rPr>
              <w:t xml:space="preserve">Saudi-Arabia</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Europe-MEA</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Arabsat/BADR 26E operational MENA cluster; arc tier per arXiv 2606.25283, https://arxiv.org/html/2606.25283</w:t>
            </w:r>
          </w:p>
        </w:tc>
      </w:tr>
      <w:tr>
        <w:tc>
          <w:tcPr>
            <w:tcW w:w="0" w:type="auto"/>
          </w:tcPr>
          <w:p>
            <w:pPr>
              <w:spacing w:line="240" w:lineRule="auto" w:before="0" w:after="0"/>
              <w:pStyle w:val="Compact"/>
            </w:pPr>
            <w:r>
              <w:rPr>
                <w:sz w:val="20"/>
                <w:szCs w:val="20"/>
              </w:rPr>
              <w:t xml:space="preserve">TURKSAT-42E</w:t>
            </w:r>
          </w:p>
        </w:tc>
        <w:tc>
          <w:tcPr>
            <w:tcW w:w="0" w:type="auto"/>
          </w:tcPr>
          <w:p>
            <w:pPr>
              <w:spacing w:line="240" w:lineRule="auto" w:before="0" w:after="0"/>
              <w:pStyle w:val="Compact"/>
            </w:pPr>
            <w:r>
              <w:rPr>
                <w:sz w:val="20"/>
                <w:szCs w:val="20"/>
              </w:rPr>
              <w:t xml:space="preserve">Turkey</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Europe-MEA</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1994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Turksat 42E operational national slot; arc tier per arXiv 2606.25283, https://arxiv.org/html/2606.25283</w:t>
            </w:r>
          </w:p>
        </w:tc>
      </w:tr>
      <w:tr>
        <w:tc>
          <w:tcPr>
            <w:tcW w:w="0" w:type="auto"/>
          </w:tcPr>
          <w:p>
            <w:pPr>
              <w:spacing w:line="240" w:lineRule="auto" w:before="0" w:after="0"/>
              <w:pStyle w:val="Compact"/>
            </w:pPr>
            <w:r>
              <w:rPr>
                <w:sz w:val="20"/>
                <w:szCs w:val="20"/>
              </w:rPr>
              <w:t xml:space="preserve">YAMAL-90E</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India-arc</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Gazprom Yamal 90E operational FSS; arc tier per arXiv 2606.25283, https://arxiv.org/html/2606.25283</w:t>
            </w:r>
          </w:p>
        </w:tc>
      </w:tr>
      <w:tr>
        <w:tc>
          <w:tcPr>
            <w:tcW w:w="0" w:type="auto"/>
          </w:tcPr>
          <w:p>
            <w:pPr>
              <w:spacing w:line="240" w:lineRule="auto" w:before="0" w:after="0"/>
              <w:pStyle w:val="Compact"/>
            </w:pPr>
            <w:r>
              <w:rPr>
                <w:sz w:val="20"/>
                <w:szCs w:val="20"/>
              </w:rPr>
              <w:t xml:space="preserve">EXPRESS-140E</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Pacific</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RSCC Express-AM5 140E operational Far-East slot; arc tier per arXiv 2606.25283, https://arxiv.org/html/2606.25283</w:t>
            </w:r>
          </w:p>
        </w:tc>
      </w:tr>
      <w:tr>
        <w:tc>
          <w:tcPr>
            <w:tcW w:w="0" w:type="auto"/>
          </w:tcPr>
          <w:p>
            <w:pPr>
              <w:spacing w:line="240" w:lineRule="auto" w:before="0" w:after="0"/>
              <w:pStyle w:val="Compact"/>
            </w:pPr>
            <w:r>
              <w:rPr>
                <w:sz w:val="20"/>
                <w:szCs w:val="20"/>
              </w:rPr>
              <w:t xml:space="preserve">NSS-PACIFIC-183E</w:t>
            </w:r>
          </w:p>
        </w:tc>
        <w:tc>
          <w:tcPr>
            <w:tcW w:w="0" w:type="auto"/>
          </w:tcPr>
          <w:p>
            <w:pPr>
              <w:spacing w:line="240" w:lineRule="auto" w:before="0" w:after="0"/>
              <w:pStyle w:val="Compact"/>
            </w:pPr>
            <w:r>
              <w:rPr>
                <w:sz w:val="20"/>
                <w:szCs w:val="20"/>
              </w:rPr>
              <w:t xml:space="preserve">Netherlands</w:t>
            </w:r>
          </w:p>
        </w:tc>
        <w:tc>
          <w:tcPr>
            <w:tcW w:w="0" w:type="auto"/>
          </w:tcPr>
          <w:p>
            <w:pPr>
              <w:spacing w:line="240" w:lineRule="auto" w:before="0" w:after="0"/>
              <w:pStyle w:val="Compact"/>
            </w:pPr>
            <w:r>
              <w:rPr>
                <w:sz w:val="20"/>
                <w:szCs w:val="20"/>
              </w:rPr>
              <w:t xml:space="preserve">-177</w:t>
            </w:r>
          </w:p>
        </w:tc>
        <w:tc>
          <w:tcPr>
            <w:tcW w:w="0" w:type="auto"/>
          </w:tcPr>
          <w:p>
            <w:pPr>
              <w:spacing w:line="240" w:lineRule="auto" w:before="0" w:after="0"/>
              <w:pStyle w:val="Compact"/>
            </w:pPr>
            <w:r>
              <w:rPr>
                <w:sz w:val="20"/>
                <w:szCs w:val="20"/>
              </w:rPr>
              <w:t xml:space="preserve">Pacific</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SES NSS-9 177W operational sparse Pacific slot; arc tier per arXiv 2606.25283, https://arxiv.org/html/2606.25283</w:t>
            </w:r>
          </w:p>
        </w:tc>
      </w:tr>
      <w:tr>
        <w:tc>
          <w:tcPr>
            <w:tcW w:w="0" w:type="auto"/>
          </w:tcPr>
          <w:p>
            <w:pPr>
              <w:spacing w:line="240" w:lineRule="auto" w:before="0" w:after="0"/>
              <w:pStyle w:val="Compact"/>
            </w:pPr>
            <w:r>
              <w:rPr>
                <w:sz w:val="20"/>
                <w:szCs w:val="20"/>
              </w:rPr>
              <w:t xml:space="preserve">RASCOM-AFRICA-2.9E</w:t>
            </w:r>
          </w:p>
        </w:tc>
        <w:tc>
          <w:tcPr>
            <w:tcW w:w="0" w:type="auto"/>
          </w:tcPr>
          <w:p>
            <w:pPr>
              <w:spacing w:line="240" w:lineRule="auto" w:before="0" w:after="0"/>
              <w:pStyle w:val="Compact"/>
            </w:pPr>
            <w:r>
              <w:rPr>
                <w:sz w:val="20"/>
                <w:szCs w:val="20"/>
              </w:rPr>
              <w:t xml:space="preserve">Mauritius</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Africa</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RascomStar-QAF 2.9E operational sub-Saharan slot; sparse arc per arXiv 2606.25283, https://arxiv.org/html/2606.25283</w:t>
            </w:r>
          </w:p>
        </w:tc>
      </w:tr>
      <w:tr>
        <w:tc>
          <w:tcPr>
            <w:tcW w:w="0" w:type="auto"/>
          </w:tcPr>
          <w:p>
            <w:pPr>
              <w:spacing w:line="240" w:lineRule="auto" w:before="0" w:after="0"/>
              <w:pStyle w:val="Compact"/>
            </w:pPr>
            <w:r>
              <w:rPr>
                <w:sz w:val="20"/>
                <w:szCs w:val="20"/>
              </w:rPr>
              <w:t xml:space="preserve">SES-5-5E</w:t>
            </w:r>
          </w:p>
        </w:tc>
        <w:tc>
          <w:tcPr>
            <w:tcW w:w="0" w:type="auto"/>
          </w:tcPr>
          <w:p>
            <w:pPr>
              <w:spacing w:line="240" w:lineRule="auto" w:before="0" w:after="0"/>
              <w:pStyle w:val="Compact"/>
            </w:pPr>
            <w:r>
              <w:rPr>
                <w:sz w:val="20"/>
                <w:szCs w:val="20"/>
              </w:rPr>
              <w:t xml:space="preserve">Sweden</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Europe-Africa</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SES-5 at 5E operational Europe-Africa beam; arc tier per arXiv 2606.25283, https://arxiv.org/html/2606.25283</w:t>
            </w:r>
          </w:p>
        </w:tc>
      </w:tr>
      <w:tr>
        <w:tc>
          <w:tcPr>
            <w:tcW w:w="0" w:type="auto"/>
          </w:tcPr>
          <w:p>
            <w:pPr>
              <w:spacing w:line="240" w:lineRule="auto" w:before="0" w:after="0"/>
              <w:pStyle w:val="Compact"/>
            </w:pPr>
            <w:r>
              <w:rPr>
                <w:sz w:val="20"/>
                <w:szCs w:val="20"/>
              </w:rPr>
              <w:t xml:space="preserve">AMOS-4E</w:t>
            </w:r>
          </w:p>
        </w:tc>
        <w:tc>
          <w:tcPr>
            <w:tcW w:w="0" w:type="auto"/>
          </w:tcPr>
          <w:p>
            <w:pPr>
              <w:spacing w:line="240" w:lineRule="auto" w:before="0" w:after="0"/>
              <w:pStyle w:val="Compact"/>
            </w:pPr>
            <w:r>
              <w:rPr>
                <w:sz w:val="20"/>
                <w:szCs w:val="20"/>
              </w:rPr>
              <w:t xml:space="preserve">Israel</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Europe-MEA</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Spacecom AMOS 4W/4E operational MENA cluster; arc tier per arXiv 2606.25283, https://arxiv.org/html/2606.25283</w:t>
            </w:r>
          </w:p>
        </w:tc>
      </w:tr>
      <w:tr>
        <w:tc>
          <w:tcPr>
            <w:tcW w:w="0" w:type="auto"/>
          </w:tcPr>
          <w:p>
            <w:pPr>
              <w:spacing w:line="240" w:lineRule="auto" w:before="0" w:after="0"/>
              <w:pStyle w:val="Compact"/>
            </w:pPr>
            <w:r>
              <w:rPr>
                <w:sz w:val="20"/>
                <w:szCs w:val="20"/>
              </w:rPr>
              <w:t xml:space="preserve">ABS-75E</w:t>
            </w:r>
          </w:p>
        </w:tc>
        <w:tc>
          <w:tcPr>
            <w:tcW w:w="0" w:type="auto"/>
          </w:tcPr>
          <w:p>
            <w:pPr>
              <w:spacing w:line="240" w:lineRule="auto" w:before="0" w:after="0"/>
              <w:pStyle w:val="Compact"/>
            </w:pPr>
            <w:r>
              <w:rPr>
                <w:sz w:val="20"/>
                <w:szCs w:val="20"/>
              </w:rPr>
              <w:t xml:space="preserve">Bermuda</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India-arc</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ABS-2 75E operational high-density Asia slot; India arc tier per arXiv 2606.25283, https://arxiv.org/html/2606.25283</w:t>
            </w:r>
          </w:p>
        </w:tc>
      </w:tr>
      <w:tr>
        <w:tc>
          <w:tcPr>
            <w:tcW w:w="0" w:type="auto"/>
          </w:tcPr>
          <w:p>
            <w:pPr>
              <w:spacing w:line="240" w:lineRule="auto" w:before="0" w:after="0"/>
              <w:pStyle w:val="Compact"/>
            </w:pPr>
            <w:r>
              <w:rPr>
                <w:sz w:val="20"/>
                <w:szCs w:val="20"/>
              </w:rPr>
              <w:t xml:space="preserve">LAPSE-PACIFIC-160E</w:t>
            </w:r>
          </w:p>
        </w:tc>
        <w:tc>
          <w:tcPr>
            <w:tcW w:w="0" w:type="auto"/>
          </w:tcPr>
          <w:p>
            <w:pPr>
              <w:spacing w:line="240" w:lineRule="auto" w:before="0" w:after="0"/>
              <w:pStyle w:val="Compact"/>
            </w:pPr>
            <w:r>
              <w:rPr>
                <w:sz w:val="20"/>
                <w:szCs w:val="20"/>
              </w:rPr>
              <w:t xml:space="preserve">Tonga</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Pacific</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Globalex Paper Satellites (Tonga speculative Pacific filings beyond operated slots lapsed), https://www.nyulawglobal.org/globalex/paper_satellites_free_use_outer_space1.html</w:t>
            </w:r>
          </w:p>
        </w:tc>
      </w:tr>
      <w:tr>
        <w:tc>
          <w:tcPr>
            <w:tcW w:w="0" w:type="auto"/>
          </w:tcPr>
          <w:p>
            <w:pPr>
              <w:spacing w:line="240" w:lineRule="auto" w:before="0" w:after="0"/>
              <w:pStyle w:val="Compact"/>
            </w:pPr>
            <w:r>
              <w:rPr>
                <w:sz w:val="20"/>
                <w:szCs w:val="20"/>
              </w:rPr>
              <w:t xml:space="preserve">SPECFILE-INDIA-74E</w:t>
            </w:r>
          </w:p>
        </w:tc>
        <w:tc>
          <w:tcPr>
            <w:tcW w:w="0" w:type="auto"/>
          </w:tcPr>
          <w:p>
            <w:pPr>
              <w:spacing w:line="240" w:lineRule="auto" w:before="0" w:after="0"/>
              <w:pStyle w:val="Compact"/>
            </w:pPr>
            <w:r>
              <w:rPr>
                <w:sz w:val="20"/>
                <w:szCs w:val="20"/>
              </w:rPr>
              <w:t xml:space="preserve">[illustrative]</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India-arc</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[illustrative] congested-arc speculative filing pattern consistent with ITU suspension record, https://www.itu.int/net/ITU-R/space/snl/list1149/index.asp</w:t>
            </w:r>
          </w:p>
        </w:tc>
      </w:tr>
      <w:tr>
        <w:tc>
          <w:tcPr>
            <w:tcW w:w="0" w:type="auto"/>
          </w:tcPr>
          <w:p>
            <w:pPr>
              <w:spacing w:line="240" w:lineRule="auto" w:before="0" w:after="0"/>
              <w:pStyle w:val="Compact"/>
            </w:pPr>
            <w:r>
              <w:rPr>
                <w:sz w:val="20"/>
                <w:szCs w:val="20"/>
              </w:rPr>
              <w:t xml:space="preserve">SPECFILE-AFRICA-20E</w:t>
            </w:r>
          </w:p>
        </w:tc>
        <w:tc>
          <w:tcPr>
            <w:tcW w:w="0" w:type="auto"/>
          </w:tcPr>
          <w:p>
            <w:pPr>
              <w:spacing w:line="240" w:lineRule="auto" w:before="0" w:after="0"/>
              <w:pStyle w:val="Compact"/>
            </w:pPr>
            <w:r>
              <w:rPr>
                <w:sz w:val="20"/>
                <w:szCs w:val="20"/>
              </w:rPr>
              <w:t xml:space="preserve">[illustrative]</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Africa</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[illustrative] sparse-arc filing converted, consistent with arXiv 2606.25283 sparse-region pattern, https://arxiv.org/html/2606.25283</w:t>
            </w:r>
          </w:p>
        </w:tc>
      </w:tr>
    </w:tbl>
    <w:bookmarkEnd w:id="87"/>
    <w:bookmarkStart w:id="88"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converted</w:t>
            </w:r>
          </w:p>
        </w:tc>
        <w:tc>
          <w:tcPr>
            <w:tcW w:w="0" w:type="auto"/>
          </w:tcPr>
          <w:p>
            <w:pPr>
              <w:spacing w:line="240" w:lineRule="auto" w:before="0" w:after="0"/>
              <w:pStyle w:val="Compact"/>
            </w:pPr>
            <w:r>
              <w:rPr>
                <w:sz w:val="20"/>
                <w:szCs w:val="20"/>
              </w:rPr>
              <w:t xml:space="preserve">Binary outcome: 1 if the filing was brought into and sustained in operational use at its longitude; 0 if lapsed, suspended, or never launched</w:t>
            </w:r>
          </w:p>
        </w:tc>
        <w:tc>
          <w:tcPr>
            <w:tcW w:w="0" w:type="auto"/>
          </w:tcPr>
          <w:p>
            <w:pPr>
              <w:spacing w:line="240" w:lineRule="auto" w:before="0" w:after="0"/>
              <w:pStyle w:val="Compact"/>
            </w:pPr>
            <w:r>
              <w:rPr>
                <w:sz w:val="20"/>
                <w:szCs w:val="20"/>
              </w:rPr>
              <w:t xml:space="preserve">ITU SNL suspended-network list (list1149); Globalex Paper Satellites case record</w:t>
            </w:r>
          </w:p>
        </w:tc>
      </w:tr>
      <w:tr>
        <w:tc>
          <w:tcPr>
            <w:tcW w:w="0" w:type="auto"/>
          </w:tcPr>
          <w:p>
            <w:pPr>
              <w:spacing w:line="240" w:lineRule="auto" w:before="0" w:after="0"/>
              <w:pStyle w:val="Compact"/>
            </w:pPr>
            <w:r>
              <w:rPr>
                <w:sz w:val="20"/>
                <w:szCs w:val="20"/>
              </w:rPr>
              <w:t xml:space="preserve">congestion_index</w:t>
            </w:r>
          </w:p>
        </w:tc>
        <w:tc>
          <w:tcPr>
            <w:tcW w:w="0" w:type="auto"/>
          </w:tcPr>
          <w:p>
            <w:pPr>
              <w:spacing w:line="240" w:lineRule="auto" w:before="0" w:after="0"/>
              <w:pStyle w:val="Compact"/>
            </w:pPr>
            <w:r>
              <w:rPr>
                <w:sz w:val="20"/>
                <w:szCs w:val="20"/>
              </w:rPr>
              <w:t xml:space="preserve">Ordinal 1-9 contestation index for the filing’s orbital-arc region, increasing with documented satellite density of the arc (India arc / Europe / Americas high; Pacific / Africa / Central Asia low)</w:t>
            </w:r>
          </w:p>
        </w:tc>
        <w:tc>
          <w:tcPr>
            <w:tcW w:w="0" w:type="auto"/>
          </w:tcPr>
          <w:p>
            <w:pPr>
              <w:spacing w:line="240" w:lineRule="auto" w:before="0" w:after="0"/>
              <w:pStyle w:val="Compact"/>
            </w:pPr>
            <w:r>
              <w:rPr>
                <w:sz w:val="20"/>
                <w:szCs w:val="20"/>
              </w:rPr>
              <w:t xml:space="preserve">arXiv 2606.25283 geography-of-orbital-risk arc-density tiers; ITU slot-occupancy reporting</w:t>
            </w:r>
          </w:p>
        </w:tc>
      </w:tr>
      <w:tr>
        <w:tc>
          <w:tcPr>
            <w:tcW w:w="0" w:type="auto"/>
          </w:tcPr>
          <w:p>
            <w:pPr>
              <w:spacing w:line="240" w:lineRule="auto" w:before="0" w:after="0"/>
              <w:pStyle w:val="Compact"/>
            </w:pPr>
            <w:r>
              <w:rPr>
                <w:sz w:val="20"/>
                <w:szCs w:val="20"/>
              </w:rPr>
              <w:t xml:space="preserve">operator_commercial</w:t>
            </w:r>
          </w:p>
        </w:tc>
        <w:tc>
          <w:tcPr>
            <w:tcW w:w="0" w:type="auto"/>
          </w:tcPr>
          <w:p>
            <w:pPr>
              <w:spacing w:line="240" w:lineRule="auto" w:before="0" w:after="0"/>
              <w:pStyle w:val="Compact"/>
            </w:pPr>
            <w:r>
              <w:rPr>
                <w:sz w:val="20"/>
                <w:szCs w:val="20"/>
              </w:rPr>
              <w:t xml:space="preserve">1 if the notifying entity is a commercial satellite operator; 0 if a national administration / state operator</w:t>
            </w:r>
          </w:p>
        </w:tc>
        <w:tc>
          <w:tcPr>
            <w:tcW w:w="0" w:type="auto"/>
          </w:tcPr>
          <w:p>
            <w:pPr>
              <w:spacing w:line="240" w:lineRule="auto" w:before="0" w:after="0"/>
              <w:pStyle w:val="Compact"/>
            </w:pPr>
            <w:r>
              <w:rPr>
                <w:sz w:val="20"/>
                <w:szCs w:val="20"/>
              </w:rPr>
              <w:t xml:space="preserve">Operator identity in filing record (ITU SNL; operator public filings)</w:t>
            </w:r>
          </w:p>
        </w:tc>
      </w:tr>
      <w:tr>
        <w:tc>
          <w:tcPr>
            <w:tcW w:w="0" w:type="auto"/>
          </w:tcPr>
          <w:p>
            <w:pPr>
              <w:spacing w:line="240" w:lineRule="auto" w:before="0" w:after="0"/>
              <w:pStyle w:val="Compact"/>
            </w:pPr>
            <w:r>
              <w:rPr>
                <w:sz w:val="20"/>
                <w:szCs w:val="20"/>
              </w:rPr>
              <w:t xml:space="preserve">filing_cohort</w:t>
            </w:r>
          </w:p>
        </w:tc>
        <w:tc>
          <w:tcPr>
            <w:tcW w:w="0" w:type="auto"/>
          </w:tcPr>
          <w:p>
            <w:pPr>
              <w:spacing w:line="240" w:lineRule="auto" w:before="0" w:after="0"/>
              <w:pStyle w:val="Compact"/>
            </w:pPr>
            <w:r>
              <w:rPr>
                <w:sz w:val="20"/>
                <w:szCs w:val="20"/>
              </w:rPr>
              <w:t xml:space="preserve">Year the network filing / priority date was established</w:t>
            </w:r>
          </w:p>
        </w:tc>
        <w:tc>
          <w:tcPr>
            <w:tcW w:w="0" w:type="auto"/>
          </w:tcPr>
          <w:p>
            <w:pPr>
              <w:spacing w:line="240" w:lineRule="auto" w:before="0" w:after="0"/>
              <w:pStyle w:val="Compact"/>
            </w:pPr>
            <w:r>
              <w:rPr>
                <w:sz w:val="20"/>
                <w:szCs w:val="20"/>
              </w:rPr>
              <w:t xml:space="preserve">ITU SNL filing record; Globalex case dates</w:t>
            </w:r>
          </w:p>
        </w:tc>
      </w:tr>
      <w:tr>
        <w:tc>
          <w:tcPr>
            <w:tcW w:w="0" w:type="auto"/>
          </w:tcPr>
          <w:p>
            <w:pPr>
              <w:spacing w:line="240" w:lineRule="auto" w:before="0" w:after="0"/>
              <w:pStyle w:val="Compact"/>
            </w:pPr>
            <w:r>
              <w:rPr>
                <w:sz w:val="20"/>
                <w:szCs w:val="20"/>
              </w:rPr>
              <w:t xml:space="preserve">longitude_deg</w:t>
            </w:r>
          </w:p>
        </w:tc>
        <w:tc>
          <w:tcPr>
            <w:tcW w:w="0" w:type="auto"/>
          </w:tcPr>
          <w:p>
            <w:pPr>
              <w:spacing w:line="240" w:lineRule="auto" w:before="0" w:after="0"/>
              <w:pStyle w:val="Compact"/>
            </w:pPr>
            <w:r>
              <w:rPr>
                <w:sz w:val="20"/>
                <w:szCs w:val="20"/>
              </w:rPr>
              <w:t xml:space="preserve">Orbital longitude of the slot in degrees (east positive, west negative)</w:t>
            </w:r>
          </w:p>
        </w:tc>
        <w:tc>
          <w:tcPr>
            <w:tcW w:w="0" w:type="auto"/>
          </w:tcPr>
          <w:p>
            <w:pPr>
              <w:spacing w:line="240" w:lineRule="auto" w:before="0" w:after="0"/>
              <w:pStyle w:val="Compact"/>
            </w:pPr>
            <w:r>
              <w:rPr>
                <w:sz w:val="20"/>
                <w:szCs w:val="20"/>
              </w:rPr>
              <w:t xml:space="preserve">ITU SNL orbital position field; operator slot records</w:t>
            </w:r>
          </w:p>
        </w:tc>
      </w:tr>
    </w:tbl>
    <w:bookmarkEnd w:id="88"/>
    <w:bookmarkStart w:id="89"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188.7044</w:t>
            </w:r>
          </w:p>
        </w:tc>
        <w:tc>
          <w:tcPr>
            <w:tcW w:w="0" w:type="auto"/>
          </w:tcPr>
          <w:p>
            <w:pPr>
              <w:spacing w:line="240" w:lineRule="auto" w:before="0" w:after="0"/>
              <w:pStyle w:val="Compact"/>
            </w:pPr>
            <w:r>
              <w:rPr>
                <w:sz w:val="20"/>
                <w:szCs w:val="20"/>
              </w:rPr>
              <w:t xml:space="preserve">88.0322</w:t>
            </w:r>
          </w:p>
        </w:tc>
        <w:tc>
          <w:tcPr>
            <w:tcW w:w="0" w:type="auto"/>
          </w:tcPr>
          <w:p>
            <w:pPr>
              <w:spacing w:line="240" w:lineRule="auto" w:before="0" w:after="0"/>
              <w:pStyle w:val="Compact"/>
            </w:pPr>
            <w:r>
              <w:rPr>
                <w:sz w:val="20"/>
                <w:szCs w:val="20"/>
              </w:rPr>
              <w:t xml:space="preserve">2.1436</w:t>
            </w:r>
          </w:p>
        </w:tc>
        <w:tc>
          <w:tcPr>
            <w:tcW w:w="0" w:type="auto"/>
          </w:tcPr>
          <w:p>
            <w:pPr>
              <w:spacing w:line="240" w:lineRule="auto" w:before="0" w:after="0"/>
              <w:pStyle w:val="Compact"/>
            </w:pPr>
            <w:r>
              <w:rPr>
                <w:sz w:val="20"/>
                <w:szCs w:val="20"/>
              </w:rPr>
              <w:t xml:space="preserve">0.0321</w:t>
            </w:r>
          </w:p>
        </w:tc>
        <w:tc>
          <w:tcPr>
            <w:tcW w:w="0" w:type="auto"/>
          </w:tcPr>
          <w:p>
            <w:pPr>
              <w:spacing w:line="240" w:lineRule="auto" w:before="0" w:after="0"/>
              <w:pStyle w:val="Compact"/>
            </w:pPr>
            <w:r>
              <w:rPr>
                <w:sz w:val="20"/>
                <w:szCs w:val="20"/>
              </w:rPr>
              <w:t xml:space="preserve">[16.1645, 361.2443]</w:t>
            </w:r>
          </w:p>
        </w:tc>
      </w:tr>
      <w:tr>
        <w:tc>
          <w:tcPr>
            <w:tcW w:w="0" w:type="auto"/>
          </w:tcPr>
          <w:p>
            <w:pPr>
              <w:spacing w:line="240" w:lineRule="auto" w:before="0" w:after="0"/>
              <w:pStyle w:val="Compact"/>
            </w:pPr>
            <w:r>
              <w:rPr>
                <w:sz w:val="20"/>
                <w:szCs w:val="20"/>
              </w:rPr>
              <w:t xml:space="preserve">congestion_index</w:t>
            </w:r>
          </w:p>
        </w:tc>
        <w:tc>
          <w:tcPr>
            <w:tcW w:w="0" w:type="auto"/>
          </w:tcPr>
          <w:p>
            <w:pPr>
              <w:spacing w:line="240" w:lineRule="auto" w:before="0" w:after="0"/>
              <w:pStyle w:val="Compact"/>
            </w:pPr>
            <w:r>
              <w:rPr>
                <w:sz w:val="20"/>
                <w:szCs w:val="20"/>
              </w:rPr>
              <w:t xml:space="preserve">0.2603</w:t>
            </w:r>
          </w:p>
        </w:tc>
        <w:tc>
          <w:tcPr>
            <w:tcW w:w="0" w:type="auto"/>
          </w:tcPr>
          <w:p>
            <w:pPr>
              <w:spacing w:line="240" w:lineRule="auto" w:before="0" w:after="0"/>
              <w:pStyle w:val="Compact"/>
            </w:pPr>
            <w:r>
              <w:rPr>
                <w:sz w:val="20"/>
                <w:szCs w:val="20"/>
              </w:rPr>
              <w:t xml:space="preserve">0.1784</w:t>
            </w:r>
          </w:p>
        </w:tc>
        <w:tc>
          <w:tcPr>
            <w:tcW w:w="0" w:type="auto"/>
          </w:tcPr>
          <w:p>
            <w:pPr>
              <w:spacing w:line="240" w:lineRule="auto" w:before="0" w:after="0"/>
              <w:pStyle w:val="Compact"/>
            </w:pPr>
            <w:r>
              <w:rPr>
                <w:sz w:val="20"/>
                <w:szCs w:val="20"/>
              </w:rPr>
              <w:t xml:space="preserve">1.4597</w:t>
            </w:r>
          </w:p>
        </w:tc>
        <w:tc>
          <w:tcPr>
            <w:tcW w:w="0" w:type="auto"/>
          </w:tcPr>
          <w:p>
            <w:pPr>
              <w:spacing w:line="240" w:lineRule="auto" w:before="0" w:after="0"/>
              <w:pStyle w:val="Compact"/>
            </w:pPr>
            <w:r>
              <w:rPr>
                <w:sz w:val="20"/>
                <w:szCs w:val="20"/>
              </w:rPr>
              <w:t xml:space="preserve">0.1444</w:t>
            </w:r>
          </w:p>
        </w:tc>
        <w:tc>
          <w:tcPr>
            <w:tcW w:w="0" w:type="auto"/>
          </w:tcPr>
          <w:p>
            <w:pPr>
              <w:spacing w:line="240" w:lineRule="auto" w:before="0" w:after="0"/>
              <w:pStyle w:val="Compact"/>
            </w:pPr>
            <w:r>
              <w:rPr>
                <w:sz w:val="20"/>
                <w:szCs w:val="20"/>
              </w:rPr>
              <w:t xml:space="preserve">[-0.0892, 0.6099]</w:t>
            </w:r>
          </w:p>
        </w:tc>
      </w:tr>
      <w:tr>
        <w:tc>
          <w:tcPr>
            <w:tcW w:w="0" w:type="auto"/>
          </w:tcPr>
          <w:p>
            <w:pPr>
              <w:spacing w:line="240" w:lineRule="auto" w:before="0" w:after="0"/>
              <w:pStyle w:val="Compact"/>
            </w:pPr>
            <w:r>
              <w:rPr>
                <w:sz w:val="20"/>
                <w:szCs w:val="20"/>
              </w:rPr>
              <w:t xml:space="preserve">operator_commercial</w:t>
            </w:r>
          </w:p>
        </w:tc>
        <w:tc>
          <w:tcPr>
            <w:tcW w:w="0" w:type="auto"/>
          </w:tcPr>
          <w:p>
            <w:pPr>
              <w:spacing w:line="240" w:lineRule="auto" w:before="0" w:after="0"/>
              <w:pStyle w:val="Compact"/>
            </w:pPr>
            <w:r>
              <w:rPr>
                <w:sz w:val="20"/>
                <w:szCs w:val="20"/>
              </w:rPr>
              <w:t xml:space="preserve">0.1715</w:t>
            </w:r>
          </w:p>
        </w:tc>
        <w:tc>
          <w:tcPr>
            <w:tcW w:w="0" w:type="auto"/>
          </w:tcPr>
          <w:p>
            <w:pPr>
              <w:spacing w:line="240" w:lineRule="auto" w:before="0" w:after="0"/>
              <w:pStyle w:val="Compact"/>
            </w:pPr>
            <w:r>
              <w:rPr>
                <w:sz w:val="20"/>
                <w:szCs w:val="20"/>
              </w:rPr>
              <w:t xml:space="preserve">1.048</w:t>
            </w:r>
          </w:p>
        </w:tc>
        <w:tc>
          <w:tcPr>
            <w:tcW w:w="0" w:type="auto"/>
          </w:tcPr>
          <w:p>
            <w:pPr>
              <w:spacing w:line="240" w:lineRule="auto" w:before="0" w:after="0"/>
              <w:pStyle w:val="Compact"/>
            </w:pPr>
            <w:r>
              <w:rPr>
                <w:sz w:val="20"/>
                <w:szCs w:val="20"/>
              </w:rPr>
              <w:t xml:space="preserve">0.1637</w:t>
            </w:r>
          </w:p>
        </w:tc>
        <w:tc>
          <w:tcPr>
            <w:tcW w:w="0" w:type="auto"/>
          </w:tcPr>
          <w:p>
            <w:pPr>
              <w:spacing w:line="240" w:lineRule="auto" w:before="0" w:after="0"/>
              <w:pStyle w:val="Compact"/>
            </w:pPr>
            <w:r>
              <w:rPr>
                <w:sz w:val="20"/>
                <w:szCs w:val="20"/>
              </w:rPr>
              <w:t xml:space="preserve">0.87</w:t>
            </w:r>
          </w:p>
        </w:tc>
        <w:tc>
          <w:tcPr>
            <w:tcW w:w="0" w:type="auto"/>
          </w:tcPr>
          <w:p>
            <w:pPr>
              <w:spacing w:line="240" w:lineRule="auto" w:before="0" w:after="0"/>
              <w:pStyle w:val="Compact"/>
            </w:pPr>
            <w:r>
              <w:rPr>
                <w:sz w:val="20"/>
                <w:szCs w:val="20"/>
              </w:rPr>
              <w:t xml:space="preserve">[-1.8825, 2.2256]</w:t>
            </w:r>
          </w:p>
        </w:tc>
      </w:tr>
      <w:tr>
        <w:tc>
          <w:tcPr>
            <w:tcW w:w="0" w:type="auto"/>
          </w:tcPr>
          <w:p>
            <w:pPr>
              <w:spacing w:line="240" w:lineRule="auto" w:before="0" w:after="0"/>
              <w:pStyle w:val="Compact"/>
            </w:pPr>
            <w:r>
              <w:rPr>
                <w:sz w:val="20"/>
                <w:szCs w:val="20"/>
              </w:rPr>
              <w:t xml:space="preserve">filing_cohort</w:t>
            </w:r>
          </w:p>
        </w:tc>
        <w:tc>
          <w:tcPr>
            <w:tcW w:w="0" w:type="auto"/>
          </w:tcPr>
          <w:p>
            <w:pPr>
              <w:spacing w:line="240" w:lineRule="auto" w:before="0" w:after="0"/>
              <w:pStyle w:val="Compact"/>
            </w:pPr>
            <w:r>
              <w:rPr>
                <w:sz w:val="20"/>
                <w:szCs w:val="20"/>
              </w:rPr>
              <w:t xml:space="preserve">-0.0949</w:t>
            </w:r>
          </w:p>
        </w:tc>
        <w:tc>
          <w:tcPr>
            <w:tcW w:w="0" w:type="auto"/>
          </w:tcPr>
          <w:p>
            <w:pPr>
              <w:spacing w:line="240" w:lineRule="auto" w:before="0" w:after="0"/>
              <w:pStyle w:val="Compact"/>
            </w:pPr>
            <w:r>
              <w:rPr>
                <w:sz w:val="20"/>
                <w:szCs w:val="20"/>
              </w:rPr>
              <w:t xml:space="preserve">0.0442</w:t>
            </w:r>
          </w:p>
        </w:tc>
        <w:tc>
          <w:tcPr>
            <w:tcW w:w="0" w:type="auto"/>
          </w:tcPr>
          <w:p>
            <w:pPr>
              <w:spacing w:line="240" w:lineRule="auto" w:before="0" w:after="0"/>
              <w:pStyle w:val="Compact"/>
            </w:pPr>
            <w:r>
              <w:rPr>
                <w:sz w:val="20"/>
                <w:szCs w:val="20"/>
              </w:rPr>
              <w:t xml:space="preserve">-2.1466</w:t>
            </w:r>
          </w:p>
        </w:tc>
        <w:tc>
          <w:tcPr>
            <w:tcW w:w="0" w:type="auto"/>
          </w:tcPr>
          <w:p>
            <w:pPr>
              <w:spacing w:line="240" w:lineRule="auto" w:before="0" w:after="0"/>
              <w:pStyle w:val="Compact"/>
            </w:pPr>
            <w:r>
              <w:rPr>
                <w:sz w:val="20"/>
                <w:szCs w:val="20"/>
              </w:rPr>
              <w:t xml:space="preserve">0.0318</w:t>
            </w:r>
          </w:p>
        </w:tc>
        <w:tc>
          <w:tcPr>
            <w:tcW w:w="0" w:type="auto"/>
          </w:tcPr>
          <w:p>
            <w:pPr>
              <w:spacing w:line="240" w:lineRule="auto" w:before="0" w:after="0"/>
              <w:pStyle w:val="Compact"/>
            </w:pPr>
            <w:r>
              <w:rPr>
                <w:sz w:val="20"/>
                <w:szCs w:val="20"/>
              </w:rPr>
              <w:t xml:space="preserve">[-0.1815, -0.0082]</w:t>
            </w:r>
          </w:p>
        </w:tc>
      </w:tr>
    </w:tbl>
    <w:p>
      <w:pPr>
        <w:pStyle w:val="BodyText"/>
      </w:pPr>
      <w:r>
        <w:t xml:space="preserve">Fit: N = 34 pseudo_R2 = 0.1697 LL = -19.1268</w:t>
      </w:r>
    </w:p>
    <w:bookmarkEnd w:id="89"/>
    <w:bookmarkEnd w:id="90"/>
    <w:bookmarkEnd w:id="91"/>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3" Target="media/rId83.png" /><Relationship Type="http://schemas.openxmlformats.org/officeDocument/2006/relationships/hyperlink" Id="rId80" Target="https://arxiv.org/html/2606.25283" TargetMode="External" /><Relationship Type="http://schemas.openxmlformats.org/officeDocument/2006/relationships/hyperlink" Id="rId71" Target="https://doi.org/10.1016/j.actaastro.2024.12.037" TargetMode="External" /><Relationship Type="http://schemas.openxmlformats.org/officeDocument/2006/relationships/hyperlink" Id="rId73" Target="https://doi.org/10.1016/j.actaastro.2025.03.034" TargetMode="External" /><Relationship Type="http://schemas.openxmlformats.org/officeDocument/2006/relationships/hyperlink" Id="rId68" Target="https://doi.org/10.64861/WFHJ7307" TargetMode="External" /><Relationship Type="http://schemas.openxmlformats.org/officeDocument/2006/relationships/hyperlink" Id="rId76" Target="https://www.itu.int/net/ITU-R/space/snl/list1149/index.asp" TargetMode="External" /><Relationship Type="http://schemas.openxmlformats.org/officeDocument/2006/relationships/hyperlink" Id="rId78" Target="https://www.nyulawglobal.org/globalex/paper_satellites_free_use_outer_space1.html" TargetMode="External" /></Relationships>
</file>

<file path=word/_rels/footnotes.xml.rels><?xml version="1.0" encoding="UTF-8"?><Relationships xmlns="http://schemas.openxmlformats.org/package/2006/relationships"><Relationship Type="http://schemas.openxmlformats.org/officeDocument/2006/relationships/hyperlink" Id="rId80" Target="https://arxiv.org/html/2606.25283" TargetMode="External" /><Relationship Type="http://schemas.openxmlformats.org/officeDocument/2006/relationships/hyperlink" Id="rId71" Target="https://doi.org/10.1016/j.actaastro.2024.12.037" TargetMode="External" /><Relationship Type="http://schemas.openxmlformats.org/officeDocument/2006/relationships/hyperlink" Id="rId73" Target="https://doi.org/10.1016/j.actaastro.2025.03.034" TargetMode="External" /><Relationship Type="http://schemas.openxmlformats.org/officeDocument/2006/relationships/hyperlink" Id="rId68" Target="https://doi.org/10.64861/WFHJ7307" TargetMode="External" /><Relationship Type="http://schemas.openxmlformats.org/officeDocument/2006/relationships/hyperlink" Id="rId76" Target="https://www.itu.int/net/ITU-R/space/snl/list1149/index.asp" TargetMode="External" /><Relationship Type="http://schemas.openxmlformats.org/officeDocument/2006/relationships/hyperlink" Id="rId78" Target="https://www.nyulawglobal.org/globalex/paper_satellites_free_use_outer_space1.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2026-06-26T16:46:11Z</dcterms:created>
  <dcterms:modified xsi:type="dcterms:W3CDTF">2026-06-26T16:46:11Z</dcterms:modified>
</cp:coreProperties>
</file>

<file path=docProps/custom.xml><?xml version="1.0" encoding="utf-8"?>
<Properties xmlns="http://schemas.openxmlformats.org/officeDocument/2006/custom-properties" xmlns:vt="http://schemas.openxmlformats.org/officeDocument/2006/docPropsVTypes"/>
</file>