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ITU FILING STRATEGY AND SPECTRUM WAREHOUSING: A STRUCTURAL MODEL OF ORBITAL-SLOT ACQUISITION</w:t>
      </w:r>
    </w:p>
    <w:p>
      <w:pPr>
        <w:jc w:val="center"/>
      </w:pPr>
    </w:p>
    <w:p>
      <w:pPr>
        <w:jc w:val="center"/>
      </w:pPr>
      <w:r>
        <w:rPr>
          <w:rFonts w:ascii="Times New Roman" w:hAnsi="Times New Roman"/>
          <w:sz w:val="24"/>
        </w:rPr>
        <w:t>by</w:t>
      </w:r>
    </w:p>
    <w:p>
      <w:pPr>
        <w:jc w:val="center"/>
      </w:pPr>
      <w:r>
        <w:rPr>
          <w:rFonts w:ascii="Times New Roman" w:hAnsi="Times New Roman"/>
          <w:b/>
          <w:sz w:val="28"/>
        </w:rPr>
        <w:t>Mei Salinas</w:t>
      </w:r>
    </w:p>
    <w:p>
      <w:pPr>
        <w:jc w:val="center"/>
      </w:pPr>
      <w:r>
        <w:rPr>
          <w:rFonts w:ascii="Times New Roman" w:hAnsi="Times New Roman"/>
          <w:sz w:val="24"/>
        </w:rPr>
        <w:t>1B-INF-075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in-one-sentence"/>
    <w:p>
      <w:pPr>
        <w:pStyle w:val="Heading2"/>
        <w:spacing w:line="480" w:lineRule="auto"/>
      </w:pPr>
      <w:r>
        <w:t xml:space="preserve">1.1 The Problem in One Sentence</w:t>
      </w:r>
    </w:p>
    <w:p>
      <w:pPr>
        <w:pStyle w:val="FirstParagraph"/>
        <w:spacing w:line="480" w:lineRule="auto"/>
      </w:pPr>
      <w:r>
        <w:t xml:space="preserve">Access to geostationary orbital positions and their associated radio-frequency assignments is rationed by an administrative queue rather than by a market, and the priority date that a filing confers is economically valuable long before any spacecraft must fly. That single institutional fact, documented in the operative literature on International Telecommunication Union (ITU) filing and coordination</w:t>
      </w:r>
      <w:r>
        <w:t xml:space="preserve"> </w:t>
      </w:r>
      <w:hyperlink w:anchor="ref-1">
        <w:r>
          <w:rPr>
            <w:rStyle w:val="Hyperlink"/>
          </w:rPr>
          <w:t xml:space="preserve">[1]</w:t>
        </w:r>
      </w:hyperlink>
      <w:r>
        <w:t xml:space="preserve"> </w:t>
      </w:r>
      <w:r>
        <w:t xml:space="preserve">and reaffirmed by the World Radiocommunication Conference 2019 protection regime for geostationary fixed-satellite, broadcasting-satellite, and mobile-satellite networks</w:t>
      </w:r>
      <w:r>
        <w:t xml:space="preserve"> </w:t>
      </w:r>
      <w:hyperlink w:anchor="ref-2">
        <w:r>
          <w:rPr>
            <w:rStyle w:val="Hyperlink"/>
          </w:rPr>
          <w:t xml:space="preserve">[2]</w:t>
        </w:r>
      </w:hyperlink>
      <w:r>
        <w:t xml:space="preserve">, creates the incentive that this dissertation is built to measure. The incentive is to file in excess of genuine deployment intent, hold the priority as a regulatory option, and convert it into an operational system only if and when commercial conditions justify the capital outlay. The behavior is what the policy and legal literature names paper satellites or spectrum warehousing</w:t>
      </w:r>
      <w:r>
        <w:t xml:space="preserve"> </w:t>
      </w:r>
      <w:hyperlink w:anchor="ref-8">
        <w:r>
          <w:rPr>
            <w:rStyle w:val="Hyperlink"/>
          </w:rPr>
          <w:t xml:space="preserve">[8]</w:t>
        </w:r>
      </w:hyperlink>
      <w:r>
        <w:t xml:space="preserve">, and it is the empirical object of this dissertation.</w:t>
      </w:r>
    </w:p>
    <w:p>
      <w:pPr>
        <w:pStyle w:val="BodyText"/>
        <w:spacing w:line="480" w:lineRule="auto"/>
        <w:ind w:firstLine="720"/>
      </w:pPr>
      <w:r>
        <w:t xml:space="preserve">The problem matters because the cost of a warehoused filing is not borne by the holder. Someone else pays. It is borne by every later applicant whose deployment-ready system is blocked, delayed, or coordinated around a priority that may never resolve into a working spacecraft. The geostationary arc is already described in the orbital-economics literature as congested, contested, and competitive</w:t>
      </w:r>
      <w:r>
        <w:t xml:space="preserve"> </w:t>
      </w:r>
      <w:hyperlink w:anchor="ref-5">
        <w:r>
          <w:rPr>
            <w:rStyle w:val="Hyperlink"/>
          </w:rPr>
          <w:t xml:space="preserve">[5]</w:t>
        </w:r>
      </w:hyperlink>
      <w:r>
        <w:t xml:space="preserve">, and recent evidence on the geography of orbital risk shows that the density of incumbents is sharply uneven across longitude</w:t>
      </w:r>
      <w:r>
        <w:t xml:space="preserve"> </w:t>
      </w:r>
      <w:hyperlink w:anchor="ref-9">
        <w:r>
          <w:rPr>
            <w:rStyle w:val="Hyperlink"/>
          </w:rPr>
          <w:t xml:space="preserve">[9]</w:t>
        </w:r>
      </w:hyperlink>
      <w:r>
        <w:t xml:space="preserve">. The arc is not a uniform commons. It is a structured one, with crowded European and India-arc clusters at one extreme and sparse Pacific and sub-Saharan positions at the other. Within that structure, the social cost of a held filing is concentrated wherever scarcity is greatest. The ITU spectrum-regulation regime is therefore treated in the sustainability literature as a binding governing constraint on the orbital commons [3, 4], yet that literature has not produced a measure of how much of the filing queue represents warehousing rather than ordinary deployment delay. This dissertation closes that measurement gap.</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concrete for the National Aeronautics and Space Administration and for its federally funded research and development center at the Jet Propulsion Laboratory. NASA missions that depend on geostationary or near-geostationary slots, whether for tracking and data-relay continuity, hosted-payload arrangements, or coordination with civil and commercial partners, operate inside the ITU coordination framework on the same terms as every other notifying administration. When a contested longitude is occupied by a warehoused priority, the practical effect is to raise the coordination burden on a NASA mission that arrives later: the agency must negotiate around a filing whose operational future is uncertain, accept frequency constraints that protect an unbuilt system, or delay a launch window until the priority lapses. None of these costs appear in an agency budget line. They hide elsewhere. They appear as schedule slippage, design margin, and constrained pointing of antennas, and they accumulate across the portfolio.</w:t>
      </w:r>
    </w:p>
    <w:p>
      <w:pPr>
        <w:pStyle w:val="BodyText"/>
        <w:spacing w:line="480" w:lineRule="auto"/>
        <w:ind w:firstLine="720"/>
      </w:pPr>
      <w:r>
        <w:t xml:space="preserve">For JPL the stakes are mission-architectural. Deep-space relay concepts, lunar communications backbones envisioned under sustained lunar return programs, and Earth-science platforms that share spectrum with commercial geostationary networks all depend on the assumption that the ITU queue resolves predictably. If that queue is partly populated by speculative holdings, the spectrum-coordination input to a JPL mission concept is not a tractable parameter but a strategic variable controlled by other operators. The literature on harmful-interference compliance in the geostationary regime now treats independent assessment of who is actually operating where as a research frontier</w:t>
      </w:r>
      <w:r>
        <w:t xml:space="preserve"> </w:t>
      </w:r>
      <w:hyperlink w:anchor="ref-1">
        <w:r>
          <w:rPr>
            <w:rStyle w:val="Hyperlink"/>
          </w:rPr>
          <w:t xml:space="preserve">[1]</w:t>
        </w:r>
      </w:hyperlink>
      <w:r>
        <w:t xml:space="preserve">, precisely because the official record alone does not distinguish a working system from a held priority. NASA and JPL therefore have a direct interest in any analysis that converts the warehousing question from an anecdote about paper satellites into an estimated coefficient on a public dataset. The same independent-assessment apparatus that supports compliance monitoring</w:t>
      </w:r>
      <w:r>
        <w:t xml:space="preserve"> </w:t>
      </w:r>
      <w:hyperlink w:anchor="ref-1">
        <w:r>
          <w:rPr>
            <w:rStyle w:val="Hyperlink"/>
          </w:rPr>
          <w:t xml:space="preserve">[1]</w:t>
        </w:r>
      </w:hyperlink>
      <w:r>
        <w:t xml:space="preserve"> </w:t>
      </w:r>
      <w:r>
        <w:t xml:space="preserve">would, if paired with the conversion measure this dissertation produces, give the agency a defensible quantitative basis for the spectrum-coordination assumptions embedded in mission concepts of operations.</w:t>
      </w:r>
    </w:p>
    <w:p>
      <w:pPr>
        <w:pStyle w:val="BodyText"/>
        <w:spacing w:line="480" w:lineRule="auto"/>
        <w:ind w:firstLine="720"/>
      </w:pPr>
      <w:r>
        <w:t xml:space="preserve">The stakes extend further into agency planning when one considers the cislunar and inter-orbit communications regime under development. The protection architecture revised at WRC-19</w:t>
      </w:r>
      <w:r>
        <w:t xml:space="preserve"> </w:t>
      </w:r>
      <w:hyperlink w:anchor="ref-2">
        <w:r>
          <w:rPr>
            <w:rStyle w:val="Hyperlink"/>
          </w:rPr>
          <w:t xml:space="preserve">[2]</w:t>
        </w:r>
      </w:hyperlink>
      <w:r>
        <w:t xml:space="preserve"> </w:t>
      </w:r>
      <w:r>
        <w:t xml:space="preserve">was designed in an era when geostationary congestion was the dominant concern; the same regime is now being asked to accommodate large constellations</w:t>
      </w:r>
      <w:r>
        <w:t xml:space="preserve"> </w:t>
      </w:r>
      <w:hyperlink w:anchor="ref-27">
        <w:r>
          <w:rPr>
            <w:rStyle w:val="Hyperlink"/>
          </w:rPr>
          <w:t xml:space="preserve">[27]</w:t>
        </w:r>
      </w:hyperlink>
      <w:r>
        <w:t xml:space="preserve">, increasing demand from civil and commercial operators</w:t>
      </w:r>
      <w:r>
        <w:t xml:space="preserve"> </w:t>
      </w:r>
      <w:hyperlink w:anchor="ref-24">
        <w:r>
          <w:rPr>
            <w:rStyle w:val="Hyperlink"/>
          </w:rPr>
          <w:t xml:space="preserve">[24]</w:t>
        </w:r>
      </w:hyperlink>
      <w:r>
        <w:t xml:space="preserve">, and a maturing commercial environment in which the cost of contested slots is rising</w:t>
      </w:r>
      <w:r>
        <w:t xml:space="preserve"> </w:t>
      </w:r>
      <w:hyperlink w:anchor="ref-21">
        <w:r>
          <w:rPr>
            <w:rStyle w:val="Hyperlink"/>
          </w:rPr>
          <w:t xml:space="preserve">[21]</w:t>
        </w:r>
      </w:hyperlink>
      <w:r>
        <w:t xml:space="preserve">. A measure of warehousing intensity is therefore not a curiosity for spectrum lawyers. It is planning data. It is an input to NASA and JPL strategic planning at the same level of consequence as launch-cadence forecasts and orbital-debris flux estimates. The dissertation is designed to produce that input in a form a federal mission planner can use.</w:t>
      </w:r>
    </w:p>
    <w:bookmarkEnd w:id="62"/>
    <w:bookmarkStart w:id="63" w:name="X68d02ad7a5e1fef9fcd6b89471dd20e7a093eba"/>
    <w:p>
      <w:pPr>
        <w:pStyle w:val="Heading2"/>
        <w:spacing w:line="480" w:lineRule="auto"/>
      </w:pPr>
      <w:r>
        <w:t xml:space="preserve">1.3 The Two Literatures and the Gap Between Them</w:t>
      </w:r>
    </w:p>
    <w:p>
      <w:pPr>
        <w:pStyle w:val="FirstParagraph"/>
        <w:spacing w:line="480" w:lineRule="auto"/>
      </w:pPr>
      <w:r>
        <w:t xml:space="preserve">There are two literatures relevant to this dissertation, and the gap that motivates the work lies between them rather than inside either one.</w:t>
      </w:r>
    </w:p>
    <w:p>
      <w:pPr>
        <w:pStyle w:val="BodyText"/>
        <w:spacing w:line="480" w:lineRule="auto"/>
        <w:ind w:firstLine="720"/>
      </w:pPr>
      <w:r>
        <w:t xml:space="preserve">The first is the domain literature on ITU filing, geostationary coordination, and orbital sustainability. It is mature in three respects. ITU filing and coordination are described as the operative allocation mechanism, and independent assessment of geostationary compliance is an active and methodologically explicit research program</w:t>
      </w:r>
      <w:r>
        <w:t xml:space="preserve"> </w:t>
      </w:r>
      <w:hyperlink w:anchor="ref-1">
        <w:r>
          <w:rPr>
            <w:rStyle w:val="Hyperlink"/>
          </w:rPr>
          <w:t xml:space="preserve">[1]</w:t>
        </w:r>
      </w:hyperlink>
      <w:r>
        <w:t xml:space="preserve">. The Radio Regulations are documented as deliberately structured to protect incumbent geostationary networks against later entrants, which is exactly what makes priority an asset worth holding</w:t>
      </w:r>
      <w:r>
        <w:t xml:space="preserve"> </w:t>
      </w:r>
      <w:hyperlink w:anchor="ref-2">
        <w:r>
          <w:rPr>
            <w:rStyle w:val="Hyperlink"/>
          </w:rPr>
          <w:t xml:space="preserve">[2]</w:t>
        </w:r>
      </w:hyperlink>
      <w:r>
        <w:t xml:space="preserve">. The sustainability literature treats the ITU spectrum regime as a binding governing layer in composite indicators of orbital sustainability and in earth-outer-space system frameworks [3, 4]. The economics of orbital scarcity is taken up explicitly in the space-economy literature, which frames the arc as a rival, congestible resource whose value rises with the density of incumbents [5, 11], and the geography-of-orbital-risk evidence quantifies how that density varies along the arc [9, 10]. Operational case material on warehousing, including the Iranian Zohreh filings and the Tongasat Pacific portfolio, is documented in the legal and policy record [8, 13], and the ITU’s own register of suspended satellite networks (list1149) provides a public ledger of filings that lapsed without sustained operational use [7, 12]. Domain-specific surveys of geosynchronous license applications have begun to map the queue empirically</w:t>
      </w:r>
      <w:r>
        <w:t xml:space="preserve"> </w:t>
      </w:r>
      <w:hyperlink w:anchor="ref-17">
        <w:r>
          <w:rPr>
            <w:rStyle w:val="Hyperlink"/>
          </w:rPr>
          <w:t xml:space="preserve">[17]</w:t>
        </w:r>
      </w:hyperlink>
      <w:r>
        <w:t xml:space="preserve">, and the broader stakes have been articulated in the rising-cost analysis of geostationary slots under future debris and contestation risk</w:t>
      </w:r>
      <w:r>
        <w:t xml:space="preserve"> </w:t>
      </w:r>
      <w:hyperlink w:anchor="ref-21">
        <w:r>
          <w:rPr>
            <w:rStyle w:val="Hyperlink"/>
          </w:rPr>
          <w:t xml:space="preserve">[21]</w:t>
        </w:r>
      </w:hyperlink>
      <w:r>
        <w:t xml:space="preserve">, in the strategic analysis of low-Earth-orbit broadband competition that frames the same incentive problem one shell down</w:t>
      </w:r>
      <w:r>
        <w:t xml:space="preserve"> </w:t>
      </w:r>
      <w:hyperlink w:anchor="ref-20">
        <w:r>
          <w:rPr>
            <w:rStyle w:val="Hyperlink"/>
          </w:rPr>
          <w:t xml:space="preserve">[20]</w:t>
        </w:r>
      </w:hyperlink>
      <w:r>
        <w:t xml:space="preserve">, and in projections of orbital demand and environmental capacity that situate the arc question within a larger capacity envelope</w:t>
      </w:r>
      <w:r>
        <w:t xml:space="preserve"> </w:t>
      </w:r>
      <w:hyperlink w:anchor="ref-19">
        <w:r>
          <w:rPr>
            <w:rStyle w:val="Hyperlink"/>
          </w:rPr>
          <w:t xml:space="preserve">[19]</w:t>
        </w:r>
      </w:hyperlink>
      <w:r>
        <w:t xml:space="preserve">. The domain literature, in short, knows that priority is valuable, that the arc is unevenly congested, that warehousing case studies exist, and that the public record is rich enough to be queried.</w:t>
      </w:r>
    </w:p>
    <w:p>
      <w:pPr>
        <w:pStyle w:val="BodyText"/>
        <w:spacing w:line="480" w:lineRule="auto"/>
        <w:ind w:firstLine="720"/>
      </w:pPr>
      <w:r>
        <w:t xml:space="preserve">The second is the literature on econometric method for duration and discrete-outcome data. It is equally mature, but it has developed largely independently of the satellite-spectrum context. Survival analysis with right censoring, the Cox proportional-hazards model, discrete-time conversion hazards, binary logit estimation of conditional choice probabilities, and the use of fixed effects to absorb structural heterogeneity are standard tools across labor economics, industrial organization, and public-policy evaluation. The institutional analog is well understood: when an agent holds a time-limited right whose value rises with the contested-ness of the underlying resource, the conditional hazard of exercising that right is the quantity that distinguishes strategic option-holding from ordinary delay. Translating the warehousing question into that estimand is straightforward once it is posed.</w:t>
      </w:r>
    </w:p>
    <w:p>
      <w:pPr>
        <w:pStyle w:val="BodyText"/>
        <w:spacing w:line="480" w:lineRule="auto"/>
        <w:ind w:firstLine="720"/>
      </w:pPr>
      <w:r>
        <w:t xml:space="preserve">Between the two sits a gap, and it is the absence of an explicit translation. No retrieved source in the domain literature models the ITU filing-to-bring-into-use conversion as a strategic option whose hazard depends on cell congestion conditional on operator and band covariates. The harmful-interference compliance literature focuses on operating spacecraft rather than on the upstream filing decision</w:t>
      </w:r>
      <w:r>
        <w:t xml:space="preserve"> </w:t>
      </w:r>
      <w:hyperlink w:anchor="ref-1">
        <w:r>
          <w:rPr>
            <w:rStyle w:val="Hyperlink"/>
          </w:rPr>
          <w:t xml:space="preserve">[1]</w:t>
        </w:r>
      </w:hyperlink>
      <w:r>
        <w:t xml:space="preserve">. The sustainability literature treats the ITU regime as a binding constraint but does not estimate behavioral response to congestion inside it [3, 4]. The orbital-geography evidence quantifies arc density without connecting it to filing behavior [9, 10]. The operational case record describes warehousing qualitatively rather than estimating its prevalence [8, 13]. The space-economy literature theorizes scarcity-induced option-holding without estimating it on the ITU panel [5, 11, 14]. The ITU’s own suspended-network register is treated as institutional documentation rather than as the censoring information in a survival framework [7, 12]. The two companion papers that constitute the empirical foundation of this dissertation, a binary logit of conversion on arc congestion and a Cox proportional-hazards model of time-to-bring-into-use on the same documented panel, are the first to make the translation explicit, and even those papers report the result on a curated 34-filing sample rather than on the full Space Network List register. The dissertation extends that translation to the public register at scale and to a falsifiable hypothesis about cell-level congestion.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estimated coefficient: the difference in the conditional hazard of operational conversion between ITU filings in congested band-and-longitude cells and filings in uncongested cells, controlling for operator type, frequency band, and filing cohort year. Let the congestion of a filing’s cell be defined as the count of competing prior-priority filings whose frequency assignment and orbital-longitude window overlap that of the focal filing at the time of submission, computed deterministically from the ITU Space Network List and Space Network Systems public records [7, 12]. Let conversion be defined as the filing being recorded as brought into use by a sustained operational system before its regulatory bringing-into-use deadline lapses. The estimand is the coefficient on cell congestion in a discrete-time survival model of conversion hazard, with the ITU bringing-into-use window serving as the within-filing clock that defines the at-risk period.</w:t>
      </w:r>
    </w:p>
    <w:p>
      <w:pPr>
        <w:pStyle w:val="BodyText"/>
        <w:spacing w:line="480" w:lineRule="auto"/>
        <w:ind w:firstLine="720"/>
      </w:pPr>
      <w:r>
        <w:t xml:space="preserve">The hypotheses are stated precisely so that they can be falsified. The null, H0, is that conditional on operator type, frequency band, and filing cohort year, the hazard of conversion is independent of cell congestion, and the estimated congestion coefficient is statistically indistinguishable from zero. The alternative, H1, is that higher cell congestion is associated with a strictly lower conversion hazard, so that filings in more contested cells are disproportionately held to their bringing-into-use deadline without converting. H1 is the warehousing signature. A single sign decides it. H1 is falsified if the estimated congestion coefficient is zero or positive once the controls and the bringing-into-use clock are applied.</w:t>
      </w:r>
    </w:p>
    <w:p>
      <w:pPr>
        <w:pStyle w:val="BodyText"/>
        <w:spacing w:line="480" w:lineRule="auto"/>
        <w:ind w:firstLine="720"/>
      </w:pPr>
      <w:r>
        <w:t xml:space="preserve">The single coefficient is load-bearing in two senses. First, it is the quantity that distinguishes strategic option-holding from ordinary deployment delay, because deployment delay is absorbed by the bringing-into-use clock itself and by band and cohort fixed effects, while strategic option-holding is precisely the response of conversion behavior to congestion conditional on those controls. Second, it is the quantity a regulator can act on. A measurable congestion gradient in the conversion hazard is the evidence base for filing-discipline reform; the absence of such a gradient relocates the policy target elsewhere in the queue, as the binary logit companion paper already finds in its curated panel, where the dominant gradient is a cohort effect rather than an arc-congestion effect.</w:t>
      </w:r>
    </w:p>
    <w:p>
      <w:pPr>
        <w:pStyle w:val="BodyText"/>
        <w:spacing w:line="480" w:lineRule="auto"/>
        <w:ind w:firstLine="720"/>
      </w:pPr>
      <w:r>
        <w:t xml:space="preserve">The honest position of this dissertation is that the companion logit and Cox results on the curated panel do not support H1 at conventional significance, that the warehousing signal in those data lives in the censored tail and in the recent-cohort deficit rather than in a smooth arc-congestion gradient, and that the full-register survival estimate proposed here is the natural test of whether that null survives at scale or whether the curated-panel finding is an artifact of sample size and ordinal arc-tier coding. Either outcome is a contribution. A negative congestion coefficient at scale confirms warehousing as an arc-scarcity phenomenon and underwrites a congestion-indexed remedy. A null or positive coefficient at scale corroborates the companion-paper finding, redirects regulatory attention to the duration tail and to recent cohorts, and produces a transparent estimate that the policy literature does not currently have.</w:t>
      </w:r>
    </w:p>
    <w:bookmarkEnd w:id="64"/>
    <w:bookmarkStart w:id="65" w:name="method-data-and-identification-in-brief"/>
    <w:p>
      <w:pPr>
        <w:pStyle w:val="Heading2"/>
        <w:spacing w:line="480" w:lineRule="auto"/>
      </w:pPr>
      <w:r>
        <w:t xml:space="preserve">1.5 Method, Data, and Identification in Brief</w:t>
      </w:r>
    </w:p>
    <w:p>
      <w:pPr>
        <w:pStyle w:val="FirstParagraph"/>
        <w:spacing w:line="480" w:lineRule="auto"/>
      </w:pPr>
      <w:r>
        <w:t xml:space="preserve">The unit of analysis is the individual ITU satellite-network filing. The dataset is the ITU Space Network List and the companion Space Network Systems database, published by the ITU Radiocommunication Bureau and accessible through public ITU Space Explorer and SNL Online services [7, 12]. These records carry the notifying administration, the orbital longitude, the frequency assignments, the filing and priority dates, the regulatory-procedure stage, and the bringing-into-use status, which are the fields required to construct cohort indicators, cell-congestion counts, operator and band fixed effects, and the conversion outcome. The publication of these records is exactly the public record that independent compliance-assessment work draws upon</w:t>
      </w:r>
      <w:r>
        <w:t xml:space="preserve"> </w:t>
      </w:r>
      <w:hyperlink w:anchor="ref-1">
        <w:r>
          <w:rPr>
            <w:rStyle w:val="Hyperlink"/>
          </w:rPr>
          <w:t xml:space="preserve">[1]</w:t>
        </w:r>
      </w:hyperlink>
      <w:r>
        <w:t xml:space="preserve"> </w:t>
      </w:r>
      <w:r>
        <w:t xml:space="preserve">and that prior survey work has begun to map</w:t>
      </w:r>
      <w:r>
        <w:t xml:space="preserve"> </w:t>
      </w:r>
      <w:hyperlink w:anchor="ref-17">
        <w:r>
          <w:rPr>
            <w:rStyle w:val="Hyperlink"/>
          </w:rPr>
          <w:t xml:space="preserve">[17]</w:t>
        </w:r>
      </w:hyperlink>
      <w:r>
        <w:t xml:space="preserve">.</w:t>
      </w:r>
    </w:p>
    <w:p>
      <w:pPr>
        <w:pStyle w:val="BodyText"/>
        <w:spacing w:line="480" w:lineRule="auto"/>
        <w:ind w:firstLine="720"/>
      </w:pPr>
      <w:r>
        <w:t xml:space="preserve">The estimator is a discrete-time conversion-hazard model. Identification of the congestion coefficient rests on within-band, within-cohort variation in cell congestion. Comparing filings in the same band and submission-year cohort that differ in the count of overlapping prior-priority filings holds fixed the technological and macro-demand determinants of deployment and isolates the strategic response to contestation. Operator fixed effects absorb the tendency of some administrations to file speculatively as a matter of policy. Robustness checks address the four principal threats to validity, in the same structure used by the prospectus and the companion papers: that congestion proxies for technical difficulty rather than strategic holding, that bringing-into-use rules have changed across World Radiocommunication Conference cycles including the WRC-19 revisions</w:t>
      </w:r>
      <w:r>
        <w:t xml:space="preserve"> </w:t>
      </w:r>
      <w:hyperlink w:anchor="ref-2">
        <w:r>
          <w:rPr>
            <w:rStyle w:val="Hyperlink"/>
          </w:rPr>
          <w:t xml:space="preserve">[2]</w:t>
        </w:r>
      </w:hyperlink>
      <w:r>
        <w:t xml:space="preserve">, that token deployments bias the conversion measure upward and the warehousing gradient toward zero, and that the cell definition is sensitive to chosen frequency and longitude tolerances.</w:t>
      </w:r>
    </w:p>
    <w:bookmarkEnd w:id="65"/>
    <w:bookmarkStart w:id="66" w:name="roadmap-of-the-dissertation"/>
    <w:p>
      <w:pPr>
        <w:pStyle w:val="Heading2"/>
        <w:spacing w:line="480" w:lineRule="auto"/>
      </w:pPr>
      <w:r>
        <w:t xml:space="preserve">1.6 Roadmap of the Dissertation</w:t>
      </w:r>
    </w:p>
    <w:p>
      <w:pPr>
        <w:pStyle w:val="FirstParagraph"/>
        <w:spacing w:line="480" w:lineRule="auto"/>
      </w:pPr>
      <w:r>
        <w:t xml:space="preserve">The remainder of the dissertation proceeds in seven chapters.</w:t>
      </w:r>
    </w:p>
    <w:p>
      <w:pPr>
        <w:pStyle w:val="BodyText"/>
        <w:spacing w:line="480" w:lineRule="auto"/>
        <w:ind w:firstLine="720"/>
      </w:pPr>
      <w:r>
        <w:t xml:space="preserve">Chapter 2 develops the institutional and economic background in detail. It traces the ITU filing procedure, the priority-date mechanism, the bringing-into-use window, and the suspension regime documented in list1149 [7, 12], and it situates these against the WRC-19 protection architecture for geostationary networks</w:t>
      </w:r>
      <w:r>
        <w:t xml:space="preserve"> </w:t>
      </w:r>
      <w:hyperlink w:anchor="ref-2">
        <w:r>
          <w:rPr>
            <w:rStyle w:val="Hyperlink"/>
          </w:rPr>
          <w:t xml:space="preserve">[2]</w:t>
        </w:r>
      </w:hyperlink>
      <w:r>
        <w:t xml:space="preserve"> </w:t>
      </w:r>
      <w:r>
        <w:t xml:space="preserve">and the harmful-interference compliance literature</w:t>
      </w:r>
      <w:r>
        <w:t xml:space="preserve"> </w:t>
      </w:r>
      <w:hyperlink w:anchor="ref-1">
        <w:r>
          <w:rPr>
            <w:rStyle w:val="Hyperlink"/>
          </w:rPr>
          <w:t xml:space="preserve">[1]</w:t>
        </w:r>
      </w:hyperlink>
      <w:r>
        <w:t xml:space="preserve">. It then surveys the orbital-economics treatment of scarcity, congestion, and option-holding [5, 11, 14] and the geography-of-orbital-risk evidence on uneven arc density [9, 10], establishing the empirical landscape inside which the conversion question is posed.</w:t>
      </w:r>
    </w:p>
    <w:p>
      <w:pPr>
        <w:pStyle w:val="BodyText"/>
        <w:spacing w:line="480" w:lineRule="auto"/>
        <w:ind w:firstLine="720"/>
      </w:pPr>
      <w:r>
        <w:t xml:space="preserve">Chapter 3 reviews the domain and methodological literatures and develops the gap argument summarized in this introduction. It reviews the sustainability and composite-indicator literature on the ITU regime as a governing constraint [3, 4, 6], the broader Acta Astronautica corpus on commercialization and sustainability of the orbital commons [23, 24, 26], adjacent regulatory analyses of the air-space and large-constellation interface [22, 27], and the prior empirical mapping of the geosynchronous license queue</w:t>
      </w:r>
      <w:r>
        <w:t xml:space="preserve"> </w:t>
      </w:r>
      <w:hyperlink w:anchor="ref-17">
        <w:r>
          <w:rPr>
            <w:rStyle w:val="Hyperlink"/>
          </w:rPr>
          <w:t xml:space="preserve">[17]</w:t>
        </w:r>
      </w:hyperlink>
      <w:r>
        <w:t xml:space="preserve">. It then turns to the survival and discrete-choice methods literature and develops the translation of the warehousing question into a conversion-hazard estimand.</w:t>
      </w:r>
    </w:p>
    <w:p>
      <w:pPr>
        <w:pStyle w:val="BodyText"/>
        <w:spacing w:line="480" w:lineRule="auto"/>
        <w:ind w:firstLine="720"/>
      </w:pPr>
      <w:r>
        <w:t xml:space="preserve">Chapter 4 specifies the theoretical model. It formalizes the filing-as-option framing, derives the prediction that the conditional conversion hazard is decreasing in cell congestion under strategic option-holding, and states the comparative statics that distinguish warehousing from technical-difficulty and demand-shock alternatives. The chapter closes with the precise statement of H0 and H1 reproduced from Section 1.4 above.</w:t>
      </w:r>
    </w:p>
    <w:p>
      <w:pPr>
        <w:pStyle w:val="BodyText"/>
        <w:spacing w:line="480" w:lineRule="auto"/>
        <w:ind w:firstLine="720"/>
      </w:pPr>
      <w:r>
        <w:t xml:space="preserve">Chapter 5 describes the data construction. It documents the ITU Space Network List and Space Network Systems extraction, the construction of cell-congestion counts from overlapping prior-priority filings, the cohort assignment from priority dates, the operator and band classification, the conversion outcome from bringing-into-use status, and the censoring rules for filings still inside their regulatory window. It reports descriptive statistics on the constructed panel, including the share of suspended filings represented in list1149 [7, 12] and the share of bands and longitudes covered.</w:t>
      </w:r>
    </w:p>
    <w:p>
      <w:pPr>
        <w:pStyle w:val="BodyText"/>
        <w:spacing w:line="480" w:lineRule="auto"/>
        <w:ind w:firstLine="720"/>
      </w:pPr>
      <w:r>
        <w:t xml:space="preserve">Chapter 6 reports the econometric results. The primary estimate is the discrete-time conversion-hazard coefficient on cell congestion, reported on a specification ladder from raw association to fully conditioned estimate with operator, band, and cohort fixed effects. Robustness checks include the four threats specified in Section 1.5, the regime-interaction term for the WRC-19 cycle</w:t>
      </w:r>
      <w:r>
        <w:t xml:space="preserve"> </w:t>
      </w:r>
      <w:hyperlink w:anchor="ref-2">
        <w:r>
          <w:rPr>
            <w:rStyle w:val="Hyperlink"/>
          </w:rPr>
          <w:t xml:space="preserve">[2]</w:t>
        </w:r>
      </w:hyperlink>
      <w:r>
        <w:t xml:space="preserve">, and a tolerance-grid for the cell definition. The Cox proportional-hazards companion specification on the curated panel and the binary logit companion specification are reported as benchmarks, and the full-register estimate is compared against each.</w:t>
      </w:r>
    </w:p>
    <w:p>
      <w:pPr>
        <w:pStyle w:val="BodyText"/>
        <w:spacing w:line="480" w:lineRule="auto"/>
        <w:ind w:firstLine="720"/>
      </w:pPr>
      <w:r>
        <w:t xml:space="preserve">Chapter 7 discusses the policy implications for NASA, JPL, and the broader civil-space and commercial-operator community. It develops the implications for the spectrum-coordination assumptions embedded in NASA mission concepts of operations, for the JPL deep-space and lunar-communications mission architectures that depend on a predictable ITU queue, and for the design of filing-discipline reform under the WRC framework. If the headline congestion coefficient is negative at scale, the chapter develops a congestion-indexed bringing-into-use remedy. If it is null or positive, the chapter follows the companion-paper logic and develops a duration-tail and recent-cohort remedy that escalates the cost of holding any unexercised filing as it approaches the regulatory horizon.</w:t>
      </w:r>
    </w:p>
    <w:p>
      <w:pPr>
        <w:pStyle w:val="BodyText"/>
        <w:spacing w:line="480" w:lineRule="auto"/>
        <w:ind w:firstLine="720"/>
      </w:pPr>
      <w:r>
        <w:t xml:space="preserve">Chapter 8 concludes. It restates the single coefficient that the dissertation estimates, the falsification rule that governs its interpretation, the validity threats it survives, and the residual uncertainty it leaves on the table. It identifies the natural extensions, including competing-risks modeling of the censored tail and replication on adjacent regulatory regimes for low-Earth-orbit and cislunar spectrum where the same incentive structure obtains.</w:t>
      </w:r>
    </w:p>
    <w:p>
      <w:pPr>
        <w:pStyle w:val="BodyText"/>
        <w:spacing w:line="480" w:lineRule="auto"/>
        <w:ind w:firstLine="720"/>
      </w:pPr>
      <w:r>
        <w:t xml:space="preserve">The dissertation is, in summary, a single-coefficient empirical contribution to a domain literature that has identified the warehousing problem qualitatively and to a methods literature that has the tools to estimate it quantitatively. Its purpose is to close the gap between those two literatures with an estimate that NASA, JPL, and the regulatory community can act on.</w:t>
      </w:r>
    </w:p>
    <w:bookmarkEnd w:id="66"/>
    <w:bookmarkEnd w:id="67"/>
    <w:bookmarkStart w:id="74" w:name="chapter-2.-literature-review"/>
    <w:p>
      <w:pPr>
        <w:pStyle w:val="Heading1"/>
        <w:spacing w:line="480" w:lineRule="auto"/>
      </w:pPr>
      <w:r>
        <w:t xml:space="preserve">Chapter 2. Literature Review</w:t>
      </w:r>
    </w:p>
    <w:bookmarkStart w:id="68" w:name="introduction-and-organizing-logic"/>
    <w:p>
      <w:pPr>
        <w:pStyle w:val="Heading2"/>
        <w:spacing w:line="480" w:lineRule="auto"/>
      </w:pPr>
      <w:r>
        <w:t xml:space="preserve">2.1 Introduction and Organizing Logic</w:t>
      </w:r>
    </w:p>
    <w:p>
      <w:pPr>
        <w:pStyle w:val="FirstParagraph"/>
        <w:spacing w:line="480" w:lineRule="auto"/>
      </w:pPr>
      <w:r>
        <w:t xml:space="preserve">The literature relevant to the strategic acquisition of geostationary orbital slots and the practice commonly called spectrum warehousing has accumulated across two distinct scholarly communities that have largely failed to address one another. On one side stands a substantial domain technical and regulatory literature, produced by spectrum engineers, space lawyers, sustainability scholars, and orbital-environment analysts, that has documented the institutional architecture of the International Telecommunication Union (ITU) filing procedure, the physics of geostationary congestion, and the policy stakes of the paper-satellite phenomenon. On the other side stands a methodological literature, drawn from cliometric and econometric practice, that has developed precisely the tools of survival analysis, discrete-outcome modeling, and option-theoretic structural estimation that would be required to convert a strategic conjecture about filing behavior into a falsifiable empirical claim. Each half is incomplete. The first literature poses the right question without the right tools; the second supplies the right tools without ever having been pointed at the question. This dissertation lives in the gap between them, and the purpose of this chapter is to map that gap with sufficient precision that the structural conversion-hazard model developed in subsequent chapters can be located unambiguously inside it.</w:t>
      </w:r>
    </w:p>
    <w:p>
      <w:pPr>
        <w:pStyle w:val="BodyText"/>
        <w:spacing w:line="480" w:lineRule="auto"/>
        <w:ind w:firstLine="720"/>
      </w:pPr>
      <w:r>
        <w:t xml:space="preserve">The review proceeds in five movements. Section 2.2 reconstructs the technical and regulatory literature on ITU filing, the Radio Regulations, and the priority-date mechanism that gives the queue its economic content. Section 2.3 surveys the parallel literature on orbital scarcity, congestion, and the sustainability framing of the geostationary arc as a contested commons. Section 2.4 turns to the documentary record of paper satellites and warehousing case law, in which the phenomenon is asserted to exist but is not measured. Section 2.5 reviews the methodological literature most relevant to the dissertation’s design, namely survival and hazard models, binary-outcome estimation under censoring, and the option-theoretic interpretation of holding behavior under congestion. Section 2.6 synthesizes both literatures, identifies the unjoined seam, and states the structural-modeling gap that the remainder of the dissertation closes.</w:t>
      </w:r>
    </w:p>
    <w:bookmarkEnd w:id="68"/>
    <w:bookmarkStart w:id="69" w:name="X10c062d015782b8abafc38b98d041e14107e862"/>
    <w:p>
      <w:pPr>
        <w:pStyle w:val="Heading2"/>
        <w:spacing w:line="480" w:lineRule="auto"/>
      </w:pPr>
      <w:r>
        <w:t xml:space="preserve">2.2 The Technical and Regulatory Literature on ITU Filing</w:t>
      </w:r>
    </w:p>
    <w:p>
      <w:pPr>
        <w:pStyle w:val="FirstParagraph"/>
        <w:spacing w:line="480" w:lineRule="auto"/>
      </w:pPr>
      <w:r>
        <w:t xml:space="preserve">The most rigorous institutional account of the ITU filing procedure as it operates today is provided by Karra and Jah, whose independent method for assessing harmful interference and compliance in the geostationary orbital regime treats the public filing record as an auditable object [1, 15]. Their contribution is twofold. First, they establish that the filing record is, in principle, transparent: the network filings published by the ITU Radiocommunication Bureau carry sufficient identifying information to be matched to operating spacecraft, which is the prerequisite for any external claim about whether a filing has actually been converted into use. Second, they demonstrate that the matching itself is non-trivial, requiring careful reconciliation of orbital and frequency parameters across heterogeneous administrative records. The implication, for the present work, is that the conversion outcome at the heart of any warehousing test is observable in the public record but only with disciplined methodological care, a precondition the empirical strategy of this dissertation honors by relying exclusively on the ITU Space Network List (SNL) and Space Network Systems (SNS) databases [7, 12].</w:t>
      </w:r>
    </w:p>
    <w:p>
      <w:pPr>
        <w:pStyle w:val="BodyText"/>
        <w:spacing w:line="480" w:lineRule="auto"/>
        <w:ind w:firstLine="720"/>
      </w:pPr>
      <w:r>
        <w:t xml:space="preserve">The institutional setting that gives the filing record its strategic significance is the priority-date mechanism, examined most directly by Allison in her account of the World Radiocommunication Conference of 2019 (WRC-19) [2, 18]. Allison’s central observation, drawn from the negotiating record of the conference, is that the Radio Regulations were revised specifically to protect incumbent geostationary fixed-satellite, broadcasting-satellite, and mobile-satellite networks from interference by later entrants. Protection in the Radio Regulations is not a courtesy; it is a substantive entitlement enforced through the coordination procedure, and it accrues to the holder of an earlier priority date. The economic implication that the present dissertation draws out, and that Allison stops short of stating in econometric terms, is that an early priority is a real option whose intrinsic value rises with the scarcity of the band-and-longitude cell to which it applies. The WRC-19 record thus supplies the institutional warrant for treating filing behavior as strategic rather than merely procedural.</w:t>
      </w:r>
    </w:p>
    <w:p>
      <w:pPr>
        <w:pStyle w:val="BodyText"/>
        <w:spacing w:line="480" w:lineRule="auto"/>
        <w:ind w:firstLine="720"/>
      </w:pPr>
      <w:r>
        <w:t xml:space="preserve">A complementary technical perspective is provided by Skinner and colleagues, whose investigation of commercial space situational awareness concepts for geostationary satellite operators documents the operational realities that filing-and-deployment decisions confront</w:t>
      </w:r>
      <w:r>
        <w:t xml:space="preserve"> </w:t>
      </w:r>
      <w:hyperlink w:anchor="ref-16">
        <w:r>
          <w:rPr>
            <w:rStyle w:val="Hyperlink"/>
          </w:rPr>
          <w:t xml:space="preserve">[16]</w:t>
        </w:r>
      </w:hyperlink>
      <w:r>
        <w:t xml:space="preserve">. Their work matters here for two reasons. It establishes that the geostationary arc is observable with sufficient fidelity that operators and regulators alike can verify whether a filed network is being used as filed, and it demonstrates that the operating cost of maintaining a geostationary asset is substantial enough that the decision to deploy is not a foregone conclusion once a filing has matured. The literature thus closes both halves of the conversion question: whether a filing has been converted is verifiable, and whether to convert is a real economic decision rather than an administrative formality.</w:t>
      </w:r>
    </w:p>
    <w:p>
      <w:pPr>
        <w:pStyle w:val="BodyText"/>
        <w:spacing w:line="480" w:lineRule="auto"/>
        <w:ind w:firstLine="720"/>
      </w:pPr>
      <w:r>
        <w:t xml:space="preserve">The most directly empirical contribution to the ITU-filing literature is the Roberts and Linares survey of ITU space station license applications in the geosynchronous orbital regime</w:t>
      </w:r>
      <w:r>
        <w:t xml:space="preserve"> </w:t>
      </w:r>
      <w:hyperlink w:anchor="ref-17">
        <w:r>
          <w:rPr>
            <w:rStyle w:val="Hyperlink"/>
          </w:rPr>
          <w:t xml:space="preserve">[17]</w:t>
        </w:r>
      </w:hyperlink>
      <w:r>
        <w:t xml:space="preserve">. This work is the closest antecedent in the literature to the descriptive backbone of the present dissertation. Roberts and Linares assemble the filing record at the level of the individual application and document the heterogeneity of administrations, operators, and frequency assignments populating the queue. Their analysis is descriptive rather than structural: it characterizes who has filed, with what, and where, but it does not estimate the conversion process by which filings either become operational systems or expire. The dissertation extends their descriptive groundwork in two directions. It augments the cross-section with the bringing-into-use clock that supplies a within-filing time dimension, and it embeds the filing decision in a structural model that distinguishes warehousing from ordinary deployment delay. The Roberts and Linares survey is the descriptive layer over which the conversion-hazard estimator of this dissertation is built.</w:t>
      </w:r>
    </w:p>
    <w:p>
      <w:pPr>
        <w:pStyle w:val="BodyText"/>
        <w:spacing w:line="480" w:lineRule="auto"/>
        <w:ind w:firstLine="720"/>
      </w:pPr>
      <w:r>
        <w:t xml:space="preserve">A more recent technical assessment of the geostationary arc as a competitive environment is offered by the arXiv working paper on competitive satellite placement and the geography of orbital risk, which constructs arc-density tiers that quantify the contestation of different longitude bands [9, 10]. Its contribution is to make arc congestion measurable as an ordinal tier rather than a rhetorical claim, and the companion papers of this dissertation draw directly on those tiers when constructing the congestion covariates used in the binary logit and Cox proportional-hazards estimators [p1, p2]. The limitation of the arc-density literature for present purposes is that it stops short of the filing record itself: it characterizes the spatial distribution of operational spacecraft but does not connect that distribution back to the filing decisions that produced it. The bridge between the two, from filing to operational outcome, is precisely what this dissertation builds.</w:t>
      </w:r>
    </w:p>
    <w:p>
      <w:pPr>
        <w:pStyle w:val="BodyText"/>
        <w:spacing w:line="480" w:lineRule="auto"/>
        <w:ind w:firstLine="720"/>
      </w:pPr>
      <w:r>
        <w:t xml:space="preserve">Two further strands round out the technical-regulatory literature. The first concerns interference and uplink-side measurement, exemplified by the Quintana-Diaz study of satellite uplink interference in the amateur radio band</w:t>
      </w:r>
      <w:r>
        <w:t xml:space="preserve"> </w:t>
      </w:r>
      <w:hyperlink w:anchor="ref-25">
        <w:r>
          <w:rPr>
            <w:rStyle w:val="Hyperlink"/>
          </w:rPr>
          <w:t xml:space="preserve">[25]</w:t>
        </w:r>
      </w:hyperlink>
      <w:r>
        <w:t xml:space="preserve">. While the band and the operator class differ from the commercial geostationary case, the methodological lesson translates: interference is an observable signal whose statistical structure can be measured against a regulatory baseline, and the same logic underwrites the auditability of geostationary compliance documented by Karra and Jah [1, 15]. The second is the literature on space traffic management and large constellations, in which Sorge and colleagues document the institutional pressures that contested orbital regimes now place on regulatory machinery</w:t>
      </w:r>
      <w:r>
        <w:t xml:space="preserve"> </w:t>
      </w:r>
      <w:hyperlink w:anchor="ref-27">
        <w:r>
          <w:rPr>
            <w:rStyle w:val="Hyperlink"/>
          </w:rPr>
          <w:t xml:space="preserve">[27]</w:t>
        </w:r>
      </w:hyperlink>
      <w:r>
        <w:t xml:space="preserve">. The constellation literature is principally low-Earth-orbit in focus, but its diagnostic, that regulatory institutions designed for a sparser environment are being stressed by a denser one, applies with equal force to the geostationary filing queue this dissertation studies.</w:t>
      </w:r>
    </w:p>
    <w:bookmarkEnd w:id="69"/>
    <w:bookmarkStart w:id="70" w:name="Xbc04c73c0e63b95ee0667a0cc8c40e3ec13ef8c"/>
    <w:p>
      <w:pPr>
        <w:pStyle w:val="Heading2"/>
        <w:spacing w:line="480" w:lineRule="auto"/>
      </w:pPr>
      <w:r>
        <w:t xml:space="preserve">2.3 The Scarcity, Sustainability, and Commons Literature</w:t>
      </w:r>
    </w:p>
    <w:p>
      <w:pPr>
        <w:pStyle w:val="FirstParagraph"/>
        <w:spacing w:line="480" w:lineRule="auto"/>
      </w:pPr>
      <w:r>
        <w:t xml:space="preserve">The technical literature on ITU filing sits inside a wider scholarly conversation that frames the orbital environment itself as a scarce, congested, and contested commons. The defining contribution here is the Weinzierl essay on space as the final economic frontier, which establishes the conceptual vocabulary, congestion, contestation, competition, that has since been adopted across the sustainability literature [5, 11]. Weinzierl’s argument matters for the present dissertation in two ways. First, by treating orbital and spectrum resources as economically rival and congestible, it supplies the theoretical ground on which the option value of a held filing rises with cell scarcity, which is the structural mechanism the dissertation tests. Second, by framing access to those resources as a question of property and entitlement rather than mere coordination, it locates the filing procedure inside a recognizable institutional-economics tradition, where the priority date is not a bureaucratic artefact but an enforceable claim with measurable value.</w:t>
      </w:r>
    </w:p>
    <w:p>
      <w:pPr>
        <w:pStyle w:val="BodyText"/>
        <w:spacing w:line="480" w:lineRule="auto"/>
        <w:ind w:firstLine="720"/>
      </w:pPr>
      <w:r>
        <w:t xml:space="preserve">The sustainability literature has developed two distinct but complementary framings of this commons. The first, exemplified by Cirkovic and Wood, integrates orbital and spectrum governance into a planetary-boundaries framework that treats the Earth-outer space system as a single coupled environment [3, 23]. The contribution of this framing for the dissertation is to establish that ITU spectrum rules are not external to the sustainability question but constitute one of its governing layers. Cirkovic and Wood treat the Radio Regulations as a binding institutional constraint within which any sustainable use of the orbital commons must operate, which legitimates the present project’s treatment of filing behavior as a sustainability-relevant outcome rather than a purely regulatory curiosity.</w:t>
      </w:r>
    </w:p>
    <w:p>
      <w:pPr>
        <w:pStyle w:val="BodyText"/>
        <w:spacing w:line="480" w:lineRule="auto"/>
        <w:ind w:firstLine="720"/>
      </w:pPr>
      <w:r>
        <w:t xml:space="preserve">The second framing within the sustainability literature is the composite-indicator approach to space sustainability rating, developed by Rathnasabapathy and colleagues [4, 6]. Their work constructs a measurement instrument that incentivizes operators to pursue long-term sustainability by aggregating observable behaviors into a graded score. Two features of the rating design are directly relevant here. First, the rating treats ITU compliance as one of its scored dimensions, which empirically connects the filing record to the broader sustainability conversation. Second, the rating methodology is itself an instance of operationalizing strategic behavior into a measurable outcome, which is the same methodological move this dissertation makes in operationalizing the warehousing conjecture into an estimable conversion hazard. The dissertation differs from the rating literature in that its outcome is an estimated parameter rather than an aggregated score, but the underlying commitment to measurement over rhetoric is shared.</w:t>
      </w:r>
    </w:p>
    <w:p>
      <w:pPr>
        <w:pStyle w:val="BodyText"/>
        <w:spacing w:line="480" w:lineRule="auto"/>
        <w:ind w:firstLine="720"/>
      </w:pPr>
      <w:r>
        <w:t xml:space="preserve">The wider Acta Astronautica literature reinforces the same framing across diverse application contexts. Giannopapa and colleagues develop the argument that space-enabled services constitute infrastructure for sustainable digital transformation, which implies that disruption of geostationary access through warehousing carries downstream welfare consequences extending well beyond the satellite industry itself</w:t>
      </w:r>
      <w:r>
        <w:t xml:space="preserve"> </w:t>
      </w:r>
      <w:hyperlink w:anchor="ref-24">
        <w:r>
          <w:rPr>
            <w:rStyle w:val="Hyperlink"/>
          </w:rPr>
          <w:t xml:space="preserve">[24]</w:t>
        </w:r>
      </w:hyperlink>
      <w:r>
        <w:t xml:space="preserve">. Dey and Jagadanandan articulate the tension between commercialization and sustainability in outer space, framing the warehousing question explicitly as a balance between private incentive and shared-resource protection</w:t>
      </w:r>
      <w:r>
        <w:t xml:space="preserve"> </w:t>
      </w:r>
      <w:hyperlink w:anchor="ref-26">
        <w:r>
          <w:rPr>
            <w:rStyle w:val="Hyperlink"/>
          </w:rPr>
          <w:t xml:space="preserve">[26]</w:t>
        </w:r>
      </w:hyperlink>
      <w:r>
        <w:t xml:space="preserve">. Shahady’s analysis of the future risk of space debris and contested environments establishes that the intrinsic and actual cost of geostationary slots is rising and will continue to rise as the environment becomes more contested, which sharpens the rationale for treating filing behavior as a strategic response to anticipated scarcity rather than a purely operational choice</w:t>
      </w:r>
      <w:r>
        <w:t xml:space="preserve"> </w:t>
      </w:r>
      <w:hyperlink w:anchor="ref-21">
        <w:r>
          <w:rPr>
            <w:rStyle w:val="Hyperlink"/>
          </w:rPr>
          <w:t xml:space="preserve">[21]</w:t>
        </w:r>
      </w:hyperlink>
      <w:r>
        <w:t xml:space="preserve">.</w:t>
      </w:r>
    </w:p>
    <w:p>
      <w:pPr>
        <w:pStyle w:val="BodyText"/>
        <w:spacing w:line="480" w:lineRule="auto"/>
        <w:ind w:firstLine="720"/>
      </w:pPr>
      <w:r>
        <w:t xml:space="preserve">The legal and institutional dimension of the commons literature is developed in Marboe’s treatment of suborbital activities at the twilight of air and space law, which, although focused on a different altitude regime, contributes the broader observation that international law applies unevenly across the contested institutional boundaries within which space resources are governed</w:t>
      </w:r>
      <w:r>
        <w:t xml:space="preserve"> </w:t>
      </w:r>
      <w:hyperlink w:anchor="ref-22">
        <w:r>
          <w:rPr>
            <w:rStyle w:val="Hyperlink"/>
          </w:rPr>
          <w:t xml:space="preserve">[22]</w:t>
        </w:r>
      </w:hyperlink>
      <w:r>
        <w:t xml:space="preserve">. The relevance for the dissertation is indirect but real: the filing procedure operates inside a regulatory architecture whose enforcement is, by design, soft, and the strategic rationality of warehousing depends in part on the limited enforceability of the bringing-into-use requirement.</w:t>
      </w:r>
    </w:p>
    <w:bookmarkEnd w:id="70"/>
    <w:bookmarkStart w:id="71" w:name="X0e2e4f5303b1a4cf781a62e132da08b1ea94160"/>
    <w:p>
      <w:pPr>
        <w:pStyle w:val="Heading2"/>
        <w:spacing w:line="480" w:lineRule="auto"/>
      </w:pPr>
      <w:r>
        <w:t xml:space="preserve">2.4 The Documentary Record of Paper Satellites and Warehousing</w:t>
      </w:r>
    </w:p>
    <w:p>
      <w:pPr>
        <w:pStyle w:val="FirstParagraph"/>
        <w:spacing w:line="480" w:lineRule="auto"/>
      </w:pPr>
      <w:r>
        <w:t xml:space="preserve">A third strand of the domain literature is the documentary and case-based literature on the paper-satellite phenomenon itself. The principal reference here is the Globalex treatment of paper satellites and the free use of outer space, which assembles the institutional record of notable warehousing cases, including the Iranian Zohreh filings and the Tongasat portfolio of leased Pacific slots [8, 13]. The Globalex account is invaluable as documentary witness: it establishes that warehousing is not an academic abstraction but an observed pattern with named instances and identifiable consequences for orbital access. It is, however, deliberately not an econometric source. The cases are described qualitatively, the rate at which they recur across the broader filing population is not estimated, and the conditional dependence of warehousing intensity on observable filing characteristics is not modeled. The magnitude goes unestimated. The literature thus poses the warehousing question as a stylized fact and waits for the structural model that this dissertation supplies.</w:t>
      </w:r>
    </w:p>
    <w:p>
      <w:pPr>
        <w:pStyle w:val="BodyText"/>
        <w:spacing w:line="480" w:lineRule="auto"/>
        <w:ind w:firstLine="720"/>
      </w:pPr>
      <w:r>
        <w:t xml:space="preserve">The ITU’s own record of suspended satellite networks, published as list1149, supplements the Globalex case record with an administrative dataset that documents which filings have been formally suspended under the bringing-into-use rules [7, 12]. The suspension list is the natural complement to the operational-conversion outcome modeled in the dissertation, since suspension constitutes one of the failure modes by which a filing exits the at-risk period without conversion. The suspended-network list is therefore not an alternative outcome to model but a constituent component of the conversion-failure category in the survival framework of the companion papers [p1, p2]. The dissertation’s contribution is to integrate the suspension record into a structural estimator rather than to treat it as a descriptive curiosity.</w:t>
      </w:r>
    </w:p>
    <w:p>
      <w:pPr>
        <w:pStyle w:val="BodyText"/>
        <w:spacing w:line="480" w:lineRule="auto"/>
        <w:ind w:firstLine="720"/>
      </w:pPr>
      <w:r>
        <w:t xml:space="preserve">Taken together, the technical-regulatory literature of Section 2.2, the sustainability and commons literature of Section 2.3, and the documentary literature of the present section produce a remarkably consistent characterization of the warehousing phenomenon. They agree that the priority-date mechanism creates the incentive [1, 2, 15, 18], that orbital and spectrum resources are scarce and contested [5, 9, 10, 11], that the filing record is observable [16, 17], and that warehousing happens with documented examples in the official record [7, 8, 12, 13]. What they do not produce, individually or jointly, is an estimated quantity. The literature has converged on a stylized description of warehousing without producing the conditional estimate of its intensity that would license a regulatory response calibrated to it.</w:t>
      </w:r>
    </w:p>
    <w:bookmarkEnd w:id="71"/>
    <w:bookmarkStart w:id="72" w:name="X808b476ed1eb65b74773cf96299b39b94abe50d"/>
    <w:p>
      <w:pPr>
        <w:pStyle w:val="Heading2"/>
        <w:spacing w:line="480" w:lineRule="auto"/>
      </w:pPr>
      <w:r>
        <w:t xml:space="preserve">2.5 The Methodological Literature: Survival Analysis, Binary-Outcome Estimation, and Option-Theoretic Holding</w:t>
      </w:r>
    </w:p>
    <w:p>
      <w:pPr>
        <w:pStyle w:val="FirstParagraph"/>
        <w:spacing w:line="480" w:lineRule="auto"/>
      </w:pPr>
      <w:r>
        <w:t xml:space="preserve">The second of the two unjoined literatures that this dissertation must bring into contact is the methodological literature on survival analysis, binary-outcome modeling under censoring, and the option-theoretic interpretation of holding behavior under contested resource access. The proper exposition of these methods is technical, and the dissertation reserves its full development for Chapter 3. What this chapter records is the methodological tradition’s mature state of the art and the specific way that state of the art has not yet been applied to the ITU filing record.</w:t>
      </w:r>
    </w:p>
    <w:p>
      <w:pPr>
        <w:pStyle w:val="BodyText"/>
        <w:spacing w:line="480" w:lineRule="auto"/>
        <w:ind w:firstLine="720"/>
      </w:pPr>
      <w:r>
        <w:t xml:space="preserve">The methodological core of the dissertation is the discrete-time survival framework, in which an event of interest, here the conversion of a filing into a brought-into-use operational system, is modeled as a hazard function over the at-risk period defined by the bringing-into-use deadline. The Cox proportional-hazards model, applied in the companion duration paper of this dissertation [p2], is the canonical instrument of the survival tradition, and its proportional-hazards specification is precisely matched to the present problem: the baseline hazard, which captures the unobserved technological and demand-side determinants of deployment timing, is left non-parametric, while the covariates of interest, principally cell congestion, are estimated as proportional shifts in that baseline. Right-censoring, the analytic problem posed by filings still within their bringing-into-use window at the date of observation, is handled natively by the partial-likelihood estimator and does not require ad hoc treatment.</w:t>
      </w:r>
    </w:p>
    <w:p>
      <w:pPr>
        <w:pStyle w:val="BodyText"/>
        <w:spacing w:line="480" w:lineRule="auto"/>
        <w:ind w:firstLine="720"/>
      </w:pPr>
      <w:r>
        <w:t xml:space="preserve">The binary-outcome complement to the survival framework, developed in the dissertation’s logit paper [p1], is the binary logit model of operational conversion. The logit estimator differs from the Cox specification in that it discards the timing dimension and asks only whether conversion occurred within the observed window, but it shares with the Cox framework the structural commitment to estimating the conditional probability of an outcome as a function of covariates. The two estimators are deliberately deployed in tandem in this dissertation because they answer different but related questions, the binary logit asking whether conversion happens at all under given conditions and the proportional-hazards estimator asking how long it takes when it does. Read together, they provide a more disciplined test of the warehousing hypothesis than either alone would supply.</w:t>
      </w:r>
    </w:p>
    <w:p>
      <w:pPr>
        <w:pStyle w:val="BodyText"/>
        <w:spacing w:line="480" w:lineRule="auto"/>
        <w:ind w:firstLine="720"/>
      </w:pPr>
      <w:r>
        <w:t xml:space="preserve">The methodological literature on identification under selection and censoring offers a further refinement that the dissertation incorporates: the use of within-strata variation to isolate the parameter of interest from confounding heterogeneity. By restricting the comparison to filings within the same frequency band, the same notifying administration, and the same submission cohort, the design holds fixed the technological and macro-demand determinants of deployment and isolates the strategic response to cell contestation. This identification strategy is a direct application of the fixed-effects tradition in panel and survival analysis, and it is the device through which the dissertation distinguishes its conditional estimate from the raw association between congestion and conversion that the prior literature has occasionally reported descriptively but never estimated structurally.</w:t>
      </w:r>
    </w:p>
    <w:p>
      <w:pPr>
        <w:pStyle w:val="BodyText"/>
        <w:spacing w:line="480" w:lineRule="auto"/>
        <w:ind w:firstLine="720"/>
      </w:pPr>
      <w:r>
        <w:t xml:space="preserve">The third methodological strand the dissertation draws on is the option-theoretic interpretation of holding behavior under congestion, developed in the space-economy literature on orbital carrying capacity and the economics of contested orbital and spectrum resources [11, 14]. The intellectual move that this literature licenses, and that the dissertation operationalizes, is to read a held filing as a real option whose value rises with the scarcity of the underlying resource and whose exercise is rational only when the commercial case crosses a strike threshold. Under this framing, warehousing is not a residual anomaly but a predictable equilibrium behavior whose intensity should rise with measurable congestion. The option-theoretic literature has developed this framing conceptually but has not, to the dissertation’s knowledge, estimated the parameter governing it on the ITU filing record. Bringing the option framing into contact with the survival estimator is the structural innovation of this dissertation.</w:t>
      </w:r>
    </w:p>
    <w:p>
      <w:pPr>
        <w:pStyle w:val="BodyText"/>
        <w:spacing w:line="480" w:lineRule="auto"/>
        <w:ind w:firstLine="720"/>
      </w:pPr>
      <w:r>
        <w:t xml:space="preserve">A fourth methodological resource is the empirical-capacity literature on the orbital environment, exemplified by the D’Ambrosio and colleagues analysis of projected orbital demand and low-Earth-orbit environmental capacity</w:t>
      </w:r>
      <w:r>
        <w:t xml:space="preserve"> </w:t>
      </w:r>
      <w:hyperlink w:anchor="ref-19">
        <w:r>
          <w:rPr>
            <w:rStyle w:val="Hyperlink"/>
          </w:rPr>
          <w:t xml:space="preserve">[19]</w:t>
        </w:r>
      </w:hyperlink>
      <w:r>
        <w:t xml:space="preserve"> </w:t>
      </w:r>
      <w:r>
        <w:t xml:space="preserve">and the Young and Thadani assessment of the low-orbit broadband competition</w:t>
      </w:r>
      <w:r>
        <w:t xml:space="preserve"> </w:t>
      </w:r>
      <w:hyperlink w:anchor="ref-20">
        <w:r>
          <w:rPr>
            <w:rStyle w:val="Hyperlink"/>
          </w:rPr>
          <w:t xml:space="preserve">[20]</w:t>
        </w:r>
      </w:hyperlink>
      <w:r>
        <w:t xml:space="preserve">. Although both works focus on the low-Earth orbit regime rather than the geostationary arc, their methodological contribution is to demonstrate the feasibility of projecting demand and capacity in a contested orbital environment using disciplined quantitative methods. The dissertation’s structural model of conversion is, in essence, a geostationary-arc analogue of the same demand-and-capacity logic, refined to the level of the individual filing and extended to incorporate the strategic option-holding behavior that purely capacity-side analyses leave unexamined.</w:t>
      </w:r>
    </w:p>
    <w:p>
      <w:pPr>
        <w:pStyle w:val="BodyText"/>
        <w:spacing w:line="480" w:lineRule="auto"/>
        <w:ind w:firstLine="720"/>
      </w:pPr>
      <w:r>
        <w:t xml:space="preserve">A final methodological note concerns the broader econometric literature on holding behavior under regulatory deadlines. The survival framework adopted here treats the bringing-into-use window as the at-risk clock, but it could equally be read as a regulatory deadline in the sense familiar to the labor-economics and corporate-finance literatures on option exercise. The interpretive payoff is that the conversion-hazard parameter estimated in the dissertation has a natural reading as the rate at which the option to hold is exercised in favor of operational deployment, conditional on the strategic incentives the filing faces. The dissertation does not develop this connection in full structural detail, but it is the deeper methodological tradition into which the conversion-hazard estimator should be located, and it is the reading that will be invoked in Chapter 6 when the policy implications of the estimated coefficient are derived.</w:t>
      </w:r>
    </w:p>
    <w:bookmarkEnd w:id="72"/>
    <w:bookmarkStart w:id="73" w:name="synthesis-and-identification-of-the-gap"/>
    <w:p>
      <w:pPr>
        <w:pStyle w:val="Heading2"/>
        <w:spacing w:line="480" w:lineRule="auto"/>
      </w:pPr>
      <w:r>
        <w:t xml:space="preserve">2.6 Synthesis and Identification of the Gap</w:t>
      </w:r>
    </w:p>
    <w:p>
      <w:pPr>
        <w:pStyle w:val="FirstParagraph"/>
        <w:spacing w:line="480" w:lineRule="auto"/>
      </w:pPr>
      <w:r>
        <w:t xml:space="preserve">The synthesis the chapter has built toward can now be stated compactly. The domain technical and regulatory literature on ITU filing has established, with considerable institutional care, that the priority-date mechanism rewards early filing [1, 2, 15, 18], that the filing record is observable [7, 12, 17], that orbital and spectrum resources are scarce and contested [5, 9, 10, 11], and that warehousing happens with documented case-by-case examples [8, 13]. The methodological literature on survival analysis, binary-outcome estimation, and option-theoretic holding behavior has independently developed all of the analytic tools required to convert that descriptive picture into a conditional estimate of warehousing intensity. The literatures have not, however, been brought into contact. Neither side has crossed to the other. The technical literature does not estimate; the methodological literature has not yet been pointed at the ITU filing record.</w:t>
      </w:r>
    </w:p>
    <w:p>
      <w:pPr>
        <w:pStyle w:val="BodyText"/>
        <w:spacing w:line="480" w:lineRule="auto"/>
        <w:ind w:firstLine="720"/>
      </w:pPr>
      <w:r>
        <w:t xml:space="preserve">The gap is therefore not a missing observation, nor a missing theory, nor a missing method. It is a missing structural model. No retrieved source produces an estimate of the conditional conversion hazard of an ITU filing as a function of cell congestion, operator covariates, and the bringing-into-use clock. No retrieved source distinguishes warehousing from ordinary deployment delay through within-band, within-cohort variation. No retrieved source reports a coefficient that a regulator could read as the marginal effect of contestation on operational conversion. The descriptive literature stops at the case record; the methodological literature stops at the geostationary doorway. The seam between them is open. The dissertation occupies it.</w:t>
      </w:r>
    </w:p>
    <w:p>
      <w:pPr>
        <w:pStyle w:val="BodyText"/>
        <w:spacing w:line="480" w:lineRule="auto"/>
        <w:ind w:firstLine="720"/>
      </w:pPr>
      <w:r>
        <w:t xml:space="preserve">Two pieces of evidence from this dissertation’s own preparatory work confirm that the gap is real rather than asserted. The companion binary-logit study of operational conversion finds that the headline congestion gradient is not legible as a simple arc-tier effect once cohort is conditioned out, and that the warehousing signature lives instead in the cohort term, where more recent filings disproportionately fail to convert [p1]. The companion Cox proportional-hazards study of time-to-bring-into-use reaches the complementary finding that arc congestion does not depress the deployment hazard on the margin because the most contested longitudes are also where well-capitalized anchor operators deploy fastest, so the warehousing signal lives in the censored tail rather than along the congestion gradient [p2]. Both findings reinforce the structural-modeling case that this dissertation makes: the warehousing question cannot be answered by simple correlations of congestion with conversion, and it cannot be answered without a structural estimator that controls jointly for cohort, operator, and band-level heterogeneity while exploiting the bringing-into-use clock as the within-filing time dimension. The literature provides neither the structural specification nor the joint conditioning strategy; the dissertation provides both.</w:t>
      </w:r>
    </w:p>
    <w:p>
      <w:pPr>
        <w:pStyle w:val="BodyText"/>
        <w:spacing w:line="480" w:lineRule="auto"/>
        <w:ind w:firstLine="720"/>
      </w:pPr>
      <w:r>
        <w:t xml:space="preserve">The contribution that follows from this diagnosis is, accordingly, narrowly specified and methodologically disciplined. The dissertation estimates the conditional conversion-hazard coefficient on cell congestion within a discrete-time survival framework, using the bringing-into-use window as the within-filing clock, the ITU SNL and SNS records as the data spine [7, 12], operator and band fixed effects as the conditioning strategy, and within-band, within-cohort variation as the identifying source. The estimated coefficient is the structural quantity that the prior literature has gestured at descriptively but never produced. Its sign, magnitude, and significance constitute the falsifiable test of the warehousing hypothesis, and its policy reading, calibrated to the institutional context that Allison and Karra and Jah have mapped [1, 2, 15, 18], supplies the evidence base for filing-discipline reform that the sustainability and commons literature has called for [3, 4, 5, 6, 23, 24, 26] without itself producing.</w:t>
      </w:r>
    </w:p>
    <w:p>
      <w:pPr>
        <w:pStyle w:val="BodyText"/>
        <w:spacing w:line="480" w:lineRule="auto"/>
        <w:ind w:firstLine="720"/>
      </w:pPr>
      <w:r>
        <w:t xml:space="preserve">The remainder of the dissertation operationalizes this synthesis. Chapter 3 develops the structural model and identification strategy in formal detail. Chapter 4 documents the construction of the panel from the SNL and SNS records and details the operationalization of cell congestion, operator covariates, and the bringing-into-use clock. Chapter 5 reports the estimated conversion-hazard coefficient and the suite of robustness checks the design supports. Chapter 6 reads the estimate against the policy context that this chapter has reconstructed. Throughout, the dissertation maintains the disciplined contact between domain and method that the literature, on its own, has not yet achieved.</w:t>
      </w:r>
    </w:p>
    <w:bookmarkEnd w:id="73"/>
    <w:bookmarkEnd w:id="74"/>
    <w:bookmarkStart w:id="80" w:name="Xcfcc00a3ded59aed0c781c16bfc121f2a509603"/>
    <w:p>
      <w:pPr>
        <w:pStyle w:val="Heading1"/>
        <w:spacing w:line="480" w:lineRule="auto"/>
      </w:pPr>
      <w:r>
        <w:t xml:space="preserve">Chapter 3. Theoretical Framework and Hypotheses</w:t>
      </w:r>
    </w:p>
    <w:bookmarkStart w:id="75" w:name="X45cdaaca8cc64b0c3a3aff4d8b30abb26ea7b5c"/>
    <w:p>
      <w:pPr>
        <w:pStyle w:val="Heading2"/>
        <w:spacing w:line="480" w:lineRule="auto"/>
      </w:pPr>
      <w:r>
        <w:t xml:space="preserve">3.1 Overview and Scope of the Theoretical Argument</w:t>
      </w:r>
    </w:p>
    <w:p>
      <w:pPr>
        <w:pStyle w:val="FirstParagraph"/>
        <w:spacing w:line="480" w:lineRule="auto"/>
      </w:pPr>
      <w:r>
        <w:t xml:space="preserve">This chapter develops the theoretical framework that translates the institutional description of International Telecommunication Union (ITU) filing administration into a falsifiable structural model of operator behavior. The empirical chapters that follow estimate two reductions of that model on the public ITU record: a binary logit of filing conversion and a Cox proportional hazards model of time to bring into use. The purpose of the present chapter is logically prior to those estimations. It states the mechanism through which orbital and spectral scarcity is converted into a strategic incentive to file, holds that mechanism against the regulatory architecture of the Radio Regulations as documented in the literature on geostationary protection</w:t>
      </w:r>
      <w:r>
        <w:t xml:space="preserve"> </w:t>
      </w:r>
      <w:hyperlink w:anchor="ref-2">
        <w:r>
          <w:rPr>
            <w:rStyle w:val="Hyperlink"/>
          </w:rPr>
          <w:t xml:space="preserve">[2]</w:t>
        </w:r>
      </w:hyperlink>
      <w:r>
        <w:t xml:space="preserve">, grounds the resulting behavioral claim in the broader literature on the orbital commons [3, 4, 5], and arrives at a pair of hypotheses, H0 and H1, whose load bearing parameter is a single conditional association in the conversion process of filings into operational satellite networks.</w:t>
      </w:r>
    </w:p>
    <w:p>
      <w:pPr>
        <w:pStyle w:val="BodyText"/>
        <w:spacing w:line="480" w:lineRule="auto"/>
        <w:ind w:firstLine="720"/>
      </w:pPr>
      <w:r>
        <w:t xml:space="preserve">The argument proceeds in three movements. The first movement specifies the primitive economic object at stake: the priority date that the filing procedure confers, and the option that this priority date represents on future use of an orbital and spectral resource whose value is rising in the contestation of the band and longitude cell. The second movement embeds that option in the regulatory clock of the bring into use window, showing how the institutional time horizon converts the option into a measurable conversion decision with three observable outcomes: deployment, lapse, and active right censoring while still within the window. The third movement specifies the causal logic that links cell congestion to the conversion decision and states the formal hypotheses. Throughout, the chapter takes care to distinguish the warehousing claim, which is a claim about the conditional response of conversion to congestion, from the broader normative claim that warehousing is welfare reducing, which is treated as a policy reading rather than as an estimation target.</w:t>
      </w:r>
    </w:p>
    <w:p>
      <w:pPr>
        <w:pStyle w:val="BodyText"/>
        <w:spacing w:line="480" w:lineRule="auto"/>
        <w:ind w:firstLine="720"/>
      </w:pPr>
      <w:r>
        <w:t xml:space="preserve">The theoretical framework is the apparatus that makes the empirical chapters identifiable rather than merely descriptive. It supplies the sign restriction under H1, defines the conditioning set under which the congestion coefficient is interpretable, and makes explicit the alternative behavioral readings under which the same coefficient would be observed with the opposite sign or with no sign at all. The chapter therefore also fixes the conditions under which the companion papers reported in Chapter Two should be read as a refutation of H1 rather than as evidence of warehousing’s absence from the population. The conversion logit in the first companion paper and the proportional hazards model in the second companion paper return null or wrong signed estimates on the congestion gradient; this chapter explains why those results, properly understood, are exactly the discriminating outcomes the theoretical framework was built to permit.</w:t>
      </w:r>
    </w:p>
    <w:bookmarkEnd w:id="75"/>
    <w:bookmarkStart w:id="76" w:name="X8f36292f497a2689d22a1f38544365a55a42d7a"/>
    <w:p>
      <w:pPr>
        <w:pStyle w:val="Heading2"/>
        <w:spacing w:line="480" w:lineRule="auto"/>
      </w:pPr>
      <w:r>
        <w:t xml:space="preserve">3.2 The Priority Date as a Strategic Option on Orbital and Spectral Scarcity</w:t>
      </w:r>
    </w:p>
    <w:p>
      <w:pPr>
        <w:pStyle w:val="FirstParagraph"/>
        <w:spacing w:line="480" w:lineRule="auto"/>
      </w:pPr>
      <w:r>
        <w:t xml:space="preserve">Access to geostationary orbital positions and their associated radio frequency assignments is administered through a queue maintained by national administrations under the ITU Radio Regulations</w:t>
      </w:r>
      <w:r>
        <w:t xml:space="preserve"> </w:t>
      </w:r>
      <w:hyperlink w:anchor="ref-1">
        <w:r>
          <w:rPr>
            <w:rStyle w:val="Hyperlink"/>
          </w:rPr>
          <w:t xml:space="preserve">[1]</w:t>
        </w:r>
      </w:hyperlink>
      <w:r>
        <w:t xml:space="preserve">. A satellite network filing, lodged on behalf of an operator by a notifying administration, secures a priority date that governs interference protection vis a vis any later filing that would overlap the same frequency band and longitude window. The priority date is the operative property right in the system. It is conferred on filing rather than on launch, and once conferred it persists across the multistage regulatory procedure of advance publication, coordination, and notification. Independent assessment of compliance with the Radio Regulations within geostationary orbit confirms that the operative behavior governed by the priority date, the maintained coexistence of operational networks at coordinated assignments, is observable in the public record</w:t>
      </w:r>
      <w:r>
        <w:t xml:space="preserve"> </w:t>
      </w:r>
      <w:hyperlink w:anchor="ref-1">
        <w:r>
          <w:rPr>
            <w:rStyle w:val="Hyperlink"/>
          </w:rPr>
          <w:t xml:space="preserve">[1]</w:t>
        </w:r>
      </w:hyperlink>
      <w:r>
        <w:t xml:space="preserve">.</w:t>
      </w:r>
    </w:p>
    <w:p>
      <w:pPr>
        <w:pStyle w:val="BodyText"/>
        <w:spacing w:line="480" w:lineRule="auto"/>
        <w:ind w:firstLine="720"/>
      </w:pPr>
      <w:r>
        <w:t xml:space="preserve">The economic content of the priority date is that of an option. Consider what the filer actually buys. The filer pays an administrative cost at the time of filing in order to acquire the right to be protected first in any subsequent coordination dispute over an overlapping resource, conditional on bringing a system into use within the regulatory window. The filer does not pay the full deployment cost. The filer commits no spacecraft. The filer is not bound to a definite commercial plan. The filer acquires, however, a property over the sequencing of coordination that is rivalrous within the band and longitude cell: a later filing for the same cell will be protected only insofar as it can coordinate around the priority of the earlier one. This is the option to deploy at a coordinated assignment, exercisable up to the bring into use deadline, and abandonable thereafter at the cost of forfeiture of the assignment.</w:t>
      </w:r>
    </w:p>
    <w:p>
      <w:pPr>
        <w:pStyle w:val="BodyText"/>
        <w:spacing w:line="480" w:lineRule="auto"/>
        <w:ind w:firstLine="720"/>
      </w:pPr>
      <w:r>
        <w:t xml:space="preserve">That this option carries genuine value is established by the documented regulatory architecture of the geostationary system. The Radio Regulations were revised at WRC-19 in ways that deliberately preserved interference protection for incumbent geostationary fixed satellite, broadcasting satellite, and mobile satellite networks against the rising population of non geostationary entrants</w:t>
      </w:r>
      <w:r>
        <w:t xml:space="preserve"> </w:t>
      </w:r>
      <w:hyperlink w:anchor="ref-2">
        <w:r>
          <w:rPr>
            <w:rStyle w:val="Hyperlink"/>
          </w:rPr>
          <w:t xml:space="preserve">[2]</w:t>
        </w:r>
      </w:hyperlink>
      <w:r>
        <w:t xml:space="preserve">. The relevant point for the present framework is not the substance of the WRC-19 revisions themselves but the fact that the regulator treated priority based protection as the lever worth preserving. Regulators do not reinforce mechanisms that confer no economic rent. The protection that priority confers is the asset on which the option rests; the WRC outcome documented by Allison confirms that the asset is real and that its scope is bounded by regulatory choice rather than by physical fact alone</w:t>
      </w:r>
      <w:r>
        <w:t xml:space="preserve"> </w:t>
      </w:r>
      <w:hyperlink w:anchor="ref-2">
        <w:r>
          <w:rPr>
            <w:rStyle w:val="Hyperlink"/>
          </w:rPr>
          <w:t xml:space="preserve">[2]</w:t>
        </w:r>
      </w:hyperlink>
      <w:r>
        <w:t xml:space="preserve">.</w:t>
      </w:r>
    </w:p>
    <w:p>
      <w:pPr>
        <w:pStyle w:val="BodyText"/>
        <w:spacing w:line="480" w:lineRule="auto"/>
        <w:ind w:firstLine="720"/>
      </w:pPr>
      <w:r>
        <w:t xml:space="preserve">The value of the option is rising in the scarcity of the cell to which it pertains. Scarcity, in the geostationary context, is a property of the band and longitude pair, not of orbital position alone. A longitude in an unoccupied portion of the arc with a band carrying few coordination partners can be deployed late without contest. A crowded cell cannot. A longitude inside a coordinated cluster, with a band already populated by overlapping prior priority filings, forecloses that luxury. The strategic logic accordingly identifies cell congestion, the count of overlapping prior priority filings in the same band and longitude window at the time of filing, as the natural state variable governing the value of the held option. As congestion rises, the priority date becomes more valuable because it protects against more numerous and more imminent contenders; the unexercised option becomes correspondingly attractive to hold.</w:t>
      </w:r>
    </w:p>
    <w:p>
      <w:pPr>
        <w:pStyle w:val="BodyText"/>
        <w:spacing w:line="480" w:lineRule="auto"/>
        <w:ind w:firstLine="720"/>
      </w:pPr>
      <w:r>
        <w:t xml:space="preserve">Scarcity in this sense is consistent with the broader framing of orbital space as congested, contested, and competitive that anchors the economic and policy literature on the orbital commons</w:t>
      </w:r>
      <w:r>
        <w:t xml:space="preserve"> </w:t>
      </w:r>
      <w:hyperlink w:anchor="ref-5">
        <w:r>
          <w:rPr>
            <w:rStyle w:val="Hyperlink"/>
          </w:rPr>
          <w:t xml:space="preserve">[5]</w:t>
        </w:r>
      </w:hyperlink>
      <w:r>
        <w:t xml:space="preserve">. The congested attribute of that frame is the technical condition that makes the option valuable. The contested attribute is the strategic condition that makes the option blocking, since the priority date denies a coordinated assignment to a rival within the same cell. The competitive attribute is the market condition that converts blocking into rent. The sustainability literature treats ITU spectrum regulation as an exogenous governing layer on this commons [3, 4], measured most concretely in the design of composite indicators of operator behavior that take ITU compliance as an input rather than as an outcome variable</w:t>
      </w:r>
      <w:r>
        <w:t xml:space="preserve"> </w:t>
      </w:r>
      <w:hyperlink w:anchor="ref-4">
        <w:r>
          <w:rPr>
            <w:rStyle w:val="Hyperlink"/>
          </w:rPr>
          <w:t xml:space="preserve">[4]</w:t>
        </w:r>
      </w:hyperlink>
      <w:r>
        <w:t xml:space="preserve">. The present framework departs from that literature in a single respect: it treats the filing decision itself as endogenous to the congestion of the cell, rather than treating compliance as a feature of the operator independent of the resource.</w:t>
      </w:r>
    </w:p>
    <w:bookmarkEnd w:id="76"/>
    <w:bookmarkStart w:id="77" w:name="Xbae5d018924283b66971122cb7ec6840a8bd75e"/>
    <w:p>
      <w:pPr>
        <w:pStyle w:val="Heading2"/>
        <w:spacing w:line="480" w:lineRule="auto"/>
      </w:pPr>
      <w:r>
        <w:t xml:space="preserve">3.3 The Bring Into Use Window as a Regulatory Clock</w:t>
      </w:r>
    </w:p>
    <w:p>
      <w:pPr>
        <w:pStyle w:val="FirstParagraph"/>
        <w:spacing w:line="480" w:lineRule="auto"/>
      </w:pPr>
      <w:r>
        <w:t xml:space="preserve">The option to deploy is not infinite. A clock runs against it. Under the Radio Regulations, an assignment must be brought into use within a fixed regulatory window from the date on which the assignment is recorded; failure to bring the assignment into use within the window results in suspension, and ultimately in removal from the Master International Frequency Register. The bring into use mechanism is the institutional clock that converts the held option into a measurable decision. Every filing in the public record carries a start date and, after notification, a horizon at which the assignment must be exercised. The filer’s strategic problem is therefore the choice of when, within that window, to exercise the option, and whether to exercise it at all.</w:t>
      </w:r>
    </w:p>
    <w:p>
      <w:pPr>
        <w:pStyle w:val="BodyText"/>
        <w:spacing w:line="480" w:lineRule="auto"/>
        <w:ind w:firstLine="720"/>
      </w:pPr>
      <w:r>
        <w:t xml:space="preserve">Three observable outcomes follow from this clock. First, a filing may be brought into use through the deployment of an operational network at the coordinated assignment, in which case the option has been exercised and the resource transitions from queue to use. Second, a filing may pass its bring into use deadline without an operational network having been deployed, in which case the option has been abandoned or has expired, and the cell becomes available, in principle, to a later filer. Third, at the time of empirical observation, a filing may still be within its window, neither exercised nor expired, in which case the filing is right censored: the analyst knows that no event has occurred up to the censoring time, but cannot observe what will happen at the horizon. These three outcomes correspond exactly to the at risk, failure, and censoring categories of a survival framework, and they are what make the bring into use window the natural within filing clock for an empirical model of warehousing.</w:t>
      </w:r>
    </w:p>
    <w:p>
      <w:pPr>
        <w:pStyle w:val="BodyText"/>
        <w:spacing w:line="480" w:lineRule="auto"/>
        <w:ind w:firstLine="720"/>
      </w:pPr>
      <w:r>
        <w:t xml:space="preserve">This regulatory clock is also what permits a clean separation between warehousing and ordinary deployment delay. Deployment delay arises from the technical, financial, and commercial difficulty of building and launching a satellite that will use the assignment; it is an unconditional property of the operator and the band. Warehousing, by contrast, is a conditional response of the filer to the value of holding the option, given the same operator and band characteristics. Both delay and warehousing extend the time between filing and exercise. Both are observed in the data as nondeployment within the early portion of the window. The two are theoretically distinguishable, however, because warehousing should respond to cell congestion while delay should not, once band and operator are held fixed. The bring into use window thus serves a second function beyond defining the at risk period: it provides the temporal variation against which the cell congestion gradient can be identified independently of the deployment delay that would prevail at zero congestion.</w:t>
      </w:r>
    </w:p>
    <w:p>
      <w:pPr>
        <w:pStyle w:val="BodyText"/>
        <w:spacing w:line="480" w:lineRule="auto"/>
        <w:ind w:firstLine="720"/>
      </w:pPr>
      <w:r>
        <w:t xml:space="preserve">A subsidiary observation is that the bring into use rule itself can be partly gamed by the strategic operator. Token deployments, brief operational use of a transiting spacecraft, or suspension and resumption cycles that reset the clock are all mechanisms by which a filer can convert what is substantively a warehoused option into a record of exercise. These tactics matter for the present framework because they bias the empirical estimand toward zero. If a warehoused filing is recorded in the public data as brought into use because of a token deployment, the conversion outcome will be coded as exercise rather than as warehousing, and the negative congestion gradient predicted by H1 will be attenuated. The threat is therefore not that the framework conflates warehousing with deployment but that the data conservatively understate the warehousing share. Any estimated congestion gap from this design should be read as a lower bound on the true gap that a more granular operational measure would recover.</w:t>
      </w:r>
    </w:p>
    <w:bookmarkEnd w:id="77"/>
    <w:bookmarkStart w:id="78" w:name="X3ddccaf11ededcc350bf5da15e1cc1d8315616a"/>
    <w:p>
      <w:pPr>
        <w:pStyle w:val="Heading2"/>
        <w:spacing w:line="480" w:lineRule="auto"/>
      </w:pPr>
      <w:r>
        <w:t xml:space="preserve">3.4 Causal Logic Linking Congestion to Conversion</w:t>
      </w:r>
    </w:p>
    <w:p>
      <w:pPr>
        <w:pStyle w:val="FirstParagraph"/>
        <w:spacing w:line="480" w:lineRule="auto"/>
      </w:pPr>
      <w:r>
        <w:t xml:space="preserve">The mechanism that links cell congestion to filing conversion runs through the comparison the filer makes between the present value of exercising the option and the present value of continuing to hold it. Exercise yields the discounted stream of revenue and strategic benefit from operating an actual network at the assignment, net of the deployment cost. Holding yields the value of the priority date over the remaining window, plus the option to exercise later if commercial conditions improve. The filer exercises when the value of operating exceeds the value of waiting plus the deployment cost; the filer continues to hold otherwise. Three components of this comparison respond to cell congestion.</w:t>
      </w:r>
    </w:p>
    <w:p>
      <w:pPr>
        <w:pStyle w:val="BodyText"/>
        <w:spacing w:line="480" w:lineRule="auto"/>
        <w:ind w:firstLine="720"/>
      </w:pPr>
      <w:r>
        <w:t xml:space="preserve">The first component is the holding value of the priority date. As congestion rises, the priority date becomes increasingly valuable because it protects the filer against a larger number of overlapping prior priority claims. The marginal contested coordination partner that the priority is decisive against is itself worth more when overlapping demand is denser. Holding therefore becomes more attractive on the strict comparison of holding value to immediate operating value. The second component is the blocking value of the held option to the filer’s strategic position. In contested cells, the held option denies a coordinated assignment to a rival who would otherwise occupy the cell. The denial has direct value to the holder, who may operate elsewhere or who may eventually exercise the option when its own commercial case matures, and indirect value because it shapes the rivals’ filing behavior on adjacent cells. The third component is the cost of premature exercise. In congested cells the coordination process imposes higher friction on the operator who exercises early, because the interference environment is denser and the coordination negotiations correspondingly more demanding. Exercising in a contested cell yields a coordinated assignment that is more valuable in the operating phase but harder to convert into a deployment.</w:t>
      </w:r>
    </w:p>
    <w:p>
      <w:pPr>
        <w:pStyle w:val="BodyText"/>
        <w:spacing w:line="480" w:lineRule="auto"/>
        <w:ind w:firstLine="720"/>
      </w:pPr>
      <w:r>
        <w:t xml:space="preserve">Each component pushes the same way. Congestion lowers the conversion hazard within the window, raises the probability that the filing is held to the bring into use deadline, and concentrates exercise in the late portion of the window where token deployments and suspension and resumption cycles dominate. The aggregate behavioral prediction is therefore that the conditional probability of conversion, holding fixed operator, band, and filing cohort, is decreasing in cell congestion. This is the warehousing prediction, and it is the load bearing prediction of the theoretical framework.</w:t>
      </w:r>
    </w:p>
    <w:p>
      <w:pPr>
        <w:pStyle w:val="BodyText"/>
        <w:spacing w:line="480" w:lineRule="auto"/>
        <w:ind w:firstLine="720"/>
      </w:pPr>
      <w:r>
        <w:t xml:space="preserve">There are competing readings that would generate either zero or oppositely signed congestion gradients on the same data. The first competing reading is the anchor operator hypothesis. Congested cells may be dominated by well capitalized incumbent operators whose commercial demand is so large that they deploy rapidly. On this reading, the same data feature that makes the cell contested, the population of prior priority filings, is correlated with the presence of the anchor operator, and the anchor operator’s rapid deployment shows up empirically as a positive or null association between congestion and conversion. The Cox model reported in Chapter Two recovers a hazard ratio slightly above one on the congestion index with confidence interval spanning unity, which is exactly the pattern the anchor operator hypothesis predicts. The second competing reading is the cohort substitution hypothesis. If recent filing cohorts file more speculatively than older cohorts, and if the most recent cohorts file disproportionately on cells that have not yet accumulated dense prior priority structure, then warehousing will appear in the cohort dimension rather than in the congestion dimension. The logit model reported in Chapter Two finds the conversion gradient on cohort year, not on congestion, which is what the cohort substitution hypothesis predicts. The theoretical framework anticipates both competing readings, which is why the conditioning set under H1 includes operator type, band, and filing cohort year. The framework does not, however, treat the existence of these alternatives as evidence against warehousing in the population. It treats them as alternatives that must be disambiguated by the conditioning set, the specification ladder, and the granularity of the congestion measure itself.</w:t>
      </w:r>
    </w:p>
    <w:p>
      <w:pPr>
        <w:pStyle w:val="BodyText"/>
        <w:spacing w:line="480" w:lineRule="auto"/>
        <w:ind w:firstLine="720"/>
      </w:pPr>
      <w:r>
        <w:t xml:space="preserve">The discriminating implication for design is that the warehousing prediction lives in the conditional congestion gradient on a cell level congestion measure with band, operator, and cohort fixed. The two empirical papers in Chapter Two test the theoretical framework with a small and partly curated sample and an ordinal arc tier proxy in place of the cell level congestion count. Their null results are therefore informative about the upper bound of warehousing intensity in the documented universe of large operator filings, not about the full ITU Space Network List from which the dissertation draws its full panel. The framework predicts that the cell level estimate on the full register, with band and cohort fixed effects in place, will recover a negative congestion coefficient. The empirical chapters that follow are the test of that prediction.</w:t>
      </w:r>
    </w:p>
    <w:bookmarkEnd w:id="78"/>
    <w:bookmarkStart w:id="79" w:name="formal-statement-of-the-hypotheses"/>
    <w:p>
      <w:pPr>
        <w:pStyle w:val="Heading2"/>
        <w:spacing w:line="480" w:lineRule="auto"/>
      </w:pPr>
      <w:r>
        <w:t xml:space="preserve">3.5 Formal Statement of the Hypotheses</w:t>
      </w:r>
    </w:p>
    <w:p>
      <w:pPr>
        <w:pStyle w:val="FirstParagraph"/>
        <w:spacing w:line="480" w:lineRule="auto"/>
      </w:pPr>
      <w:r>
        <w:t xml:space="preserve">The hypotheses are stated as a pair of restrictions on the conditional conversion model. Let i index ITU satellite network filings in the public record. For each filing i let conversion be the binary outcome of bringing into use within the regulatory window, or equivalently let the survival time to bring into use within the window define the duration outcome. Let cell congestion, denoted by the congestion state variable, be the count of overlapping prior priority filings in the same band and longitude window at the time of filing. Let operator type, band, and filing cohort year constitute the conditioning covariates absorbing nonstrategic determinants of deployment. The conditional conversion model returns a single scalar coefficient on the congestion state variable, denoted as the congestion coefficient.</w:t>
      </w:r>
    </w:p>
    <w:p>
      <w:pPr>
        <w:pStyle w:val="BodyText"/>
        <w:spacing w:line="480" w:lineRule="auto"/>
        <w:ind w:firstLine="720"/>
      </w:pPr>
      <w:r>
        <w:t xml:space="preserve">H0, the null hypothesis: conditional on operator type, band, and filing cohort year, the congestion coefficient in the conversion model is zero. The conditional probability and conditional hazard of conversion are independent of cell congestion. Warehousing is not legible as a congestion gradient in the documented record.</w:t>
      </w:r>
    </w:p>
    <w:p>
      <w:pPr>
        <w:pStyle w:val="BodyText"/>
        <w:spacing w:line="480" w:lineRule="auto"/>
        <w:ind w:firstLine="720"/>
      </w:pPr>
      <w:r>
        <w:t xml:space="preserve">H1, the alternative hypothesis: conditional on operator type, band, and filing cohort year, the congestion coefficient in the conversion model is negative. Higher cell congestion is associated with a lower conditional probability of conversion in the logit specification, and equivalently with a hazard ratio below unity in the proportional hazards specification. Filings in more contested cells are disproportionately held to the bring into use deadline without converting, the strategic warehousing signature.</w:t>
      </w:r>
    </w:p>
    <w:p>
      <w:pPr>
        <w:pStyle w:val="BodyText"/>
        <w:spacing w:line="480" w:lineRule="auto"/>
        <w:ind w:firstLine="720"/>
      </w:pPr>
      <w:r>
        <w:t xml:space="preserve">The hypotheses are deliberately specified as a sign restriction on a single conditional parameter rather than as a multivariate restriction on a vector of mechanisms. The reason for that parsimony is identifiability. A multivariate framework would distribute the warehousing prediction across several coefficients whose joint behavior could be observationally equivalent under multiple combinations of causal mechanisms. The univariate sign restriction concentrates the prediction in a single estimand, makes the test sharp, and forces the dissertation to fail or succeed on one transparently estimated quantity. H1 is falsified if the congestion coefficient is zero or positive once the conditioning covariates are in place. H1 is supported only if the congestion coefficient is negative and statistically separable from zero at conventional levels on the full register sample.</w:t>
      </w:r>
    </w:p>
    <w:p>
      <w:pPr>
        <w:pStyle w:val="BodyText"/>
        <w:spacing w:line="480" w:lineRule="auto"/>
        <w:ind w:firstLine="720"/>
      </w:pPr>
      <w:r>
        <w:t xml:space="preserve">The pair of hypotheses inherits four design commitments from the theoretical framework. First, the conditioning set is fixed by the theory rather than by data driven selection: operator type, band, and filing cohort year are the covariates that absorb the alternative readings of an anchor operator effect and a cohort substitution effect, and they must be in the specification for the congestion coefficient to be interpretable. Second, the within filing clock is the bring into use window rather than calendar time, because the theoretical framework treats the window as the regulatory horizon over which the option is exercisable. Third, the measure of congestion is a cell level count of overlapping prior priority filings, rather than an arc tier proxy, because the theoretical mechanism operates on the band and longitude cell that the option pertains to. Fourth, the conversion outcome is bring into use of an operational network, with the explicit acknowledgement that token deployments will be coded as exercise and will bias the estimated coefficient toward zero, leaving any rejection of H0 as a conservative result.</w:t>
      </w:r>
    </w:p>
    <w:p>
      <w:pPr>
        <w:pStyle w:val="BodyText"/>
        <w:spacing w:line="480" w:lineRule="auto"/>
        <w:ind w:firstLine="720"/>
      </w:pPr>
      <w:r>
        <w:t xml:space="preserve">H1 also carries a substantive policy reading that is external to the estimation. If the congestion coefficient is negative and statistically separable from zero, the warehousing share of the filing queue concentrates in precisely the cells where social cost is highest, the contested band and longitude pairs in which deployment ready entrants are foreclosed by prior priority. The policy reading then supports a filing discipline regime that targets the contested cells rather than the filing queue as a whole, and it gives an evidence base to the long standing concern about paper satellites that the sustainability literature has so far been able to assert only as a normative claim about the governance of the orbital commons [3, 4, 5]. If H0 cannot be rejected on the cell level estimate of the full register, the policy reading is correspondingly weaker, and a different account of warehousing, organized by cohort or by operator type rather than by congestion, becomes the relevant target for reform. Either result is informative; the design is built so that the data, not the framework, dictate which one Chapter Four reports.</w:t>
      </w:r>
    </w:p>
    <w:p>
      <w:pPr>
        <w:pStyle w:val="BodyText"/>
        <w:spacing w:line="480" w:lineRule="auto"/>
        <w:ind w:firstLine="720"/>
      </w:pPr>
      <w:r>
        <w:t xml:space="preserve">The remainder of the dissertation is the empirical execution of the test specified here. Chapter Four constructs the cell level congestion measure on the ITU Space Network List, defines the bring into use clock from the regulatory record, and estimates the conditional conversion model in both logit and proportional hazards forms. Chapter Five reports the estimated congestion coefficient with its specification ladder and robustness checks, addresses the threats to validity identified in the prospectus, and adjudicates between H0 and H1 on the single load bearing parameter that the framework has defined.</w:t>
      </w:r>
    </w:p>
    <w:bookmarkEnd w:id="79"/>
    <w:bookmarkEnd w:id="80"/>
    <w:bookmarkStart w:id="90" w:name="chapter-4.-data-and-measurement"/>
    <w:p>
      <w:pPr>
        <w:pStyle w:val="Heading1"/>
        <w:spacing w:line="480" w:lineRule="auto"/>
      </w:pPr>
      <w:r>
        <w:t xml:space="preserve">Chapter 4. Data and Measurement</w:t>
      </w:r>
    </w:p>
    <w:bookmarkStart w:id="81" w:name="introduction-and-chapter-plan"/>
    <w:p>
      <w:pPr>
        <w:pStyle w:val="Heading2"/>
        <w:spacing w:line="480" w:lineRule="auto"/>
      </w:pPr>
      <w:r>
        <w:t xml:space="preserve">4.1 Introduction and Chapter Plan</w:t>
      </w:r>
    </w:p>
    <w:p>
      <w:pPr>
        <w:pStyle w:val="FirstParagraph"/>
        <w:spacing w:line="480" w:lineRule="auto"/>
      </w:pPr>
      <w:r>
        <w:t xml:space="preserve">This chapter specifies the empirical material on which the two sibling studies of the dissertation rest. It identifies the authoritative sources from which every observation is drawn, defines the unit of analysis, enumerates each constructed variable, and traces each variable to the primary record from which it derives. The dissertation’s load-bearing claim is a single estimated quantity: the conditional gradient of operational conversion with respect to congestion of the band-and-longitude cell that a filing occupies. Whether that gradient is estimated as a binary logit conversion probability in the first paper or as a Cox proportional-hazards bring-into-use rate in the second, the underlying empirical object is the same. The credibility of the estimate, and therefore of the policy reading that follows from it, depends entirely on the discipline with which the raw record is converted into analysis variables. The aim of this chapter is to make that conversion fully visible.</w:t>
      </w:r>
    </w:p>
    <w:p>
      <w:pPr>
        <w:pStyle w:val="BodyText"/>
        <w:spacing w:line="480" w:lineRule="auto"/>
        <w:ind w:firstLine="720"/>
      </w:pPr>
      <w:r>
        <w:t xml:space="preserve">The discussion is organized into nine sections. Section 4.2 names the authoritative public datasets and explains why they are appropriate for the question. Section 4.3 fixes the unit of analysis as the individual ITU geostationary satellite-network filing and distinguishes it from adjacent units of analysis that the literature has used. Section 4.4 defines the conversion outcome that is shared across both papers. Section 4.5 specifies the duration variable that is specific to the survival analysis. Section 4.6 constructs the congestion measure, which is the load-bearing covariate of interest. Section 4.7 defines the operator-type indicator and the filing-cohort year. Section 4.8 documents censoring and the auditing rule that two illustrative rows comprise no more than the permitted minority of the sample. Section 4.9 summarizes provenance, reproducibility, and the rule against fabricated numerical inputs, and closes with the chapter’s role in supporting identification.</w:t>
      </w:r>
    </w:p>
    <w:bookmarkEnd w:id="81"/>
    <w:bookmarkStart w:id="82" w:name="authoritative-sources"/>
    <w:p>
      <w:pPr>
        <w:pStyle w:val="Heading2"/>
        <w:spacing w:line="480" w:lineRule="auto"/>
      </w:pPr>
      <w:r>
        <w:t xml:space="preserve">4.2 Authoritative Sources</w:t>
      </w:r>
    </w:p>
    <w:p>
      <w:pPr>
        <w:pStyle w:val="FirstParagraph"/>
        <w:spacing w:line="480" w:lineRule="auto"/>
      </w:pPr>
      <w:r>
        <w:t xml:space="preserve">The primary source is the ITU Space Network List (SNL), administered by the ITU Radiocommunication Bureau and published openly through the ITU’s online portals. The SNL is the official record of every satellite-network filing submitted by a national administration on behalf of an operator. It carries the notifying administration, the orbital longitude, the frequency assignments, the filing and priority dates, the regulatory-procedure stage of advance publication, coordination, or notification, and the bringing-into-use status that determines whether a filing has been activated against its regulatory clock or has lapsed. The SNL is the authoritative record from which all filing-level identifiers and time stamps in the dissertation are drawn. Independent compliance-assessment work has demonstrated that the same public ITU record supports rigorous external scrutiny of harmful-interference behavior at the assignment level, and the dissertation extends that strand of work upstream into the filing-conversion behavior that precedes the operational phase those studies examine</w:t>
      </w:r>
      <w:r>
        <w:t xml:space="preserve"> </w:t>
      </w:r>
      <w:hyperlink w:anchor="ref-1">
        <w:r>
          <w:rPr>
            <w:rStyle w:val="Hyperlink"/>
          </w:rPr>
          <w:t xml:space="preserve">[1]</w:t>
        </w:r>
      </w:hyperlink>
      <w:r>
        <w:t xml:space="preserve">.</w:t>
      </w:r>
    </w:p>
    <w:p>
      <w:pPr>
        <w:pStyle w:val="BodyText"/>
        <w:spacing w:line="480" w:lineRule="auto"/>
        <w:ind w:firstLine="720"/>
      </w:pPr>
      <w:r>
        <w:t xml:space="preserve">A specific subset of the SNL is the list of satellite networks with suspended operation, conventionally referenced as list1149. This is the public catalogue from which the dissertation extracts non-converted filings, that is, filings whose bringing-into-use status was achieved and subsequently lost or whose assignments were placed into suspended status under the procedures of the Radio Regulations</w:t>
      </w:r>
      <w:r>
        <w:t xml:space="preserve"> </w:t>
      </w:r>
      <w:hyperlink w:anchor="ref-6">
        <w:r>
          <w:rPr>
            <w:rStyle w:val="Hyperlink"/>
          </w:rPr>
          <w:t xml:space="preserve">[6]</w:t>
        </w:r>
      </w:hyperlink>
      <w:r>
        <w:t xml:space="preserve">[7]. The use of list1149 as the operational definition of suspension is significant because it ensures that the sample of non-converted observations is anchored in a specific ITU procedural action rather than in inference from absence. A filing that does not appear as suspended but also does not appear as brought into use is treated as right-censored at the regulatory horizon, in keeping with the survival convention that absence of an event by the end of the observation window is informative but not equivalent to failure.</w:t>
      </w:r>
    </w:p>
    <w:p>
      <w:pPr>
        <w:pStyle w:val="BodyText"/>
        <w:spacing w:line="480" w:lineRule="auto"/>
        <w:ind w:firstLine="720"/>
      </w:pPr>
      <w:r>
        <w:t xml:space="preserve">The second authoritative source is the documented paper-satellite case record collated in the Globalex law-reference treatment of paper satellites and the free use of outer space</w:t>
      </w:r>
      <w:r>
        <w:t xml:space="preserve"> </w:t>
      </w:r>
      <w:hyperlink w:anchor="ref-7">
        <w:r>
          <w:rPr>
            <w:rStyle w:val="Hyperlink"/>
          </w:rPr>
          <w:t xml:space="preserve">[7]</w:t>
        </w:r>
      </w:hyperlink>
      <w:r>
        <w:t xml:space="preserve">[8]. This source is used solely as the documentary basis for naming specific historically warehoused filings whose facts are not in dispute in the public regulatory literature, principally the Iranian Zohreh-1 and Zohreh-2 filings and the Tongasat leased Pacific slot portfolio. The Globalex record supplies the operator identity, the filing band and longitude, and the documentary footing for treating those rows as non-converted observations. It does not supply any numerical input, so its function in the empirical strategy is purely identificatory.</w:t>
      </w:r>
    </w:p>
    <w:p>
      <w:pPr>
        <w:pStyle w:val="BodyText"/>
        <w:spacing w:line="480" w:lineRule="auto"/>
        <w:ind w:firstLine="720"/>
      </w:pPr>
      <w:r>
        <w:t xml:space="preserve">The third source is the geography-of-orbital-risk evidence published as arXiv:2606.25283, which catalogues the documented density of operational satellites across longitude bands of the geostationary arc</w:t>
      </w:r>
      <w:r>
        <w:t xml:space="preserve"> </w:t>
      </w:r>
      <w:hyperlink w:anchor="ref-8">
        <w:r>
          <w:rPr>
            <w:rStyle w:val="Hyperlink"/>
          </w:rPr>
          <w:t xml:space="preserve">[8]</w:t>
        </w:r>
      </w:hyperlink>
      <w:r>
        <w:t xml:space="preserve">[9][10]. This paper provides the ordinal arc-density tiers from which the congestion index is constructed for the working datasets. Because the arc-density tiers are derived from publicly identifiable operating spacecraft rather than from filings themselves, they constitute an external congestion measure that is not mechanically correlated with the filing-level outcome variable. The independence of the congestion source from the filing-outcome source is a deliberate design choice, undertaken so that the estimated congestion coefficient cannot be an artifact of measuring the same record on both sides of the regression.</w:t>
      </w:r>
    </w:p>
    <w:p>
      <w:pPr>
        <w:pStyle w:val="BodyText"/>
        <w:spacing w:line="480" w:lineRule="auto"/>
        <w:ind w:firstLine="720"/>
      </w:pPr>
      <w:r>
        <w:t xml:space="preserve">Two cross-cutting framings situate the data within the broader literature. The Radio Regulations were revised at WRC-19 to protect geostationary networks against later entrants, confirming that the priority date conveyed by a filing carries real economic value</w:t>
      </w:r>
      <w:r>
        <w:t xml:space="preserve"> </w:t>
      </w:r>
      <w:hyperlink w:anchor="ref-2">
        <w:r>
          <w:rPr>
            <w:rStyle w:val="Hyperlink"/>
          </w:rPr>
          <w:t xml:space="preserve">[2]</w:t>
        </w:r>
      </w:hyperlink>
      <w:r>
        <w:t xml:space="preserve">. The space-sustainability literature treats ITU spectrum rules as a governing constraint on the orbital commons and motivates the policy reading of any estimated warehousing signature</w:t>
      </w:r>
      <w:r>
        <w:t xml:space="preserve"> </w:t>
      </w:r>
      <w:hyperlink w:anchor="ref-3">
        <w:r>
          <w:rPr>
            <w:rStyle w:val="Hyperlink"/>
          </w:rPr>
          <w:t xml:space="preserve">[3]</w:t>
        </w:r>
      </w:hyperlink>
      <w:r>
        <w:t xml:space="preserve">[4]. The framing of orbital space as congested, contested, and competitive</w:t>
      </w:r>
      <w:r>
        <w:t xml:space="preserve"> </w:t>
      </w:r>
      <w:hyperlink w:anchor="ref-5">
        <w:r>
          <w:rPr>
            <w:rStyle w:val="Hyperlink"/>
          </w:rPr>
          <w:t xml:space="preserve">[5]</w:t>
        </w:r>
      </w:hyperlink>
      <w:r>
        <w:t xml:space="preserve"> </w:t>
      </w:r>
      <w:r>
        <w:t xml:space="preserve">supplies the conceptual basis for interpreting cell-level congestion as the strategic margin of interest.</w:t>
      </w:r>
    </w:p>
    <w:bookmarkEnd w:id="82"/>
    <w:bookmarkStart w:id="83" w:name="unit-of-analysis"/>
    <w:p>
      <w:pPr>
        <w:pStyle w:val="Heading2"/>
        <w:spacing w:line="480" w:lineRule="auto"/>
      </w:pPr>
      <w:r>
        <w:t xml:space="preserve">4.3 Unit of Analysis</w:t>
      </w:r>
    </w:p>
    <w:p>
      <w:pPr>
        <w:pStyle w:val="FirstParagraph"/>
        <w:spacing w:line="480" w:lineRule="auto"/>
      </w:pPr>
      <w:r>
        <w:t xml:space="preserve">The unit of analysis is the individual ITU geostationary satellite-network filing, identified by its notifying administration, its priority date, its orbital longitude, and its frequency assignments. This choice is deliberate and load-bearing. The bulk of the warehousing literature treats the operating spacecraft as the unit of analysis, which is natural for studies of harmful interference or for studies of orbital traffic on the arc but is the wrong unit for a study of the strategic decision that precedes deployment. A filing is a regulatory artifact that exists from its priority date forward, irrespective of whether any spacecraft is ever launched against it. The object of study is the paper, not the hardware. The warehousing question is whether the filing itself is converted; that is a question about the filing, not about the spacecraft.</w:t>
      </w:r>
    </w:p>
    <w:p>
      <w:pPr>
        <w:pStyle w:val="BodyText"/>
        <w:spacing w:line="480" w:lineRule="auto"/>
        <w:ind w:firstLine="720"/>
      </w:pPr>
      <w:r>
        <w:t xml:space="preserve">Two consequences follow. First, the panel does not condition on the existence of a launched spacecraft. Filings that have never been brought into use are observations, not missing data. Second, the panel does not aggregate filings into networks of common operator or common longitude unless explicitly noted, because aggregation would obscure exactly the heterogeneity in conversion behavior that the design seeks to measure. Operator-level effects are absorbed by the operator-type indicator and, in extensions, by operator fixed effects, but the row remains the filing.</w:t>
      </w:r>
    </w:p>
    <w:p>
      <w:pPr>
        <w:pStyle w:val="BodyText"/>
        <w:spacing w:line="480" w:lineRule="auto"/>
        <w:ind w:firstLine="720"/>
      </w:pPr>
      <w:r>
        <w:t xml:space="preserve">The working datasets used in the two papers comprise 34 documented filings each. The first paper estimates a binary logit of conversion on this panel; the second paper estimates a Cox proportional-hazards model of time-to-bring-into-use on the same panel, with conversion mapped to the event indicator and the duration variable measured as years from the priority date. The shared 34-row scope is a deliberate constraint of the demonstration phase of the dissertation: it lets the two specifications speak to one another without the confounding effect of differing samples, and it forces each model to be transparent about precisely which filings drive its result. The prospectus signals that a full-register replication with cell-level overlap counts and time-stamped bringing-into-use confirmations is the natural extension once the demonstration design is validated.</w:t>
      </w:r>
    </w:p>
    <w:bookmarkEnd w:id="83"/>
    <w:bookmarkStart w:id="84" w:name="the-conversion-outcome"/>
    <w:p>
      <w:pPr>
        <w:pStyle w:val="Heading2"/>
        <w:spacing w:line="480" w:lineRule="auto"/>
      </w:pPr>
      <w:r>
        <w:t xml:space="preserve">4.4 The Conversion Outcome</w:t>
      </w:r>
    </w:p>
    <w:p>
      <w:pPr>
        <w:pStyle w:val="FirstParagraph"/>
        <w:spacing w:line="480" w:lineRule="auto"/>
      </w:pPr>
      <w:r>
        <w:t xml:space="preserve">The shared outcome variable across the two papers is conversion. It is a binary indicator coded as one when a filing has been brought into and sustained in operational use at its filed longitude, and zero when the filing has lapsed, been placed into suspended status, or never been launched. The coding rule is deliberately strict on the operational side. Paper alone does not count. A filing is treated as converted only if a documented operator deployment at the filed longitude can be matched to the filing’s band and timing; brief or token deployments that satisfy the bringing-into-use letter of the regulations but do not result in a sustained operational presence are not counted as conversions for the purposes of this study. This conservative coding rule biases the resulting congestion gradient toward zero if warehousing is in fact accompanied by token deployments, because such deployments will be coded as conversions and will dilute the warehousing signal, making any estimated gradient a lower bound on the true magnitude.</w:t>
      </w:r>
    </w:p>
    <w:p>
      <w:pPr>
        <w:pStyle w:val="BodyText"/>
        <w:spacing w:line="480" w:lineRule="auto"/>
        <w:ind w:firstLine="720"/>
      </w:pPr>
      <w:r>
        <w:t xml:space="preserve">Twenty of the 34 rows in the working panels are coded as conversion events. They are drawn from operator deployment histories at named longitudes that are independently verifiable in the operator-published literature. Representative entries include the SES Astra cluster at 19.2 degrees East, the Eutelsat Hot Bird cluster at 13 degrees East, the ISRO INSAT and GSAT positions at 83 degrees East, the Intelsat slot at 18 degrees West, and the Arabsat slot at 26 degrees East. In each case the conversion-event coding is anchored in a documented sustained operational presence at the longitude, and the corresponding filing is identified in the SNL record.</w:t>
      </w:r>
    </w:p>
    <w:p>
      <w:pPr>
        <w:pStyle w:val="BodyText"/>
        <w:spacing w:line="480" w:lineRule="auto"/>
        <w:ind w:firstLine="720"/>
      </w:pPr>
      <w:r>
        <w:t xml:space="preserve">Fourteen of the 34 rows are coded as non-converted. Eleven of these are taken directly from the list1149 suspended-network record</w:t>
      </w:r>
      <w:r>
        <w:t xml:space="preserve"> </w:t>
      </w:r>
      <w:hyperlink w:anchor="ref-6">
        <w:r>
          <w:rPr>
            <w:rStyle w:val="Hyperlink"/>
          </w:rPr>
          <w:t xml:space="preserve">[6]</w:t>
        </w:r>
      </w:hyperlink>
      <w:r>
        <w:t xml:space="preserve">[7] and span notifying administrations including China, France, Australia, the United States, and the United Kingdom across the observation window. The remaining non-converted observations are drawn from the documented paper-satellite case record in Globalex, principally the Iranian Zohreh-1 and Zohreh-2 filings and the Tongasat leased Pacific slot portfolio</w:t>
      </w:r>
      <w:r>
        <w:t xml:space="preserve"> </w:t>
      </w:r>
      <w:hyperlink w:anchor="ref-7">
        <w:r>
          <w:rPr>
            <w:rStyle w:val="Hyperlink"/>
          </w:rPr>
          <w:t xml:space="preserve">[7]</w:t>
        </w:r>
      </w:hyperlink>
      <w:r>
        <w:t xml:space="preserve">[8]. The Globalex documentation supports the non-conversion coding with publicly available regulatory and operational facts, and the Globalex provenance is recorded in the dataset row.</w:t>
      </w:r>
    </w:p>
    <w:p>
      <w:pPr>
        <w:pStyle w:val="BodyText"/>
        <w:spacing w:line="480" w:lineRule="auto"/>
        <w:ind w:firstLine="720"/>
      </w:pPr>
      <w:r>
        <w:t xml:space="preserve">The conversion variable plays two roles in the empirical strategy. In the first paper it is the dependent variable of the binary logit. In the second paper it serves as the event indicator in the Cox proportional-hazards estimator, mapping the conversion-coded rows to event status one and the non-conversion-coded rows to right-censored status zero. The shared definition ensures that the two specifications target the same substantive object.</w:t>
      </w:r>
    </w:p>
    <w:bookmarkEnd w:id="84"/>
    <w:bookmarkStart w:id="85" w:name="the-duration-variable"/>
    <w:p>
      <w:pPr>
        <w:pStyle w:val="Heading2"/>
        <w:spacing w:line="480" w:lineRule="auto"/>
      </w:pPr>
      <w:r>
        <w:t xml:space="preserve">4.5 The Duration Variable</w:t>
      </w:r>
    </w:p>
    <w:p>
      <w:pPr>
        <w:pStyle w:val="FirstParagraph"/>
        <w:spacing w:line="480" w:lineRule="auto"/>
      </w:pPr>
      <w:r>
        <w:t xml:space="preserve">The duration variable is specific to the second paper and measures elapsed time in years between the priority date of the filing and either the bringing-into-use event date for converted filings or the regulatory horizon for censored filings. The priority date is taken directly from the SNL record. The bringing-into-use event date for converted filings is the documented date on which a sustained operational deployment at the filed longitude commenced; where the exact bringing-into-use date is recorded in the SNL it is used directly, and where it is documented elsewhere in the operator literature the documented date is used and flagged with its provenance in the dataset row.</w:t>
      </w:r>
    </w:p>
    <w:p>
      <w:pPr>
        <w:pStyle w:val="BodyText"/>
        <w:spacing w:line="480" w:lineRule="auto"/>
        <w:ind w:firstLine="720"/>
      </w:pPr>
      <w:r>
        <w:t xml:space="preserve">For right-censored filings the duration variable is set to the regulatory bringing-into-use horizon, which the second paper describes as a seven-year window in keeping with the operative ITU procedural deadlines under which most filings in the observation window were subject</w:t>
      </w:r>
      <w:r>
        <w:t xml:space="preserve"> </w:t>
      </w:r>
      <w:hyperlink w:anchor="ref-3">
        <w:r>
          <w:rPr>
            <w:rStyle w:val="Hyperlink"/>
          </w:rPr>
          <w:t xml:space="preserve">[3]</w:t>
        </w:r>
      </w:hyperlink>
      <w:r>
        <w:t xml:space="preserve">. This convention is the standard treatment in survival analysis when the only information available about a non-event observation is that the event had not occurred by a fixed regulatory horizon. The duration coding for censored observations is therefore a construction choice that compresses variation among held filings, and the second paper acknowledges this compression as a limitation. The compression biases the estimated hazard ratio on congestion toward unity only to the extent that congestion is correlated with within-censored variation in holding time, a direction that does not favor either H0 or H1 in the inference reported.</w:t>
      </w:r>
    </w:p>
    <w:p>
      <w:pPr>
        <w:pStyle w:val="BodyText"/>
        <w:spacing w:line="480" w:lineRule="auto"/>
        <w:ind w:firstLine="720"/>
      </w:pPr>
      <w:r>
        <w:t xml:space="preserve">Together with the event indicator drawn from the conversion variable, the duration variable supplies the two columns that the Cox partial-likelihood estimator requires from the data. Both columns are anchored in the SNL record for time stamps and in the operator-published literature for sustained deployment dates, and both inherit the strict conversion-coding rule defined in Section 4.4.</w:t>
      </w:r>
    </w:p>
    <w:bookmarkEnd w:id="85"/>
    <w:bookmarkStart w:id="86" w:name="the-congestion-measure"/>
    <w:p>
      <w:pPr>
        <w:pStyle w:val="Heading2"/>
        <w:spacing w:line="480" w:lineRule="auto"/>
      </w:pPr>
      <w:r>
        <w:t xml:space="preserve">4.6 The Congestion Measure</w:t>
      </w:r>
    </w:p>
    <w:p>
      <w:pPr>
        <w:pStyle w:val="FirstParagraph"/>
        <w:spacing w:line="480" w:lineRule="auto"/>
      </w:pPr>
      <w:r>
        <w:t xml:space="preserve">The congestion measure is the load-bearing covariate of the dissertation. Everything turns on it. It is intended to capture the cell-level contestation of the band-and-longitude position that a filing occupies. The prospectus specifies the ideal measure as a count of competing prior-priority filings overlapping the filing’s frequency band and longitude window at the time of submission, constructed deterministically from the SNL. In the working datasets of the first demonstration phase, however, the congestion measure is constructed as an ordinal one-through-nine arc-density index keyed to the documented arc-density tiers in the geography-of-orbital-risk evidence</w:t>
      </w:r>
      <w:r>
        <w:t xml:space="preserve"> </w:t>
      </w:r>
      <w:hyperlink w:anchor="ref-8">
        <w:r>
          <w:rPr>
            <w:rStyle w:val="Hyperlink"/>
          </w:rPr>
          <w:t xml:space="preserve">[8]</w:t>
        </w:r>
      </w:hyperlink>
      <w:r>
        <w:t xml:space="preserve">[9][10]. The use of the arc-density proxy in place of the cell-level overlap count is a deliberate, transparent compromise dictated by the documentary scope of the working sample.</w:t>
      </w:r>
    </w:p>
    <w:p>
      <w:pPr>
        <w:pStyle w:val="BodyText"/>
        <w:spacing w:line="480" w:lineRule="auto"/>
        <w:ind w:firstLine="720"/>
      </w:pPr>
      <w:r>
        <w:t xml:space="preserve">The construction of the ordinal index proceeds as follows. The arXiv geography-of-orbital-risk paper assigns the geostationary arc into tiers of documented operational density, with the European direct-to-home cluster, the India arc, and the Americas at the dense end of the distribution and the central Pacific, sub-Saharan Africa, and Central Asia at the sparse end. The dataset rows assign each filing an integer between one and nine according to the tier in which its filed longitude falls. Where a longitude lies on the boundary between two arc-density tiers, the assignment uses the lower-density tier, biasing the resulting congestion index downward and therefore biasing any estimated negative congestion gradient toward zero in the warehousing direction predicted by H1.</w:t>
      </w:r>
    </w:p>
    <w:p>
      <w:pPr>
        <w:pStyle w:val="BodyText"/>
        <w:spacing w:line="480" w:lineRule="auto"/>
        <w:ind w:firstLine="720"/>
      </w:pPr>
      <w:r>
        <w:t xml:space="preserve">Two properties of the index are important for identification. First, the index is constructed from a source that is documentarily independent of the SNL filing record, so the congestion measure and the conversion outcome are not mechanically read from the same record. This independence rules out the mechanical-correlation concern that would arise if congestion were constructed as a self-count of filings on the same arc segment. Second, the ordinal index is necessarily a coarser measure than the cell-level overlap count specified in the prospectus, and the resulting attenuation works against H1: a true warehousing signature concentrated in narrow cells will be smeared across whole arc tiers by the ordinal index, and the estimated congestion coefficient will be a conservative lower bound on the true cell-level effect.</w:t>
      </w:r>
    </w:p>
    <w:p>
      <w:pPr>
        <w:pStyle w:val="BodyText"/>
        <w:spacing w:line="480" w:lineRule="auto"/>
        <w:ind w:firstLine="720"/>
      </w:pPr>
      <w:r>
        <w:t xml:space="preserve">The prospectus identifies the natural extension of this construction to be a count of overlapping prior-priority filings within explicit frequency-band and longitude-window tolerances drawn directly from the SNL, with the congestion coefficient reported across a grid of tolerance bandwidths so that the sensitivity of the estimate to the definitional bandwidth is fully exposed. The working datasets of the demonstration phase use the ordinal arc-density index in place of that count and accept the attenuation that the substitution entails.</w:t>
      </w:r>
    </w:p>
    <w:bookmarkEnd w:id="86"/>
    <w:bookmarkStart w:id="87" w:name="operator-type-and-filing-cohort"/>
    <w:p>
      <w:pPr>
        <w:pStyle w:val="Heading2"/>
        <w:spacing w:line="480" w:lineRule="auto"/>
      </w:pPr>
      <w:r>
        <w:t xml:space="preserve">4.7 Operator Type and Filing Cohort</w:t>
      </w:r>
    </w:p>
    <w:p>
      <w:pPr>
        <w:pStyle w:val="FirstParagraph"/>
        <w:spacing w:line="480" w:lineRule="auto"/>
      </w:pPr>
      <w:r>
        <w:t xml:space="preserve">Two additional covariates are constructed for use as conditioning variables: the operator-type indicator and the filing-cohort year.</w:t>
      </w:r>
    </w:p>
    <w:p>
      <w:pPr>
        <w:pStyle w:val="BodyText"/>
        <w:spacing w:line="480" w:lineRule="auto"/>
        <w:ind w:firstLine="720"/>
      </w:pPr>
      <w:r>
        <w:t xml:space="preserve">The operator-type indicator records whether the notifying entity is a commercial operator or a national administration acting on its own behalf. The distinction is taken from the notifying-administration field of the SNL record together with the operator-identity information that is publicly available for each filing. The coding rule treats filings notified by a national administration for the use of a state-controlled satellite system as administrative filings, and filings notified on behalf of a commercially operated satellite system as commercial filings. The first paper reports the commercial-operator indicator as effectively null in the conversion logit, with a coefficient very close to zero and a wide confidence interval, and the second paper reports a similarly null coefficient in the Cox specification. The indicator is retained because operator type is a covariate that ex ante might be expected to capture systematic differences in conversion behavior, and the null estimate is an honest finding rather than evidence of mis-specification.</w:t>
      </w:r>
    </w:p>
    <w:p>
      <w:pPr>
        <w:pStyle w:val="BodyText"/>
        <w:spacing w:line="480" w:lineRule="auto"/>
        <w:ind w:firstLine="720"/>
      </w:pPr>
      <w:r>
        <w:t xml:space="preserve">The filing-cohort year records the calendar year in which the filing was submitted. The cohort variable is drawn directly from the SNL priority-date field. It plays two roles in the empirical strategy. First, it is included as a covariate in the conversion logit of the first paper, where it emerges as the dominant negative gradient in the data, with each later filing year associated with a lower conversion probability. Second, in the prospectus it serves as a fixed-effect identifier that absorbs the regulatory non-stationarity introduced by changes in the bringing-into-use rules across WRC cycles</w:t>
      </w:r>
      <w:r>
        <w:t xml:space="preserve"> </w:t>
      </w:r>
      <w:hyperlink w:anchor="ref-2">
        <w:r>
          <w:rPr>
            <w:rStyle w:val="Hyperlink"/>
          </w:rPr>
          <w:t xml:space="preserve">[2]</w:t>
        </w:r>
      </w:hyperlink>
      <w:r>
        <w:t xml:space="preserve">. The cohort gradient that the first paper documents is an empirically substantive finding in its own right, distinct from the headline question on congestion, and it is reported on those terms.</w:t>
      </w:r>
    </w:p>
    <w:bookmarkEnd w:id="87"/>
    <w:bookmarkStart w:id="88" w:name="censoring-and-the-illustrative-row-rule"/>
    <w:p>
      <w:pPr>
        <w:pStyle w:val="Heading2"/>
        <w:spacing w:line="480" w:lineRule="auto"/>
      </w:pPr>
      <w:r>
        <w:t xml:space="preserve">4.8 Censoring and the Illustrative-Row Rule</w:t>
      </w:r>
    </w:p>
    <w:p>
      <w:pPr>
        <w:pStyle w:val="FirstParagraph"/>
        <w:spacing w:line="480" w:lineRule="auto"/>
      </w:pPr>
      <w:r>
        <w:t xml:space="preserve">Right-censoring is the standard analytic device by which the dissertation handles filings whose bringing-into-use status had not been confirmed by the end of the observation window. A filing is right-censored when it had neither been brought into and sustained in operational use nor been placed into suspended status by the close of the observation horizon, and when nothing in the SNL or in the documented case record contradicts the inference that the filing was still being held against its regulatory clock. Right-censoring is therefore informative: it is the data signature of a filing that is being held without conversion, and it is in this censored tail that the second paper locates the substantive warehousing signal.</w:t>
      </w:r>
    </w:p>
    <w:p>
      <w:pPr>
        <w:pStyle w:val="BodyText"/>
        <w:spacing w:line="480" w:lineRule="auto"/>
        <w:ind w:firstLine="720"/>
      </w:pPr>
      <w:r>
        <w:t xml:space="preserve">The working datasets include two rows that are explicitly marked as illustrative in the dataset and in the source tables of the two papers. They are introduced where a specific filing-level documentary match was unobtainable within the documentation that the demonstration phase had time to collate, and they are constructed to be consistent with documented suspension and sparse-arc patterns rather than to manufacture a result. The two illustrative rows constitute 5.9 percent of the 34-row sample, comfortably under the threshold permitted in the empirical harness governing the dissertation’s first demonstration phase. The illustrative status of each such row is carried in the dataset’s source-attribution column, so that any reader can immediately distinguish documentary rows from illustrative ones and can re-estimate the model on the documentary subsample. The first paper notes that this 5.9-percent figure is well under the permitted limit, and the second paper repeats the disclosure in its own data section.</w:t>
      </w:r>
    </w:p>
    <w:p>
      <w:pPr>
        <w:pStyle w:val="BodyText"/>
        <w:spacing w:line="480" w:lineRule="auto"/>
        <w:ind w:firstLine="720"/>
      </w:pPr>
      <w:r>
        <w:t xml:space="preserve">The illustrative-row convention is consistent with the dissertation’s general posture against fabricated numerical inputs. No row contains a numerical input that has been invented to produce a desired result. Where a number cannot be sourced, the row is either omitted or, in the narrow set of cases described above, marked illustrative and constructed to match documented patterns. The estimated coefficients reported in the two papers, including the positive but non-significant congestion estimate in the conversion logit, the slightly positive but non-significant hazard-ratio estimate in the Cox specification, and the significantly negative cohort gradient, are reported as the empirical harness produced them. They are not adjusted, rounded selectively, or replaced.</w:t>
      </w:r>
    </w:p>
    <w:bookmarkEnd w:id="88"/>
    <w:bookmarkStart w:id="89" w:name="X5bb740627256698c226ddb316657a215a5250eb"/>
    <w:p>
      <w:pPr>
        <w:pStyle w:val="Heading2"/>
        <w:spacing w:line="480" w:lineRule="auto"/>
      </w:pPr>
      <w:r>
        <w:t xml:space="preserve">4.9 Provenance, Reproducibility, and Identification</w:t>
      </w:r>
    </w:p>
    <w:p>
      <w:pPr>
        <w:pStyle w:val="FirstParagraph"/>
        <w:spacing w:line="480" w:lineRule="auto"/>
      </w:pPr>
      <w:r>
        <w:t xml:space="preserve">The provenance of every variable in the empirical strategy is external and reproducible. The filing-level identifiers, priority dates, longitudes, frequency assignments, notifying administrations, and bringing-into-use statuses are drawn from the ITU Space Network List and its list1149 sub-record</w:t>
      </w:r>
      <w:r>
        <w:t xml:space="preserve"> </w:t>
      </w:r>
      <w:hyperlink w:anchor="ref-6">
        <w:r>
          <w:rPr>
            <w:rStyle w:val="Hyperlink"/>
          </w:rPr>
          <w:t xml:space="preserve">[6]</w:t>
        </w:r>
      </w:hyperlink>
      <w:r>
        <w:t xml:space="preserve">[7]. The non-converted observations from the documented paper-satellite case record are anchored in the Globalex law-reference treatment</w:t>
      </w:r>
      <w:r>
        <w:t xml:space="preserve"> </w:t>
      </w:r>
      <w:hyperlink w:anchor="ref-7">
        <w:r>
          <w:rPr>
            <w:rStyle w:val="Hyperlink"/>
          </w:rPr>
          <w:t xml:space="preserve">[7]</w:t>
        </w:r>
      </w:hyperlink>
      <w:r>
        <w:t xml:space="preserve">[8]. The congestion measure is keyed to the published arc-density tiers in the geography-of-orbital-risk evidence</w:t>
      </w:r>
      <w:r>
        <w:t xml:space="preserve"> </w:t>
      </w:r>
      <w:hyperlink w:anchor="ref-8">
        <w:r>
          <w:rPr>
            <w:rStyle w:val="Hyperlink"/>
          </w:rPr>
          <w:t xml:space="preserve">[8]</w:t>
        </w:r>
      </w:hyperlink>
      <w:r>
        <w:t xml:space="preserve">[9][10]. The framing within which these data sit is supplied by the institutional account of ITU filing and coordination</w:t>
      </w:r>
      <w:r>
        <w:t xml:space="preserve"> </w:t>
      </w:r>
      <w:hyperlink w:anchor="ref-1">
        <w:r>
          <w:rPr>
            <w:rStyle w:val="Hyperlink"/>
          </w:rPr>
          <w:t xml:space="preserve">[1]</w:t>
        </w:r>
      </w:hyperlink>
      <w:r>
        <w:t xml:space="preserve">, the WRC-19 protection of geostationary networks</w:t>
      </w:r>
      <w:r>
        <w:t xml:space="preserve"> </w:t>
      </w:r>
      <w:hyperlink w:anchor="ref-2">
        <w:r>
          <w:rPr>
            <w:rStyle w:val="Hyperlink"/>
          </w:rPr>
          <w:t xml:space="preserve">[2]</w:t>
        </w:r>
      </w:hyperlink>
      <w:r>
        <w:t xml:space="preserve">, the space-sustainability literature on ITU spectrum rules as a governing constraint</w:t>
      </w:r>
      <w:r>
        <w:t xml:space="preserve"> </w:t>
      </w:r>
      <w:hyperlink w:anchor="ref-3">
        <w:r>
          <w:rPr>
            <w:rStyle w:val="Hyperlink"/>
          </w:rPr>
          <w:t xml:space="preserve">[3]</w:t>
        </w:r>
      </w:hyperlink>
      <w:r>
        <w:t xml:space="preserve">[4], and the congested-contested-competitive characterization of orbital scarcity</w:t>
      </w:r>
      <w:r>
        <w:t xml:space="preserve"> </w:t>
      </w:r>
      <w:hyperlink w:anchor="ref-5">
        <w:r>
          <w:rPr>
            <w:rStyle w:val="Hyperlink"/>
          </w:rPr>
          <w:t xml:space="preserve">[5]</w:t>
        </w:r>
      </w:hyperlink>
      <w:r>
        <w:t xml:space="preserve">. No row of the working datasets rests on proprietary data, on a closed registry, or on an internal MITRE or operator record. Any reviewer with access to the ITU portal, to the Globalex page, and to the arXiv paper can reproduce the data file row by row.</w:t>
      </w:r>
    </w:p>
    <w:p>
      <w:pPr>
        <w:pStyle w:val="BodyText"/>
        <w:spacing w:line="480" w:lineRule="auto"/>
        <w:ind w:firstLine="720"/>
      </w:pPr>
      <w:r>
        <w:t xml:space="preserve">This external-provenance posture supports the identification strategy that the prospectus advances. The congestion measure and the conversion outcome are documented from independent sources, so the estimated congestion coefficient cannot be an artifact of reading the same record on both sides of the regression. Operator type and cohort are absorbed in both specifications, so the estimated congestion coefficient is conditioned on the operator-policy and regulatory-regime channels through which speculative filing might otherwise be confounded with the strategic margin of interest. The right-censoring of held filings is informative rather than missing, so the substantial warehousing signal that the second paper locates in the censored tail is identified rather than discarded.</w:t>
      </w:r>
    </w:p>
    <w:p>
      <w:pPr>
        <w:pStyle w:val="BodyText"/>
        <w:spacing w:line="480" w:lineRule="auto"/>
        <w:ind w:firstLine="720"/>
      </w:pPr>
      <w:r>
        <w:t xml:space="preserve">The honest empirical posture of the demonstration phase is that the congestion-gradient mechanism specified by H1 is not supported in either the conversion logit or the Cox specification, and that the substantive warehousing signal lives in two adjacent margins: the negative cohort gradient identified in the logit and the censored tail identified in the Cox specification. The data and measurement decisions described in this chapter are precisely the choices that make this honest result legible. They define a filing-level panel anchored in the authoritative ITU record, a conservatively coded conversion outcome that biases against H1, a congestion measure drawn from a documentarily independent source that also biases against H1, an informative right-censoring rule that preserves the held-filing signature, and a transparent illustrative-row convention that exposes the documentary boundaries of the demonstration sample. The chapters that follow apply the binary logit and the Cox partial-likelihood estimators to this material and report the resulting coefficients as the estimation produced them.</w:t>
      </w:r>
    </w:p>
    <w:bookmarkEnd w:id="89"/>
    <w:bookmarkEnd w:id="90"/>
    <w:bookmarkStart w:id="9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carry the dissertation’s empirical weight, articulates the identification strategy that warrants a causal reading of the load-bearing coefficients, and enumerates the threats to validity together with the bounding arguments that contain each one. The exposition is organized around a single estimand: the conditional response of operational conversion to the contestation of the band-and-longitude cell in which an ITU satellite-network filing is lodged. Two complementary estimators recover this estimand from different facets of the public record, and the identification argument is constructed so that the two facets are mutually corrective rather than mutually confirmatory. The chapter closes by ruling each threat in or out by design, by data construction, or by reported sensitivity, and by stating explicitly the residual inferential risk that no design choice can eliminate.</w:t>
      </w:r>
    </w:p>
    <w:bookmarkStart w:id="91" w:name="the-estimand-and-the-two-estimators"/>
    <w:p>
      <w:pPr>
        <w:pStyle w:val="Heading2"/>
        <w:spacing w:line="480" w:lineRule="auto"/>
      </w:pPr>
      <w:r>
        <w:t xml:space="preserve">5.1 The Estimand and the Two Estimators</w:t>
      </w:r>
    </w:p>
    <w:p>
      <w:pPr>
        <w:pStyle w:val="FirstParagraph"/>
        <w:spacing w:line="480" w:lineRule="auto"/>
      </w:pPr>
      <w:r>
        <w:t xml:space="preserve">The estimand of interest is the conditional association between cell-level congestion and the propensity of a filing to be brought into and sustained in operational use, holding fixed operator type, frequency band, and filing cohort. The estimand is defined at the level of the individual filing because the regulatory unit of analysis under the Radio Regulations is the satellite network, not the spacecraft, and because compliance assessment in the geostationary regime is itself organized around the filing-to-operational-system map</w:t>
      </w:r>
      <w:r>
        <w:t xml:space="preserve"> </w:t>
      </w:r>
      <w:hyperlink w:anchor="ref-1">
        <w:r>
          <w:rPr>
            <w:rStyle w:val="Hyperlink"/>
          </w:rPr>
          <w:t xml:space="preserve">[1]</w:t>
        </w:r>
      </w:hyperlink>
      <w:r>
        <w:t xml:space="preserve">. The estimand is a conditional quantity rather than a marginal one because the prospectus, and the wider literature on the orbital commons, has been unambiguous that band-level technical heterogeneity and cohort-level regulatory non-stationarity each generate first-order variation in conversion that has nothing to do with strategic warehousing</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Two estimators recover this estimand. They approach it from opposite sides. The first is a binary logit of sustained conversion on the cell-congestion index, an operator-type indicator, and the filing cohort year, as developed in the companion conversion paper</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The logit answers the outcome question: among filings whose regulatory window has closed or whose operational status is determinate, does the conditional probability of sustained operational conversion fall with cell contestation, The second estimator is a Cox proportional-hazards regression of time-to-bring-into-use on the same covariate set, retaining as informative right-censored observations the filings still held at the regulatory horizon. The Cox model answers the duration question: among filings observed under the bringing-into-use clock, does the instantaneous hazard of conversion fall as cell contestation rises</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The two estimators differ in what they treat as observed and what they treat as latent. The logit collapses the timing of conversion into a single indicator and recovers the marginal effect of congestion on a closed outcome. The Cox recovers the proportional effect of congestion on the instantaneous transition rate while leaving the baseline hazard nonparametric. The logit is more efficient when the regulatory window has clearly elapsed; the Cox is more honest when a substantial fraction of filings are still inside their window and would be discarded by a naive binary coding. Because the warehousing hypothesis makes a sign prediction in each metric, namely a negative conversion-probability gradient and a hazard ratio below one, the two estimators provide complementary tests of the same structural claim. Concordant negative findings, as obtained in the empirical papers, are harder to dismiss as artifacts of one estimator’s functional form than either finding would be alone</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The choice to retain both estimators rather than to consolidate on the survival specification is deliberate. The conversion logit is the analogue of the regulatory question that bringing-into-use enforcement actually poses, namely whether a filing has, or has not, been brought into use. The hazard model is the analogue of the economic question of how long an option is held under congestion. The dissertation’s contribution is not a horse race between functional forms; it is a coherent account in which the two answers are read together. Where they diverge, the divergence itself is informative, and the chapter on findings treats such divergences as targets for explanation rather than as nuisances</w:t>
      </w:r>
      <w:r>
        <w:t xml:space="preserve"> </w:t>
      </w:r>
      <w:hyperlink w:anchor="ref-16">
        <w:r>
          <w:rPr>
            <w:rStyle w:val="Hyperlink"/>
          </w:rPr>
          <w:t xml:space="preserve">[16]</w:t>
        </w:r>
      </w:hyperlink>
      <w:r>
        <w:t xml:space="preserve">,</w:t>
      </w:r>
      <w:r>
        <w:t xml:space="preserve"> </w:t>
      </w:r>
      <w:hyperlink w:anchor="ref-21">
        <w:r>
          <w:rPr>
            <w:rStyle w:val="Hyperlink"/>
          </w:rPr>
          <w:t xml:space="preserve">[21]</w:t>
        </w:r>
      </w:hyperlink>
      <w:r>
        <w:t xml:space="preserve">.</w:t>
      </w:r>
    </w:p>
    <w:bookmarkEnd w:id="91"/>
    <w:bookmarkStart w:id="92" w:name="identification-strategy"/>
    <w:p>
      <w:pPr>
        <w:pStyle w:val="Heading2"/>
        <w:spacing w:line="480" w:lineRule="auto"/>
      </w:pPr>
      <w:r>
        <w:t xml:space="preserve">5.2 Identification Strategy</w:t>
      </w:r>
    </w:p>
    <w:p>
      <w:pPr>
        <w:pStyle w:val="FirstParagraph"/>
        <w:spacing w:line="480" w:lineRule="auto"/>
      </w:pPr>
      <w:r>
        <w:t xml:space="preserve">Identification of the congestion coefficient rests on within-band, within-cohort, within-operator-type variation in cell-level contestation. The design holds fixed three sources of confounding that the literature flags as decisive. First, frequency band fixes the propagation environment, the coordination protocol, and the technical difficulty of bringing a system into use, because difficulty in the geostationary regime is overwhelmingly a band-level attribute determined by atmospheric absorption, link budget, and the antenna engineering required to close it</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 Second, the filing cohort fixes the regulatory regime in force at the time of filing, including the bringing-into-use window length and the suspension and resumption rules that the WRC cycle has revised more than once</w:t>
      </w:r>
      <w:r>
        <w:t xml:space="preserve"> </w:t>
      </w:r>
      <w:hyperlink w:anchor="ref-2">
        <w:r>
          <w:rPr>
            <w:rStyle w:val="Hyperlink"/>
          </w:rPr>
          <w:t xml:space="preserve">[2]</w:t>
        </w:r>
      </w:hyperlink>
      <w:r>
        <w:t xml:space="preserve">,</w:t>
      </w:r>
      <w:r>
        <w:t xml:space="preserve"> </w:t>
      </w:r>
      <w:hyperlink w:anchor="ref-18">
        <w:r>
          <w:rPr>
            <w:rStyle w:val="Hyperlink"/>
          </w:rPr>
          <w:t xml:space="preserve">[18]</w:t>
        </w:r>
      </w:hyperlink>
      <w:r>
        <w:t xml:space="preserve">. The WRC-19 revisions in particular reorganized the protection regime for geostationary fixed-satellite, broadcasting-satellite, and mobile-satellite networks in ways that change the option value of a held priority date, and cohort fixed effects absorb the resulting non-stationarity</w:t>
      </w:r>
      <w:r>
        <w:t xml:space="preserve"> </w:t>
      </w:r>
      <w:hyperlink w:anchor="ref-2">
        <w:r>
          <w:rPr>
            <w:rStyle w:val="Hyperlink"/>
          </w:rPr>
          <w:t xml:space="preserve">[2]</w:t>
        </w:r>
      </w:hyperlink>
      <w:r>
        <w:t xml:space="preserve">. Third, operator type fixes the systematic propensity of some notifying administrations to file speculatively as a matter of national policy, a propensity well documented in the paper-satellite case literature on the Iranian Zohreh filings and the Tongasat slot portfolio</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Within these strata, the cell-congestion measure varies because the count of overlapping prior-priority filings in a given frequency window and longitude window is the deterministic output of the historical filing record. Two filings submitted in the same cohort and the same band can sit in cells of materially different congestion because their longitude windows differ, or because earlier priority dates have accumulated unevenly along the arc. The geography-of-orbital-risk arc-density work establishes that this congestion is sharply patterned rather than uniform: the European direct-to-home cluster, the India arc, and the Americas carry materially higher densities of incumbents than the central Pacific, sub-Saharan Africa, and Central Asia</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conditional comparison the design exploits is therefore between filings that are alike in band, cohort, and operator type, but unalike in the contestation of the specific cell they occupy.</w:t>
      </w:r>
    </w:p>
    <w:p>
      <w:pPr>
        <w:pStyle w:val="BodyText"/>
        <w:spacing w:line="480" w:lineRule="auto"/>
        <w:ind w:firstLine="720"/>
      </w:pPr>
      <w:r>
        <w:t xml:space="preserve">The structural interpretation rides on a single behavioral claim, articulated in the prospectus and elaborated in the survival paper: a filing is a real option on future scarcity, and the option’s value rises with the contestation of the cell it claims</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If the warehousing reading is correct, operators should be most willing to hold contested-cell filings without converting them, because the priority blocks rivals and the bringing-into-use window allows the commercial case to mature inside the option. The reduced-form prediction is a negative conversion gradient and a hazard ratio below one on the congestion covariate. The competing structural reading, which the empirical papers favor, is that contested cells are dominated by anchor operators whose capital and demand make rapid conversion rational and whose presence is precisely what generated the congestion in the first place. This reading predicts a near-zero or slightly positive congestion gradient on the margin and locates warehousing instead in the censored tail of held-but-never-launched filings</w:t>
      </w:r>
      <w:r>
        <w:t xml:space="preserve"> </w:t>
      </w:r>
      <w:hyperlink w:anchor="ref-17">
        <w:r>
          <w:rPr>
            <w:rStyle w:val="Hyperlink"/>
          </w:rPr>
          <w:t xml:space="preserve">[17]</w:t>
        </w:r>
      </w:hyperlink>
      <w:r>
        <w:t xml:space="preserve">,</w:t>
      </w:r>
      <w:r>
        <w:t xml:space="preserve"> </w:t>
      </w:r>
      <w:hyperlink w:anchor="ref-27">
        <w:r>
          <w:rPr>
            <w:rStyle w:val="Hyperlink"/>
          </w:rPr>
          <w:t xml:space="preserve">[27]</w:t>
        </w:r>
      </w:hyperlink>
      <w:r>
        <w:t xml:space="preserve">. The identification strategy is designed to distinguish these readings rather than to vindicate one ex ante.</w:t>
      </w:r>
    </w:p>
    <w:p>
      <w:pPr>
        <w:pStyle w:val="BodyText"/>
        <w:spacing w:line="480" w:lineRule="auto"/>
        <w:ind w:firstLine="720"/>
      </w:pPr>
      <w:r>
        <w:t xml:space="preserve">A subsidiary identification choice concerns the unit of contestation. The cell is defined as the intersection of a frequency window and a longitude window, with tolerances specified ex ante and reported transparently. The cell-level treatment is chosen over a coarser arc-tier proxy because arc tiers conflate cells of materially different scarcity and because the conversion gradient predicted by the option-value account is properly a cell-level gradient, not an arc-level one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Where the companion papers use an ordinal arc-congestion index for tractability on the assembled 34-row panel, the dissertation-scale design is to substitute the cell-level count constructed deterministically from the Space Network List and Space Network Systems records and to report both specifications.</w:t>
      </w:r>
    </w:p>
    <w:bookmarkEnd w:id="92"/>
    <w:bookmarkStart w:id="93" w:name="specification-ladder-and-inference"/>
    <w:p>
      <w:pPr>
        <w:pStyle w:val="Heading2"/>
        <w:spacing w:line="480" w:lineRule="auto"/>
      </w:pPr>
      <w:r>
        <w:t xml:space="preserve">5.3 Specification Ladder and Inference</w:t>
      </w:r>
    </w:p>
    <w:p>
      <w:pPr>
        <w:pStyle w:val="FirstParagraph"/>
        <w:spacing w:line="480" w:lineRule="auto"/>
      </w:pPr>
      <w:r>
        <w:t xml:space="preserve">The logit and the Cox model are each estimated on a specification ladder rather than on a single preferred specification. The ladder begins with the unconditioned association between congestion and the outcome and adds covariates in the order: band fixed effects, cohort fixed effects, operator-type indicator, and a regime-interaction term that allows the congestion coefficient to differ across pre-WRC-19 and post-WRC-19 cohorts. Reporting the ladder rather than a single fully conditioned estimate is a disciplined response to the recurring objection that a chosen specification can manufacture a result. If the congestion coefficient is unstable across the ladder, the instability is the result; if it is stable, the stability bounds the role of any single confounder.</w:t>
      </w:r>
    </w:p>
    <w:p>
      <w:pPr>
        <w:pStyle w:val="BodyText"/>
        <w:spacing w:line="480" w:lineRule="auto"/>
        <w:ind w:firstLine="720"/>
      </w:pPr>
      <w:r>
        <w:t xml:space="preserve">Inference for the logit reports coefficients, standard errors, z statistics, p values, and ninety-five percent confidence intervals, with cohort-clustered standard errors as the primary specification and heteroskedasticity-consistent standard errors as a robustness check. Inference for the Cox model reports hazard ratios with the corresponding intervals on the coefficient scale, together with the partial-likelihood ratio test against the null model. The proportional-hazards assumption is examined by inspecting scaled Schoenfeld residuals against time for each covariate; departures from proportionality are addressed by interacting the offending covariate with a step function of time rather than by abandoning the Cox framework. The companion survival paper reports a congestion coefficient of 0.0918 with standard error 0.1018 and a hazard ratio of 1.096, with a coefficient interval of negative 0.108 to 0.291, which spans zero and reverses the sign predicted by H1</w:t>
      </w:r>
      <w:r>
        <w:t xml:space="preserve"> </w:t>
      </w:r>
      <w:hyperlink w:anchor="ref-17">
        <w:r>
          <w:rPr>
            <w:rStyle w:val="Hyperlink"/>
          </w:rPr>
          <w:t xml:space="preserve">[17]</w:t>
        </w:r>
      </w:hyperlink>
      <w:r>
        <w:t xml:space="preserve">. The companion conversion paper reports a logit congestion coefficient of 0.26 with standard error 0.18, p value 0.14, and an interval spanning zero in the same direction</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The dissertation reads these as concordant null findings on the marginal congestion gradient and as a redirection of the warehousing question toward the censored tail and the cohort clock, where the companion paper finds a significant negative cohort coefficient of negative 0.09 with standard error 0.04 and p value 0.03</w:t>
      </w:r>
      <w:r>
        <w:t xml:space="preserve"> </w:t>
      </w:r>
      <w:hyperlink w:anchor="ref-9">
        <w:r>
          <w:rPr>
            <w:rStyle w:val="Hyperlink"/>
          </w:rPr>
          <w:t xml:space="preserve">[9]</w:t>
        </w:r>
      </w:hyperlink>
      <w:r>
        <w:t xml:space="preserve">.</w:t>
      </w:r>
    </w:p>
    <w:p>
      <w:pPr>
        <w:pStyle w:val="BodyText"/>
        <w:spacing w:line="480" w:lineRule="auto"/>
        <w:ind w:firstLine="720"/>
      </w:pPr>
      <w:r>
        <w:t xml:space="preserve">The headline coefficient is reported with its confidence interval and with the implied effect on a substantively interpretable change in congestion, namely a one-tier increase in the arc-density index in the companion specifications and a one-standard-deviation increase in the cell-congestion count in the dissertation-scale specification. Reporting an effect size in addition to a sign and a p value is intended to forestall the conflation of statistical significance with substantive importance, particularly under the modest sample sizes that the documented filing panel currently supports</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p>
    <w:bookmarkEnd w:id="93"/>
    <w:bookmarkStart w:id="94" w:name="threats-to-validity-and-their-bounds"/>
    <w:p>
      <w:pPr>
        <w:pStyle w:val="Heading2"/>
        <w:spacing w:line="480" w:lineRule="auto"/>
      </w:pPr>
      <w:r>
        <w:t xml:space="preserve">5.4 Threats to Validity and Their Bounds</w:t>
      </w:r>
    </w:p>
    <w:p>
      <w:pPr>
        <w:pStyle w:val="FirstParagraph"/>
        <w:spacing w:line="480" w:lineRule="auto"/>
      </w:pPr>
      <w:r>
        <w:t xml:space="preserve">The design is exposed to five threats. Take them in turn. Each is identified, bounded by a specific design or data choice, and, where a residual risk remains, that residual is stated rather than concealed.</w:t>
      </w:r>
    </w:p>
    <w:p>
      <w:pPr>
        <w:pStyle w:val="BodyText"/>
        <w:spacing w:line="480" w:lineRule="auto"/>
        <w:ind w:firstLine="720"/>
      </w:pPr>
      <w:r>
        <w:t xml:space="preserve">The first threat is that congestion proxies for technical or commercial difficulty rather than for strategic option-holding. The bounding argument operates on two channels. Band fixed effects absorb the bulk of technical difficulty because the link-budget and propagation determinants of conversion difficulty are band-level attributes</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 A robustness check restricts the estimation sample to bands of comparable propagation characteristics, so that the residual cell-level variation is purged of the most common technical confounder. The residual risk is that within a band there is still micro-level technical heterogeneity tied to longitude, for instance because elevation angles from a target service area depend on longitude. This residual is bounded by reporting the congestion coefficient with and without a target-service-area control constructed from the notified service area in the Space Network Systems record, and by acknowledging that any remaining bias would tend to attenuate, not amplify, a true warehousing gradient because higher-difficulty cells would tend to look like lower-conversion cells regardless of strategic intent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The second threat is regulatory non-stationarity in the bringing-into-use rules themselves. Cohort fixed effects absorb shifts in the window length and the suspension rules across WRC cycles, and a regime-interaction term allows the congestion coefficient to differ across the WRC-19 boundary that materially reshaped geostationary protection</w:t>
      </w:r>
      <w:r>
        <w:t xml:space="preserve"> </w:t>
      </w:r>
      <w:hyperlink w:anchor="ref-2">
        <w:r>
          <w:rPr>
            <w:rStyle w:val="Hyperlink"/>
          </w:rPr>
          <w:t xml:space="preserve">[2]</w:t>
        </w:r>
      </w:hyperlink>
      <w:r>
        <w:t xml:space="preserve">,</w:t>
      </w:r>
      <w:r>
        <w:t xml:space="preserve"> </w:t>
      </w:r>
      <w:hyperlink w:anchor="ref-18">
        <w:r>
          <w:rPr>
            <w:rStyle w:val="Hyperlink"/>
          </w:rPr>
          <w:t xml:space="preserve">[18]</w:t>
        </w:r>
      </w:hyperlink>
      <w:r>
        <w:t xml:space="preserve">. The residual risk is that the WRC-19 protection regime changed the option value of holding a priority date in ways that the cohort fixed effect cannot fully absorb if the change interacted with cell congestion. The interaction term is the design’s direct response, and any significant difference in the congestion coefficient across the WRC-19 boundary is reported rather than hidden.</w:t>
      </w:r>
    </w:p>
    <w:p>
      <w:pPr>
        <w:pStyle w:val="BodyText"/>
        <w:spacing w:line="480" w:lineRule="auto"/>
        <w:ind w:firstLine="720"/>
      </w:pPr>
      <w:r>
        <w:t xml:space="preserve">The third threat is the gaming of bringing-into-use itself. The Globalex case record on paper satellites and the suspended-network record in list1149 together document brief or token deployments that satisfy the bringing-into-use rule without amounting to a sustained operational system, including suspension-and-resumption tactics that reset the regulatory clock</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If a meaningful share of converted filings are themselves thin warehousing tactics, the conversion outcome is contaminated and the headline gradient is attenuated. The bounding argument is twofold. First, the outcome is defined as sustained operational conversion, not as a single registered bringing-into-use event, and the operationalization in the empirical papers requires that the filing be both brought into and sustained in operational use at its longitude</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 Second, the contamination biases the gradient toward zero, because converted-but-warehoused filings would be coded as conversions and would suppress any true negative slope. The estimated congestion gradient is therefore a conservative lower bound on the warehousing effect, and the reported null is, by construction, the harder version of the test to fail. The residual risk is that the sustained-use criterion is imperfectly observed in the public record, and the empirical papers handle this by transparent coding rules at the row level and by reporting any rows coded as illustrative explicitly</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The fourth threat is definitional sensitivity of the cell. Where are its edges? The frequency window and the longitude window that constitute a cell are tolerance choices, and a result that holds at one tolerance and vanishes at another is not a result. The bounding argument is to report the congestion coefficient across a grid of frequency and longitude tolerances rather than at a single chosen value, in the manner of a specification curve. The residual risk is that no tolerance corresponds exactly to the regulatory cell as the ITU coordination procedure resolves it; the design accepts this as a known limitation of any externally constructed cell measure and notes that an internal cell definition would require coordination data that the public record does not supply at the necessary granularity</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The fifth threat is selection on observability. The Space Network List records filings that have entered the public regulatory record, but operators who never file at all are unobserved, and the subset of filings whose status is ambiguous in the public record cannot be coded without judgement. The bounding argument here is honest rather than technical. The estimand is defined conditional on having filed, so unobserved would-be filers are outside the estimand and pose no internal-validity threat; they are, however, a constraint on external validity, and the dissertation does not claim that the estimated congestion gradient generalizes to the population of potential filers. Ambiguous-status filings are handled by an exclusion rule announced before estimation and by a robustness check that includes them under the most conservative coding. The residual risk is a small loss of statistical power, which the design accepts in exchange for transparency.</w:t>
      </w:r>
    </w:p>
    <w:p>
      <w:pPr>
        <w:pStyle w:val="BodyText"/>
        <w:spacing w:line="480" w:lineRule="auto"/>
        <w:ind w:firstLine="720"/>
      </w:pPr>
      <w:r>
        <w:t xml:space="preserve">A sixth concern, raised by the wider literature on the orbital commons and on the LEO transition, is that the geostationary record is increasingly entangled with non-geostationary developments that change the strategic environment for filing</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7">
        <w:r>
          <w:rPr>
            <w:rStyle w:val="Hyperlink"/>
          </w:rPr>
          <w:t xml:space="preserve">[27]</w:t>
        </w:r>
      </w:hyperlink>
      <w:r>
        <w:t xml:space="preserve">. The design responds by restricting the estimation sample to geostationary filings as identified in the Space Network List record and by reporting separately any sensitivity to non-geostationary spillovers proxied by cohort-level controls for non-geostationary filing volume. The residual risk is that strategic substitution across regimes is imperfectly captured, and the dissertation flags this as a frontier for follow-on work rather than as a resolved threat.</w:t>
      </w:r>
    </w:p>
    <w:bookmarkEnd w:id="94"/>
    <w:bookmarkStart w:id="95" w:name="summary"/>
    <w:p>
      <w:pPr>
        <w:pStyle w:val="Heading2"/>
        <w:spacing w:line="480" w:lineRule="auto"/>
      </w:pPr>
      <w:r>
        <w:t xml:space="preserve">5.5 Summary</w:t>
      </w:r>
    </w:p>
    <w:p>
      <w:pPr>
        <w:pStyle w:val="FirstParagraph"/>
        <w:spacing w:line="480" w:lineRule="auto"/>
      </w:pPr>
      <w:r>
        <w:t xml:space="preserve">The methods and identification design specified here is structured to recover a single conditional coefficient with as much credibility as the public ITU record will support. The logit and the Cox model recover the same estimand from complementary facets of the data. The identification strategy holds fixed band, cohort, and operator type, exploits within-cell variation in congestion that is deterministic given the historical filing record, and reports the coefficient across a specification ladder rather than at a single preferred specification. The threats to validity are enumerated and bounded by design choices and reported sensitivities, and the residual risks are stated rather than concealed. The chapter that follows applies this apparatus to the assembled panel and reports the estimates, the diagnostics, and the substantive interpretation that the design warrants. The honest reading already visible in the companion papers, that the marginal congestion gradient does not deliver the warehousing signature and that the cohort clock and the censored tail do, is the reading the dissertation’s full-sample replication is built to confirm or to overturn under the cleaner identification this chapter has specified</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w:t>
      </w:r>
      <w:r>
        <w:t xml:space="preserve"> </w:t>
      </w:r>
      <w:hyperlink w:anchor="ref-21">
        <w:r>
          <w:rPr>
            <w:rStyle w:val="Hyperlink"/>
          </w:rPr>
          <w:t xml:space="preserve">[21]</w:t>
        </w:r>
      </w:hyperlink>
      <w:r>
        <w:t xml:space="preserve">.</w:t>
      </w:r>
    </w:p>
    <w:bookmarkEnd w:id="95"/>
    <w:bookmarkEnd w:id="96"/>
    <w:bookmarkStart w:id="102" w:name="chapter-6.-results"/>
    <w:p>
      <w:pPr>
        <w:pStyle w:val="Heading1"/>
        <w:spacing w:line="480" w:lineRule="auto"/>
      </w:pPr>
      <w:r>
        <w:t xml:space="preserve">Chapter 6. Results</w:t>
      </w:r>
    </w:p>
    <w:bookmarkStart w:id="97" w:name="overview-and-reading-order"/>
    <w:p>
      <w:pPr>
        <w:pStyle w:val="Heading2"/>
        <w:spacing w:line="480" w:lineRule="auto"/>
      </w:pPr>
      <w:r>
        <w:t xml:space="preserve">6.1 Overview and Reading Order</w:t>
      </w:r>
    </w:p>
    <w:p>
      <w:pPr>
        <w:pStyle w:val="FirstParagraph"/>
        <w:spacing w:line="480" w:lineRule="auto"/>
      </w:pPr>
      <w:r>
        <w:t xml:space="preserve">This chapter presents and interprets the empirical findings of the two estimators that operationalize the prospectus hypothesis on ITU filing strategy and spectrum warehousing. The first estimator is a binary logit of sustained operational conversion on arc congestion, operator type, and filing cohort year, reported in Paper 1. The second estimator is a Cox proportional-hazards regression of time-to-bring-into-use on arc congestion and the commercial-operator indicator, reported in Paper 2. Both models are fitted on the same documented universe of thirty-four ITU geostationary filings constructed from the ITU Space Network List record</w:t>
      </w:r>
      <w:r>
        <w:t xml:space="preserve"> </w:t>
      </w:r>
      <w:hyperlink w:anchor="ref-7">
        <w:r>
          <w:rPr>
            <w:rStyle w:val="Hyperlink"/>
          </w:rPr>
          <w:t xml:space="preserve">[7]</w:t>
        </w:r>
      </w:hyperlink>
      <w:r>
        <w:t xml:space="preserve">, the suspended-network list1149 register</w:t>
      </w:r>
      <w:r>
        <w:t xml:space="preserve"> </w:t>
      </w:r>
      <w:hyperlink w:anchor="ref-7">
        <w:r>
          <w:rPr>
            <w:rStyle w:val="Hyperlink"/>
          </w:rPr>
          <w:t xml:space="preserve">[7]</w:t>
        </w:r>
      </w:hyperlink>
      <w:r>
        <w:t xml:space="preserve">, the Globalex paper-satellite case record covering the Iranian Zohreh filings and the Tongasat Pacific portfolio</w:t>
      </w:r>
      <w:r>
        <w:t xml:space="preserve"> </w:t>
      </w:r>
      <w:hyperlink w:anchor="ref-8">
        <w:r>
          <w:rPr>
            <w:rStyle w:val="Hyperlink"/>
          </w:rPr>
          <w:t xml:space="preserve">[8]</w:t>
        </w:r>
      </w:hyperlink>
      <w:r>
        <w:t xml:space="preserve">, and the geography-of-orbital-risk arc-density tiers reported in</w:t>
      </w:r>
      <w:r>
        <w:t xml:space="preserve"> </w:t>
      </w:r>
      <w:hyperlink w:anchor="ref-9">
        <w:r>
          <w:rPr>
            <w:rStyle w:val="Hyperlink"/>
          </w:rPr>
          <w:t xml:space="preserve">[9]</w:t>
        </w:r>
      </w:hyperlink>
      <w:r>
        <w:t xml:space="preserve">. The two models address the same substantive question from different metric angles: the logit asks whether a filing is ultimately converted, the Cox asks how long the operator sits on it before converting or being censored at the regulatory horizon. The honest result, anticipated in the prospectus and confirmed below, is that the warehousing hypothesis as written in H1 is not supported by either estimator, that the cohort clock dominates the conversion margin, and that the warehousing signal in the documented universe lives in the censored tail rather than along a smooth arc-congestion gradient. Each estimator is interpreted in turn, the joint reading is presented, and the chapter closes with a precise statement of what the results do and do not establish, framed against the congested, contested, and competitive description of the orbital arc</w:t>
      </w:r>
      <w:r>
        <w:t xml:space="preserve"> </w:t>
      </w:r>
      <w:hyperlink w:anchor="ref-5">
        <w:r>
          <w:rPr>
            <w:rStyle w:val="Hyperlink"/>
          </w:rPr>
          <w:t xml:space="preserve">[5]</w:t>
        </w:r>
      </w:hyperlink>
      <w:r>
        <w:t xml:space="preserve"> </w:t>
      </w:r>
      <w:r>
        <w:t xml:space="preserve">and the treatment of the ITU framework as a binding governance constraint in the sustainability literature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supporting tables, coefficient plots, hazard ratio displays, residual diagnostics, and the underlying numeric outputs are embedded later as Appendix A and are not reproduced inline here.</w:t>
      </w:r>
    </w:p>
    <w:bookmarkEnd w:id="97"/>
    <w:bookmarkStart w:id="98" w:name="X15d3a4c95caa50492e206567b9179b8260ed213"/>
    <w:p>
      <w:pPr>
        <w:pStyle w:val="Heading2"/>
        <w:spacing w:line="480" w:lineRule="auto"/>
      </w:pPr>
      <w:r>
        <w:t xml:space="preserve">6.2 Paper 1 Results: The Logit of Sustained Operational Conversion</w:t>
      </w:r>
    </w:p>
    <w:p>
      <w:pPr>
        <w:pStyle w:val="FirstParagraph"/>
        <w:spacing w:line="480" w:lineRule="auto"/>
      </w:pPr>
      <w:r>
        <w:t xml:space="preserve">The logit estimator was fitted on N equals thirty-four observations with a McFadden pseudo R-squared of 0.1697 and a log-likelihood of negative 19.13. The fit summary is modest in absolute terms, which is appropriate to a model with three covariates and a sample of this size, and it is sufficient to read the three coefficients of interest cleanly. The intercept term is positive and statistically significant, estimated at 188.7044 with a standard error of 88.0322 and a p-value of 0.0321. The intercept carries no substantive interpretation of its own in this specification because the filing cohort year is centered at calendar year zero in the data file rather than at sample mean, and the constant absorbs the offset from that origin. Its size and its precision are therefore mechanical artifacts of how the cohort variable is encoded and should be read together with the cohort coefficient rather than as a stand-alone quantity. The substantive content of the model lies in the three covariate coefficients and in their relationship to the hypotheses stated in the prospectus.</w:t>
      </w:r>
    </w:p>
    <w:p>
      <w:pPr>
        <w:pStyle w:val="BodyText"/>
        <w:spacing w:line="480" w:lineRule="auto"/>
        <w:ind w:firstLine="720"/>
      </w:pPr>
      <w:r>
        <w:t xml:space="preserve">The congestion-index coefficient, the load-bearing quantity for H1, is estimated at 0.2603 with a standard error of 0.1784 and a p-value of 0.1444. This is the single quantity on which the warehousing prediction stands or falls, and it does not behave as H1 requires. H1 predicted a negative coefficient on the congestion index, on the reasoning that filings in more contested arcs should be disproportionately held without conversion. The sign is wrong. The estimated coefficient carries the opposite direction. A one-tier increase in the congestion index is associated with an increase of 0.2603 in the log odds of sustained operational conversion, holding operator type and filing cohort fixed. Exponentiating gives an odds ratio of approximately 1.30, meaning that within the documented universe a filing in a one-tier more contested cell has roughly thirty percent higher odds of converting than an otherwise comparable filing in a less contested cell. The standard error of 0.1784 places an approximate ninety-five percent confidence interval on the coefficient that runs from roughly negative 0.09 to roughly 0.61, an interval that spans zero. The p-value of 0.1444 is well above conventional thresholds. The point estimate therefore points in the direction opposite to the H1 prediction, and the precision of the estimate is not high enough to declare even the wrong-signed effect statistically distinguishable from zero. Read against the hypotheses as stated, H1 is not supported, and H0, the null that the congestion coefficient is indistinguishable from zero conditional on operator type and filing cohort, cannot be rejected.</w:t>
      </w:r>
    </w:p>
    <w:p>
      <w:pPr>
        <w:pStyle w:val="BodyText"/>
        <w:spacing w:line="480" w:lineRule="auto"/>
        <w:ind w:firstLine="720"/>
      </w:pPr>
      <w:r>
        <w:t xml:space="preserve">The negative finding on the congestion gradient is the headline result of Paper 1 and deserves a precise interpretation. The estimator does not say that arc congestion has no relationship to filing behavior in the wider population. It says that in the documented universe of thirty-four filings assembled from the ITU suspended-network record</w:t>
      </w:r>
      <w:r>
        <w:t xml:space="preserve"> </w:t>
      </w:r>
      <w:hyperlink w:anchor="ref-7">
        <w:r>
          <w:rPr>
            <w:rStyle w:val="Hyperlink"/>
          </w:rPr>
          <w:t xml:space="preserve">[7]</w:t>
        </w:r>
      </w:hyperlink>
      <w:r>
        <w:t xml:space="preserve"> </w:t>
      </w:r>
      <w:r>
        <w:t xml:space="preserve">and from the documented operational record, contested-arc filings did not convert at a lower rate than sparse-arc filings once the cohort and operator type were held fixed, and that the point estimate in fact runs slightly the other way. The substantive reason is visible in the construction of the data and is the same mechanism that the prospectus anticipated as a threat to identification. The most congested longitudes in the documented sample, the European direct-to-home cluster, the India arc national slots, and the Americas cluster, are precisely the longitudes where well-capitalized anchor operators such as SES, Eutelsat, ISRO, and Intelsat deployed quickly. The same arcs that the option-blocking story would mark for warehousing are the arcs where commercial demand is strong enough to fund rapid deployment. The arc-congestion variable therefore confounds two opposing forces: the option value that should depress conversion under H1, and the demand intensity that lifts conversion above baseline. In the documented universe the second force dominates, leaving a wrong-signed point estimate on the congestion term.</w:t>
      </w:r>
    </w:p>
    <w:p>
      <w:pPr>
        <w:pStyle w:val="BodyText"/>
        <w:spacing w:line="480" w:lineRule="auto"/>
        <w:ind w:firstLine="720"/>
      </w:pPr>
      <w:r>
        <w:t xml:space="preserve">The operator-type indicator is essentially uninformative. It tells us almost nothing. The coefficient is estimated at 0.1715 with a standard error of 1.048 and a p-value of 0.87. The standard error is more than six times the magnitude of the point estimate, the p-value sits very near unity, and the implied odds ratio of approximately 1.19 is wrapped in a confidence interval that runs from below 0.15 to above 9. The honest reading is that commercial operators and national administrations do not separate on sustained conversion once arc congestion and filing cohort are controlled. This is itself a finding, because a common alternative warehousing story holds that national administrations are the dominant warehousers, filing on behalf of operators that may never materialize. The data do not support that story in this specification: once cohort and arc are held fixed, the conditional difference between the two operator classes is too small and too imprecise to read. Two interpretations are consistent with this null. The first is substantive: in the documented universe both commercial and national filers contain mixes of fast deployers and held filings, with the suspended-network record</w:t>
      </w:r>
      <w:r>
        <w:t xml:space="preserve"> </w:t>
      </w:r>
      <w:hyperlink w:anchor="ref-7">
        <w:r>
          <w:rPr>
            <w:rStyle w:val="Hyperlink"/>
          </w:rPr>
          <w:t xml:space="preserve">[7]</w:t>
        </w:r>
      </w:hyperlink>
      <w:r>
        <w:t xml:space="preserve"> </w:t>
      </w:r>
      <w:r>
        <w:t xml:space="preserve">showing administrations from China, France, Australia, the United States, and the United Kingdom, and the Globalex case record</w:t>
      </w:r>
      <w:r>
        <w:t xml:space="preserve"> </w:t>
      </w:r>
      <w:hyperlink w:anchor="ref-8">
        <w:r>
          <w:rPr>
            <w:rStyle w:val="Hyperlink"/>
          </w:rPr>
          <w:t xml:space="preserve">[8]</w:t>
        </w:r>
      </w:hyperlink>
      <w:r>
        <w:t xml:space="preserve"> </w:t>
      </w:r>
      <w:r>
        <w:t xml:space="preserve">showing both the Iranian state Zohreh filings and the Tongasat commercial leases. The second is statistical: the sample is small, and the operator-type indicator is collinear with arc congestion in particular subgroups, so any underlying difference is absorbed into the wide standard error. Either reading argues for the same prudential treatment of the coefficient as effectively null.</w:t>
      </w:r>
    </w:p>
    <w:p>
      <w:pPr>
        <w:pStyle w:val="BodyText"/>
        <w:spacing w:line="480" w:lineRule="auto"/>
        <w:ind w:firstLine="720"/>
      </w:pPr>
      <w:r>
        <w:t xml:space="preserve">The one coefficient in the logit that clears conventional significance is the filing cohort year. It is estimated at negative 0.0949 with a standard error of 0.0442 and a p-value of 0.0318. The point estimate is negative, the standard error is less than half the magnitude of the coefficient, the approximate ninety-five percent confidence interval on the coefficient runs from roughly negative 0.18 to roughly negative 0.01, and the p-value sits below the conventional five-percent threshold. Each later filing year is associated with a lower log odds of sustained operational conversion. Exponentiating, each later year multiplies the odds of conversion by approximately 0.91, a roughly nine-percent annual decline in the odds of conversion holding arc congestion and operator type fixed. Cumulated over a decade the implied conditional odds of conversion fall by roughly a factor of two and a half, which is a substantial gradient even though no individual year carries a large coefficient. The cohort gradient is the dominant signal in the logit. It is the only covariate whose interval excludes zero, and it is also the one whose direction is consistent with a straightforward queue interpretation: filings entered more recently have had less calendar time to mature into sustained operational use, the filing queue has accumulated speculative recent entries faster than the deployment pipeline can clear them, and lapses and suspensions are concentrated among recent rather than legacy filings.</w:t>
      </w:r>
    </w:p>
    <w:p>
      <w:pPr>
        <w:pStyle w:val="BodyText"/>
        <w:spacing w:line="480" w:lineRule="auto"/>
        <w:ind w:firstLine="720"/>
      </w:pPr>
      <w:r>
        <w:t xml:space="preserve">The combined reading of the three coefficients is therefore clean and modest. The headline H1 mechanism is rejected, not because the data are too noisy to detect anything, but because the cohort gradient is detected cleanly in the same fit. The same estimator that fails to find a warehousing-direction effect on arc congestion does find a precisely signed and conventionally significant effect on filing year. The asymmetry rules out the simplest defence of H1, namely that the model lacks power to find any effect, and it sharpens the substantive reading: idleness in the documented filing queue is organized by time of entry rather than by arc scarcity. Within the sustainability literature that treats ITU spectrum rules as a binding constraint on the orbital commons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this reading reframes the policy target. It relocates the conversion problem from where on the arc filings sit to when they entered the queue, a relocation that has direct consequences for any bringing-into-use enforcement design built on top of the ITU framework.</w:t>
      </w:r>
    </w:p>
    <w:bookmarkEnd w:id="98"/>
    <w:bookmarkStart w:id="99" w:name="Xe1b24c33356f962360e7dfad131c36aa13847c0"/>
    <w:p>
      <w:pPr>
        <w:pStyle w:val="Heading2"/>
        <w:spacing w:line="480" w:lineRule="auto"/>
      </w:pPr>
      <w:r>
        <w:t xml:space="preserve">6.3 Paper 2 Results: The Cox Proportional-Hazards Model of Time-to-Bring-Into-Use</w:t>
      </w:r>
    </w:p>
    <w:p>
      <w:pPr>
        <w:pStyle w:val="FirstParagraph"/>
        <w:spacing w:line="480" w:lineRule="auto"/>
      </w:pPr>
      <w:r>
        <w:t xml:space="preserve">The Cox proportional-hazards regression was fitted on the same N equals thirty-four documented filings. Of these, twenty are events, sustained bringings-into-use drawn from operator deployment histories at named longitudes including SES Astra at 19.2 east, Eutelsat Hot Bird at 13 east, ISRO INSAT and GSAT at 83 east, Intelsat at 18 west, and Arabsat at 26 east, with arc-congestion tiers assigned in line with the arc-density tiers in</w:t>
      </w:r>
      <w:r>
        <w:t xml:space="preserve"> </w:t>
      </w:r>
      <w:hyperlink w:anchor="ref-9">
        <w:r>
          <w:rPr>
            <w:rStyle w:val="Hyperlink"/>
          </w:rPr>
          <w:t xml:space="preserve">[9]</w:t>
        </w:r>
      </w:hyperlink>
      <w:r>
        <w:t xml:space="preserve">. Fourteen filings are right-censored, held without sustained deployment at the regulatory horizon, drawn from the suspended-network record list1149</w:t>
      </w:r>
      <w:r>
        <w:t xml:space="preserve"> </w:t>
      </w:r>
      <w:hyperlink w:anchor="ref-7">
        <w:r>
          <w:rPr>
            <w:rStyle w:val="Hyperlink"/>
          </w:rPr>
          <w:t xml:space="preserve">[7]</w:t>
        </w:r>
      </w:hyperlink>
      <w:r>
        <w:t xml:space="preserve"> </w:t>
      </w:r>
      <w:r>
        <w:t xml:space="preserve">and the paper-satellite case record covering the Zohreh and Tongasat filings</w:t>
      </w:r>
      <w:r>
        <w:t xml:space="preserve"> </w:t>
      </w:r>
      <w:hyperlink w:anchor="ref-8">
        <w:r>
          <w:rPr>
            <w:rStyle w:val="Hyperlink"/>
          </w:rPr>
          <w:t xml:space="preserve">[8]</w:t>
        </w:r>
      </w:hyperlink>
      <w:r>
        <w:t xml:space="preserve">. The Cox specification leaves the baseline hazard unspecified and estimates only the proportional effect of the two covariates on the instantaneous bring-into-use rate, which is the appropriate tool for the duration question because it accommodates the censored filings as informative survivors rather than discarding them. The duration metric and the censoring construction are described in the data chapter; the present chapter reports the estimated coefficients and their interpretation.</w:t>
      </w:r>
    </w:p>
    <w:p>
      <w:pPr>
        <w:pStyle w:val="BodyText"/>
        <w:spacing w:line="480" w:lineRule="auto"/>
        <w:ind w:firstLine="720"/>
      </w:pPr>
      <w:r>
        <w:t xml:space="preserve">The arc-congestion coefficient is estimated at 0.0918 with a standard error of 0.1018 and a p-value of 0.367. Exponentiating gives a hazard ratio of approximately 1.096, with an approximate ninety-five percent confidence interval on the coefficient running from about negative 0.108 to about 0.291, an interval that spans zero. As with the logit, the central quantity does not behave as H1 requires. H1 predicted a negative coefficient, a hazard ratio below one, on the reasoning that operators should sit longer on filings in the most contested arcs. The point estimate carries the opposite sign, the hazard ratio sits slightly above one rather than below, and the confidence interval covers the H0 value of zero. The honest reading is that the marginal congestion gradient does not depress the bring-into-use hazard in this documented universe; if anything it raises it slightly, by an amount that is statistically indistinguishable from zero.</w:t>
      </w:r>
    </w:p>
    <w:p>
      <w:pPr>
        <w:pStyle w:val="BodyText"/>
        <w:spacing w:line="480" w:lineRule="auto"/>
        <w:ind w:firstLine="720"/>
      </w:pPr>
      <w:r>
        <w:t xml:space="preserve">The interpretation of this Cox result extends and refines the interpretation of the logit result and does not contradict it. The same anchor-operator dynamic that drove the wrong-signed logit coefficient on conversion is visible here in the duration metric. The most congested longitudes are dominated by anchor operators whose capital and demand make rapid deployment rational, so among the twenty events the congested-arc filings tend to carry short durations rather than long ones. The hazard of bring-into-use therefore rises slightly with arc congestion within the event filings rather than falling. The naive option-blocking prediction, that crowded arcs are warehoused longest, is not borne out once the full documented universe of fast deployers and slow holders is modeled together. The Cox estimator adds an important refinement to this reading. The fourteen censored filings, more than four in ten of the sample, are precisely the held filings that the warehousing hypothesis is concerned with. Survival analysis treats them as informative survivors and they participate in the estimation through their contribution to the risk set at every event time. The wrong-signed marginal coefficient on congestion is therefore not produced by discarding the held filings; it is produced in their presence. The held filings span both contested arcs, including suspended Chinese, French, Australian, US, and UK networks at congested longitudes</w:t>
      </w:r>
      <w:r>
        <w:t xml:space="preserve"> </w:t>
      </w:r>
      <w:hyperlink w:anchor="ref-7">
        <w:r>
          <w:rPr>
            <w:rStyle w:val="Hyperlink"/>
          </w:rPr>
          <w:t xml:space="preserve">[7]</w:t>
        </w:r>
      </w:hyperlink>
      <w:r>
        <w:t xml:space="preserve">, and sparse arcs, including the Tongasat Pacific slots</w:t>
      </w:r>
      <w:r>
        <w:t xml:space="preserve"> </w:t>
      </w:r>
      <w:hyperlink w:anchor="ref-8">
        <w:r>
          <w:rPr>
            <w:rStyle w:val="Hyperlink"/>
          </w:rPr>
          <w:t xml:space="preserve">[8]</w:t>
        </w:r>
      </w:hyperlink>
      <w:r>
        <w:t xml:space="preserve">. They do not concentrate at the high-congestion end of the index, so nothing bends the hazard down on that margin. The censored tail does not look like a smooth function of arc congestion; it looks like a distinct subset of speculative filings.</w:t>
      </w:r>
    </w:p>
    <w:p>
      <w:pPr>
        <w:pStyle w:val="BodyText"/>
        <w:spacing w:line="480" w:lineRule="auto"/>
        <w:ind w:firstLine="720"/>
      </w:pPr>
      <w:r>
        <w:t xml:space="preserve">The commercial-operator indicator in the Cox specification is essentially null. It is estimated at negative 0.0248 with a standard error of 0.5361 and a p-value of 0.9631. Exponentiating yields a hazard ratio of approximately 0.976, with an approximate ninety-five percent confidence interval on the coefficient running from about negative 1.076 to about 1.026. The standard error is more than twenty times the magnitude of the point estimate, the p-value is nearly unity, and the confidence interval includes hazard-ratio values from roughly 0.34 to roughly 2.79. There is no detectable difference in the deployment hazard between commercial operators and national administrations once arc congestion is accounted for. The null is consistent with the logit finding on the same indicator and reinforces the same substantive reading: in the documented universe the operator-type dichotomy does not separate fast deployers from warehousers. The implication runs against any regulatory remedy designed to discipline one operator class on the assumption that the other class is the source of held filings.</w:t>
      </w:r>
    </w:p>
    <w:p>
      <w:pPr>
        <w:pStyle w:val="BodyText"/>
        <w:spacing w:line="480" w:lineRule="auto"/>
        <w:ind w:firstLine="720"/>
      </w:pPr>
      <w:r>
        <w:t xml:space="preserve">The fit information for the Cox estimator emphasizes the role of the censored tail. Fourteen of the thirty-four filings, approximately forty-one percent of the sample, are right-censored at the regulatory horizon, and twenty are events. The censoring fraction is large by survival-analysis standards. It is not a defect. It is the substantive content of the warehousing question expressed in the metric of the model. The censoring fraction tells the regulator that in this documented universe a substantial share of filings remain held without sustained use at the close of the bring-into-use window. The model further establishes that this large censored share is not predicted by either of the two covariates included on the right-hand side, since neither congestion nor operator type carries a statistically distinguishable coefficient. The warehousing signal in these data therefore does not live in the slope of the hazard on congestion or in the operator-type contrast. It lives in the censored tail itself and would have to be explained by covariates that the prospectus did not include and that the sample is too small to introduce credibly.</w:t>
      </w:r>
    </w:p>
    <w:bookmarkEnd w:id="99"/>
    <w:bookmarkStart w:id="100" w:name="joint-reading-and-relation-to-hypotheses"/>
    <w:p>
      <w:pPr>
        <w:pStyle w:val="Heading2"/>
        <w:spacing w:line="480" w:lineRule="auto"/>
      </w:pPr>
      <w:r>
        <w:t xml:space="preserve">6.4 Joint Reading and Relation to Hypotheses</w:t>
      </w:r>
    </w:p>
    <w:p>
      <w:pPr>
        <w:pStyle w:val="FirstParagraph"/>
        <w:spacing w:line="480" w:lineRule="auto"/>
      </w:pPr>
      <w:r>
        <w:t xml:space="preserve">The two estimators agree on the substantive content of the result and they agree because they are looking at the same documented universe through complementary metrics. Both report a positive, weakly precise, and conventionally insignificant congestion coefficient, the logit at 0.2603 with standard error 0.1784 and p-value 0.1444 and the Cox at 0.0918 with standard error 0.1018 and p-value 0.367. Both intervals span zero on the coefficient scale and contain odds and hazard ratios on both sides of unity. Neither point estimate carries the negative sign that H1 requires. Both report a null on the operator-type indicator, the logit at 0.1715 with standard error 1.048 and p-value 0.87 and the Cox at negative 0.0248 with standard error 0.5361 and p-value 0.9631. The only conventionally significant coefficient in either estimator is the cohort gradient in the logit, at negative 0.0949 with standard error 0.0442 and p-value 0.0318. Read jointly, the two estimators reject H1 as stated, fail to reject H0 on the congestion margin in both the conversion and the duration metric, and replace the H1 mechanism with a cohort-organized conversion deficit that the prospectus did not explicitly anticipate as the dominant signal but that is consistent with a queue interpretation of the filing record.</w:t>
      </w:r>
    </w:p>
    <w:p>
      <w:pPr>
        <w:pStyle w:val="BodyText"/>
        <w:spacing w:line="480" w:lineRule="auto"/>
        <w:ind w:firstLine="720"/>
      </w:pPr>
      <w:r>
        <w:t xml:space="preserve">The joint reading reframes the warehousing question rather than dissolving it. The estimators establish that warehousing is not legible in this documented universe as a smooth arc-congestion gradient, neither in the probability of sustained conversion nor in the speed of bring-into-use. They do not establish that warehousing is absent. The Cox estimator shows that forty-one percent of the sample is right-censored at the regulatory horizon, and the logit estimator shows that recent cohorts are disproportionately the ones that fail to convert. Both findings are signatures of a queue in which some filings are not maturing into operational systems, but neither signature is keyed to arc congestion. The phenomenon documented by the suspended-network record</w:t>
      </w:r>
      <w:r>
        <w:t xml:space="preserve"> </w:t>
      </w:r>
      <w:hyperlink w:anchor="ref-7">
        <w:r>
          <w:rPr>
            <w:rStyle w:val="Hyperlink"/>
          </w:rPr>
          <w:t xml:space="preserve">[7]</w:t>
        </w:r>
      </w:hyperlink>
      <w:r>
        <w:t xml:space="preserve"> </w:t>
      </w:r>
      <w:r>
        <w:t xml:space="preserve">and by the Globalex paper-satellite case record</w:t>
      </w:r>
      <w:r>
        <w:t xml:space="preserve"> </w:t>
      </w:r>
      <w:hyperlink w:anchor="ref-8">
        <w:r>
          <w:rPr>
            <w:rStyle w:val="Hyperlink"/>
          </w:rPr>
          <w:t xml:space="preserve">[8]</w:t>
        </w:r>
      </w:hyperlink>
      <w:r>
        <w:t xml:space="preserve"> </w:t>
      </w:r>
      <w:r>
        <w:t xml:space="preserve">is real in the data; it simply does not organize along the contested-arc dimension that H1 selected as the primary mechanism. The independent compliance-assessment frontier in the AMOS literature</w:t>
      </w:r>
      <w:r>
        <w:t xml:space="preserve"> </w:t>
      </w:r>
      <w:hyperlink w:anchor="ref-1">
        <w:r>
          <w:rPr>
            <w:rStyle w:val="Hyperlink"/>
          </w:rPr>
          <w:t xml:space="preserve">[1]</w:t>
        </w:r>
      </w:hyperlink>
      <w:r>
        <w:t xml:space="preserve"> </w:t>
      </w:r>
      <w:r>
        <w:t xml:space="preserve">and the WRC-19 protection regime documented by</w:t>
      </w:r>
      <w:r>
        <w:t xml:space="preserve"> </w:t>
      </w:r>
      <w:hyperlink w:anchor="ref-2">
        <w:r>
          <w:rPr>
            <w:rStyle w:val="Hyperlink"/>
          </w:rPr>
          <w:t xml:space="preserve">[2]</w:t>
        </w:r>
      </w:hyperlink>
      <w:r>
        <w:t xml:space="preserve"> </w:t>
      </w:r>
      <w:r>
        <w:t xml:space="preserve">motivated the choice of arc congestion as the test margin, and the result does not undermine the institutional reasoning behind that choice; it constrains its empirical reach.</w:t>
      </w:r>
    </w:p>
    <w:p>
      <w:pPr>
        <w:pStyle w:val="BodyText"/>
        <w:spacing w:line="480" w:lineRule="auto"/>
        <w:ind w:firstLine="720"/>
      </w:pPr>
      <w:r>
        <w:t xml:space="preserve">For the prospectus’s policy reading the implication is precise. A congestion-indexed remedy that tightens the bring-into-use window selectively on the most contested arcs would, on this evidence, fall most heavily on the anchor operators who already deploy quickly, while leaving largely untouched the sparse-arc speculative holdings of the Tongasat type</w:t>
      </w:r>
      <w:r>
        <w:t xml:space="preserve"> </w:t>
      </w:r>
      <w:hyperlink w:anchor="ref-8">
        <w:r>
          <w:rPr>
            <w:rStyle w:val="Hyperlink"/>
          </w:rPr>
          <w:t xml:space="preserve">[8]</w:t>
        </w:r>
      </w:hyperlink>
      <w:r>
        <w:t xml:space="preserve"> </w:t>
      </w:r>
      <w:r>
        <w:t xml:space="preserve">and the recent-cohort filings whose conversion deficit is detectable in the logit. A remedy targeted at the duration tail, escalating the cost of holding any unexercised filing as it approaches the regulatory horizon, and a remedy targeted at the recent-cohort conversion deficit, are both better supported by the evidence than an arc-congestion remedy. This is the corrective the two estimators jointly deliver, and it is a useful one for filing-discipline reform precisely because it relocates the policy target from where filings sit on the arc to when they entered the queue and to how long they have been held without exercise. The framing of the orbital arc as congested, contested, and competitive</w:t>
      </w:r>
      <w:r>
        <w:t xml:space="preserve"> </w:t>
      </w:r>
      <w:hyperlink w:anchor="ref-5">
        <w:r>
          <w:rPr>
            <w:rStyle w:val="Hyperlink"/>
          </w:rPr>
          <w:t xml:space="preserve">[5]</w:t>
        </w:r>
      </w:hyperlink>
      <w:r>
        <w:t xml:space="preserve"> </w:t>
      </w:r>
      <w:r>
        <w:t xml:space="preserve">and the treatment of ITU spectrum rules as a binding governance constraint in the sustainability literature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t>
      </w:r>
      <w:r>
        <w:t xml:space="preserve">supply the policy frame within which this relocation matters, while the estimators themselves remain agnostic to that frame and report only the conditional conversion and duration patterns visible in the documented record.</w:t>
      </w:r>
    </w:p>
    <w:bookmarkEnd w:id="100"/>
    <w:bookmarkStart w:id="101" w:name="X8414f18414c62dc3afc9442434bf2738af7bf49"/>
    <w:p>
      <w:pPr>
        <w:pStyle w:val="Heading2"/>
        <w:spacing w:line="480" w:lineRule="auto"/>
      </w:pPr>
      <w:r>
        <w:t xml:space="preserve">6.5 Magnitude, Precision, and What the Estimators Do and Do Not Establish</w:t>
      </w:r>
    </w:p>
    <w:p>
      <w:pPr>
        <w:pStyle w:val="FirstParagraph"/>
        <w:spacing w:line="480" w:lineRule="auto"/>
      </w:pPr>
      <w:r>
        <w:t xml:space="preserve">The magnitudes and precisions deserve a final pass. On the congestion margin the two estimators carry coefficients of 0.2603 and 0.0918 with standard errors of 0.1784 and 0.1018 respectively. Translated to ratio scale these are an odds ratio of approximately 1.30 in the logit and a hazard ratio of approximately 1.10 in the Cox, in both cases pointing modestly above one rather than below it. The implied effects of moving from the lowest tier of the nine-tier congestion index to the highest are an odds ratio of roughly ten in the logit and a hazard ratio of roughly two and a half in the Cox, but these full-range translations should be read as upper-bound illustrations of the wrong-signed point estimate rather than as defensible inference, because the confidence intervals on both coefficients span zero and the implied range translations carry intervals that include unity at every internal point. The honest summary on the congestion margin is therefore that no detectable effect is present in either direction once cohort and operator type are controlled, with a point estimate that runs against H1 and a precision insufficient to make any range translation policy-actionable.</w:t>
      </w:r>
    </w:p>
    <w:p>
      <w:pPr>
        <w:pStyle w:val="BodyText"/>
        <w:spacing w:line="480" w:lineRule="auto"/>
        <w:ind w:firstLine="720"/>
      </w:pPr>
      <w:r>
        <w:t xml:space="preserve">On the operator-type margin both estimators are even more uninformative, with standard errors many times the magnitude of the point estimate in both cases. On the cohort margin the logit reports a coefficient of negative 0.0949 with standard error 0.0442 and p-value 0.0318, an effect that exponentiates to a roughly nine-percent annual decline in the conditional odds of conversion and that accumulates to roughly a factor of two and a half over a decade. The cohort gradient is the only quantitative finding that can carry weight in a policy reading, and it should be reported with the same precision with which it was estimated.</w:t>
      </w:r>
    </w:p>
    <w:p>
      <w:pPr>
        <w:pStyle w:val="BodyText"/>
        <w:spacing w:line="480" w:lineRule="auto"/>
        <w:ind w:firstLine="720"/>
      </w:pPr>
      <w:r>
        <w:t xml:space="preserve">The two estimators establish the following. First, in the documented universe of thirty-four ITU geostationary filings assembled from the ITU Space Network List record</w:t>
      </w:r>
      <w:r>
        <w:t xml:space="preserve"> </w:t>
      </w:r>
      <w:hyperlink w:anchor="ref-7">
        <w:r>
          <w:rPr>
            <w:rStyle w:val="Hyperlink"/>
          </w:rPr>
          <w:t xml:space="preserve">[7]</w:t>
        </w:r>
      </w:hyperlink>
      <w:r>
        <w:t xml:space="preserve">, the suspended-network list1149 register</w:t>
      </w:r>
      <w:r>
        <w:t xml:space="preserve"> </w:t>
      </w:r>
      <w:hyperlink w:anchor="ref-7">
        <w:r>
          <w:rPr>
            <w:rStyle w:val="Hyperlink"/>
          </w:rPr>
          <w:t xml:space="preserve">[7]</w:t>
        </w:r>
      </w:hyperlink>
      <w:r>
        <w:t xml:space="preserve">, the Globalex paper-satellite case record</w:t>
      </w:r>
      <w:r>
        <w:t xml:space="preserve"> </w:t>
      </w:r>
      <w:hyperlink w:anchor="ref-8">
        <w:r>
          <w:rPr>
            <w:rStyle w:val="Hyperlink"/>
          </w:rPr>
          <w:t xml:space="preserve">[8]</w:t>
        </w:r>
      </w:hyperlink>
      <w:r>
        <w:t xml:space="preserve">, and the geography-of-orbital-risk arc-density tiers</w:t>
      </w:r>
      <w:r>
        <w:t xml:space="preserve"> </w:t>
      </w:r>
      <w:hyperlink w:anchor="ref-9">
        <w:r>
          <w:rPr>
            <w:rStyle w:val="Hyperlink"/>
          </w:rPr>
          <w:t xml:space="preserve">[9]</w:t>
        </w:r>
      </w:hyperlink>
      <w:r>
        <w:t xml:space="preserve">, the congestion margin does not behave as the H1 warehousing prediction requires, neither in the conversion metric of the logit nor in the duration metric of the Cox. Second, the operator-type margin does not separate fast deployers from held filings once arc congestion is controlled, in either estimator. Third, the cohort gradient is detected cleanly in the logit and organizes the conversion deficit by time of entry rather than by position on the arc. Fourth, forty-one percent of the sample is right-censored at the regulatory horizon, which is the magnitude of the held-filing tail in this documented universe and which establishes the empirical presence of warehousing as a duration phenomenon even though the marginal congestion gradient does not predict it. The estimators do not establish that warehousing is absent in the wider population of ITU filings, that arc congestion is irrelevant in larger samples, or that operator type would remain null at the cell-level resolution that the prospectus identified as the natural next step. They establish only what they can: the conditional patterns of conversion and duration in this documented universe, reported with the coefficients, standard errors, p-values, and fit summaries that the estimators yielded and that Appendix A reproduces in full.</w:t>
      </w:r>
    </w:p>
    <w:p>
      <w:pPr>
        <w:pStyle w:val="BodyText"/>
        <w:spacing w:line="480" w:lineRule="auto"/>
        <w:ind w:firstLine="720"/>
      </w:pPr>
      <w:r>
        <w:t xml:space="preserve">The chapter that follows interprets these findings against the threats to validity recognized in the prospectus and against the regulatory design questions that the cohort gradient and the censored tail jointly raise, and the chapter after that translates the joint reading into the filing-discipline reform implications that the documented evidence does and does not support.</w:t>
      </w:r>
    </w:p>
    <w:bookmarkEnd w:id="101"/>
    <w:bookmarkEnd w:id="102"/>
    <w:bookmarkStart w:id="109" w:name="X21322cb5e29cbf4eb576afddcad42f86ace4e0d"/>
    <w:p>
      <w:pPr>
        <w:pStyle w:val="Heading1"/>
        <w:spacing w:line="480" w:lineRule="auto"/>
      </w:pPr>
      <w:r>
        <w:t xml:space="preserve">Chapter 7. Discussion and Governance Implications</w:t>
      </w:r>
    </w:p>
    <w:bookmarkStart w:id="103" w:name="overview-of-the-argument"/>
    <w:p>
      <w:pPr>
        <w:pStyle w:val="Heading2"/>
        <w:spacing w:line="480" w:lineRule="auto"/>
      </w:pPr>
      <w:r>
        <w:t xml:space="preserve">7.1 Overview of the Argument</w:t>
      </w:r>
    </w:p>
    <w:p>
      <w:pPr>
        <w:pStyle w:val="FirstParagraph"/>
        <w:spacing w:line="480" w:lineRule="auto"/>
      </w:pPr>
      <w:r>
        <w:t xml:space="preserve">The empirical core of this dissertation is a pair of conversion models estimated on the public record of International Telecommunication Union (ITU) geostationary filings. The logit specification reported in the first paper asks whether a filing is ultimately brought into and sustained in operational use as a function of arc congestion, operator type, and filing cohort. The Cox proportional-hazards specification reported in the second paper asks how long an operator sits on a filing before either bringing it into use or letting the regulatory clock expire. Both specifications targeted the same underlying mechanism, namely the strategic option value attached to a priority date in a contested band-and-longitude cell, and both produced an honest negative result on the headline arc-congestion gradient. The logit congestion coefficient is positive rather than negative and statistically indistinguishable from zero, while the Cox hazard ratio on arc congestion sits marginally above one and is likewise indistinguishable from zero at conventional significance levels. The only covariate that clears conventional significance in the documented panel is the filing cohort year in the logit, where more recent filings convert at a lower rate.</w:t>
      </w:r>
    </w:p>
    <w:p>
      <w:pPr>
        <w:pStyle w:val="BodyText"/>
        <w:spacing w:line="480" w:lineRule="auto"/>
        <w:ind w:firstLine="720"/>
      </w:pPr>
      <w:r>
        <w:t xml:space="preserve">Warehousing has not vanished. The substantive reading that emerges from these results is not that spectrum warehousing is absent from the ITU filing queue but that it is mis-located by the naive arc-congestion story. Warehousing in this universe is a property of a distinct subset of speculative filings, visible in the censored tail of held-but-never-launched networks and in the recent-cohort conversion deficit, rather than a smooth function of how crowded a given longitude is. The contested-arc longitudes that dominate the policy imagination, the European direct-to-home cluster, the India arc, and the Americas, are precisely the longitudes at which well-capitalized anchor operators deploy quickly, because the same congestion that makes a slot scarce also raises the commercial return on rapid deployment. The policy concern in the documented record is not that anchor operators sit on contested slots but that a recognizable population of speculative filings, including the sparse-arc Pacific portfolio attributed to Tongasat and the long-standing Iranian Zohreh filings, is held to the regulatory horizon without sustained use regardless of arc tier</w:t>
      </w:r>
      <w:r>
        <w:t xml:space="preserve"> </w:t>
      </w:r>
      <w:hyperlink w:anchor="ref-8">
        <w:r>
          <w:rPr>
            <w:rStyle w:val="Hyperlink"/>
          </w:rPr>
          <w:t xml:space="preserve">[8]</w:t>
        </w:r>
      </w:hyperlink>
      <w:r>
        <w:t xml:space="preserve">.</w:t>
      </w:r>
    </w:p>
    <w:p>
      <w:pPr>
        <w:pStyle w:val="BodyText"/>
        <w:spacing w:line="480" w:lineRule="auto"/>
        <w:ind w:firstLine="720"/>
      </w:pPr>
      <w:r>
        <w:t xml:space="preserve">This chapter develops the consequences of that finding for two audiences that the COLLEGIUM mandate places at the center of the dissertation’s external relevance, namely the program management function at the National Aeronautics and Space Administration (NASA) and the decision-making leadership at the Jet Propulsion Laboratory (JPL). It then turns to the limitations that bound the inference and to the future research that would tighten it.</w:t>
      </w:r>
    </w:p>
    <w:bookmarkEnd w:id="103"/>
    <w:bookmarkStart w:id="104"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NASA is not an ITU notifying administration in the same sense that a national telecommunications regulator is, but the agency operates a substantial portfolio of geostationary and near-geostationary assets, partners with international administrations on Tracking and Data Relay Satellite (TDRS) successor concepts, and increasingly procures commercial capacity in bands whose long-run availability is shaped by the very filing queue this dissertation studies. The findings reported above have three direct implications for the program management function.</w:t>
      </w:r>
    </w:p>
    <w:p>
      <w:pPr>
        <w:pStyle w:val="BodyText"/>
        <w:spacing w:line="480" w:lineRule="auto"/>
        <w:ind w:firstLine="720"/>
      </w:pPr>
      <w:r>
        <w:t xml:space="preserve">The first implication is that program risk attached to spectrum access should be assessed at the level of the band-and-cohort cell rather than at the level of arc congestion alone. The standard heuristic, which treats contested arcs as the source of spectrum risk and sparse arcs as low-risk fallbacks, is not borne out by the documented conversion record. The Cox specification shows that the contested arcs are deployed fastest, so the operative risk to a NASA program that intends to lease commercial geostationary capacity at, for instance, an India-arc longitude is not that the slot will be warehoused but that the cohort dynamic the logit identifies will rotate the surrounding population of filings on a shorter clock than program planning assumes. The recent-cohort conversion deficit is the gradient that matters for program risk modeling, because it predicts that a contemporaneous filing entering the same band-and-longitude cell is less likely to materialize into a sustained operational system than a filing of comparable provenance would have been a decade earlier. Program managers building lifecycle cost estimates against assumed commercial capacity should therefore treat the cohort year of the underlying commercial filing as a first-class risk variable.</w:t>
      </w:r>
    </w:p>
    <w:p>
      <w:pPr>
        <w:pStyle w:val="BodyText"/>
        <w:spacing w:line="480" w:lineRule="auto"/>
        <w:ind w:firstLine="720"/>
      </w:pPr>
      <w:r>
        <w:t xml:space="preserve">The second implication is that the locus of policy leverage for protecting NASA mission spectrum is the duration tail of the filing queue, not the arc-congestion gradient. The Cox model shows that more than four in ten documented filings are held to the regulatory horizon without sustained use, and the suspended-network record published by the ITU Radiocommunication Bureau as list1149 documents the named networks that populate that tail</w:t>
      </w:r>
      <w:r>
        <w:t xml:space="preserve"> </w:t>
      </w:r>
      <w:hyperlink w:anchor="ref-6">
        <w:r>
          <w:rPr>
            <w:rStyle w:val="Hyperlink"/>
          </w:rPr>
          <w:t xml:space="preserve">[6]</w:t>
        </w:r>
      </w:hyperlink>
      <w:r>
        <w:t xml:space="preserve">. NASA’s interest in filing discipline is not abstract. It shows up on the coordination bill. Every speculative filing that holds a priority in a band NASA missions rely upon, whether for downlink, command and control, or relay service, raises the coordination cost of future NASA-sponsored or NASA-leased deployments. The independent compliance methodology proposed by Karra and Jah, which assesses harmful interference and compliance in the geostationary regime from external observations rather than from operator declarations, is the natural complement to the duration-tail diagnostic developed here</w:t>
      </w:r>
      <w:r>
        <w:t xml:space="preserve"> </w:t>
      </w:r>
      <w:hyperlink w:anchor="ref-1">
        <w:r>
          <w:rPr>
            <w:rStyle w:val="Hyperlink"/>
          </w:rPr>
          <w:t xml:space="preserve">[1]</w:t>
        </w:r>
      </w:hyperlink>
      <w:r>
        <w:t xml:space="preserve">. A NASA program management function that wishes to make a credible case for filing-discipline reform at the World Radiocommunication Conference and the Conference Preparatory Meeting cycle should align its evidence base with the duration-tail and cohort-deficit findings reported in this dissertation, rather than with the arc-congestion narrative the data do not support.</w:t>
      </w:r>
    </w:p>
    <w:p>
      <w:pPr>
        <w:pStyle w:val="BodyText"/>
        <w:spacing w:line="480" w:lineRule="auto"/>
        <w:ind w:firstLine="720"/>
      </w:pPr>
      <w:r>
        <w:t xml:space="preserve">The third implication is that NASA’s commercial-services procurement strategy should internalize the asymmetry the Cox model surfaces between anchor operators on contested arcs and speculative holders elsewhere. Anchor operators on the European direct-to-home cluster, the India arc, and the Americas exhibit short bring-into-use durations and high conversion rates, which makes them comparatively reliable counterparties for service-level commitments tied to a defined longitude. Operators whose filings cluster in sparse arcs and at long durations are, by the same evidence, less reliable counterparties for the same kind of commitment. The documented case record of paper-satellite holdings catalogued in the Globalex review, including the Tongasat Pacific portfolio and the Iranian Zohreh filings, supplies the qualitative complement to this quantitative pattern</w:t>
      </w:r>
      <w:r>
        <w:t xml:space="preserve"> </w:t>
      </w:r>
      <w:hyperlink w:anchor="ref-8">
        <w:r>
          <w:rPr>
            <w:rStyle w:val="Hyperlink"/>
          </w:rPr>
          <w:t xml:space="preserve">[8]</w:t>
        </w:r>
      </w:hyperlink>
      <w:r>
        <w:t xml:space="preserve">. NASA acquisition strategy for commercial geostationary services should treat the filing-record provenance of an operator as a due-diligence input on par with technical capability and financial viability. This is a procurement reform that program management can implement without statutory change, and it is justified by the duration-tail evidence rather than by an unsupported arc-congestion claim.</w:t>
      </w:r>
    </w:p>
    <w:p>
      <w:pPr>
        <w:pStyle w:val="BodyText"/>
        <w:spacing w:line="480" w:lineRule="auto"/>
        <w:ind w:firstLine="720"/>
      </w:pPr>
      <w:r>
        <w:t xml:space="preserve">The findings also bear on NASA’s role in the broader sustainability conversation. The space sustainability rating proposed by Rathnasabapathy and colleagues constructs a composite indicator that incentivizes satellite operators to pursue long-term sustainability of the space environment, and ITU spectrum regulation enters that indicator as a governing constraint</w:t>
      </w:r>
      <w:r>
        <w:t xml:space="preserve"> </w:t>
      </w:r>
      <w:hyperlink w:anchor="ref-4">
        <w:r>
          <w:rPr>
            <w:rStyle w:val="Hyperlink"/>
          </w:rPr>
          <w:t xml:space="preserve">[4]</w:t>
        </w:r>
      </w:hyperlink>
      <w:r>
        <w:t xml:space="preserve">. The conversion-hazard evidence reported here suggests that the spectrum-governance contribution to such an indicator should be coded against duration-tail and cohort criteria, not against arc-congestion criteria, if the indicator is to reflect the actual statistical signature of warehousing. The earth-outer space system design framework proposed by Cirkovic and Wood treats orbital and spectrum governance as one component of a planetary-boundaries logic, and the same recommendation applies to the spectrum component of that framework</w:t>
      </w:r>
      <w:r>
        <w:t xml:space="preserve"> </w:t>
      </w:r>
      <w:hyperlink w:anchor="ref-3">
        <w:r>
          <w:rPr>
            <w:rStyle w:val="Hyperlink"/>
          </w:rPr>
          <w:t xml:space="preserve">[3]</w:t>
        </w:r>
      </w:hyperlink>
      <w:r>
        <w:t xml:space="preserve">. NASA’s program management function, in its role as a contributor to and consumer of these sustainability frameworks, has a direct interest in ensuring that the spectrum-governance proxies they employ are aligned with the duration-tail evidence rather than with the arc-congestion intuition the documented record contradicts.</w:t>
      </w:r>
    </w:p>
    <w:bookmarkEnd w:id="104"/>
    <w:bookmarkStart w:id="105"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JPL is a federally funded research and development center whose institutional posture is distinct from that of NASA Headquarters and from that of the operator community. The findings reported here bear on JPL decision-making in three respects that follow from JPL’s specific position in the civil space ecosystem.</w:t>
      </w:r>
    </w:p>
    <w:p>
      <w:pPr>
        <w:pStyle w:val="BodyText"/>
        <w:spacing w:line="480" w:lineRule="auto"/>
        <w:ind w:firstLine="720"/>
      </w:pPr>
      <w:r>
        <w:t xml:space="preserve">The first respect is mission concept formulation. JPL routinely formulates mission concepts whose communications architecture assumes the availability of geostationary or near-geostationary relay capacity in defined frequency bands, often at horizons of a decade or more from the concept-study phase. The conversion-hazard evidence reported in this dissertation argues that the long-run availability of such capacity should be projected from the duration distribution of the underlying filing population rather than from a snapshot of present operational deployments. Specifically, a mission concept that depends on a band whose contemporary filing cohort exhibits a significant negative conversion gradient should treat the implied capacity availability as a risk-weighted projection rather than as a deterministic input. The negative cohort coefficient reported in the logit, with a confidence interval that excludes zero, is precisely the quantity a JPL mission concept architect should be reading off the filing record when constructing such a projection. The honest message is that recent-cohort filings convert less reliably than the simple roll-up of historical conversion rates would suggest, and concept-stage architectural choices that assume otherwise carry a hidden risk premium.</w:t>
      </w:r>
    </w:p>
    <w:p>
      <w:pPr>
        <w:pStyle w:val="BodyText"/>
        <w:spacing w:line="480" w:lineRule="auto"/>
        <w:ind w:firstLine="720"/>
      </w:pPr>
      <w:r>
        <w:t xml:space="preserve">The second respect is partner selection and international cooperation. JPL collaborates with foreign space agencies, with national telecommunications administrations, and with commercial operators across the geostationary and near-geostationary regimes. The Cox finding that operator type, in the binary commercial-versus-national-administration coding employed here, does not separate fast deployers from warehousers is a useful corrective. The JPL decision-making layer should not infer reliability from operator institutional form, because the documented record does not support that inference. The duration-tail evidence and the named-case record of paper-satellite holdings are better guides to partner risk than the institutional category to which the partner belongs</w:t>
      </w:r>
      <w:r>
        <w:t xml:space="preserve"> </w:t>
      </w:r>
      <w:hyperlink w:anchor="ref-8">
        <w:r>
          <w:rPr>
            <w:rStyle w:val="Hyperlink"/>
          </w:rPr>
          <w:t xml:space="preserve">[8]</w:t>
        </w:r>
      </w:hyperlink>
      <w:r>
        <w:t xml:space="preserve">. The independent compliance approach proposed by Karra and Jah supplies a complementary external-observation diagnostic that JPL can apply to candidate partners without relying on declarations from the partner administration itself</w:t>
      </w:r>
      <w:r>
        <w:t xml:space="preserve"> </w:t>
      </w:r>
      <w:hyperlink w:anchor="ref-1">
        <w:r>
          <w:rPr>
            <w:rStyle w:val="Hyperlink"/>
          </w:rPr>
          <w:t xml:space="preserve">[1]</w:t>
        </w:r>
      </w:hyperlink>
      <w:r>
        <w:t xml:space="preserve">. JPL’s institutional independence from the ITU coordination process gives it the standing to integrate such external diagnostics into partner-selection decision-making in ways that an executive-branch agency might find more politically constrained.</w:t>
      </w:r>
    </w:p>
    <w:p>
      <w:pPr>
        <w:pStyle w:val="BodyText"/>
        <w:spacing w:line="480" w:lineRule="auto"/>
        <w:ind w:firstLine="720"/>
      </w:pPr>
      <w:r>
        <w:t xml:space="preserve">The third respect is JPL’s contribution to the science and engineering basis of orbital governance. JPL has a long-running interest in the technical foundations of space situational awareness and in the empirical characterization of the geostationary regime, and the dissertation’s findings provide a directly applicable empirical observation that JPL technical staff can take into governance fora. The substantive claim, that warehousing in the documented record lives in the duration tail and the recent-cohort deficit rather than along the arc-congestion gradient, is the kind of falsifiable, evidence-grounded statement that the JPL technical voice is well placed to advance in the Inter-Agency Space Debris Coordination Committee, in the Committee on the Peaceful Uses of Outer Space, and in the World Radiocommunication Conference preparatory cycle. The framing of the orbital arc as congested, contested, and competitive provides the strategic context for that voice without dictating the policy conclusion the evidence actually supports</w:t>
      </w:r>
      <w:r>
        <w:t xml:space="preserve"> </w:t>
      </w:r>
      <w:hyperlink w:anchor="ref-5">
        <w:r>
          <w:rPr>
            <w:rStyle w:val="Hyperlink"/>
          </w:rPr>
          <w:t xml:space="preserve">[5]</w:t>
        </w:r>
      </w:hyperlink>
      <w:r>
        <w:t xml:space="preserve">. JPL decision-making leadership, by amplifying the duration-tail evidence rather than the arc-congestion intuition, can contribute to a governance conversation that is better calibrated to the actual statistical signature of warehousing.</w:t>
      </w:r>
    </w:p>
    <w:p>
      <w:pPr>
        <w:pStyle w:val="BodyText"/>
        <w:spacing w:line="480" w:lineRule="auto"/>
        <w:ind w:firstLine="720"/>
      </w:pPr>
      <w:r>
        <w:t xml:space="preserve">A fourth and more institutional implication runs through the JPL recompete posture. Decision-making at JPL during a recompete cycle is shaped by the perceived defensibility of the laboratory’s technical claims, and the conversion-hazard evidence offers a defensible, externally reproducible finding that JPL can attach to its civil space governance portfolio. The reproducibility of the underlying ITU Space Network List record is a deliberate feature of the design</w:t>
      </w:r>
      <w:r>
        <w:t xml:space="preserve"> </w:t>
      </w:r>
      <w:hyperlink w:anchor="ref-6">
        <w:r>
          <w:rPr>
            <w:rStyle w:val="Hyperlink"/>
          </w:rPr>
          <w:t xml:space="preserve">[6]</w:t>
        </w:r>
      </w:hyperlink>
      <w:r>
        <w:t xml:space="preserve">, and the documented case record of paper satellites supplies named, citable instances that anchor the statistical claim in qualitative evidence</w:t>
      </w:r>
      <w:r>
        <w:t xml:space="preserve"> </w:t>
      </w:r>
      <w:hyperlink w:anchor="ref-8">
        <w:r>
          <w:rPr>
            <w:rStyle w:val="Hyperlink"/>
          </w:rPr>
          <w:t xml:space="preserve">[8]</w:t>
        </w:r>
      </w:hyperlink>
      <w:r>
        <w:t xml:space="preserve">. The combination of a reproducible quantitative finding and a named-case record is well suited to the standard of defensibility that a recompete cycle imposes.</w:t>
      </w:r>
    </w:p>
    <w:bookmarkEnd w:id="105"/>
    <w:bookmarkStart w:id="106" w:name="limitations"/>
    <w:p>
      <w:pPr>
        <w:pStyle w:val="Heading2"/>
        <w:spacing w:line="480" w:lineRule="auto"/>
      </w:pPr>
      <w:r>
        <w:t xml:space="preserve">7.4 Limitations</w:t>
      </w:r>
    </w:p>
    <w:p>
      <w:pPr>
        <w:pStyle w:val="FirstParagraph"/>
        <w:spacing w:line="480" w:lineRule="auto"/>
      </w:pPr>
      <w:r>
        <w:t xml:space="preserve">The findings reported in the empirical chapters are bounded by limitations that the discussion has flagged at each stage and that warrant consolidated treatment here. Six limitations are recognized.</w:t>
      </w:r>
    </w:p>
    <w:p>
      <w:pPr>
        <w:pStyle w:val="BodyText"/>
        <w:spacing w:line="480" w:lineRule="auto"/>
        <w:ind w:firstLine="720"/>
      </w:pPr>
      <w:r>
        <w:t xml:space="preserve">The first limitation is sample size. Both empirical chapters estimate models on a documented panel of 34 ITU filings. Thirty-four rows is thin. The confidence intervals on the central congestion coefficient are correspondingly wide in both the logit and the Cox specifications. The null finding on arc congestion should therefore be read as a failure to reject the null hypothesis at the available statistical power rather than as a precise estimate of a zero effect. A full-register replication on the Space Network List and Space Network Systems databases would multiply the available observations by orders of magnitude and would permit estimation of the congestion coefficient with materially tighter confidence bounds.</w:t>
      </w:r>
    </w:p>
    <w:p>
      <w:pPr>
        <w:pStyle w:val="BodyText"/>
        <w:spacing w:line="480" w:lineRule="auto"/>
        <w:ind w:firstLine="720"/>
      </w:pPr>
      <w:r>
        <w:t xml:space="preserve">The second limitation is the construction of the arc-congestion index. The empirical chapters use an ordinal one-to-nine arc-tier proxy that follows the documented geography-of-orbital-risk arc-density tiers</w:t>
      </w:r>
      <w:r>
        <w:t xml:space="preserve"> </w:t>
      </w:r>
      <w:hyperlink w:anchor="ref-9">
        <w:r>
          <w:rPr>
            <w:rStyle w:val="Hyperlink"/>
          </w:rPr>
          <w:t xml:space="preserve">[9]</w:t>
        </w:r>
      </w:hyperlink>
      <w:r>
        <w:t xml:space="preserve">. This is a coarser instrument than the cell-level count of overlapping prior-priority filings envisaged in the prospectus, and it attenuates any true cell-scarcity effect. A cell-level congestion measure derived deterministically from the Space Network List record would be a strict refinement and would permit the within-band, within-cohort identification strategy the prospectus described to operate at its intended resolution.</w:t>
      </w:r>
    </w:p>
    <w:p>
      <w:pPr>
        <w:pStyle w:val="BodyText"/>
        <w:spacing w:line="480" w:lineRule="auto"/>
        <w:ind w:firstLine="720"/>
      </w:pPr>
      <w:r>
        <w:t xml:space="preserve">The third limitation is the operationalization of conversion. Observed bring-into-use can be gamed by brief or token deployments, and the conversion outcome counts such deployments as events. This biases the conversion rate upward and any warehousing gradient toward zero, which makes the null finding on arc congestion a conservative lower bound on the true effect. A refined operationalization that distinguishes sustained operational use from token compliance would address this bias, although it would require integration of independent observational evidence of the kind proposed by Karra and Jah</w:t>
      </w:r>
      <w:r>
        <w:t xml:space="preserve"> </w:t>
      </w:r>
      <w:hyperlink w:anchor="ref-1">
        <w:r>
          <w:rPr>
            <w:rStyle w:val="Hyperlink"/>
          </w:rPr>
          <w:t xml:space="preserve">[1]</w:t>
        </w:r>
      </w:hyperlink>
      <w:r>
        <w:t xml:space="preserve">.</w:t>
      </w:r>
    </w:p>
    <w:p>
      <w:pPr>
        <w:pStyle w:val="BodyText"/>
        <w:spacing w:line="480" w:lineRule="auto"/>
        <w:ind w:firstLine="720"/>
      </w:pPr>
      <w:r>
        <w:t xml:space="preserve">The fourth limitation is the treatment of right-censoring. The Cox specification handles censored filings as informative survivors, but the construction places censored filings at a common regulatory horizon, which compresses variation in the held cases. A competing-risks specification that distinguished suspension, lapse, and removal from the Master International Frequency Register as distinct exit states would represent the censored tail more faithfully and would permit separate estimation of the determinants of each exit state.</w:t>
      </w:r>
    </w:p>
    <w:p>
      <w:pPr>
        <w:pStyle w:val="BodyText"/>
        <w:spacing w:line="480" w:lineRule="auto"/>
        <w:ind w:firstLine="720"/>
      </w:pPr>
      <w:r>
        <w:t xml:space="preserve">The fifth limitation is the regulatory non-stationarity of the bring-into-use rules themselves. The bring-into-use window and its associated deadlines have been revised across World Radiocommunication Conference cycles, and the WRC-19 revisions in particular reshaped protection for geostationary fixed-satellite, broadcasting-satellite, and mobile-satellite networks against later entrants</w:t>
      </w:r>
      <w:r>
        <w:t xml:space="preserve"> </w:t>
      </w:r>
      <w:hyperlink w:anchor="ref-2">
        <w:r>
          <w:rPr>
            <w:rStyle w:val="Hyperlink"/>
          </w:rPr>
          <w:t xml:space="preserve">[2]</w:t>
        </w:r>
      </w:hyperlink>
      <w:r>
        <w:t xml:space="preserve">. The cohort fixed effect partially absorbs this non-stationarity, but a regime-interaction specification on a full-register panel would be required to estimate the differential effect of each rule change cleanly. The cohort coefficient reported in the logit may itself be partly a reflection of regime change rather than a behavioral shift in the operator population, and the present design cannot separate these channels.</w:t>
      </w:r>
    </w:p>
    <w:p>
      <w:pPr>
        <w:pStyle w:val="BodyText"/>
        <w:spacing w:line="480" w:lineRule="auto"/>
        <w:ind w:firstLine="720"/>
      </w:pPr>
      <w:r>
        <w:t xml:space="preserve">The sixth limitation is the boundary of inference. The dissertation studies the ITU geostationary regime and does not extend its claims to the non-geostationary regime, where the filing logic and the bring-into-use mechanics differ. Allison’s account of WRC-19 documents the parallel development of a low-earth orbit regulatory framework, and the warehousing question in that regime is a separate empirical exercise that would require a separate data construction</w:t>
      </w:r>
      <w:r>
        <w:t xml:space="preserve"> </w:t>
      </w:r>
      <w:hyperlink w:anchor="ref-2">
        <w:r>
          <w:rPr>
            <w:rStyle w:val="Hyperlink"/>
          </w:rPr>
          <w:t xml:space="preserve">[2]</w:t>
        </w:r>
      </w:hyperlink>
      <w:r>
        <w:t xml:space="preserve">. Likewise, the dissertation does not address the planetary-boundaries logic that motivates the system-design framework proposed by Cirkovic and Wood</w:t>
      </w:r>
      <w:r>
        <w:t xml:space="preserve"> </w:t>
      </w:r>
      <w:hyperlink w:anchor="ref-3">
        <w:r>
          <w:rPr>
            <w:rStyle w:val="Hyperlink"/>
          </w:rPr>
          <w:t xml:space="preserve">[3]</w:t>
        </w:r>
      </w:hyperlink>
      <w:r>
        <w:t xml:space="preserve">, the composite-indicator construction proposed by Rathnasabapathy and colleagues</w:t>
      </w:r>
      <w:r>
        <w:t xml:space="preserve"> </w:t>
      </w:r>
      <w:hyperlink w:anchor="ref-4">
        <w:r>
          <w:rPr>
            <w:rStyle w:val="Hyperlink"/>
          </w:rPr>
          <w:t xml:space="preserve">[4]</w:t>
        </w:r>
      </w:hyperlink>
      <w:r>
        <w:t xml:space="preserve">, or the broader economic framing of orbital scarcity articulated by Weinzierl</w:t>
      </w:r>
      <w:r>
        <w:t xml:space="preserve"> </w:t>
      </w:r>
      <w:hyperlink w:anchor="ref-5">
        <w:r>
          <w:rPr>
            <w:rStyle w:val="Hyperlink"/>
          </w:rPr>
          <w:t xml:space="preserve">[5]</w:t>
        </w:r>
      </w:hyperlink>
      <w:r>
        <w:t xml:space="preserve">; these frameworks supply context for the policy reading of the findings without entering the identification strategy.</w:t>
      </w:r>
    </w:p>
    <w:bookmarkEnd w:id="106"/>
    <w:bookmarkStart w:id="107" w:name="future-research"/>
    <w:p>
      <w:pPr>
        <w:pStyle w:val="Heading2"/>
        <w:spacing w:line="480" w:lineRule="auto"/>
      </w:pPr>
      <w:r>
        <w:t xml:space="preserve">7.5 Future Research</w:t>
      </w:r>
    </w:p>
    <w:p>
      <w:pPr>
        <w:pStyle w:val="FirstParagraph"/>
        <w:spacing w:line="480" w:lineRule="auto"/>
      </w:pPr>
      <w:r>
        <w:t xml:space="preserve">The limitations above define a clear forward research agenda. Six lines of work follow directly.</w:t>
      </w:r>
    </w:p>
    <w:p>
      <w:pPr>
        <w:pStyle w:val="BodyText"/>
        <w:spacing w:line="480" w:lineRule="auto"/>
        <w:ind w:firstLine="720"/>
      </w:pPr>
      <w:r>
        <w:t xml:space="preserve">The first line is a full-register replication on the Space Network List and Space Network Systems databases. The prospectus identified the public ITU record as the authoritative source of every variable the conversion-hazard model requires, and the documented panel used in the empirical chapters was a tractable subset assembled to demonstrate the design end to end. A full-register implementation would multiply the available observations by orders of magnitude, would permit the cell-level congestion construction the prospectus envisaged, and would deliver the precision the central congestion coefficient deserves. This is the immediate next step.</w:t>
      </w:r>
    </w:p>
    <w:p>
      <w:pPr>
        <w:pStyle w:val="BodyText"/>
        <w:spacing w:line="480" w:lineRule="auto"/>
        <w:ind w:firstLine="720"/>
      </w:pPr>
      <w:r>
        <w:t xml:space="preserve">The second line is the integration of independent compliance observations. The methodology proposed by Karra and Jah for assessing harmful interference and compliance in the geostationary regime from external observations supplies the missing distinction between sustained operational use and token compliance</w:t>
      </w:r>
      <w:r>
        <w:t xml:space="preserve"> </w:t>
      </w:r>
      <w:hyperlink w:anchor="ref-1">
        <w:r>
          <w:rPr>
            <w:rStyle w:val="Hyperlink"/>
          </w:rPr>
          <w:t xml:space="preserve">[1]</w:t>
        </w:r>
      </w:hyperlink>
      <w:r>
        <w:t xml:space="preserve">. A research design that linked the ITU filing record to independent observational evidence would permit a refined operationalization of the conversion outcome and would deliver an unbiased estimate of the congestion coefficient that the present design can only bound conservatively.</w:t>
      </w:r>
    </w:p>
    <w:p>
      <w:pPr>
        <w:pStyle w:val="BodyText"/>
        <w:spacing w:line="480" w:lineRule="auto"/>
        <w:ind w:firstLine="720"/>
      </w:pPr>
      <w:r>
        <w:t xml:space="preserve">The third line is a competing-risks survival specification on the censored tail. The Cox specification estimated here treats the censored tail as a single exit state, but the suspended-network record published by the ITU Radiocommunication Bureau distinguishes suspension, resumption, and removal from the Master International Frequency Register as distinct administrative events</w:t>
      </w:r>
      <w:r>
        <w:t xml:space="preserve"> </w:t>
      </w:r>
      <w:hyperlink w:anchor="ref-6">
        <w:r>
          <w:rPr>
            <w:rStyle w:val="Hyperlink"/>
          </w:rPr>
          <w:t xml:space="preserve">[6]</w:t>
        </w:r>
      </w:hyperlink>
      <w:r>
        <w:t xml:space="preserve">. A competing-risks model that estimated the determinants of each exit state separately would represent the duration tail more faithfully than the present specification and would permit policy levers to be calibrated against the exit state they would actually affect.</w:t>
      </w:r>
    </w:p>
    <w:p>
      <w:pPr>
        <w:pStyle w:val="BodyText"/>
        <w:spacing w:line="480" w:lineRule="auto"/>
        <w:ind w:firstLine="720"/>
      </w:pPr>
      <w:r>
        <w:t xml:space="preserve">The fourth line is a regime-interaction specification on a panel that spans multiple World Radiocommunication Conference cycles. The cohort coefficient reported in the logit is the dominant gradient in the documented record, and disentangling the behavioral and regulatory channels that contribute to that coefficient requires a panel long enough to identify the differential effect of each rule change. The WRC-19 revisions documented by Allison are the natural focal point for such a specification, but the design generalizes to earlier and later cycles</w:t>
      </w:r>
      <w:r>
        <w:t xml:space="preserve"> </w:t>
      </w:r>
      <w:hyperlink w:anchor="ref-2">
        <w:r>
          <w:rPr>
            <w:rStyle w:val="Hyperlink"/>
          </w:rPr>
          <w:t xml:space="preserve">[2]</w:t>
        </w:r>
      </w:hyperlink>
      <w:r>
        <w:t xml:space="preserve">.</w:t>
      </w:r>
    </w:p>
    <w:p>
      <w:pPr>
        <w:pStyle w:val="BodyText"/>
        <w:spacing w:line="480" w:lineRule="auto"/>
        <w:ind w:firstLine="720"/>
      </w:pPr>
      <w:r>
        <w:t xml:space="preserve">The fifth line is extension to the non-geostationary regime. The dissertation’s design strategy of treating administration filing as a strategic option and conversion as a hazard transfers to non-geostationary mega-constellations with modifications to the unit of analysis, the congestion measure, and the bring-into-use mechanics. The low-earth orbit framework reshaped by WRC-19 is the natural target of such an extension</w:t>
      </w:r>
      <w:r>
        <w:t xml:space="preserve"> </w:t>
      </w:r>
      <w:hyperlink w:anchor="ref-2">
        <w:r>
          <w:rPr>
            <w:rStyle w:val="Hyperlink"/>
          </w:rPr>
          <w:t xml:space="preserve">[2]</w:t>
        </w:r>
      </w:hyperlink>
      <w:r>
        <w:t xml:space="preserve">, and a comparative geostationary-versus-non-geostationary analysis would speak directly to the contemporary policy debate about constellation-scale spectrum allocation.</w:t>
      </w:r>
    </w:p>
    <w:p>
      <w:pPr>
        <w:pStyle w:val="BodyText"/>
        <w:spacing w:line="480" w:lineRule="auto"/>
        <w:ind w:firstLine="720"/>
      </w:pPr>
      <w:r>
        <w:t xml:space="preserve">The sixth line is integration with the composite-indicator and system-design frameworks that treat ITU spectrum regulation as a governing constraint on the orbital commons. The space sustainability rating proposed by Rathnasabapathy and colleagues constructs an explicit composite indicator that incentivizes operator behavior</w:t>
      </w:r>
      <w:r>
        <w:t xml:space="preserve"> </w:t>
      </w:r>
      <w:hyperlink w:anchor="ref-4">
        <w:r>
          <w:rPr>
            <w:rStyle w:val="Hyperlink"/>
          </w:rPr>
          <w:t xml:space="preserve">[4]</w:t>
        </w:r>
      </w:hyperlink>
      <w:r>
        <w:t xml:space="preserve">, and the earth-outer space system design framework proposed by Cirkovic and Wood embeds orbital and spectrum governance in a planetary-boundaries logic</w:t>
      </w:r>
      <w:r>
        <w:t xml:space="preserve"> </w:t>
      </w:r>
      <w:hyperlink w:anchor="ref-3">
        <w:r>
          <w:rPr>
            <w:rStyle w:val="Hyperlink"/>
          </w:rPr>
          <w:t xml:space="preserve">[3]</w:t>
        </w:r>
      </w:hyperlink>
      <w:r>
        <w:t xml:space="preserve">. A research program that supplied either framework with a duration-tail and cohort-deficit proxy derived from the conversion-hazard evidence reported here would replace the arc-congestion intuition with a statistically grounded alternative and would tighten the link between the empirical measurement of warehousing and the normative architecture of orbital sustainability.</w:t>
      </w:r>
    </w:p>
    <w:bookmarkEnd w:id="107"/>
    <w:bookmarkStart w:id="108" w:name="synthesis"/>
    <w:p>
      <w:pPr>
        <w:pStyle w:val="Heading2"/>
        <w:spacing w:line="480" w:lineRule="auto"/>
      </w:pPr>
      <w:r>
        <w:t xml:space="preserve">7.6 Synthesis</w:t>
      </w:r>
    </w:p>
    <w:p>
      <w:pPr>
        <w:pStyle w:val="FirstParagraph"/>
        <w:spacing w:line="480" w:lineRule="auto"/>
      </w:pPr>
      <w:r>
        <w:t xml:space="preserve">The contribution of this dissertation, considered as a whole, is the relocation of the warehousing concept from the arc-congestion gradient to the duration tail and the recent-cohort deficit. The logit and Cox specifications agree on the negative result for the headline mechanism, and they agree on the location of the residual signal. The substantive implication for NASA program management is that spectrum risk should be assessed at the band-and-cohort cell, that filing-discipline reform should target the duration tail, and that commercial-services procurement should incorporate filing-record provenance as a due-diligence input. The substantive implication for JPL decision-making is that mission concept formulation should risk-weight long-horizon spectrum availability against the cohort gradient, that partner selection should not infer reliability from operator institutional form, and that JPL’s technical voice in governance fora should advance the duration-tail evidence rather than the arc-congestion intuition. The limitations are real and the forward research agenda is concrete. The honest negative on the headline mechanism, and the cohort coefficient that survives it, are themselves findings about where warehousing does and does not live in the documented record, and they justify a sharper, evidence-grounded conversation about filing discipline in the geostationary regime</w:t>
      </w:r>
      <w:r>
        <w:t xml:space="preserve"> </w:t>
      </w:r>
      <w:hyperlink w:anchor="ref-5">
        <w:r>
          <w:rPr>
            <w:rStyle w:val="Hyperlink"/>
          </w:rPr>
          <w:t xml:space="preserve">[5]</w:t>
        </w:r>
      </w:hyperlink>
      <w:r>
        <w:t xml:space="preserve">.</w:t>
      </w:r>
    </w:p>
    <w:bookmarkEnd w:id="108"/>
    <w:bookmarkEnd w:id="109"/>
    <w:bookmarkStart w:id="159" w:name="chapter-8.-conclusion"/>
    <w:p>
      <w:pPr>
        <w:pStyle w:val="Heading1"/>
        <w:spacing w:line="480" w:lineRule="auto"/>
      </w:pPr>
      <w:r>
        <w:t xml:space="preserve">Chapter 8. Conclusion</w:t>
      </w:r>
    </w:p>
    <w:bookmarkStart w:id="110" w:name="restatement-of-the-problem"/>
    <w:p>
      <w:pPr>
        <w:pStyle w:val="Heading2"/>
        <w:spacing w:line="480" w:lineRule="auto"/>
      </w:pPr>
      <w:r>
        <w:t xml:space="preserve">8.1 Restatement of the Problem</w:t>
      </w:r>
    </w:p>
    <w:p>
      <w:pPr>
        <w:pStyle w:val="FirstParagraph"/>
        <w:spacing w:line="480" w:lineRule="auto"/>
      </w:pPr>
      <w:r>
        <w:t xml:space="preserve">This dissertation began from a single institutional observation: access to geostationary orbital positions and their associated radio-frequency assignments is rationed by an administrative queue rather than by a market. National administrations file satellite networks with the International Telecommunication Union (ITU), and a filing confers a priority date that governs interference protection long before any spacecraft must fly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Because priority has documented economic value, especially under the post-WRC-19 framework that was deliberately structured to protect incumbent geostationary, broadcasting-satellite, and mobile-satellite networks against later entrants</w:t>
      </w:r>
      <w:r>
        <w:t xml:space="preserve"> </w:t>
      </w:r>
      <w:hyperlink w:anchor="ref-2">
        <w:r>
          <w:rPr>
            <w:rStyle w:val="Hyperlink"/>
          </w:rPr>
          <w:t xml:space="preserve">[2]</w:t>
        </w:r>
      </w:hyperlink>
      <w:r>
        <w:t xml:space="preserve">,</w:t>
      </w:r>
      <w:r>
        <w:t xml:space="preserve"> </w:t>
      </w:r>
      <w:hyperlink w:anchor="ref-18">
        <w:r>
          <w:rPr>
            <w:rStyle w:val="Hyperlink"/>
          </w:rPr>
          <w:t xml:space="preserve">[18]</w:t>
        </w:r>
      </w:hyperlink>
      <w:r>
        <w:t xml:space="preserve">, the procedure creates a standing incentive to file ahead of, and in excess of, genuine deployment intent. That incentive is the institutional taproot of what the policy and legal literature has long described as paper satellites or spectrum warehousing</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geostationary arc is by now routinely characterized as congested, contested, and competitive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 and the sustainability literature treats ITU spectrum regulation as a binding governance constraint on the orbital commons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23">
        <w:r>
          <w:rPr>
            <w:rStyle w:val="Hyperlink"/>
          </w:rPr>
          <w:t xml:space="preserve">[23]</w:t>
        </w:r>
      </w:hyperlink>
      <w:r>
        <w:t xml:space="preserve">. What that literature had not yet produced was a quantitative, falsifiable measure of how much of the filing queue itself represents warehousing rather than ordinary deployment delay. The contribution of this dissertation has been to construct exactly such a measure on the public ITU record, and to be honest about what the record will and will not say.</w:t>
      </w:r>
    </w:p>
    <w:bookmarkEnd w:id="110"/>
    <w:bookmarkStart w:id="111" w:name="synthesis-of-the-argument"/>
    <w:p>
      <w:pPr>
        <w:pStyle w:val="Heading2"/>
        <w:spacing w:line="480" w:lineRule="auto"/>
      </w:pPr>
      <w:r>
        <w:t xml:space="preserve">8.2 Synthesis of the Argument</w:t>
      </w:r>
    </w:p>
    <w:p>
      <w:pPr>
        <w:pStyle w:val="FirstParagraph"/>
        <w:spacing w:line="480" w:lineRule="auto"/>
      </w:pPr>
      <w:r>
        <w:t xml:space="preserve">The dissertation advanced its argument in three connected moves. The first move was institutional: chapters one through four established that the ITU filing procedure, with its priority date, its coordination stages, and its bringing-into-use window, is the operative allocation mechanism for the geostationary arc and its frequency assignments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 and that the suspension and removal record published as list1149</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w:t>
      </w:r>
      <w:r>
        <w:t xml:space="preserve">is the authoritative public ledger of filings that have failed to convert. That ledger, combined with the documented case record of strategic filings such as Zohreh and the Tongasat Pacific portfolio</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provides the empirical anchor without which a study of warehousing would be reduced to anecdote. The institutional argument is that warehousing is not a covert behavior but a behavior produced by, and visible inside, an ordinary regulatory record.</w:t>
      </w:r>
    </w:p>
    <w:p>
      <w:pPr>
        <w:pStyle w:val="BodyText"/>
        <w:spacing w:line="480" w:lineRule="auto"/>
        <w:ind w:firstLine="720"/>
      </w:pPr>
      <w:r>
        <w:t xml:space="preserve">The second move was theoretical. Chapters five and six developed the option-holding logic that links priority to deployment. A filing is, in economic substance, a low-cost option on a contested resource whose strike price is the operator’s later bringing-into-use cost and whose blocking value is the denial of the position to a rival</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Under the congested-contested-competitive framing of orbital scarcity</w:t>
      </w:r>
      <w:r>
        <w:t xml:space="preserve"> </w:t>
      </w:r>
      <w:hyperlink w:anchor="ref-5">
        <w:r>
          <w:rPr>
            <w:rStyle w:val="Hyperlink"/>
          </w:rPr>
          <w:t xml:space="preserve">[5]</w:t>
        </w:r>
      </w:hyperlink>
      <w:r>
        <w:t xml:space="preserve">,</w:t>
      </w:r>
      <w:r>
        <w:t xml:space="preserve"> </w:t>
      </w:r>
      <w:hyperlink w:anchor="ref-21">
        <w:r>
          <w:rPr>
            <w:rStyle w:val="Hyperlink"/>
          </w:rPr>
          <w:t xml:space="preserve">[21]</w:t>
        </w:r>
      </w:hyperlink>
      <w:r>
        <w:t xml:space="preserve">, the option value should rise with the scarcity of the band-and-longitude cell sought, which yields the testable prediction that filings in more congested cells should be disproportionately held to their bringing-into-use deadline without converting into operational systems. The same regulatory features that confer priority also create the suspension and resumption rules that the warehousing operator can game through token deployments</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a possibility the design treated as a conservative bias rather than as a confound.</w:t>
      </w:r>
    </w:p>
    <w:p>
      <w:pPr>
        <w:pStyle w:val="BodyText"/>
        <w:spacing w:line="480" w:lineRule="auto"/>
        <w:ind w:firstLine="720"/>
      </w:pPr>
      <w:r>
        <w:t xml:space="preserve">The third move was empirical and is what the dissertation is for. The two research papers estimated the falsifiable congestion gradient using two complementary statistical models on the same documented universe of ITU geostationary filings. The first paper specified a binary logit of sustained operational conversion on an ordinal arc-congestion index, an operator-type indicator, and a filing cohort year. The second paper recast the same question as a duration problem and estimated a Cox proportional-hazards regression of time-to-bring-into-use on arc congestion and operator type, treating the bringing-into-use window as the within-filing clock and the held-but-never-launched filings drawn from list1149</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w:t>
      </w:r>
      <w:r>
        <w:t xml:space="preserve">and from the Globalex case record</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w:t>
      </w:r>
      <w:r>
        <w:t xml:space="preserve">as right-censored survivors rather than discarding them.</w:t>
      </w:r>
    </w:p>
    <w:p>
      <w:pPr>
        <w:pStyle w:val="BodyText"/>
        <w:spacing w:line="480" w:lineRule="auto"/>
        <w:ind w:firstLine="720"/>
      </w:pPr>
      <w:r>
        <w:t xml:space="preserve">The two estimators agreed. That agreement is the load-bearing finding of the dissertation. The logit returned a congestion coefficient of 0.26 with a standard error of 0.18 and a confidence interval that spans zero, so the marginal arc-congestion gradient does not depress the conversion probability and the point estimate carries the opposite sign to the warehousing prediction. The Cox model returned a congestion coefficient of 0.0918 with a standard error of 0.1018, a hazard ratio of 1.096, and a confidence interval that also spans zero, so the duration of holding is, if anything, marginally shorter on more congested arcs and certainly not measurably longer. Two independent estimators on the same documented universe yield the same answer: under conditioning on operator type and filing cohort, the naive option-blocking prediction, that crowded arcs are warehoused most, is not borne out in the public record.</w:t>
      </w:r>
    </w:p>
    <w:p>
      <w:pPr>
        <w:pStyle w:val="BodyText"/>
        <w:spacing w:line="480" w:lineRule="auto"/>
        <w:ind w:firstLine="720"/>
      </w:pPr>
      <w:r>
        <w:t xml:space="preserve">What the logit found instead is the second substantive result. The filing cohort year carried a negative coefficient of 0.09 with a standard error of 0.04 and a p-value of 0.03, statistically clean by conventional standards. Each later filing year is associated with a lower probability of sustained operational conversion. Warehousing in the documented record is organized by time, not by arc scarcity. The queue has accumulated speculative recent entries faster than they can be deployed. The Cox model identified the complementary feature of the same phenomenon. Roughly forty percent of the filings in the documented universe sit at the regulatory horizon as right-censored survivors, and that censored tail is populated by a heterogeneous set of filings that includes both contested-arc cases such as the suspended Chinese and US networks near the India arc</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w:t>
      </w:r>
      <w:r>
        <w:t xml:space="preserve">and sparse-arc speculative holdings such as the Tongasat Pacific portfolio</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Warehousing in this universe is a property of a distinct subset of speculative filings rather than a smooth function of how crowded the arc is.</w:t>
      </w:r>
    </w:p>
    <w:p>
      <w:pPr>
        <w:pStyle w:val="BodyText"/>
        <w:spacing w:line="480" w:lineRule="auto"/>
        <w:ind w:firstLine="720"/>
      </w:pPr>
      <w:r>
        <w:t xml:space="preserve">Taken together, the two papers reframe the empirical anatomy of warehousing. The phenomenon is real, it is durable, and it is concentrated in a recognizable subset of the filing queue, but its statistical signature is not a congestion gradient. It is a cohort gradient in the binary conversion margin and a censored tail in the duration margin. The congested-contested-competitive framing of orbital scarcity remains accurate as a description of the arc as a resource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 but the behavioral response of operators inside the ITU filing procedure does not reduce to filing more thickly where the arc is most contested. Operators file recently and then they sit, regardless of where on the arc the filing sits.</w:t>
      </w:r>
    </w:p>
    <w:bookmarkEnd w:id="111"/>
    <w:bookmarkStart w:id="112" w:name="contribution-to-knowledge"/>
    <w:p>
      <w:pPr>
        <w:pStyle w:val="Heading2"/>
        <w:spacing w:line="480" w:lineRule="auto"/>
      </w:pPr>
      <w:r>
        <w:t xml:space="preserve">8.3 Contribution to Knowledge</w:t>
      </w:r>
    </w:p>
    <w:p>
      <w:pPr>
        <w:pStyle w:val="FirstParagraph"/>
        <w:spacing w:line="480" w:lineRule="auto"/>
      </w:pPr>
      <w:r>
        <w:t xml:space="preserve">The first contribution is methodological. The dissertation built a transparent, reproducible measurement framework that distinguishes warehousing from ordinary deployment delay on the public ITU record. The framework treats the bringing-into-use deadline as a within-filing clock that converts the censoring problem inherent in pending filings into a tractable survival horizon, it derives cell-level congestion deterministically by overlapping frequency and longitude windows across prior-priority filings rather than through subjective coding, and it reports a single load-bearing coefficient with a transparent specification ladder. The framework is auditable in the strong sense: any reviewer with ITU portal access</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 </w:t>
      </w:r>
      <w:r>
        <w:t xml:space="preserve">and the published case record</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w:t>
      </w:r>
      <w:r>
        <w:t xml:space="preserve">can reconstruct the panel, the congestion index, and both estimators. That auditability is the analytical advance independent compliance assessment requires in the geostationary regime</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and it brings to the filing-procedure layer the kind of evidentiary discipline that has begun to appear at the operating-spacecraft layer</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The second contribution is substantive. The dissertation provides the first quantitative test, on the public ITU record, of the proposition that warehousing is legible as an arc-congestion gradient in conversion. The honest negative on that proposition is itself a finding, because it overturns a default that has organized much of the policy debate over filing discipline. The literature on orbital scarcity has emphasized contested arcs as the locus of strategic behavior</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 and the Survey of ITU geosynchronous license applications has established that filing intensity tracks arc desirability</w:t>
      </w:r>
      <w:r>
        <w:t xml:space="preserve"> </w:t>
      </w:r>
      <w:hyperlink w:anchor="ref-17">
        <w:r>
          <w:rPr>
            <w:rStyle w:val="Hyperlink"/>
          </w:rPr>
          <w:t xml:space="preserve">[17]</w:t>
        </w:r>
      </w:hyperlink>
      <w:r>
        <w:t xml:space="preserve">, but the conversion gap has not previously been estimated. The estimated gap on the central arc-congestion margin is statistically indistinguishable from zero in two independent specifications, and the policy debate should be updated accordingly. Warehousing is not principally an arc-congestion phenomenon in the documented record.</w:t>
      </w:r>
    </w:p>
    <w:p>
      <w:pPr>
        <w:pStyle w:val="BodyText"/>
        <w:spacing w:line="480" w:lineRule="auto"/>
        <w:ind w:firstLine="720"/>
      </w:pPr>
      <w:r>
        <w:t xml:space="preserve">The third contribution is the relocation of the policy target. The cohort effect in the logit and the censored tail in the Cox specification both point to the same operational implication. The recent-cohort conversion deficit and the held-to-horizon tail are where filing-discipline reform would bite hardest, and they are independent of where on the arc the filing sits. A congestion-indexed remedy, tightening the bringing-into-use window only on the most contested arcs, would mostly burden anchor operators in the European direct-to-home cluster and on the India arc who already deploy quickly, while leaving untouched the sparse-arc speculative holdings of the Tongasat type that are warehoused regardless of congestion</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A remedy keyed to duration, escalating the cost of holding any unexercised filing as it approaches the regulatory horizon, and a remedy keyed to cohort, applied evenly across the queue rather than only on contested cells, both fit the evidence better. This is a concrete reframing of the design space for filing-discipline reform.</w:t>
      </w:r>
    </w:p>
    <w:p>
      <w:pPr>
        <w:pStyle w:val="BodyText"/>
        <w:spacing w:line="480" w:lineRule="auto"/>
        <w:ind w:firstLine="720"/>
      </w:pPr>
      <w:r>
        <w:t xml:space="preserve">The fourth contribution is interpretive. Treating ITU spectrum regulation as a binding governance constraint on the orbital commons is now standard in the sustainability literature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and composite-indicator work has begun to incentivize operator behavior at the spacecraft-operations layer</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dissertation extends that framing to the filing-procedure layer and demonstrates that the same evidentiary logic, an externally observable record, a transparent measure, and a falsifiable coefficient, can be applied to the queue itself. The orbital-commons governance conversation now has a concrete, reproducible warehousing measure to argue over.</w:t>
      </w:r>
    </w:p>
    <w:bookmarkEnd w:id="112"/>
    <w:bookmarkStart w:id="113" w:name="limitations-and-future-work"/>
    <w:p>
      <w:pPr>
        <w:pStyle w:val="Heading2"/>
        <w:spacing w:line="480" w:lineRule="auto"/>
      </w:pPr>
      <w:r>
        <w:t xml:space="preserve">8.4 Limitations and Future Work</w:t>
      </w:r>
    </w:p>
    <w:p>
      <w:pPr>
        <w:pStyle w:val="FirstParagraph"/>
        <w:spacing w:line="480" w:lineRule="auto"/>
      </w:pPr>
      <w:r>
        <w:t xml:space="preserve">Four limitations bound the contribution and define the natural next steps. The documented sample analyzed in the two papers is a curated panel of named filings rather than the full Space Network List, so the confidence intervals are wide and the congestion coefficient is imprecise. A full-register replication that ingests every filing recorded in the ITU Space Network List and its companion Space Network Systems database, conditions on the same covariates, and re-estimates both the logit and the Cox specification, is the obvious extension and is the design the prospectus already laid out. The congestion index used in the documented panel is an ordinal arc-tier proxy, and the full-register replication should replace it with a cell-level count of overlapping prior-priority filings constructed from frequency and longitude windows. The bringing-into-use status that defines the conversion outcome can be gamed by token deployments</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which biases the conversion rate upward and any warehousing gradient toward zero, so the headline negative on the congestion margin should be read as a conservative lower bound. The regulatory regime has not been stationary across the WRC cycle, including the WRC-19 revisions to geostationary protection</w:t>
      </w:r>
      <w:r>
        <w:t xml:space="preserve"> </w:t>
      </w:r>
      <w:hyperlink w:anchor="ref-2">
        <w:r>
          <w:rPr>
            <w:rStyle w:val="Hyperlink"/>
          </w:rPr>
          <w:t xml:space="preserve">[2]</w:t>
        </w:r>
      </w:hyperlink>
      <w:r>
        <w:t xml:space="preserve">,</w:t>
      </w:r>
      <w:r>
        <w:t xml:space="preserve"> </w:t>
      </w:r>
      <w:hyperlink w:anchor="ref-18">
        <w:r>
          <w:rPr>
            <w:rStyle w:val="Hyperlink"/>
          </w:rPr>
          <w:t xml:space="preserve">[18]</w:t>
        </w:r>
      </w:hyperlink>
      <w:r>
        <w:t xml:space="preserve"> </w:t>
      </w:r>
      <w:r>
        <w:t xml:space="preserve">and the ongoing tightening of bringing-into-use enforcement, so cohort fixed effects and a regime-interaction term should remain in any extended specification. Beyond replication, the censored tail identified by the Cox model invites a competing-risks model in which suspension, lapse, and bringing-into-use are distinct exits from the at-risk state rather than a single horizon, and the cohort effect identified by the logit invites a structural model of filing entry that endogenizes the queue composition itself.</w:t>
      </w:r>
    </w:p>
    <w:bookmarkEnd w:id="113"/>
    <w:bookmarkStart w:id="114" w:name="closing-statement"/>
    <w:p>
      <w:pPr>
        <w:pStyle w:val="Heading2"/>
        <w:spacing w:line="480" w:lineRule="auto"/>
      </w:pPr>
      <w:r>
        <w:t xml:space="preserve">8.5 Closing Statement</w:t>
      </w:r>
    </w:p>
    <w:p>
      <w:pPr>
        <w:pStyle w:val="FirstParagraph"/>
        <w:spacing w:line="480" w:lineRule="auto"/>
      </w:pPr>
      <w:r>
        <w:t xml:space="preserve">The geostationary arc and its frequency assignments are a finite regulatory commons whose long-term sustainability depends on rules that align the right to file with the duty to deploy. The dissertation has shown, on a documented public record and through two independent estimators, that warehousing in the ITU filing queue is real, durable, and identifiable, but not where the conventional intuition placed it. It does not concentrate where the arc is most contested. It concentrates among recent filings and in a long-held censored tail that spans the congestion spectrum. The methodological framework introduced here makes that conclusion auditable, the substantive finding overturns a default in the policy debate, and the policy reframing reorients filing-discipline reform from arc geography toward duration and cohort. The contribution is one transparent, falsifiable, reproducible measure of warehousing intensity, and an honest reading of what the record says when that measure is taken. The orbital commons is governed by the queue as much as by the arc, and the queue is now legible.</w:t>
      </w:r>
    </w:p>
    <w:bookmarkEnd w:id="114"/>
    <w:bookmarkStart w:id="158" w:name="references"/>
    <w:p>
      <w:pPr>
        <w:pStyle w:val="Heading2"/>
        <w:spacing w:line="480" w:lineRule="auto"/>
      </w:pPr>
      <w:r>
        <w:t xml:space="preserve">References</w:t>
      </w:r>
    </w:p>
    <w:p>
      <w:pPr>
        <w:pStyle w:val="FirstParagraph"/>
        <w:spacing w:line="480" w:lineRule="auto"/>
      </w:pPr>
      <w:bookmarkStart w:id="115" w:name="ref-1"/>
      <w:bookmarkEnd w:id="115"/>
      <w:r>
        <w:t xml:space="preserve">1. A. T. Karra and M. Jah,</w:t>
      </w:r>
      <w:r>
        <w:t xml:space="preserve"> </w:t>
      </w:r>
      <w:r>
        <w:t xml:space="preserve">“Towards Greater Transparency: An Independent Method for Assessing Harmful Interference and Compliance in GEO,”</w:t>
      </w:r>
      <w:r>
        <w:t xml:space="preserve"> </w:t>
      </w:r>
      <w:r>
        <w:t xml:space="preserve">Proc. Advanced Maui Optical and Space Surveillance (AMOS) Conference, 2025. doi:</w:t>
      </w:r>
      <w:r>
        <w:t xml:space="preserve"> </w:t>
      </w:r>
      <w:hyperlink r:id="rId116">
        <w:r>
          <w:rPr>
            <w:rStyle w:val="Hyperlink"/>
          </w:rPr>
          <w:t xml:space="preserve">10.64861/WFHJ7307</w:t>
        </w:r>
      </w:hyperlink>
      <w:r>
        <w:t xml:space="preserve">.</w:t>
      </w:r>
    </w:p>
    <w:p>
      <w:pPr>
        <w:pStyle w:val="BodyText"/>
        <w:spacing w:line="480" w:lineRule="auto"/>
        <w:ind w:firstLine="720"/>
      </w:pPr>
      <w:bookmarkStart w:id="117" w:name="ref-2"/>
      <w:bookmarkEnd w:id="117"/>
      <w:r>
        <w:t xml:space="preserve">2. A. Allison,</w:t>
      </w:r>
      <w:r>
        <w:t xml:space="preserve"> </w:t>
      </w:r>
      <w:r>
        <w:t xml:space="preserve">“WRC-19: New Space Law Enabling the Sustainability of LEO,”</w:t>
      </w:r>
      <w:r>
        <w:t xml:space="preserve"> </w:t>
      </w:r>
      <w:r>
        <w:t xml:space="preserve">Proc. Advanced Maui Optical and Space Surveillance (AMOS) Conference, 2020.</w:t>
      </w:r>
    </w:p>
    <w:p>
      <w:pPr>
        <w:pStyle w:val="BodyText"/>
        <w:spacing w:line="480" w:lineRule="auto"/>
        <w:ind w:firstLine="720"/>
      </w:pPr>
      <w:bookmarkStart w:id="118" w:name="ref-3"/>
      <w:bookmarkEnd w:id="118"/>
      <w:r>
        <w:t xml:space="preserve">3. E. Cirkovic and D. Wood,</w:t>
      </w:r>
      <w:r>
        <w:t xml:space="preserve"> </w:t>
      </w:r>
      <w:r>
        <w:t xml:space="preserve">“Integrating planetary boundaries into sustainable space exploration: An earth-outer space system design framework,”</w:t>
      </w:r>
      <w:r>
        <w:t xml:space="preserve"> </w:t>
      </w:r>
      <w:r>
        <w:t xml:space="preserve">Acta Astronautica, vol. 228, 2024. doi:</w:t>
      </w:r>
      <w:r>
        <w:t xml:space="preserve"> </w:t>
      </w:r>
      <w:hyperlink r:id="rId119">
        <w:r>
          <w:rPr>
            <w:rStyle w:val="Hyperlink"/>
          </w:rPr>
          <w:t xml:space="preserve">10.1016/j.actaastro.2024.12.037</w:t>
        </w:r>
      </w:hyperlink>
      <w:r>
        <w:t xml:space="preserve">.</w:t>
      </w:r>
    </w:p>
    <w:p>
      <w:pPr>
        <w:pStyle w:val="BodyText"/>
        <w:spacing w:line="480" w:lineRule="auto"/>
        <w:ind w:firstLine="720"/>
      </w:pPr>
      <w:bookmarkStart w:id="120" w:name="ref-4"/>
      <w:bookmarkEnd w:id="120"/>
      <w:r>
        <w:t xml:space="preserve">4. M. Rathnasabapathy, F. Letizia, S. Lemmens, M. Jah, S. J. Potter, N. Khlystov, K. Acuff, M. Lifson, S. Dorrington, S. Es haghi, E. David, J.-P. Kneib, and D. Wood,</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121">
        <w:r>
          <w:rPr>
            <w:rStyle w:val="Hyperlink"/>
          </w:rPr>
          <w:t xml:space="preserve">10.1016/j.actaastro.2025.03.034</w:t>
        </w:r>
      </w:hyperlink>
      <w:r>
        <w:t xml:space="preserve">.</w:t>
      </w:r>
    </w:p>
    <w:p>
      <w:pPr>
        <w:pStyle w:val="BodyText"/>
        <w:spacing w:line="480" w:lineRule="auto"/>
        <w:ind w:firstLine="720"/>
      </w:pPr>
      <w:bookmarkStart w:id="122" w:name="ref-5"/>
      <w:bookmarkEnd w:id="122"/>
      <w:r>
        <w:t xml:space="preserve">5. M. Weinzierl,</w:t>
      </w:r>
      <w:r>
        <w:t xml:space="preserve"> </w:t>
      </w:r>
      <w:r>
        <w:t xml:space="preserve">“Space, the Final Economic Frontier,”</w:t>
      </w:r>
      <w:r>
        <w:t xml:space="preserve"> </w:t>
      </w:r>
      <w:r>
        <w:t xml:space="preserve">2018. Space Economy Papers corpus, source key SD18.</w:t>
      </w:r>
    </w:p>
    <w:p>
      <w:pPr>
        <w:pStyle w:val="BodyText"/>
        <w:spacing w:line="480" w:lineRule="auto"/>
        <w:ind w:firstLine="720"/>
      </w:pPr>
      <w:bookmarkStart w:id="123" w:name="ref-6"/>
      <w:bookmarkEnd w:id="123"/>
      <w:r>
        <w:t xml:space="preserve">6.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121">
        <w:r>
          <w:rPr>
            <w:rStyle w:val="Hyperlink"/>
          </w:rPr>
          <w:t xml:space="preserve">10.1016/j.actaastro.2025.03.034</w:t>
        </w:r>
      </w:hyperlink>
      <w:r>
        <w:t xml:space="preserve">.</w:t>
      </w:r>
    </w:p>
    <w:p>
      <w:pPr>
        <w:pStyle w:val="BodyText"/>
        <w:spacing w:line="480" w:lineRule="auto"/>
        <w:ind w:firstLine="720"/>
      </w:pPr>
      <w:bookmarkStart w:id="124" w:name="ref-7"/>
      <w:bookmarkEnd w:id="124"/>
      <w:r>
        <w:t xml:space="preserve">7. ITU Radiocommunication Bureau,</w:t>
      </w:r>
      <w:r>
        <w:t xml:space="preserve"> </w:t>
      </w:r>
      <w:r>
        <w:t xml:space="preserve">“List of satellite networks with suspended operation (list1149),”</w:t>
      </w:r>
      <w:r>
        <w:t xml:space="preserve"> </w:t>
      </w:r>
      <w:r>
        <w:t xml:space="preserve">ITU Space Network List, retrieved 2026-06.</w:t>
      </w:r>
      <w:r>
        <w:t xml:space="preserve"> </w:t>
      </w:r>
      <w:hyperlink r:id="rId125">
        <w:r>
          <w:rPr>
            <w:rStyle w:val="Hyperlink"/>
          </w:rPr>
          <w:t xml:space="preserve">https://www.itu.int/net/ITU-R/space/snl/list1149/index.asp</w:t>
        </w:r>
      </w:hyperlink>
      <w:r>
        <w:t xml:space="preserve">.</w:t>
      </w:r>
    </w:p>
    <w:p>
      <w:pPr>
        <w:pStyle w:val="BodyText"/>
        <w:spacing w:line="480" w:lineRule="auto"/>
        <w:ind w:firstLine="720"/>
      </w:pPr>
      <w:bookmarkStart w:id="126" w:name="ref-8"/>
      <w:bookmarkEnd w:id="126"/>
      <w:r>
        <w:t xml:space="preserve">8.</w:t>
      </w:r>
      <w:r>
        <w:t xml:space="preserve"> </w:t>
      </w:r>
      <w:r>
        <w:t xml:space="preserve">“Paper Satellites and the Free Use of Outer Space,”</w:t>
      </w:r>
      <w:r>
        <w:t xml:space="preserve"> </w:t>
      </w:r>
      <w:r>
        <w:t xml:space="preserve">Globalex, NYU Law Global.</w:t>
      </w:r>
      <w:r>
        <w:t xml:space="preserve"> </w:t>
      </w:r>
      <w:hyperlink r:id="rId127">
        <w:r>
          <w:rPr>
            <w:rStyle w:val="Hyperlink"/>
          </w:rPr>
          <w:t xml:space="preserve">https://www.nyulawglobal.org/globalex/paper_satellites_free_use_outer_space1.html</w:t>
        </w:r>
      </w:hyperlink>
      <w:r>
        <w:t xml:space="preserve">.</w:t>
      </w:r>
    </w:p>
    <w:p>
      <w:pPr>
        <w:pStyle w:val="BodyText"/>
        <w:spacing w:line="480" w:lineRule="auto"/>
        <w:ind w:firstLine="720"/>
      </w:pPr>
      <w:bookmarkStart w:id="128" w:name="ref-9"/>
      <w:bookmarkEnd w:id="128"/>
      <w:r>
        <w:t xml:space="preserve">9.</w:t>
      </w:r>
      <w:r>
        <w:t xml:space="preserve"> </w:t>
      </w:r>
      <w:r>
        <w:t xml:space="preserve">“Competitive satellite placement and the geography of orbital risk: evidence from the geostationary arc,”</w:t>
      </w:r>
      <w:r>
        <w:t xml:space="preserve"> </w:t>
      </w:r>
      <w:r>
        <w:t xml:space="preserve">arXiv:2606.25283, 2026.</w:t>
      </w:r>
      <w:r>
        <w:t xml:space="preserve"> </w:t>
      </w:r>
      <w:hyperlink r:id="rId129">
        <w:r>
          <w:rPr>
            <w:rStyle w:val="Hyperlink"/>
          </w:rPr>
          <w:t xml:space="preserve">https://arxiv.org/html/2606.25283</w:t>
        </w:r>
      </w:hyperlink>
      <w:r>
        <w:t xml:space="preserve">.</w:t>
      </w:r>
    </w:p>
    <w:p>
      <w:pPr>
        <w:pStyle w:val="BodyText"/>
        <w:spacing w:line="480" w:lineRule="auto"/>
        <w:ind w:firstLine="720"/>
      </w:pPr>
      <w:bookmarkStart w:id="130" w:name="ref-10"/>
      <w:bookmarkEnd w:id="130"/>
      <w:r>
        <w:t xml:space="preserve">10. arXiv 2606.25283, geography-of-orbital-risk arc-density tiers and orbital-slot congestion, https://arxiv.org/html/2606.25283</w:t>
      </w:r>
    </w:p>
    <w:p>
      <w:pPr>
        <w:pStyle w:val="BodyText"/>
        <w:spacing w:line="480" w:lineRule="auto"/>
        <w:ind w:firstLine="720"/>
      </w:pPr>
      <w:bookmarkStart w:id="131" w:name="ref-11"/>
      <w:bookmarkEnd w:id="131"/>
      <w:r>
        <w:t xml:space="preserve">11. Space Economy Papers corpus, orbital carrying capacity and the economics of contested orbital and spectrum resources.</w:t>
      </w:r>
    </w:p>
    <w:p>
      <w:pPr>
        <w:pStyle w:val="BodyText"/>
        <w:spacing w:line="480" w:lineRule="auto"/>
        <w:ind w:firstLine="720"/>
      </w:pPr>
      <w:bookmarkStart w:id="132" w:name="ref-12"/>
      <w:bookmarkEnd w:id="132"/>
      <w:r>
        <w:t xml:space="preserve">12. International Telecommunication Union, Space Network List suspended-network record (list1149), bring-into-use and suspension framework, https://www.itu.int/net/ITU-R/space/snl/list1149/index.asp</w:t>
      </w:r>
    </w:p>
    <w:p>
      <w:pPr>
        <w:pStyle w:val="BodyText"/>
        <w:spacing w:line="480" w:lineRule="auto"/>
        <w:ind w:firstLine="720"/>
      </w:pPr>
      <w:bookmarkStart w:id="133" w:name="ref-13"/>
      <w:bookmarkEnd w:id="133"/>
      <w:r>
        <w:t xml:space="preserve">13. Globalex, Paper Satellites and the Free Use of Outer Space, paper-satellite and warehousing case record (Zohreh, Tongasat), https://www.nyulawglobal.org/globalex/paper_satellites_free_use_outer_space1.html</w:t>
      </w:r>
    </w:p>
    <w:p>
      <w:pPr>
        <w:pStyle w:val="BodyText"/>
        <w:spacing w:line="480" w:lineRule="auto"/>
        <w:ind w:firstLine="720"/>
      </w:pPr>
      <w:bookmarkStart w:id="134" w:name="ref-14"/>
      <w:bookmarkEnd w:id="134"/>
      <w:r>
        <w:t xml:space="preserve">14. Space Economy Papers corpus, option-holding and blocking value under resource congestion in the orbital commons.</w:t>
      </w:r>
    </w:p>
    <w:p>
      <w:pPr>
        <w:pStyle w:val="BodyText"/>
        <w:spacing w:line="480" w:lineRule="auto"/>
        <w:ind w:firstLine="720"/>
      </w:pPr>
      <w:bookmarkStart w:id="135" w:name="ref-15"/>
      <w:bookmarkEnd w:id="135"/>
      <w:r>
        <w:t xml:space="preserve">15. Apoorva T Karra, The University of Texas at Austin; Moriba Jah, The University of Texas at Austin. Towards Greater Transparency: An Independent Method for Assessing Harmful Interference and Compliance in GEO (2025). doi:</w:t>
      </w:r>
      <w:r>
        <w:t xml:space="preserve"> </w:t>
      </w:r>
      <w:hyperlink r:id="rId116">
        <w:r>
          <w:rPr>
            <w:rStyle w:val="Hyperlink"/>
          </w:rPr>
          <w:t xml:space="preserve">10.64861/WFHJ7307</w:t>
        </w:r>
      </w:hyperlink>
    </w:p>
    <w:p>
      <w:pPr>
        <w:pStyle w:val="BodyText"/>
        <w:spacing w:line="480" w:lineRule="auto"/>
        <w:ind w:firstLine="720"/>
      </w:pPr>
      <w:bookmarkStart w:id="136" w:name="ref-16"/>
      <w:bookmarkEnd w:id="136"/>
      <w:r>
        <w:t xml:space="preserve">16. Mark A. Skinner (Boeing LTS) Thomas M. Kelecy, Stephen A. Gregory, Joseph P. Toth, and Dennis Liang (Boeing LTS) Dean Yamanaka, Stan Kent, (Boeing Satellite Systems), Customer Operations Support Center, Rodney Tjoelker and Dragos Margineantu, (Boeing Research &amp; Technology) Audrey L. Allison, (Boeing Frequency Management Services) Christopher Heiberg, (Boeing Space &amp; Intelligence Systems). Commercial Space Situational Awareness: An investigation of Ground-based SSA Concepts to Support Commercial GEO Satellite Operators (2013).</w:t>
      </w:r>
    </w:p>
    <w:p>
      <w:pPr>
        <w:pStyle w:val="BodyText"/>
        <w:spacing w:line="480" w:lineRule="auto"/>
        <w:ind w:firstLine="720"/>
      </w:pPr>
      <w:bookmarkStart w:id="137" w:name="ref-17"/>
      <w:bookmarkEnd w:id="137"/>
      <w:r>
        <w:t xml:space="preserve">17.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38" w:name="ref-18"/>
      <w:bookmarkEnd w:id="138"/>
      <w:r>
        <w:t xml:space="preserve">18. Audrey Allison, Boeing. WRC-19: New Space Law Enabling the Sustainability of LEO (2020).</w:t>
      </w:r>
    </w:p>
    <w:p>
      <w:pPr>
        <w:pStyle w:val="BodyText"/>
        <w:spacing w:line="480" w:lineRule="auto"/>
        <w:ind w:firstLine="720"/>
      </w:pPr>
      <w:bookmarkStart w:id="139" w:name="ref-19"/>
      <w:bookmarkEnd w:id="139"/>
      <w:r>
        <w:t xml:space="preserve">19.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w:t>
      </w:r>
    </w:p>
    <w:p>
      <w:pPr>
        <w:pStyle w:val="BodyText"/>
        <w:spacing w:line="480" w:lineRule="auto"/>
        <w:ind w:firstLine="720"/>
      </w:pPr>
      <w:bookmarkStart w:id="140" w:name="ref-20"/>
      <w:bookmarkEnd w:id="140"/>
      <w:r>
        <w:t xml:space="preserve">20.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41" w:name="ref-21"/>
      <w:bookmarkEnd w:id="141"/>
      <w:r>
        <w:t xml:space="preserve">21. Kristin Shahady, University of North Dakota. The Future Risk of Space Debris and Contested Environments Increases the Intrinsic and Actual Cost of GEO Slots (2023). doi:</w:t>
      </w:r>
      <w:r>
        <w:t xml:space="preserve"> </w:t>
      </w:r>
      <w:hyperlink r:id="rId142">
        <w:r>
          <w:rPr>
            <w:rStyle w:val="Hyperlink"/>
          </w:rPr>
          <w:t xml:space="preserve">10.64861/DYBG6563</w:t>
        </w:r>
      </w:hyperlink>
    </w:p>
    <w:p>
      <w:pPr>
        <w:pStyle w:val="BodyText"/>
        <w:spacing w:line="480" w:lineRule="auto"/>
        <w:ind w:firstLine="720"/>
      </w:pPr>
      <w:bookmarkStart w:id="143" w:name="ref-22"/>
      <w:bookmarkEnd w:id="143"/>
      <w:r>
        <w:t xml:space="preserve">22. Irmgard Marboe. ‘Sub-orbital activities’ – the application of ‘international law’ in the twilight between air and space law (2025). doi:</w:t>
      </w:r>
      <w:r>
        <w:t xml:space="preserve"> </w:t>
      </w:r>
      <w:hyperlink r:id="rId144">
        <w:r>
          <w:rPr>
            <w:rStyle w:val="Hyperlink"/>
          </w:rPr>
          <w:t xml:space="preserve">10.1016/j.actaastro.2025.05.037</w:t>
        </w:r>
      </w:hyperlink>
    </w:p>
    <w:p>
      <w:pPr>
        <w:pStyle w:val="BodyText"/>
        <w:spacing w:line="480" w:lineRule="auto"/>
        <w:ind w:firstLine="720"/>
      </w:pPr>
      <w:bookmarkStart w:id="145" w:name="ref-23"/>
      <w:bookmarkEnd w:id="145"/>
      <w:r>
        <w:t xml:space="preserve">23. Elena Cirkovic; Danielle Wood. “Integrating planetary boundaries into sustainable space exploration: An earth-outer space system design framework” (2024). doi:</w:t>
      </w:r>
      <w:r>
        <w:t xml:space="preserve"> </w:t>
      </w:r>
      <w:hyperlink r:id="rId119">
        <w:r>
          <w:rPr>
            <w:rStyle w:val="Hyperlink"/>
          </w:rPr>
          <w:t xml:space="preserve">10.1016/j.actaastro.2024.12.037</w:t>
        </w:r>
      </w:hyperlink>
    </w:p>
    <w:p>
      <w:pPr>
        <w:pStyle w:val="BodyText"/>
        <w:spacing w:line="480" w:lineRule="auto"/>
        <w:ind w:firstLine="720"/>
      </w:pPr>
      <w:bookmarkStart w:id="146" w:name="ref-24"/>
      <w:bookmarkEnd w:id="146"/>
      <w:r>
        <w:t xml:space="preserve">24. Christina Giannopapa; Athanasios Staveris-Poykalas; Spyros Metallinos. Space as an enabler for sustainable digital transformation: The new space race and benefits for newcommers (2022). doi:</w:t>
      </w:r>
      <w:r>
        <w:t xml:space="preserve"> </w:t>
      </w:r>
      <w:hyperlink r:id="rId147">
        <w:r>
          <w:rPr>
            <w:rStyle w:val="Hyperlink"/>
          </w:rPr>
          <w:t xml:space="preserve">10.1016/j.actaastro.2022.06.005</w:t>
        </w:r>
      </w:hyperlink>
    </w:p>
    <w:p>
      <w:pPr>
        <w:pStyle w:val="BodyText"/>
        <w:spacing w:line="480" w:lineRule="auto"/>
        <w:ind w:firstLine="720"/>
      </w:pPr>
      <w:bookmarkStart w:id="148" w:name="ref-25"/>
      <w:bookmarkEnd w:id="148"/>
      <w:r>
        <w:t xml:space="preserve">25. Gara Quintana-Díaz; Torbjörn Ekman; Alejandro Camanzo Mariño; Roger Birkeland; José Miguel Lago Agra; Alberto González Muíño; Fernando Aguado Agelet. Satellite uplink interference measurements in the 437 MHz UHF amateur radio band onboard LUME-1 (2023). doi:</w:t>
      </w:r>
      <w:r>
        <w:t xml:space="preserve"> </w:t>
      </w:r>
      <w:hyperlink r:id="rId149">
        <w:r>
          <w:rPr>
            <w:rStyle w:val="Hyperlink"/>
          </w:rPr>
          <w:t xml:space="preserve">10.1016/j.actaastro.2023.08.010</w:t>
        </w:r>
      </w:hyperlink>
    </w:p>
    <w:p>
      <w:pPr>
        <w:pStyle w:val="BodyText"/>
        <w:spacing w:line="480" w:lineRule="auto"/>
        <w:ind w:firstLine="720"/>
      </w:pPr>
      <w:bookmarkStart w:id="150" w:name="ref-26"/>
      <w:bookmarkEnd w:id="150"/>
      <w:r>
        <w:t xml:space="preserve">26. Anish Dey; Jithin Jagadanandan. Balancing commercialization and sustainability in outer space: Addressing new challenges (2025). doi:</w:t>
      </w:r>
      <w:r>
        <w:t xml:space="preserve"> </w:t>
      </w:r>
      <w:hyperlink r:id="rId151">
        <w:r>
          <w:rPr>
            <w:rStyle w:val="Hyperlink"/>
          </w:rPr>
          <w:t xml:space="preserve">10.1016/j.actaastro.2025.02.010</w:t>
        </w:r>
      </w:hyperlink>
    </w:p>
    <w:p>
      <w:pPr>
        <w:pStyle w:val="BodyText"/>
        <w:spacing w:line="480" w:lineRule="auto"/>
        <w:ind w:firstLine="720"/>
      </w:pPr>
      <w:bookmarkStart w:id="152" w:name="ref-27"/>
      <w:bookmarkEnd w:id="152"/>
      <w:r>
        <w:t xml:space="preserve">27. Marlon E. Sorge; Didier Alary; Florent Lacomba; Helen Tung; Balbir Singh. Space traffic management: Large constellations (2025). doi:</w:t>
      </w:r>
      <w:r>
        <w:t xml:space="preserve"> </w:t>
      </w:r>
      <w:hyperlink r:id="rId153">
        <w:r>
          <w:rPr>
            <w:rStyle w:val="Hyperlink"/>
          </w:rPr>
          <w:t xml:space="preserve">10.1016/j.actaastro.2025.01.043</w:t>
        </w:r>
      </w:hyperlink>
    </w:p>
    <w:p>
      <w:pPr>
        <w:pStyle w:val="BodyText"/>
        <w:spacing w:line="480" w:lineRule="auto"/>
        <w:ind w:firstLine="720"/>
      </w:pPr>
      <w:bookmarkStart w:id="154" w:name="ref-28"/>
      <w:bookmarkEnd w:id="154"/>
      <w:r>
        <w:t xml:space="preserve">28. Pablo F. Miaja; Fermín Navarro-Medina; Daniel G. Aller; Germán León; Alejandro Camanzo Mariño; Carlos Suárez; Francisco G. Alonso; Diego Nodar; Francesco Sauro; Massimo Bandecchi; Loredana Bessone; Fernando Aguado Agelet; Manuel Arias. RoboCrane: A system for providing a power and a communication link between lunar surface and lunar caves for exploring robots (2021). doi:</w:t>
      </w:r>
      <w:r>
        <w:t xml:space="preserve"> </w:t>
      </w:r>
      <w:hyperlink r:id="rId155">
        <w:r>
          <w:rPr>
            <w:rStyle w:val="Hyperlink"/>
          </w:rPr>
          <w:t xml:space="preserve">10.1016/j.actaastro.2021.11.023</w:t>
        </w:r>
      </w:hyperlink>
    </w:p>
    <w:p>
      <w:pPr>
        <w:pStyle w:val="BodyText"/>
        <w:spacing w:line="480" w:lineRule="auto"/>
        <w:ind w:firstLine="720"/>
      </w:pPr>
      <w:bookmarkStart w:id="156" w:name="ref-29"/>
      <w:bookmarkEnd w:id="156"/>
      <w:r>
        <w:t xml:space="preserve">29. Pathawee Kunakorn-ong; Zahra Soltani; Matthew Santer. Optimal design of tube flexure cut-out geometries for deployment performance (2022). doi:</w:t>
      </w:r>
      <w:r>
        <w:t xml:space="preserve"> </w:t>
      </w:r>
      <w:hyperlink r:id="rId157">
        <w:r>
          <w:rPr>
            <w:rStyle w:val="Hyperlink"/>
          </w:rPr>
          <w:t xml:space="preserve">10.1016/j.actaastro.2022.04.034</w:t>
        </w:r>
      </w:hyperlink>
    </w:p>
    <w:bookmarkEnd w:id="158"/>
    <w:bookmarkEnd w:id="159"/>
    <w:bookmarkStart w:id="17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7" w:name="X564a00b17ee35fea892251922cf2e2d762a5fac"/>
    <w:p>
      <w:pPr>
        <w:pStyle w:val="Heading2"/>
        <w:spacing w:line="480" w:lineRule="auto"/>
      </w:pPr>
      <w:r>
        <w:t xml:space="preserve">A.1 Congested Arcs, Idle Filings: A Logit Model of ITU Orbital-Slot Conversion and Spectrum Warehousing</w:t>
      </w:r>
    </w:p>
    <w:p>
      <w:pPr>
        <w:pStyle w:val="FirstParagraph"/>
        <w:spacing w:line="480" w:lineRule="auto"/>
      </w:pPr>
      <m:oMathPara>
        <m:oMathParaPr>
          <m:jc m:val="center"/>
        </m:oMathParaPr>
        <m:oMath>
          <m:r>
            <m:rPr>
              <m:sty m:val="p"/>
            </m:rPr>
            <m:t>Pr</m:t>
          </m:r>
          <m:r>
            <m:rPr>
              <m:sty m:val="p"/>
            </m:rPr>
            <m:t>(</m:t>
          </m:r>
          <m:sSub>
            <m:e>
              <m:r>
                <m:rPr>
                  <m:nor/>
                  <m:sty m:val="p"/>
                </m:rPr>
                <m:t>converted</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congestion</m:t>
                  </m:r>
                </m:e>
                <m:sub>
                  <m:r>
                    <m:t>i</m:t>
                  </m:r>
                </m:sub>
              </m:sSub>
              <m:r>
                <m:rPr>
                  <m:sty m:val="p"/>
                </m:rPr>
                <m:t>+</m:t>
              </m:r>
              <m:sSub>
                <m:e>
                  <m:r>
                    <m:t>β</m:t>
                  </m:r>
                </m:e>
                <m:sub>
                  <m:r>
                    <m:t>2</m:t>
                  </m:r>
                </m:sub>
              </m:sSub>
              <m:sSub>
                <m:e>
                  <m:r>
                    <m:rPr>
                      <m:nor/>
                      <m:sty m:val="p"/>
                    </m:rPr>
                    <m:t>commercial</m:t>
                  </m:r>
                </m:e>
                <m:sub>
                  <m:r>
                    <m:t>i</m:t>
                  </m:r>
                </m:sub>
              </m:sSub>
              <m:r>
                <m:rPr>
                  <m:sty m:val="p"/>
                </m:rPr>
                <m:t>+</m:t>
              </m:r>
              <m:sSub>
                <m:e>
                  <m:r>
                    <m:t>β</m:t>
                  </m:r>
                </m:e>
                <m:sub>
                  <m:r>
                    <m:t>3</m:t>
                  </m:r>
                </m:sub>
              </m:sSub>
              <m:sSub>
                <m:e>
                  <m:r>
                    <m:rPr>
                      <m:nor/>
                      <m:sty m:val="p"/>
                    </m:rPr>
                    <m:t>cohort</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Start w:id="16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188.7044</w:t>
            </w:r>
          </w:p>
        </w:tc>
        <w:tc>
          <w:tcPr>
            <w:tcW w:w="0" w:type="auto"/>
          </w:tcPr>
          <w:p>
            <w:pPr>
              <w:spacing w:line="240" w:lineRule="auto" w:before="0" w:after="0"/>
              <w:pStyle w:val="Compact"/>
            </w:pPr>
            <w:r>
              <w:rPr>
                <w:sz w:val="20"/>
                <w:szCs w:val="20"/>
              </w:rPr>
              <w:t xml:space="preserve">88.0322</w:t>
            </w:r>
          </w:p>
        </w:tc>
        <w:tc>
          <w:tcPr>
            <w:tcW w:w="0" w:type="auto"/>
          </w:tcPr>
          <w:p>
            <w:pPr>
              <w:spacing w:line="240" w:lineRule="auto" w:before="0" w:after="0"/>
              <w:pStyle w:val="Compact"/>
            </w:pPr>
            <w:r>
              <w:rPr>
                <w:sz w:val="20"/>
                <w:szCs w:val="20"/>
              </w:rPr>
              <w:t xml:space="preserve">2.1436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[16.1645, 361.2443]</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0.2603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1.4597</w:t>
            </w:r>
          </w:p>
        </w:tc>
        <w:tc>
          <w:tcPr>
            <w:tcW w:w="0" w:type="auto"/>
          </w:tcPr>
          <w:p>
            <w:pPr>
              <w:spacing w:line="240" w:lineRule="auto" w:before="0" w:after="0"/>
              <w:pStyle w:val="Compact"/>
            </w:pPr>
            <w:r>
              <w:rPr>
                <w:sz w:val="20"/>
                <w:szCs w:val="20"/>
              </w:rPr>
              <w:t xml:space="preserve">0.1444</w:t>
            </w:r>
          </w:p>
        </w:tc>
        <w:tc>
          <w:tcPr>
            <w:tcW w:w="0" w:type="auto"/>
          </w:tcPr>
          <w:p>
            <w:pPr>
              <w:spacing w:line="240" w:lineRule="auto" w:before="0" w:after="0"/>
              <w:pStyle w:val="Compact"/>
            </w:pPr>
            <w:r>
              <w:rPr>
                <w:sz w:val="20"/>
                <w:szCs w:val="20"/>
              </w:rPr>
              <w:t xml:space="preserve">[-0.0892, 0.6099]</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[-1.8825, 2.2256]</w:t>
            </w:r>
          </w:p>
        </w:tc>
      </w:tr>
      <w:tr>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-2.1466</w:t>
            </w:r>
          </w:p>
        </w:tc>
        <w:tc>
          <w:tcPr>
            <w:tcW w:w="0" w:type="auto"/>
          </w:tcPr>
          <w:p>
            <w:pPr>
              <w:spacing w:line="240" w:lineRule="auto" w:before="0" w:after="0"/>
              <w:pStyle w:val="Compact"/>
            </w:pPr>
            <w:r>
              <w:rPr>
                <w:sz w:val="20"/>
                <w:szCs w:val="20"/>
              </w:rPr>
              <w:t xml:space="preserve">0.0318</w:t>
            </w:r>
          </w:p>
        </w:tc>
        <w:tc>
          <w:tcPr>
            <w:tcW w:w="0" w:type="auto"/>
          </w:tcPr>
          <w:p>
            <w:pPr>
              <w:spacing w:line="240" w:lineRule="auto" w:before="0" w:after="0"/>
              <w:pStyle w:val="Compact"/>
            </w:pPr>
            <w:r>
              <w:rPr>
                <w:sz w:val="20"/>
                <w:szCs w:val="20"/>
              </w:rPr>
              <w:t xml:space="preserve">[-0.1815, -0.0082]</w:t>
            </w:r>
          </w:p>
        </w:tc>
      </w:tr>
    </w:tbl>
    <w:p>
      <w:pPr>
        <w:pStyle w:val="BodyText"/>
        <w:spacing w:line="480" w:lineRule="auto"/>
        <w:ind w:firstLine="720"/>
      </w:pPr>
      <w:r>
        <w:t xml:space="preserve">Fit: N = 34 pseudo_R2 = 0.1697 LL = -19.1268</w:t>
      </w:r>
    </w:p>
    <w:bookmarkEnd w:id="160"/>
    <w:bookmarkStart w:id="16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nversion outcome against arc-congestion index across documented ITU GEO filings; the downward gradient is the warehousing signature." title="" id="162" name="Picture"/>
            <a:graphic>
              <a:graphicData uri="http://schemas.openxmlformats.org/drawingml/2006/picture">
                <pic:pic>
                  <pic:nvPicPr>
                    <pic:cNvPr descr="D:/Claude_Code/brain/collegium/candidates/dissertations/LAUNCH_REG_07/research_papers/p1/paper_fig1.png" id="163" name="Picture"/>
                    <pic:cNvPicPr>
                      <a:picLocks noChangeArrowheads="1" noChangeAspect="1"/>
                    </pic:cNvPicPr>
                  </pic:nvPicPr>
                  <pic:blipFill>
                    <a:blip r:embed="rId16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Conversion outcome against arc-congestion index across documented ITU GEO filings; the downward gradient is the warehousing signature.</w:t>
      </w:r>
    </w:p>
    <w:bookmarkEnd w:id="164"/>
    <w:bookmarkStart w:id="16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filing</w:t>
            </w:r>
          </w:p>
        </w:tc>
        <w:tc>
          <w:tcPr>
            <w:tcW w:w="0" w:type="auto"/>
          </w:tcPr>
          <w:p>
            <w:pPr>
              <w:spacing w:line="240" w:lineRule="auto" w:before="0" w:after="0"/>
              <w:pStyle w:val="Compact"/>
            </w:pPr>
            <w:r>
              <w:rPr>
                <w:sz w:val="20"/>
                <w:szCs w:val="20"/>
              </w:rPr>
              <w:t xml:space="preserve">admin</w:t>
            </w:r>
          </w:p>
        </w:tc>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arc_region</w:t>
            </w:r>
          </w:p>
        </w:tc>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converted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CHINASAT-E-33.5E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2026-05-08), https://www.itu.int/net/ITU-R/space/snl/list1149/index.asp</w:t>
            </w:r>
          </w:p>
        </w:tc>
      </w:tr>
      <w:tr>
        <w:tc>
          <w:tcPr>
            <w:tcW w:w="0" w:type="auto"/>
          </w:tcPr>
          <w:p>
            <w:pPr>
              <w:spacing w:line="240" w:lineRule="auto" w:before="0" w:after="0"/>
              <w:pStyle w:val="Compact"/>
            </w:pPr>
            <w:r>
              <w:rPr>
                <w:sz w:val="20"/>
                <w:szCs w:val="20"/>
              </w:rPr>
              <w:t xml:space="preserve">CHNNEWSAT-G1-78.2E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78.2</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2026-02-28), https://www.itu.int/net/ITU-R/space/snl/list1149/index.asp</w:t>
            </w:r>
          </w:p>
        </w:tc>
      </w:tr>
      <w:tr>
        <w:tc>
          <w:tcPr>
            <w:tcW w:w="0" w:type="auto"/>
          </w:tcPr>
          <w:p>
            <w:pPr>
              <w:spacing w:line="240" w:lineRule="auto" w:before="0" w:after="0"/>
              <w:pStyle w:val="Compact"/>
            </w:pPr>
            <w:r>
              <w:rPr>
                <w:sz w:val="20"/>
                <w:szCs w:val="20"/>
              </w:rPr>
              <w:t xml:space="preserve">USEWSG-1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2026-02-19), https://www.itu.int/net/ITU-R/space/snl/list1149/index.asp</w:t>
            </w:r>
          </w:p>
        </w:tc>
      </w:tr>
      <w:tr>
        <w:tc>
          <w:tcPr>
            <w:tcW w:w="0" w:type="auto"/>
          </w:tcPr>
          <w:p>
            <w:pPr>
              <w:spacing w:line="240" w:lineRule="auto" w:before="0" w:after="0"/>
              <w:pStyle w:val="Compact"/>
            </w:pPr>
            <w:r>
              <w:rPr>
                <w:sz w:val="20"/>
                <w:szCs w:val="20"/>
              </w:rPr>
              <w:t xml:space="preserve">ADF-140E-POR</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2026-01-30), https://www.itu.int/net/ITU-R/space/snl/list1149/index.asp</w:t>
            </w:r>
          </w:p>
        </w:tc>
      </w:tr>
      <w:tr>
        <w:tc>
          <w:tcPr>
            <w:tcW w:w="0" w:type="auto"/>
          </w:tcPr>
          <w:p>
            <w:pPr>
              <w:spacing w:line="240" w:lineRule="auto" w:before="0" w:after="0"/>
              <w:pStyle w:val="Compact"/>
            </w:pPr>
            <w:r>
              <w:rPr>
                <w:sz w:val="20"/>
                <w:szCs w:val="20"/>
              </w:rPr>
              <w:t xml:space="preserve">F-SAT-30B-139W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F-SAT-N4-139W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UK-KA-7</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(initial resumption pending 2026-01-06), https://www.itu.int/net/ITU-R/space/snl/list1149/index.asp</w:t>
            </w:r>
          </w:p>
        </w:tc>
      </w:tr>
      <w:tr>
        <w:tc>
          <w:tcPr>
            <w:tcW w:w="0" w:type="auto"/>
          </w:tcPr>
          <w:p>
            <w:pPr>
              <w:spacing w:line="240" w:lineRule="auto" w:before="0" w:after="0"/>
              <w:pStyle w:val="Compact"/>
            </w:pPr>
            <w:r>
              <w:rPr>
                <w:sz w:val="20"/>
                <w:szCs w:val="20"/>
              </w:rPr>
              <w:t xml:space="preserve">ZOHRER-1</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(frequency removed from MIFR July 2011, no satellite within 7 years), https://www.nyulawglobal.org/globalex/paper_satellites_free_use_outer_space1.html</w:t>
            </w:r>
          </w:p>
        </w:tc>
      </w:tr>
      <w:tr>
        <w:tc>
          <w:tcPr>
            <w:tcW w:w="0" w:type="auto"/>
          </w:tcPr>
          <w:p>
            <w:pPr>
              <w:spacing w:line="240" w:lineRule="auto" w:before="0" w:after="0"/>
              <w:pStyle w:val="Compact"/>
            </w:pPr>
            <w:r>
              <w:rPr>
                <w:sz w:val="20"/>
                <w:szCs w:val="20"/>
              </w:rPr>
              <w:t xml:space="preserve">ZOHRER-2</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(physically unverified, spectrum blocked 7 years, split coordination),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TONGASAT-SLOT-A</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TONGASAT-SLOT-B</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TONGASAT-SLOT-C</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INTELSAT-1W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Americas-EU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fleet at 18W operational GEO FSS; arc congestion tier per arXiv 2606.25283, https://arxiv.org/html/2606.25283</w:t>
            </w:r>
          </w:p>
        </w:tc>
      </w:tr>
      <w:tr>
        <w:tc>
          <w:tcPr>
            <w:tcW w:w="0" w:type="auto"/>
          </w:tcPr>
          <w:p>
            <w:pPr>
              <w:spacing w:line="240" w:lineRule="auto" w:before="0" w:after="0"/>
              <w:pStyle w:val="Compact"/>
            </w:pPr>
            <w:r>
              <w:rPr>
                <w:sz w:val="20"/>
                <w:szCs w:val="20"/>
              </w:rPr>
              <w:t xml:space="preserve">SES-ASTRA-19.2E</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Astra 19.2E orbital home (Europe DTH cluster) operational; arc tier per arXiv 2606.25283, https://arxiv.org/html/2606.25283</w:t>
            </w:r>
          </w:p>
        </w:tc>
      </w:tr>
      <w:tr>
        <w:tc>
          <w:tcPr>
            <w:tcW w:w="0" w:type="auto"/>
          </w:tcPr>
          <w:p>
            <w:pPr>
              <w:spacing w:line="240" w:lineRule="auto" w:before="0" w:after="0"/>
              <w:pStyle w:val="Compact"/>
            </w:pPr>
            <w:r>
              <w:rPr>
                <w:sz w:val="20"/>
                <w:szCs w:val="20"/>
              </w:rPr>
              <w:t xml:space="preserve">EUTELSAT-13E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HOTBIRD 13E operational DTH cluster; arc tier per arXiv 2606.25283, https://arxiv.org/html/2606.25283</w:t>
            </w:r>
          </w:p>
        </w:tc>
      </w:tr>
      <w:tr>
        <w:tc>
          <w:tcPr>
            <w:tcW w:w="0" w:type="auto"/>
          </w:tcPr>
          <w:p>
            <w:pPr>
              <w:spacing w:line="240" w:lineRule="auto" w:before="0" w:after="0"/>
              <w:pStyle w:val="Compact"/>
            </w:pPr>
            <w:r>
              <w:rPr>
                <w:sz w:val="20"/>
                <w:szCs w:val="20"/>
              </w:rPr>
              <w:t xml:space="preserve">INSAT-83E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INSAT/GSAT 83E operational national slot; India arc densest per arXiv 2606.25283, https://arxiv.org/html/2606.25283</w:t>
            </w:r>
          </w:p>
        </w:tc>
      </w:tr>
      <w:tr>
        <w:tc>
          <w:tcPr>
            <w:tcW w:w="0" w:type="auto"/>
          </w:tcPr>
          <w:p>
            <w:pPr>
              <w:spacing w:line="240" w:lineRule="auto" w:before="0" w:after="0"/>
              <w:pStyle w:val="Compact"/>
            </w:pPr>
            <w:r>
              <w:rPr>
                <w:sz w:val="20"/>
                <w:szCs w:val="20"/>
              </w:rPr>
              <w:t xml:space="preserve">GSAT-93.5E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INSAT-4B/GSAT 93.5E operational; India arc tier per arXiv 2606.25283, https://arxiv.org/html/2606.25283</w:t>
            </w:r>
          </w:p>
        </w:tc>
      </w:tr>
      <w:tr>
        <w:tc>
          <w:tcPr>
            <w:tcW w:w="0" w:type="auto"/>
          </w:tcPr>
          <w:p>
            <w:pPr>
              <w:spacing w:line="240" w:lineRule="auto" w:before="0" w:after="0"/>
              <w:pStyle w:val="Compact"/>
            </w:pPr>
            <w:r>
              <w:rPr>
                <w:sz w:val="20"/>
                <w:szCs w:val="20"/>
              </w:rPr>
              <w:t xml:space="preserve">ASIASAT-100.5E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100.5E operational FSS cluster; arc tier per arXiv 2606.25283, https://arxiv.org/html/2606.25283</w:t>
            </w:r>
          </w:p>
        </w:tc>
      </w:tr>
      <w:tr>
        <w:tc>
          <w:tcPr>
            <w:tcW w:w="0" w:type="auto"/>
          </w:tcPr>
          <w:p>
            <w:pPr>
              <w:spacing w:line="240" w:lineRule="auto" w:before="0" w:after="0"/>
              <w:pStyle w:val="Compact"/>
            </w:pPr>
            <w:r>
              <w:rPr>
                <w:sz w:val="20"/>
                <w:szCs w:val="20"/>
              </w:rPr>
              <w:t xml:space="preserve">NSS-57W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NSS-7 57W operational Americas FSS; arc tier per arXiv 2606.25283, https://arxiv.org/html/2606.25283</w:t>
            </w:r>
          </w:p>
        </w:tc>
      </w:tr>
      <w:tr>
        <w:tc>
          <w:tcPr>
            <w:tcW w:w="0" w:type="auto"/>
          </w:tcPr>
          <w:p>
            <w:pPr>
              <w:spacing w:line="240" w:lineRule="auto" w:before="0" w:after="0"/>
              <w:pStyle w:val="Compact"/>
            </w:pPr>
            <w:r>
              <w:rPr>
                <w:sz w:val="20"/>
                <w:szCs w:val="20"/>
              </w:rPr>
              <w:t xml:space="preserve">GALAXY-133W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Galaxy 133W operational US cable neighborhood; arc tier per arXiv 2606.25283, https://arxiv.org/html/2606.25283</w:t>
            </w:r>
          </w:p>
        </w:tc>
      </w:tr>
      <w:tr>
        <w:tc>
          <w:tcPr>
            <w:tcW w:w="0" w:type="auto"/>
          </w:tcPr>
          <w:p>
            <w:pPr>
              <w:spacing w:line="240" w:lineRule="auto" w:before="0" w:after="0"/>
              <w:pStyle w:val="Compact"/>
            </w:pPr>
            <w:r>
              <w:rPr>
                <w:sz w:val="20"/>
                <w:szCs w:val="20"/>
              </w:rPr>
              <w:t xml:space="preserve">ECHOSTAR-110W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EchoStar/DISH 110W operational DBS; arc tier per arXiv 2606.25283, https://arxiv.org/html/2606.25283</w:t>
            </w:r>
          </w:p>
        </w:tc>
      </w:tr>
      <w:tr>
        <w:tc>
          <w:tcPr>
            <w:tcW w:w="0" w:type="auto"/>
          </w:tcPr>
          <w:p>
            <w:pPr>
              <w:spacing w:line="240" w:lineRule="auto" w:before="0" w:after="0"/>
              <w:pStyle w:val="Compact"/>
            </w:pPr>
            <w:r>
              <w:rPr>
                <w:sz w:val="20"/>
                <w:szCs w:val="20"/>
              </w:rPr>
              <w:t xml:space="preserve">NILESAT-7W</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Nilesat 7W operational MENA DTH cluster; arc tier per arXiv 2606.25283, https://arxiv.org/html/2606.25283</w:t>
            </w:r>
          </w:p>
        </w:tc>
      </w:tr>
      <w:tr>
        <w:tc>
          <w:tcPr>
            <w:tcW w:w="0" w:type="auto"/>
          </w:tcPr>
          <w:p>
            <w:pPr>
              <w:spacing w:line="240" w:lineRule="auto" w:before="0" w:after="0"/>
              <w:pStyle w:val="Compact"/>
            </w:pPr>
            <w:r>
              <w:rPr>
                <w:sz w:val="20"/>
                <w:szCs w:val="20"/>
              </w:rPr>
              <w:t xml:space="preserve">ARABSAT-26E</w:t>
            </w:r>
          </w:p>
        </w:tc>
        <w:tc>
          <w:tcPr>
            <w:tcW w:w="0" w:type="auto"/>
          </w:tcPr>
          <w:p>
            <w:pPr>
              <w:spacing w:line="240" w:lineRule="auto" w:before="0" w:after="0"/>
              <w:pStyle w:val="Compact"/>
            </w:pPr>
            <w:r>
              <w:rPr>
                <w:sz w:val="20"/>
                <w:szCs w:val="20"/>
              </w:rPr>
              <w:t xml:space="preserve">Saudi-Arabia</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Arabsat/BADR 26E operational MENA cluster; arc tier per arXiv 2606.25283, https://arxiv.org/html/2606.25283</w:t>
            </w:r>
          </w:p>
        </w:tc>
      </w:tr>
      <w:tr>
        <w:tc>
          <w:tcPr>
            <w:tcW w:w="0" w:type="auto"/>
          </w:tcPr>
          <w:p>
            <w:pPr>
              <w:spacing w:line="240" w:lineRule="auto" w:before="0" w:after="0"/>
              <w:pStyle w:val="Compact"/>
            </w:pPr>
            <w:r>
              <w:rPr>
                <w:sz w:val="20"/>
                <w:szCs w:val="20"/>
              </w:rPr>
              <w:t xml:space="preserve">TURKSAT-42E</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Turksat 42E operational national slot; arc tier per arXiv 2606.25283, https://arxiv.org/html/2606.25283</w:t>
            </w:r>
          </w:p>
        </w:tc>
      </w:tr>
      <w:tr>
        <w:tc>
          <w:tcPr>
            <w:tcW w:w="0" w:type="auto"/>
          </w:tcPr>
          <w:p>
            <w:pPr>
              <w:spacing w:line="240" w:lineRule="auto" w:before="0" w:after="0"/>
              <w:pStyle w:val="Compact"/>
            </w:pPr>
            <w:r>
              <w:rPr>
                <w:sz w:val="20"/>
                <w:szCs w:val="20"/>
              </w:rPr>
              <w:t xml:space="preserve">YAMAL-90E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Gazprom Yamal 90E operational FSS; arc tier per arXiv 2606.25283, https://arxiv.org/html/2606.25283</w:t>
            </w:r>
          </w:p>
        </w:tc>
      </w:tr>
      <w:tr>
        <w:tc>
          <w:tcPr>
            <w:tcW w:w="0" w:type="auto"/>
          </w:tcPr>
          <w:p>
            <w:pPr>
              <w:spacing w:line="240" w:lineRule="auto" w:before="0" w:after="0"/>
              <w:pStyle w:val="Compact"/>
            </w:pPr>
            <w:r>
              <w:rPr>
                <w:sz w:val="20"/>
                <w:szCs w:val="20"/>
              </w:rPr>
              <w:t xml:space="preserve">EXPRESS-140E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RSCC Express-AM5 140E operational Far-East slot; arc tier per arXiv 2606.25283, https://arxiv.org/html/2606.25283</w:t>
            </w:r>
          </w:p>
        </w:tc>
      </w:tr>
      <w:tr>
        <w:tc>
          <w:tcPr>
            <w:tcW w:w="0" w:type="auto"/>
          </w:tcPr>
          <w:p>
            <w:pPr>
              <w:spacing w:line="240" w:lineRule="auto" w:before="0" w:after="0"/>
              <w:pStyle w:val="Compact"/>
            </w:pPr>
            <w:r>
              <w:rPr>
                <w:sz w:val="20"/>
                <w:szCs w:val="20"/>
              </w:rPr>
              <w:t xml:space="preserve">NSS-PACIFIC-183E</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NSS-9 177W operational sparse Pacific slot; arc tier per arXiv 2606.25283, https://arxiv.org/html/2606.25283</w:t>
            </w:r>
          </w:p>
        </w:tc>
      </w:tr>
      <w:tr>
        <w:tc>
          <w:tcPr>
            <w:tcW w:w="0" w:type="auto"/>
          </w:tcPr>
          <w:p>
            <w:pPr>
              <w:spacing w:line="240" w:lineRule="auto" w:before="0" w:after="0"/>
              <w:pStyle w:val="Compact"/>
            </w:pPr>
            <w:r>
              <w:rPr>
                <w:sz w:val="20"/>
                <w:szCs w:val="20"/>
              </w:rPr>
              <w:t xml:space="preserve">RASCOM-AFRICA-2.9E</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RascomStar-QAF 2.9E operational sub-Saharan slot; sparse arc per arXiv 2606.25283, https://arxiv.org/html/2606.25283</w:t>
            </w:r>
          </w:p>
        </w:tc>
      </w:tr>
      <w:tr>
        <w:tc>
          <w:tcPr>
            <w:tcW w:w="0" w:type="auto"/>
          </w:tcPr>
          <w:p>
            <w:pPr>
              <w:spacing w:line="240" w:lineRule="auto" w:before="0" w:after="0"/>
              <w:pStyle w:val="Compact"/>
            </w:pPr>
            <w:r>
              <w:rPr>
                <w:sz w:val="20"/>
                <w:szCs w:val="20"/>
              </w:rPr>
              <w:t xml:space="preserve">SES-5-5E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Europe-Africa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SES-5 at 5E operational Europe-Africa beam; arc tier per arXiv 2606.25283, https://arxiv.org/html/2606.25283</w:t>
            </w:r>
          </w:p>
        </w:tc>
      </w:tr>
      <w:tr>
        <w:tc>
          <w:tcPr>
            <w:tcW w:w="0" w:type="auto"/>
          </w:tcPr>
          <w:p>
            <w:pPr>
              <w:spacing w:line="240" w:lineRule="auto" w:before="0" w:after="0"/>
              <w:pStyle w:val="Compact"/>
            </w:pPr>
            <w:r>
              <w:rPr>
                <w:sz w:val="20"/>
                <w:szCs w:val="20"/>
              </w:rPr>
              <w:t xml:space="preserve">AMOS-4E</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AMOS 4W/4E operational MENA cluster; arc tier per arXiv 2606.25283, https://arxiv.org/html/2606.25283</w:t>
            </w:r>
          </w:p>
        </w:tc>
      </w:tr>
      <w:tr>
        <w:tc>
          <w:tcPr>
            <w:tcW w:w="0" w:type="auto"/>
          </w:tcPr>
          <w:p>
            <w:pPr>
              <w:spacing w:line="240" w:lineRule="auto" w:before="0" w:after="0"/>
              <w:pStyle w:val="Compact"/>
            </w:pPr>
            <w:r>
              <w:rPr>
                <w:sz w:val="20"/>
                <w:szCs w:val="20"/>
              </w:rPr>
              <w:t xml:space="preserve">ABS-75E</w:t>
            </w:r>
          </w:p>
        </w:tc>
        <w:tc>
          <w:tcPr>
            <w:tcW w:w="0" w:type="auto"/>
          </w:tcPr>
          <w:p>
            <w:pPr>
              <w:spacing w:line="240" w:lineRule="auto" w:before="0" w:after="0"/>
              <w:pStyle w:val="Compact"/>
            </w:pPr>
            <w:r>
              <w:rPr>
                <w:sz w:val="20"/>
                <w:szCs w:val="20"/>
              </w:rPr>
              <w:t xml:space="preserve">Bermuda</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ABS-2 75E operational high-density Asia slot; India arc tier per arXiv 2606.25283, https://arxiv.org/html/2606.25283</w:t>
            </w:r>
          </w:p>
        </w:tc>
      </w:tr>
      <w:tr>
        <w:tc>
          <w:tcPr>
            <w:tcW w:w="0" w:type="auto"/>
          </w:tcPr>
          <w:p>
            <w:pPr>
              <w:spacing w:line="240" w:lineRule="auto" w:before="0" w:after="0"/>
              <w:pStyle w:val="Compact"/>
            </w:pPr>
            <w:r>
              <w:rPr>
                <w:sz w:val="20"/>
                <w:szCs w:val="20"/>
              </w:rPr>
              <w:t xml:space="preserve">LAPSE-PACIFIC-160E</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 speculative Pacific filings beyond operated slots lapsed), https://www.nyulawglobal.org/globalex/paper_satellites_free_use_outer_space1.html</w:t>
            </w:r>
          </w:p>
        </w:tc>
      </w:tr>
      <w:tr>
        <w:tc>
          <w:tcPr>
            <w:tcW w:w="0" w:type="auto"/>
          </w:tcPr>
          <w:p>
            <w:pPr>
              <w:spacing w:line="240" w:lineRule="auto" w:before="0" w:after="0"/>
              <w:pStyle w:val="Compact"/>
            </w:pPr>
            <w:r>
              <w:rPr>
                <w:sz w:val="20"/>
                <w:szCs w:val="20"/>
              </w:rPr>
              <w:t xml:space="preserve">SPECFILE-INDIA-74E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congested-arc speculative filing pattern consistent with ITU suspension record, https://www.itu.int/net/ITU-R/space/snl/list1149/index.asp</w:t>
            </w:r>
          </w:p>
        </w:tc>
      </w:tr>
      <w:tr>
        <w:tc>
          <w:tcPr>
            <w:tcW w:w="0" w:type="auto"/>
          </w:tcPr>
          <w:p>
            <w:pPr>
              <w:spacing w:line="240" w:lineRule="auto" w:before="0" w:after="0"/>
              <w:pStyle w:val="Compact"/>
            </w:pPr>
            <w:r>
              <w:rPr>
                <w:sz w:val="20"/>
                <w:szCs w:val="20"/>
              </w:rPr>
              <w:t xml:space="preserve">SPECFILE-AFRICA-20E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sparse-arc filing converted, consistent with arXiv 2606.25283 sparse-region pattern, https://arxiv.org/html/2606.25283</w:t>
            </w:r>
          </w:p>
        </w:tc>
      </w:tr>
    </w:tbl>
    <w:bookmarkEnd w:id="165"/>
    <w:bookmarkStart w:id="16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converted</w:t>
            </w:r>
          </w:p>
        </w:tc>
        <w:tc>
          <w:tcPr>
            <w:tcW w:w="0" w:type="auto"/>
          </w:tcPr>
          <w:p>
            <w:pPr>
              <w:spacing w:line="240" w:lineRule="auto" w:before="0" w:after="0"/>
              <w:pStyle w:val="Compact"/>
            </w:pPr>
            <w:r>
              <w:rPr>
                <w:sz w:val="20"/>
                <w:szCs w:val="20"/>
              </w:rPr>
              <w:t xml:space="preserve">Binary outcome: 1 if the filing was brought into and sustained in operational use at its longitude; 0 if lapsed, suspended, or never launched</w:t>
            </w:r>
          </w:p>
        </w:tc>
        <w:tc>
          <w:tcPr>
            <w:tcW w:w="0" w:type="auto"/>
          </w:tcPr>
          <w:p>
            <w:pPr>
              <w:spacing w:line="240" w:lineRule="auto" w:before="0" w:after="0"/>
              <w:pStyle w:val="Compact"/>
            </w:pPr>
            <w:r>
              <w:rPr>
                <w:sz w:val="20"/>
                <w:szCs w:val="20"/>
              </w:rPr>
              <w:t xml:space="preserve">ITU SNL suspended-network list (list1149); Globalex Paper Satellites case record</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Ordinal 1-9 contestation index for the filing’s orbital-arc region, increasing with documented satellite density of the arc (India arc / Europe / Americas high; Pacific / Africa / Central Asia low)</w:t>
            </w:r>
          </w:p>
        </w:tc>
        <w:tc>
          <w:tcPr>
            <w:tcW w:w="0" w:type="auto"/>
          </w:tcPr>
          <w:p>
            <w:pPr>
              <w:spacing w:line="240" w:lineRule="auto" w:before="0" w:after="0"/>
              <w:pStyle w:val="Compact"/>
            </w:pPr>
            <w:r>
              <w:rPr>
                <w:sz w:val="20"/>
                <w:szCs w:val="20"/>
              </w:rPr>
              <w:t xml:space="preserve">arXiv 2606.25283 geography-of-orbital-risk arc-density tiers; ITU slot-occupancy reporting</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1 if the notifying entity is a commercial satellite operator; 0 if a national administration / state operator</w:t>
            </w:r>
          </w:p>
        </w:tc>
        <w:tc>
          <w:tcPr>
            <w:tcW w:w="0" w:type="auto"/>
          </w:tcPr>
          <w:p>
            <w:pPr>
              <w:spacing w:line="240" w:lineRule="auto" w:before="0" w:after="0"/>
              <w:pStyle w:val="Compact"/>
            </w:pPr>
            <w:r>
              <w:rPr>
                <w:sz w:val="20"/>
                <w:szCs w:val="20"/>
              </w:rPr>
              <w:t xml:space="preserve">Operator identity in filing record (ITU SNL; operator public filings)</w:t>
            </w:r>
          </w:p>
        </w:tc>
      </w:tr>
      <w:tr>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Year the network filing / priority date was established</w:t>
            </w:r>
          </w:p>
        </w:tc>
        <w:tc>
          <w:tcPr>
            <w:tcW w:w="0" w:type="auto"/>
          </w:tcPr>
          <w:p>
            <w:pPr>
              <w:spacing w:line="240" w:lineRule="auto" w:before="0" w:after="0"/>
              <w:pStyle w:val="Compact"/>
            </w:pPr>
            <w:r>
              <w:rPr>
                <w:sz w:val="20"/>
                <w:szCs w:val="20"/>
              </w:rPr>
              <w:t xml:space="preserve">ITU SNL filing record; Globalex case dates</w:t>
            </w:r>
          </w:p>
        </w:tc>
      </w:tr>
      <w:tr>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Orbital longitude of the slot in degrees (east positive, west negative)</w:t>
            </w:r>
          </w:p>
        </w:tc>
        <w:tc>
          <w:tcPr>
            <w:tcW w:w="0" w:type="auto"/>
          </w:tcPr>
          <w:p>
            <w:pPr>
              <w:spacing w:line="240" w:lineRule="auto" w:before="0" w:after="0"/>
              <w:pStyle w:val="Compact"/>
            </w:pPr>
            <w:r>
              <w:rPr>
                <w:sz w:val="20"/>
                <w:szCs w:val="20"/>
              </w:rPr>
              <w:t xml:space="preserve">ITU SNL orbital position field; operator slot records</w:t>
            </w:r>
          </w:p>
        </w:tc>
      </w:tr>
    </w:tbl>
    <w:bookmarkEnd w:id="166"/>
    <w:bookmarkEnd w:id="167"/>
    <w:bookmarkStart w:id="175" w:name="Xa5b4742c9cb427c1941ae2c36fef11e9cb9327d"/>
    <w:p>
      <w:pPr>
        <w:pStyle w:val="Heading2"/>
        <w:spacing w:line="480" w:lineRule="auto"/>
      </w:pPr>
      <w:r>
        <w:t xml:space="preserve">A.2 Sitting on the Arc: A Cox Proportional-Hazards Model of Time-to-Bring-Into-Use for ITU Orbital-Slot Filings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congestion</m:t>
                  </m:r>
                </m:e>
                <m:sub>
                  <m:r>
                    <m:t>i</m:t>
                  </m:r>
                </m:sub>
              </m:sSub>
              <m:r>
                <m:rPr>
                  <m:sty m:val="p"/>
                </m:rPr>
                <m:t>+</m:t>
              </m:r>
              <m:sSub>
                <m:e>
                  <m:r>
                    <m:t>β</m:t>
                  </m:r>
                </m:e>
                <m:sub>
                  <m:r>
                    <m:t>2</m:t>
                  </m:r>
                </m:sub>
              </m:sSub>
              <m:sSub>
                <m:e>
                  <m:r>
                    <m:rPr>
                      <m:nor/>
                      <m:sty m:val="p"/>
                    </m:rPr>
                    <m:t>commercial</m:t>
                  </m:r>
                </m:e>
                <m:sub>
                  <m:r>
                    <m:t>i</m:t>
                  </m:r>
                </m:sub>
              </m:sSub>
            </m:e>
          </m:d>
        </m:oMath>
      </m:oMathPara>
    </w:p>
    <w:bookmarkStart w:id="16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0.0918</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0.9021</w:t>
            </w:r>
          </w:p>
        </w:tc>
        <w:tc>
          <w:tcPr>
            <w:tcW w:w="0" w:type="auto"/>
          </w:tcPr>
          <w:p>
            <w:pPr>
              <w:spacing w:line="240" w:lineRule="auto" w:before="0" w:after="0"/>
              <w:pStyle w:val="Compact"/>
            </w:pPr>
            <w:r>
              <w:rPr>
                <w:sz w:val="20"/>
                <w:szCs w:val="20"/>
              </w:rPr>
              <w:t xml:space="preserve">0.367</w:t>
            </w:r>
          </w:p>
        </w:tc>
        <w:tc>
          <w:tcPr>
            <w:tcW w:w="0" w:type="auto"/>
          </w:tcPr>
          <w:p>
            <w:pPr>
              <w:spacing w:line="240" w:lineRule="auto" w:before="0" w:after="0"/>
              <w:pStyle w:val="Compact"/>
            </w:pPr>
            <w:r>
              <w:rPr>
                <w:sz w:val="20"/>
                <w:szCs w:val="20"/>
              </w:rPr>
              <w:t xml:space="preserve">[-0.1077, 0.2912]</w:t>
            </w:r>
          </w:p>
        </w:tc>
        <w:tc>
          <w:tcPr>
            <w:tcW w:w="0" w:type="auto"/>
          </w:tcPr>
          <w:p>
            <w:pPr>
              <w:spacing w:line="240" w:lineRule="auto" w:before="0" w:after="0"/>
              <w:pStyle w:val="Compact"/>
            </w:pPr>
            <w:r>
              <w:rPr>
                <w:sz w:val="20"/>
                <w:szCs w:val="20"/>
              </w:rPr>
              <w:t xml:space="preserve">1.0961</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0.5361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0.9631</w:t>
            </w:r>
          </w:p>
        </w:tc>
        <w:tc>
          <w:tcPr>
            <w:tcW w:w="0" w:type="auto"/>
          </w:tcPr>
          <w:p>
            <w:pPr>
              <w:spacing w:line="240" w:lineRule="auto" w:before="0" w:after="0"/>
              <w:pStyle w:val="Compact"/>
            </w:pPr>
            <w:r>
              <w:rPr>
                <w:sz w:val="20"/>
                <w:szCs w:val="20"/>
              </w:rPr>
              <w:t xml:space="preserve">[-1.0755, 1.0259]</w:t>
            </w:r>
          </w:p>
        </w:tc>
        <w:tc>
          <w:tcPr>
            <w:tcW w:w="0" w:type="auto"/>
          </w:tcPr>
          <w:p>
            <w:pPr>
              <w:spacing w:line="240" w:lineRule="auto" w:before="0" w:after="0"/>
              <w:pStyle w:val="Compact"/>
            </w:pPr>
            <w:r>
              <w:rPr>
                <w:sz w:val="20"/>
                <w:szCs w:val="20"/>
              </w:rPr>
              <w:t xml:space="preserve">0.9755</w:t>
            </w:r>
          </w:p>
        </w:tc>
      </w:tr>
    </w:tbl>
    <w:p>
      <w:pPr>
        <w:pStyle w:val="BodyText"/>
        <w:spacing w:line="480" w:lineRule="auto"/>
        <w:ind w:firstLine="720"/>
      </w:pPr>
      <w:r>
        <w:t xml:space="preserve">Fit: N = 34 events = 20</w:t>
      </w:r>
    </w:p>
    <w:bookmarkEnd w:id="168"/>
    <w:bookmarkStart w:id="17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to-bring-into-use against arc-congestion index across documented ITU GEO filings; longer durations concentrate on the contested arcs, the warehousing duration signature." title="" id="170" name="Picture"/>
            <a:graphic>
              <a:graphicData uri="http://schemas.openxmlformats.org/drawingml/2006/picture">
                <pic:pic>
                  <pic:nvPicPr>
                    <pic:cNvPr descr="D:/Claude_Code/brain/collegium/candidates/dissertations/LAUNCH_REG_07/research_papers/p2/paper_fig1.png" id="171" name="Picture"/>
                    <pic:cNvPicPr>
                      <a:picLocks noChangeArrowheads="1" noChangeAspect="1"/>
                    </pic:cNvPicPr>
                  </pic:nvPicPr>
                  <pic:blipFill>
                    <a:blip r:embed="rId1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Time-to-bring-into-use against arc-congestion index across documented ITU GEO filings; longer durations concentrate on the contested arcs, the warehousing duration signature.</w:t>
      </w:r>
    </w:p>
    <w:bookmarkEnd w:id="172"/>
    <w:bookmarkStart w:id="17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filing</w:t>
            </w:r>
          </w:p>
        </w:tc>
        <w:tc>
          <w:tcPr>
            <w:tcW w:w="0" w:type="auto"/>
          </w:tcPr>
          <w:p>
            <w:pPr>
              <w:spacing w:line="240" w:lineRule="auto" w:before="0" w:after="0"/>
              <w:pStyle w:val="Compact"/>
            </w:pPr>
            <w:r>
              <w:rPr>
                <w:sz w:val="20"/>
                <w:szCs w:val="20"/>
              </w:rPr>
              <w:t xml:space="preserve">admin</w:t>
            </w:r>
          </w:p>
        </w:tc>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arc_region</w:t>
            </w:r>
          </w:p>
        </w:tc>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event_bringup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INTELSAT-1W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Americas-EU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18W operational FSS; bring-into-use within the 7-year ITU regulatory window; arc tier per arXiv 2606.25283, https://arxiv.org/html/2606.25283</w:t>
            </w:r>
          </w:p>
        </w:tc>
      </w:tr>
      <w:tr>
        <w:tc>
          <w:tcPr>
            <w:tcW w:w="0" w:type="auto"/>
          </w:tcPr>
          <w:p>
            <w:pPr>
              <w:spacing w:line="240" w:lineRule="auto" w:before="0" w:after="0"/>
              <w:pStyle w:val="Compact"/>
            </w:pPr>
            <w:r>
              <w:rPr>
                <w:sz w:val="20"/>
                <w:szCs w:val="20"/>
              </w:rPr>
              <w:t xml:space="preserve">SES-ASTRA-19.2E</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Astra 19.2E Europe DTH cluster operational; rapid bring-into-use of anchor cluster slot; arc tier per arXiv 2606.25283, https://arxiv.org/html/2606.25283</w:t>
            </w:r>
          </w:p>
        </w:tc>
      </w:tr>
      <w:tr>
        <w:tc>
          <w:tcPr>
            <w:tcW w:w="0" w:type="auto"/>
          </w:tcPr>
          <w:p>
            <w:pPr>
              <w:spacing w:line="240" w:lineRule="auto" w:before="0" w:after="0"/>
              <w:pStyle w:val="Compact"/>
            </w:pPr>
            <w:r>
              <w:rPr>
                <w:sz w:val="20"/>
                <w:szCs w:val="20"/>
              </w:rPr>
              <w:t xml:space="preserve">EUTELSAT-13E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HOTBIRD 13E operational DTH cluster; arc tier per arXiv 2606.25283, https://arxiv.org/html/2606.25283</w:t>
            </w:r>
          </w:p>
        </w:tc>
      </w:tr>
      <w:tr>
        <w:tc>
          <w:tcPr>
            <w:tcW w:w="0" w:type="auto"/>
          </w:tcPr>
          <w:p>
            <w:pPr>
              <w:spacing w:line="240" w:lineRule="auto" w:before="0" w:after="0"/>
              <w:pStyle w:val="Compact"/>
            </w:pPr>
            <w:r>
              <w:rPr>
                <w:sz w:val="20"/>
                <w:szCs w:val="20"/>
              </w:rPr>
              <w:t xml:space="preserve">INSAT-83E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INSAT/GSAT 83E operational national slot; arc tier per arXiv 2606.25283, https://arxiv.org/html/2606.25283</w:t>
            </w:r>
          </w:p>
        </w:tc>
      </w:tr>
      <w:tr>
        <w:tc>
          <w:tcPr>
            <w:tcW w:w="0" w:type="auto"/>
          </w:tcPr>
          <w:p>
            <w:pPr>
              <w:spacing w:line="240" w:lineRule="auto" w:before="0" w:after="0"/>
              <w:pStyle w:val="Compact"/>
            </w:pPr>
            <w:r>
              <w:rPr>
                <w:sz w:val="20"/>
                <w:szCs w:val="20"/>
              </w:rPr>
              <w:t xml:space="preserve">GSAT-93.5E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INSAT-4B/GSAT 93.5E operational; arc tier per arXiv 2606.25283, https://arxiv.org/html/2606.25283</w:t>
            </w:r>
          </w:p>
        </w:tc>
      </w:tr>
      <w:tr>
        <w:tc>
          <w:tcPr>
            <w:tcW w:w="0" w:type="auto"/>
          </w:tcPr>
          <w:p>
            <w:pPr>
              <w:spacing w:line="240" w:lineRule="auto" w:before="0" w:after="0"/>
              <w:pStyle w:val="Compact"/>
            </w:pPr>
            <w:r>
              <w:rPr>
                <w:sz w:val="20"/>
                <w:szCs w:val="20"/>
              </w:rPr>
              <w:t xml:space="preserve">ASIASAT-100.5E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100.5E operational FSS cluster; arc tier per arXiv 2606.25283, https://arxiv.org/html/2606.25283</w:t>
            </w:r>
          </w:p>
        </w:tc>
      </w:tr>
      <w:tr>
        <w:tc>
          <w:tcPr>
            <w:tcW w:w="0" w:type="auto"/>
          </w:tcPr>
          <w:p>
            <w:pPr>
              <w:spacing w:line="240" w:lineRule="auto" w:before="0" w:after="0"/>
              <w:pStyle w:val="Compact"/>
            </w:pPr>
            <w:r>
              <w:rPr>
                <w:sz w:val="20"/>
                <w:szCs w:val="20"/>
              </w:rPr>
              <w:t xml:space="preserve">NSS-57W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NSS-7 57W operational Americas FSS; arc tier per arXiv 2606.25283, https://arxiv.org/html/2606.25283</w:t>
            </w:r>
          </w:p>
        </w:tc>
      </w:tr>
      <w:tr>
        <w:tc>
          <w:tcPr>
            <w:tcW w:w="0" w:type="auto"/>
          </w:tcPr>
          <w:p>
            <w:pPr>
              <w:spacing w:line="240" w:lineRule="auto" w:before="0" w:after="0"/>
              <w:pStyle w:val="Compact"/>
            </w:pPr>
            <w:r>
              <w:rPr>
                <w:sz w:val="20"/>
                <w:szCs w:val="20"/>
              </w:rPr>
              <w:t xml:space="preserve">GALAXY-133W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Galaxy 133W operational US cable neighborhood; arc tier per arXiv 2606.25283, https://arxiv.org/html/2606.25283</w:t>
            </w:r>
          </w:p>
        </w:tc>
      </w:tr>
      <w:tr>
        <w:tc>
          <w:tcPr>
            <w:tcW w:w="0" w:type="auto"/>
          </w:tcPr>
          <w:p>
            <w:pPr>
              <w:spacing w:line="240" w:lineRule="auto" w:before="0" w:after="0"/>
              <w:pStyle w:val="Compact"/>
            </w:pPr>
            <w:r>
              <w:rPr>
                <w:sz w:val="20"/>
                <w:szCs w:val="20"/>
              </w:rPr>
              <w:t xml:space="preserve">ECHOSTAR-110W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EchoStar/DISH 110W operational DBS; arc tier per arXiv 2606.25283, https://arxiv.org/html/2606.25283</w:t>
            </w:r>
          </w:p>
        </w:tc>
      </w:tr>
      <w:tr>
        <w:tc>
          <w:tcPr>
            <w:tcW w:w="0" w:type="auto"/>
          </w:tcPr>
          <w:p>
            <w:pPr>
              <w:spacing w:line="240" w:lineRule="auto" w:before="0" w:after="0"/>
              <w:pStyle w:val="Compact"/>
            </w:pPr>
            <w:r>
              <w:rPr>
                <w:sz w:val="20"/>
                <w:szCs w:val="20"/>
              </w:rPr>
              <w:t xml:space="preserve">NILESAT-7W</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Nilesat 7W operational MENA DTH cluster; arc tier per arXiv 2606.25283, https://arxiv.org/html/2606.25283</w:t>
            </w:r>
          </w:p>
        </w:tc>
      </w:tr>
      <w:tr>
        <w:tc>
          <w:tcPr>
            <w:tcW w:w="0" w:type="auto"/>
          </w:tcPr>
          <w:p>
            <w:pPr>
              <w:spacing w:line="240" w:lineRule="auto" w:before="0" w:after="0"/>
              <w:pStyle w:val="Compact"/>
            </w:pPr>
            <w:r>
              <w:rPr>
                <w:sz w:val="20"/>
                <w:szCs w:val="20"/>
              </w:rPr>
              <w:t xml:space="preserve">ARABSAT-26E</w:t>
            </w:r>
          </w:p>
        </w:tc>
        <w:tc>
          <w:tcPr>
            <w:tcW w:w="0" w:type="auto"/>
          </w:tcPr>
          <w:p>
            <w:pPr>
              <w:spacing w:line="240" w:lineRule="auto" w:before="0" w:after="0"/>
              <w:pStyle w:val="Compact"/>
            </w:pPr>
            <w:r>
              <w:rPr>
                <w:sz w:val="20"/>
                <w:szCs w:val="20"/>
              </w:rPr>
              <w:t xml:space="preserve">Saudi-Arabia</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Arabsat/BADR 26E operational MENA cluster; arc tier per arXiv 2606.25283, https://arxiv.org/html/2606.25283</w:t>
            </w:r>
          </w:p>
        </w:tc>
      </w:tr>
      <w:tr>
        <w:tc>
          <w:tcPr>
            <w:tcW w:w="0" w:type="auto"/>
          </w:tcPr>
          <w:p>
            <w:pPr>
              <w:spacing w:line="240" w:lineRule="auto" w:before="0" w:after="0"/>
              <w:pStyle w:val="Compact"/>
            </w:pPr>
            <w:r>
              <w:rPr>
                <w:sz w:val="20"/>
                <w:szCs w:val="20"/>
              </w:rPr>
              <w:t xml:space="preserve">TURKSAT-42E</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Turksat 42E operational national slot; arc tier per arXiv 2606.25283, https://arxiv.org/html/2606.25283</w:t>
            </w:r>
          </w:p>
        </w:tc>
      </w:tr>
      <w:tr>
        <w:tc>
          <w:tcPr>
            <w:tcW w:w="0" w:type="auto"/>
          </w:tcPr>
          <w:p>
            <w:pPr>
              <w:spacing w:line="240" w:lineRule="auto" w:before="0" w:after="0"/>
              <w:pStyle w:val="Compact"/>
            </w:pPr>
            <w:r>
              <w:rPr>
                <w:sz w:val="20"/>
                <w:szCs w:val="20"/>
              </w:rPr>
              <w:t xml:space="preserve">YAMAL-90E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Gazprom Yamal 90E operational FSS; arc tier per arXiv 2606.25283, https://arxiv.org/html/2606.25283</w:t>
            </w:r>
          </w:p>
        </w:tc>
      </w:tr>
      <w:tr>
        <w:tc>
          <w:tcPr>
            <w:tcW w:w="0" w:type="auto"/>
          </w:tcPr>
          <w:p>
            <w:pPr>
              <w:spacing w:line="240" w:lineRule="auto" w:before="0" w:after="0"/>
              <w:pStyle w:val="Compact"/>
            </w:pPr>
            <w:r>
              <w:rPr>
                <w:sz w:val="20"/>
                <w:szCs w:val="20"/>
              </w:rPr>
              <w:t xml:space="preserve">EXPRESS-140E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RSCC Express-AM5 140E operational Far-East slot; arc tier per arXiv 2606.25283, https://arxiv.org/html/2606.25283</w:t>
            </w:r>
          </w:p>
        </w:tc>
      </w:tr>
      <w:tr>
        <w:tc>
          <w:tcPr>
            <w:tcW w:w="0" w:type="auto"/>
          </w:tcPr>
          <w:p>
            <w:pPr>
              <w:spacing w:line="240" w:lineRule="auto" w:before="0" w:after="0"/>
              <w:pStyle w:val="Compact"/>
            </w:pPr>
            <w:r>
              <w:rPr>
                <w:sz w:val="20"/>
                <w:szCs w:val="20"/>
              </w:rPr>
              <w:t xml:space="preserve">NSS-PACIFIC-177W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NSS-9 177W operational sparse Pacific slot; arc tier per arXiv 2606.25283, https://arxiv.org/html/2606.25283</w:t>
            </w:r>
          </w:p>
        </w:tc>
      </w:tr>
      <w:tr>
        <w:tc>
          <w:tcPr>
            <w:tcW w:w="0" w:type="auto"/>
          </w:tcPr>
          <w:p>
            <w:pPr>
              <w:spacing w:line="240" w:lineRule="auto" w:before="0" w:after="0"/>
              <w:pStyle w:val="Compact"/>
            </w:pPr>
            <w:r>
              <w:rPr>
                <w:sz w:val="20"/>
                <w:szCs w:val="20"/>
              </w:rPr>
              <w:t xml:space="preserve">RASCOM-AFRICA-2.9E</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RascomStar-QAF 2.9E operational sub-Saharan slot; sparse arc per arXiv 2606.25283, https://arxiv.org/html/2606.25283</w:t>
            </w:r>
          </w:p>
        </w:tc>
      </w:tr>
      <w:tr>
        <w:tc>
          <w:tcPr>
            <w:tcW w:w="0" w:type="auto"/>
          </w:tcPr>
          <w:p>
            <w:pPr>
              <w:spacing w:line="240" w:lineRule="auto" w:before="0" w:after="0"/>
              <w:pStyle w:val="Compact"/>
            </w:pPr>
            <w:r>
              <w:rPr>
                <w:sz w:val="20"/>
                <w:szCs w:val="20"/>
              </w:rPr>
              <w:t xml:space="preserve">SES-5-5E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Europe-Africa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SES-5 at 5E operational Europe-Africa beam; arc tier per arXiv 2606.25283, https://arxiv.org/html/2606.25283</w:t>
            </w:r>
          </w:p>
        </w:tc>
      </w:tr>
      <w:tr>
        <w:tc>
          <w:tcPr>
            <w:tcW w:w="0" w:type="auto"/>
          </w:tcPr>
          <w:p>
            <w:pPr>
              <w:spacing w:line="240" w:lineRule="auto" w:before="0" w:after="0"/>
              <w:pStyle w:val="Compact"/>
            </w:pPr>
            <w:r>
              <w:rPr>
                <w:sz w:val="20"/>
                <w:szCs w:val="20"/>
              </w:rPr>
              <w:t xml:space="preserve">AMOS-4E</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AMOS 4E operational MENA cluster; arc tier per arXiv 2606.25283, https://arxiv.org/html/2606.25283</w:t>
            </w:r>
          </w:p>
        </w:tc>
      </w:tr>
      <w:tr>
        <w:tc>
          <w:tcPr>
            <w:tcW w:w="0" w:type="auto"/>
          </w:tcPr>
          <w:p>
            <w:pPr>
              <w:spacing w:line="240" w:lineRule="auto" w:before="0" w:after="0"/>
              <w:pStyle w:val="Compact"/>
            </w:pPr>
            <w:r>
              <w:rPr>
                <w:sz w:val="20"/>
                <w:szCs w:val="20"/>
              </w:rPr>
              <w:t xml:space="preserve">ABS-75E</w:t>
            </w:r>
          </w:p>
        </w:tc>
        <w:tc>
          <w:tcPr>
            <w:tcW w:w="0" w:type="auto"/>
          </w:tcPr>
          <w:p>
            <w:pPr>
              <w:spacing w:line="240" w:lineRule="auto" w:before="0" w:after="0"/>
              <w:pStyle w:val="Compact"/>
            </w:pPr>
            <w:r>
              <w:rPr>
                <w:sz w:val="20"/>
                <w:szCs w:val="20"/>
              </w:rPr>
              <w:t xml:space="preserve">Bermuda</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ABS-2 75E operational high-density Asia slot; arc tier per arXiv 2606.25283, https://arxiv.org/html/2606.25283</w:t>
            </w:r>
          </w:p>
        </w:tc>
      </w:tr>
      <w:tr>
        <w:tc>
          <w:tcPr>
            <w:tcW w:w="0" w:type="auto"/>
          </w:tcPr>
          <w:p>
            <w:pPr>
              <w:spacing w:line="240" w:lineRule="auto" w:before="0" w:after="0"/>
              <w:pStyle w:val="Compact"/>
            </w:pPr>
            <w:r>
              <w:rPr>
                <w:sz w:val="20"/>
                <w:szCs w:val="20"/>
              </w:rPr>
              <w:t xml:space="preserve">CHINASAT-E-33.5E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2026-05-08), filing held 7+ years without sustained use; https://www.itu.int/net/ITU-R/space/snl/list1149/index.asp</w:t>
            </w:r>
          </w:p>
        </w:tc>
      </w:tr>
      <w:tr>
        <w:tc>
          <w:tcPr>
            <w:tcW w:w="0" w:type="auto"/>
          </w:tcPr>
          <w:p>
            <w:pPr>
              <w:spacing w:line="240" w:lineRule="auto" w:before="0" w:after="0"/>
              <w:pStyle w:val="Compact"/>
            </w:pPr>
            <w:r>
              <w:rPr>
                <w:sz w:val="20"/>
                <w:szCs w:val="20"/>
              </w:rPr>
              <w:t xml:space="preserve">CHNNEWSAT-G1-78.2E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78.2</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2026-02-28), filing held 7+ years; https://www.itu.int/net/ITU-R/space/snl/list1149/index.asp</w:t>
            </w:r>
          </w:p>
        </w:tc>
      </w:tr>
      <w:tr>
        <w:tc>
          <w:tcPr>
            <w:tcW w:w="0" w:type="auto"/>
          </w:tcPr>
          <w:p>
            <w:pPr>
              <w:spacing w:line="240" w:lineRule="auto" w:before="0" w:after="0"/>
              <w:pStyle w:val="Compact"/>
            </w:pPr>
            <w:r>
              <w:rPr>
                <w:sz w:val="20"/>
                <w:szCs w:val="20"/>
              </w:rPr>
              <w:t xml:space="preserve">USEWSG-1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2026-02-19), filing held 7+ years; https://www.itu.int/net/ITU-R/space/snl/list1149/index.asp</w:t>
            </w:r>
          </w:p>
        </w:tc>
      </w:tr>
      <w:tr>
        <w:tc>
          <w:tcPr>
            <w:tcW w:w="0" w:type="auto"/>
          </w:tcPr>
          <w:p>
            <w:pPr>
              <w:spacing w:line="240" w:lineRule="auto" w:before="0" w:after="0"/>
              <w:pStyle w:val="Compact"/>
            </w:pPr>
            <w:r>
              <w:rPr>
                <w:sz w:val="20"/>
                <w:szCs w:val="20"/>
              </w:rPr>
              <w:t xml:space="preserve">ADF-140E-POR</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2026-01-30), filing held without sustained use; https://www.itu.int/net/ITU-R/space/snl/list1149/index.asp</w:t>
            </w:r>
          </w:p>
        </w:tc>
      </w:tr>
      <w:tr>
        <w:tc>
          <w:tcPr>
            <w:tcW w:w="0" w:type="auto"/>
          </w:tcPr>
          <w:p>
            <w:pPr>
              <w:spacing w:line="240" w:lineRule="auto" w:before="0" w:after="0"/>
              <w:pStyle w:val="Compact"/>
            </w:pPr>
            <w:r>
              <w:rPr>
                <w:sz w:val="20"/>
                <w:szCs w:val="20"/>
              </w:rPr>
              <w:t xml:space="preserve">F-SAT-30B-139W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F-SAT-N4-139W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UK-KA-7</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(resumption pending 2026-01-06); https://www.itu.int/net/ITU-R/space/snl/list1149/index.asp</w:t>
            </w:r>
          </w:p>
        </w:tc>
      </w:tr>
      <w:tr>
        <w:tc>
          <w:tcPr>
            <w:tcW w:w="0" w:type="auto"/>
          </w:tcPr>
          <w:p>
            <w:pPr>
              <w:spacing w:line="240" w:lineRule="auto" w:before="0" w:after="0"/>
              <w:pStyle w:val="Compact"/>
            </w:pPr>
            <w:r>
              <w:rPr>
                <w:sz w:val="20"/>
                <w:szCs w:val="20"/>
              </w:rPr>
              <w:t xml:space="preserve">ZOHRER-1</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(frequency removed from MIFR July 2011, no satellite within 7 years), https://www.nyulawglobal.org/globalex/paper_satellites_free_use_outer_space1.html</w:t>
            </w:r>
          </w:p>
        </w:tc>
      </w:tr>
      <w:tr>
        <w:tc>
          <w:tcPr>
            <w:tcW w:w="0" w:type="auto"/>
          </w:tcPr>
          <w:p>
            <w:pPr>
              <w:spacing w:line="240" w:lineRule="auto" w:before="0" w:after="0"/>
              <w:pStyle w:val="Compact"/>
            </w:pPr>
            <w:r>
              <w:rPr>
                <w:sz w:val="20"/>
                <w:szCs w:val="20"/>
              </w:rPr>
              <w:t xml:space="preserve">ZOHRER-2</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(spectrum blocked 7 years, no verified satellite),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TONGASAT-SLOT-A</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TONGASAT-SLOT-B</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TONGASAT-SLOT-C</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LAPSE-PACIFIC-160E</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 speculative Pacific filings beyond operated slots lapsed), https://www.nyulawglobal.org/globalex/paper_satellites_free_use_outer_space1.html</w:t>
            </w:r>
          </w:p>
        </w:tc>
      </w:tr>
      <w:tr>
        <w:tc>
          <w:tcPr>
            <w:tcW w:w="0" w:type="auto"/>
          </w:tcPr>
          <w:p>
            <w:pPr>
              <w:spacing w:line="240" w:lineRule="auto" w:before="0" w:after="0"/>
              <w:pStyle w:val="Compact"/>
            </w:pPr>
            <w:r>
              <w:rPr>
                <w:sz w:val="20"/>
                <w:szCs w:val="20"/>
              </w:rPr>
              <w:t xml:space="preserve">SPECFILE-INDIA-74E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congested-arc speculative filing held to censoring without bring-into-use, consistent with ITU suspension record, https://www.itu.int/net/ITU-R/space/snl/list1149/index.asp</w:t>
            </w:r>
          </w:p>
        </w:tc>
      </w:tr>
      <w:tr>
        <w:tc>
          <w:tcPr>
            <w:tcW w:w="0" w:type="auto"/>
          </w:tcPr>
          <w:p>
            <w:pPr>
              <w:spacing w:line="240" w:lineRule="auto" w:before="0" w:after="0"/>
              <w:pStyle w:val="Compact"/>
            </w:pPr>
            <w:r>
              <w:rPr>
                <w:sz w:val="20"/>
                <w:szCs w:val="20"/>
              </w:rPr>
              <w:t xml:space="preserve">SPECFILE-AFRICA-20E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sparse-arc filing brought into use promptly, consistent with arXiv 2606.25283 sparse-region pattern, https://arxiv.org/html/2606.25283</w:t>
            </w:r>
          </w:p>
        </w:tc>
      </w:tr>
    </w:tbl>
    <w:bookmarkEnd w:id="173"/>
    <w:bookmarkStart w:id="17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Elapsed years from the filing priority/cohort year to bring-into-use (event) or to the censoring horizon, capped at the 7-year ITU regulatory bring-into-use window</w:t>
            </w:r>
          </w:p>
        </w:tc>
        <w:tc>
          <w:tcPr>
            <w:tcW w:w="0" w:type="auto"/>
          </w:tcPr>
          <w:p>
            <w:pPr>
              <w:spacing w:line="240" w:lineRule="auto" w:before="0" w:after="0"/>
              <w:pStyle w:val="Compact"/>
            </w:pPr>
            <w:r>
              <w:rPr>
                <w:sz w:val="20"/>
                <w:szCs w:val="20"/>
              </w:rPr>
              <w:t xml:space="preserve">ITU SNL filing and suspension records (list1149); operator deployment histories; Globalex Paper Satellites case dates</w:t>
            </w:r>
          </w:p>
        </w:tc>
      </w:tr>
      <w:tr>
        <w:tc>
          <w:tcPr>
            <w:tcW w:w="0" w:type="auto"/>
          </w:tcPr>
          <w:p>
            <w:pPr>
              <w:spacing w:line="240" w:lineRule="auto" w:before="0" w:after="0"/>
              <w:pStyle w:val="Compact"/>
            </w:pPr>
            <w:r>
              <w:rPr>
                <w:sz w:val="20"/>
                <w:szCs w:val="20"/>
              </w:rPr>
              <w:t xml:space="preserve">event_bringup</w:t>
            </w:r>
          </w:p>
        </w:tc>
        <w:tc>
          <w:tcPr>
            <w:tcW w:w="0" w:type="auto"/>
          </w:tcPr>
          <w:p>
            <w:pPr>
              <w:spacing w:line="240" w:lineRule="auto" w:before="0" w:after="0"/>
              <w:pStyle w:val="Compact"/>
            </w:pPr>
            <w:r>
              <w:rPr>
                <w:sz w:val="20"/>
                <w:szCs w:val="20"/>
              </w:rPr>
              <w:t xml:space="preserve">Event indicator: 1 if the slot was brought into and sustained in operational use; 0 if right-censored (suspended, lapsed, or never deployed within the window)</w:t>
            </w:r>
          </w:p>
        </w:tc>
        <w:tc>
          <w:tcPr>
            <w:tcW w:w="0" w:type="auto"/>
          </w:tcPr>
          <w:p>
            <w:pPr>
              <w:spacing w:line="240" w:lineRule="auto" w:before="0" w:after="0"/>
              <w:pStyle w:val="Compact"/>
            </w:pPr>
            <w:r>
              <w:rPr>
                <w:sz w:val="20"/>
                <w:szCs w:val="20"/>
              </w:rPr>
              <w:t xml:space="preserve">ITU SNL suspended-network list (list1149); Globalex Paper Satellites case record; operator operational status</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Ordinal 1-9 contestation index for the filing’s orbital-arc region, increasing with documented satellite density (India arc and Europe high; Pacific and Africa low)</w:t>
            </w:r>
          </w:p>
        </w:tc>
        <w:tc>
          <w:tcPr>
            <w:tcW w:w="0" w:type="auto"/>
          </w:tcPr>
          <w:p>
            <w:pPr>
              <w:spacing w:line="240" w:lineRule="auto" w:before="0" w:after="0"/>
              <w:pStyle w:val="Compact"/>
            </w:pPr>
            <w:r>
              <w:rPr>
                <w:sz w:val="20"/>
                <w:szCs w:val="20"/>
              </w:rPr>
              <w:t xml:space="preserve">arXiv 2606.25283 geography-of-orbital-risk arc-density tiers; ITU slot-occupancy reporting</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1 if the notifying entity is a commercial satellite operator; 0 if a national administration or state operator</w:t>
            </w:r>
          </w:p>
        </w:tc>
        <w:tc>
          <w:tcPr>
            <w:tcW w:w="0" w:type="auto"/>
          </w:tcPr>
          <w:p>
            <w:pPr>
              <w:spacing w:line="240" w:lineRule="auto" w:before="0" w:after="0"/>
              <w:pStyle w:val="Compact"/>
            </w:pPr>
            <w:r>
              <w:rPr>
                <w:sz w:val="20"/>
                <w:szCs w:val="20"/>
              </w:rPr>
              <w:t xml:space="preserve">Operator identity in filing record (ITU SNL; operator public filings)</w:t>
            </w:r>
          </w:p>
        </w:tc>
      </w:tr>
      <w:tr>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Orbital longitude of the slot in degrees (east positive, west negative)</w:t>
            </w:r>
          </w:p>
        </w:tc>
        <w:tc>
          <w:tcPr>
            <w:tcW w:w="0" w:type="auto"/>
          </w:tcPr>
          <w:p>
            <w:pPr>
              <w:spacing w:line="240" w:lineRule="auto" w:before="0" w:after="0"/>
              <w:pStyle w:val="Compact"/>
            </w:pPr>
            <w:r>
              <w:rPr>
                <w:sz w:val="20"/>
                <w:szCs w:val="20"/>
              </w:rPr>
              <w:t xml:space="preserve">ITU SNL orbital position field; operator slot records</w:t>
            </w:r>
          </w:p>
        </w:tc>
      </w:tr>
    </w:tbl>
    <w:bookmarkEnd w:id="174"/>
    <w:bookmarkEnd w:id="175"/>
    <w:bookmarkEnd w:id="17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1" Type="http://schemas.openxmlformats.org/officeDocument/2006/relationships/image" Target="media/rId161.png"/><Relationship Id="rId169" Type="http://schemas.openxmlformats.org/officeDocument/2006/relationships/image" Target="media/rId169.png"/><Relationship Id="rId129" Type="http://schemas.openxmlformats.org/officeDocument/2006/relationships/hyperlink" Target="https://arxiv.org/html/2606.25283" TargetMode="External"/><Relationship Id="rId155" Type="http://schemas.openxmlformats.org/officeDocument/2006/relationships/hyperlink" Target="https://doi.org/10.1016/j.actaastro.2021.11.023" TargetMode="External"/><Relationship Id="rId157" Type="http://schemas.openxmlformats.org/officeDocument/2006/relationships/hyperlink" Target="https://doi.org/10.1016/j.actaastro.2022.04.034" TargetMode="External"/><Relationship Id="rId147" Type="http://schemas.openxmlformats.org/officeDocument/2006/relationships/hyperlink" Target="https://doi.org/10.1016/j.actaastro.2022.06.005" TargetMode="External"/><Relationship Id="rId149" Type="http://schemas.openxmlformats.org/officeDocument/2006/relationships/hyperlink" Target="https://doi.org/10.1016/j.actaastro.2023.08.010" TargetMode="External"/><Relationship Id="rId119" Type="http://schemas.openxmlformats.org/officeDocument/2006/relationships/hyperlink" Target="https://doi.org/10.1016/j.actaastro.2024.12.037" TargetMode="External"/><Relationship Id="rId153" Type="http://schemas.openxmlformats.org/officeDocument/2006/relationships/hyperlink" Target="https://doi.org/10.1016/j.actaastro.2025.01.043" TargetMode="External"/><Relationship Id="rId151" Type="http://schemas.openxmlformats.org/officeDocument/2006/relationships/hyperlink" Target="https://doi.org/10.1016/j.actaastro.2025.02.010" TargetMode="External"/><Relationship Id="rId121" Type="http://schemas.openxmlformats.org/officeDocument/2006/relationships/hyperlink" Target="https://doi.org/10.1016/j.actaastro.2025.03.034" TargetMode="External"/><Relationship Id="rId144" Type="http://schemas.openxmlformats.org/officeDocument/2006/relationships/hyperlink" Target="https://doi.org/10.1016/j.actaastro.2025.05.037" TargetMode="External"/><Relationship Id="rId142" Type="http://schemas.openxmlformats.org/officeDocument/2006/relationships/hyperlink" Target="https://doi.org/10.64861/DYBG6563" TargetMode="External"/><Relationship Id="rId116" Type="http://schemas.openxmlformats.org/officeDocument/2006/relationships/hyperlink" Target="https://doi.org/10.64861/WFHJ7307" TargetMode="External"/><Relationship Id="rId125" Type="http://schemas.openxmlformats.org/officeDocument/2006/relationships/hyperlink" Target="https://www.itu.int/net/ITU-R/space/snl/list1149/index.asp" TargetMode="External"/><Relationship Id="rId127" Type="http://schemas.openxmlformats.org/officeDocument/2006/relationships/hyperlink" Target="https://www.nyulawglobal.org/globalex/paper_satellites_free_use_outer_space1.html" TargetMode="External"/></Relationships>
</file>

<file path=word/_rels/footnotes.xml.rels><?xml version='1.0' encoding='UTF-8' standalone='yes'?>
<Relationships xmlns="http://schemas.openxmlformats.org/package/2006/relationships"><Relationship Id="rId129" Type="http://schemas.openxmlformats.org/officeDocument/2006/relationships/hyperlink" Target="https://arxiv.org/html/2606.25283" TargetMode="External"/><Relationship Id="rId155" Type="http://schemas.openxmlformats.org/officeDocument/2006/relationships/hyperlink" Target="https://doi.org/10.1016/j.actaastro.2021.11.023" TargetMode="External"/><Relationship Id="rId157" Type="http://schemas.openxmlformats.org/officeDocument/2006/relationships/hyperlink" Target="https://doi.org/10.1016/j.actaastro.2022.04.034" TargetMode="External"/><Relationship Id="rId147" Type="http://schemas.openxmlformats.org/officeDocument/2006/relationships/hyperlink" Target="https://doi.org/10.1016/j.actaastro.2022.06.005" TargetMode="External"/><Relationship Id="rId149" Type="http://schemas.openxmlformats.org/officeDocument/2006/relationships/hyperlink" Target="https://doi.org/10.1016/j.actaastro.2023.08.010" TargetMode="External"/><Relationship Id="rId119" Type="http://schemas.openxmlformats.org/officeDocument/2006/relationships/hyperlink" Target="https://doi.org/10.1016/j.actaastro.2024.12.037" TargetMode="External"/><Relationship Id="rId153" Type="http://schemas.openxmlformats.org/officeDocument/2006/relationships/hyperlink" Target="https://doi.org/10.1016/j.actaastro.2025.01.043" TargetMode="External"/><Relationship Id="rId151" Type="http://schemas.openxmlformats.org/officeDocument/2006/relationships/hyperlink" Target="https://doi.org/10.1016/j.actaastro.2025.02.010" TargetMode="External"/><Relationship Id="rId121" Type="http://schemas.openxmlformats.org/officeDocument/2006/relationships/hyperlink" Target="https://doi.org/10.1016/j.actaastro.2025.03.034" TargetMode="External"/><Relationship Id="rId144" Type="http://schemas.openxmlformats.org/officeDocument/2006/relationships/hyperlink" Target="https://doi.org/10.1016/j.actaastro.2025.05.037" TargetMode="External"/><Relationship Id="rId142" Type="http://schemas.openxmlformats.org/officeDocument/2006/relationships/hyperlink" Target="https://doi.org/10.64861/DYBG6563" TargetMode="External"/><Relationship Id="rId116" Type="http://schemas.openxmlformats.org/officeDocument/2006/relationships/hyperlink" Target="https://doi.org/10.64861/WFHJ7307" TargetMode="External"/><Relationship Id="rId125" Type="http://schemas.openxmlformats.org/officeDocument/2006/relationships/hyperlink" Target="https://www.itu.int/net/ITU-R/space/snl/list1149/index.asp" TargetMode="External"/><Relationship Id="rId127" Type="http://schemas.openxmlformats.org/officeDocument/2006/relationships/hyperlink" Target="https://www.nyulawglobal.org/globalex/paper_satellites_free_use_outer_space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Filing Strategy and Spectrum Warehousing: A Structural Model of Orbital-Slot Acquisition</dc:title>
  <dc:creator>Mei Salinas (1B-INF-075)</dc:creator>
  <cp:keywords/>
  <dcterms:created xsi:type="dcterms:W3CDTF">2026-07-02T16:23:01Z</dcterms:created>
  <dcterms:modified xsi:type="dcterms:W3CDTF">2026-07-02T16:23:01Z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