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9.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6af3dd77e8dd48feb7a24d1604fff46e124eb33"/>
    <w:p>
      <w:pPr>
        <w:pStyle w:val="Heading1"/>
      </w:pPr>
      <w:r>
        <w:t xml:space="preserve">Attention Accumulation in NEPA as a Launch Gate does environmental review explain spaceport time-to-opera: A Learning-Curve Analysis of Citation Growth by Article Age</w:t>
      </w:r>
    </w:p>
    <w:bookmarkStart w:id="61" w:name="introduction"/>
    <w:p>
      <w:pPr>
        <w:pStyle w:val="Heading2"/>
      </w:pPr>
      <w:r>
        <w:t xml:space="preserve">1. Introduction</w:t>
      </w:r>
    </w:p>
    <w:p>
      <w:pPr>
        <w:pStyle w:val="FirstParagraph"/>
      </w:pPr>
      <w:r>
        <w:t xml:space="preserve">This empirical paper supports Diego Petrov (1B-INF-183) and the dissertation project</w:t>
      </w:r>
      <w:r>
        <w:t xml:space="preserve"> </w:t>
      </w:r>
      <w:r>
        <w:rPr>
          <w:i/>
          <w:iCs/>
        </w:rPr>
        <w:t xml:space="preserve">NEPA as a Launch Gate: does environmental review explain spaceport time-to-opera</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R2=0.05240466270189603, elasticity_b=-0.44452941895914644, progress_ratio_2^b=0.7348239638453695. The exact term summary is: const coef=1.367752130949552 p=0.030915126015488962; _ln_x coef=-0.44452941895914644 p=0.20134101857633835.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7" w:name="references"/>
    <w:p>
      <w:pPr>
        <w:pStyle w:val="Heading2"/>
      </w:pPr>
      <w:r>
        <w:t xml:space="preserve">References</w:t>
      </w:r>
    </w:p>
    <w:p>
      <w:pPr>
        <w:pStyle w:val="FirstParagraph"/>
      </w:pPr>
      <w:bookmarkStart w:id="67" w:name="ref-1"/>
      <w:bookmarkEnd w:id="67"/>
      <w:r>
        <w:t xml:space="preserve">1. Phillip Reid, The Boeing Company. Conceptual Framework for a Rapid Space Launch Capability (2023). doi:</w:t>
      </w:r>
      <w:r>
        <w:t xml:space="preserve"> </w:t>
      </w:r>
      <w:hyperlink r:id="rId68">
        <w:r>
          <w:rPr>
            <w:rStyle w:val="Hyperlink"/>
          </w:rPr>
          <w:t xml:space="preserve">10.64861/KYFU6858</w:t>
        </w:r>
      </w:hyperlink>
      <w:r>
        <w:t xml:space="preserve"> </w:t>
      </w:r>
      <w:bookmarkStart w:id="69" w:name="ref-2"/>
      <w:bookmarkEnd w:id="69"/>
      <w:r>
        <w:t xml:space="preserve">2. Thomas G. Roberts, Massachusetts Institute of Technology; Richard Linares, Massachusetts Institute of Technology. A Survey of International Telecommunication Union (ITU) Space Station License Applications in the Geosynchronous Orbital Regime (GEO) (2022). [AMOS]</w:t>
      </w:r>
      <w:r>
        <w:t xml:space="preserve"> </w:t>
      </w:r>
      <w:bookmarkStart w:id="70" w:name="ref-3"/>
      <w:bookmarkEnd w:id="70"/>
      <w:r>
        <w:t xml:space="preserve">3. Torbjörn Sundberg, FOI Swedish Defence Research Agency; Matti Nylund, FOI Swedish Defence Research Agency; Ola Rasmusson, FOI Swedish Defence Research Agency. Swedish National Interests in Space Situational Awareness (2021). [AMOS]</w:t>
      </w:r>
      <w:r>
        <w:t xml:space="preserve"> </w:t>
      </w:r>
      <w:bookmarkStart w:id="71" w:name="ref-4"/>
      <w:bookmarkEnd w:id="71"/>
      <w:r>
        <w:t xml:space="preserve">4. Liberty Shockley, U.S. Air Force; Robert Bettinger, U.S. Air Force. Policy and Geopolitical Implications of Launch-on-Demand Capabilities (2019). [AMOS]</w:t>
      </w:r>
      <w:r>
        <w:t xml:space="preserve"> </w:t>
      </w:r>
      <w:bookmarkStart w:id="72" w:name="ref-5"/>
      <w:bookmarkEnd w:id="72"/>
      <w:r>
        <w:t xml:space="preserve">5. Louis Penafiel, Aptima, Inc.; William Dupree, Aptima, Inc.; Thomas Gemmer, Aptima, Inc.. Clustering-Based Uncorrelated Track Association (2021). [AMOS]</w:t>
      </w:r>
      <w:r>
        <w:t xml:space="preserve"> </w:t>
      </w:r>
      <w:bookmarkStart w:id="73" w:name="ref-6"/>
      <w:bookmarkEnd w:id="73"/>
      <w:r>
        <w:t xml:space="preserve">6. Mark Wolfson (Lockheed Martin Space Systems Company). Hands on Education Through Student-Industry Partnerships (2013). [AMOS]</w:t>
      </w:r>
      <w:r>
        <w:t xml:space="preserve"> </w:t>
      </w:r>
      <w:bookmarkStart w:id="74" w:name="ref-7"/>
      <w:bookmarkEnd w:id="74"/>
      <w:r>
        <w:t xml:space="preserve">7. Todd Harrison, Center for Strategic and International Studies. International Perspectives on Space Weapons (2020). [AMOS]</w:t>
      </w:r>
      <w:r>
        <w:t xml:space="preserve"> </w:t>
      </w:r>
      <w:bookmarkStart w:id="75" w:name="ref-8"/>
      <w:bookmarkEnd w:id="75"/>
      <w:r>
        <w:t xml:space="preserve">8. Miles Lifson, Massachusetts Institute of Technology; Daniel Jang, Massachusetts Institute of Technology; Richard Linares, Massachusetts Institute of Technology. Space Environmental Governance and Decision-Support using Source-Sink Evolutionary Environmental Models (2023). doi:</w:t>
      </w:r>
      <w:r>
        <w:t xml:space="preserve"> </w:t>
      </w:r>
      <w:hyperlink r:id="rId76">
        <w:r>
          <w:rPr>
            <w:rStyle w:val="Hyperlink"/>
          </w:rPr>
          <w:t xml:space="preserve">10.64861/FKER7625</w:t>
        </w:r>
      </w:hyperlink>
    </w:p>
    <w:bookmarkEnd w:id="77"/>
    <w:bookmarkStart w:id="78"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8"/>
    <w:bookmarkStart w:id="82"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1.3678</w:t>
            </w:r>
          </w:p>
        </w:tc>
        <w:tc>
          <w:tcPr>
            <w:tcW w:w="0" w:type="auto"/>
          </w:tcPr>
          <w:p>
            <w:pPr>
              <w:spacing w:line="240" w:lineRule="auto" w:before="0" w:after="0"/>
              <w:pStyle w:val="Compact"/>
            </w:pPr>
            <w:r>
              <w:rPr>
                <w:sz w:val="20"/>
                <w:szCs w:val="20"/>
              </w:rPr>
              <w:t xml:space="preserve">0.6338</w:t>
            </w:r>
          </w:p>
        </w:tc>
        <w:tc>
          <w:tcPr>
            <w:tcW w:w="0" w:type="auto"/>
          </w:tcPr>
          <w:p>
            <w:pPr>
              <w:spacing w:line="240" w:lineRule="auto" w:before="0" w:after="0"/>
              <w:pStyle w:val="Compact"/>
            </w:pPr>
            <w:r>
              <w:rPr>
                <w:sz w:val="20"/>
                <w:szCs w:val="20"/>
              </w:rPr>
              <w:t xml:space="preserve">2.1582</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[0.1256, 2.6099]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-0.4445</w:t>
            </w:r>
          </w:p>
        </w:tc>
        <w:tc>
          <w:tcPr>
            <w:tcW w:w="0" w:type="auto"/>
          </w:tcPr>
          <w:p>
            <w:pPr>
              <w:spacing w:line="240" w:lineRule="auto" w:before="0" w:after="0"/>
              <w:pStyle w:val="Compact"/>
            </w:pPr>
            <w:r>
              <w:rPr>
                <w:sz w:val="20"/>
                <w:szCs w:val="20"/>
              </w:rPr>
              <w:t xml:space="preserve">0.3479</w:t>
            </w:r>
          </w:p>
        </w:tc>
        <w:tc>
          <w:tcPr>
            <w:tcW w:w="0" w:type="auto"/>
          </w:tcPr>
          <w:p>
            <w:pPr>
              <w:spacing w:line="240" w:lineRule="auto" w:before="0" w:after="0"/>
              <w:pStyle w:val="Compact"/>
            </w:pPr>
            <w:r>
              <w:rPr>
                <w:sz w:val="20"/>
                <w:szCs w:val="20"/>
              </w:rPr>
              <w:t xml:space="preserve">-1.2777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[-1.1264, 0.2373]</w:t>
            </w:r>
          </w:p>
        </w:tc>
      </w:tr>
    </w:tbl>
    <w:p>
      <w:pPr>
        <w:pStyle w:val="BodyText"/>
      </w:pPr>
      <w:r>
        <w:t xml:space="preserve">Fit: N = 30 R2 = 0.0524 elasticity_b = -0.4445 progress_ratio_2^b = 0.7348</w:t>
      </w:r>
    </w:p>
    <w:p>
      <w:pPr>
        <w:pStyle w:val="CaptionedFigure"/>
      </w:pPr>
      <w:r>
        <w:drawing>
          <wp:inline>
            <wp:extent cx="5669280" cy="3657600"/>
            <wp:effectExtent b="0" l="0" r="0" t="0"/>
            <wp:docPr descr="Figure 1. Citation accumulation against article age in the retrieved topic literature." title="" id="80" name="Picture"/>
            <a:graphic>
              <a:graphicData uri="http://schemas.openxmlformats.org/drawingml/2006/picture">
                <pic:pic>
                  <pic:nvPicPr>
                    <pic:cNvPr descr="D:\Claude_Code\brain\collegium\candidates\dissertations\LAUNCH_REG_06\research_papers\p2\paper_fig1.png" id="81" name="Picture"/>
                    <pic:cNvPicPr>
                      <a:picLocks noChangeArrowheads="1" noChangeAspect="1"/>
                    </pic:cNvPicPr>
                  </pic:nvPicPr>
                  <pic:blipFill>
                    <a:blip r:embed="rId7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2"/>
    <w:bookmarkStart w:id="86"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3"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10.64861/KYFU6858</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https://amostech.space/year/2022/a-survey-of-international-telecommunication-union-itu-space-station-license-applications-in-the-geosynchronous-orbital-regime-geo/</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https://amostech.space/year/2021/swedish-national-interests-in-space-situational-awareness/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https://amostech.space/year/2021/clustering-based-uncorrelated-track-association/</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https://amostech.space/year/2013/hands-on-education-through-student-industry-partnerships/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10.64861/FKER7625</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https://amostech.space/year/2017/launcherone-virgin-orbits-dedicated-launch-vehicle-for-small-satellites-impact-to-the-space-enterprise-vision/</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https://amostech.space/year/2020/australias-emerging-space-policy-defense-burden-sharing-in-orbit-and-space-situational-awareness/</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10.64861/HKAM1019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10.1016/j.actaastro.2024.11.029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10.1016/j.actaastro.2020.11.059</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10.1016/j.actaastro.2024.06.049</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10.1016/j.actaastro.2024.12.037</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10.1016/j.actaastro.2026.04.046</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10.1016/j.actaastro.2023.12.060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10.1016/j.actaastro.2024.04.012</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10.1016/j.actaastro.2018.08.014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10.1016/j.actaastro.2025.06.036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10.1016/j.actaastro.2025.07.004</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10.1016/j.actaastro.2024.09.011</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10.1016/j.actaastro.2024.05.009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Weinzierl 2018: Space the Final Economic Frontier</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10.18352/ijc.634</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bl>
    <w:bookmarkEnd w:id="83"/>
    <w:bookmarkStart w:id="84"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4"/>
    <w:bookmarkStart w:id="85"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1.3678</w:t>
            </w:r>
          </w:p>
        </w:tc>
        <w:tc>
          <w:tcPr>
            <w:tcW w:w="0" w:type="auto"/>
          </w:tcPr>
          <w:p>
            <w:pPr>
              <w:spacing w:line="240" w:lineRule="auto" w:before="0" w:after="0"/>
              <w:pStyle w:val="Compact"/>
            </w:pPr>
            <w:r>
              <w:rPr>
                <w:sz w:val="20"/>
                <w:szCs w:val="20"/>
              </w:rPr>
              <w:t xml:space="preserve">0.6338</w:t>
            </w:r>
          </w:p>
        </w:tc>
        <w:tc>
          <w:tcPr>
            <w:tcW w:w="0" w:type="auto"/>
          </w:tcPr>
          <w:p>
            <w:pPr>
              <w:spacing w:line="240" w:lineRule="auto" w:before="0" w:after="0"/>
              <w:pStyle w:val="Compact"/>
            </w:pPr>
            <w:r>
              <w:rPr>
                <w:sz w:val="20"/>
                <w:szCs w:val="20"/>
              </w:rPr>
              <w:t xml:space="preserve">2.1582</w:t>
            </w:r>
          </w:p>
        </w:tc>
        <w:tc>
          <w:tcPr>
            <w:tcW w:w="0" w:type="auto"/>
          </w:tcPr>
          <w:p>
            <w:pPr>
              <w:spacing w:line="240" w:lineRule="auto" w:before="0" w:after="0"/>
              <w:pStyle w:val="Compact"/>
            </w:pPr>
            <w:r>
              <w:rPr>
                <w:sz w:val="20"/>
                <w:szCs w:val="20"/>
              </w:rPr>
              <w:t xml:space="preserve">0.0309</w:t>
            </w:r>
          </w:p>
        </w:tc>
        <w:tc>
          <w:tcPr>
            <w:tcW w:w="0" w:type="auto"/>
          </w:tcPr>
          <w:p>
            <w:pPr>
              <w:spacing w:line="240" w:lineRule="auto" w:before="0" w:after="0"/>
              <w:pStyle w:val="Compact"/>
            </w:pPr>
            <w:r>
              <w:rPr>
                <w:sz w:val="20"/>
                <w:szCs w:val="20"/>
              </w:rPr>
              <w:t xml:space="preserve">[0.1256, 2.6099]</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-0.4445</w:t>
            </w:r>
          </w:p>
        </w:tc>
        <w:tc>
          <w:tcPr>
            <w:tcW w:w="0" w:type="auto"/>
          </w:tcPr>
          <w:p>
            <w:pPr>
              <w:spacing w:line="240" w:lineRule="auto" w:before="0" w:after="0"/>
              <w:pStyle w:val="Compact"/>
            </w:pPr>
            <w:r>
              <w:rPr>
                <w:sz w:val="20"/>
                <w:szCs w:val="20"/>
              </w:rPr>
              <w:t xml:space="preserve">0.3479</w:t>
            </w:r>
          </w:p>
        </w:tc>
        <w:tc>
          <w:tcPr>
            <w:tcW w:w="0" w:type="auto"/>
          </w:tcPr>
          <w:p>
            <w:pPr>
              <w:spacing w:line="240" w:lineRule="auto" w:before="0" w:after="0"/>
              <w:pStyle w:val="Compact"/>
            </w:pPr>
            <w:r>
              <w:rPr>
                <w:sz w:val="20"/>
                <w:szCs w:val="20"/>
              </w:rPr>
              <w:t xml:space="preserve">-1.2777</w:t>
            </w:r>
          </w:p>
        </w:tc>
        <w:tc>
          <w:tcPr>
            <w:tcW w:w="0" w:type="auto"/>
          </w:tcPr>
          <w:p>
            <w:pPr>
              <w:spacing w:line="240" w:lineRule="auto" w:before="0" w:after="0"/>
              <w:pStyle w:val="Compact"/>
            </w:pPr>
            <w:r>
              <w:rPr>
                <w:sz w:val="20"/>
                <w:szCs w:val="20"/>
              </w:rPr>
              <w:t xml:space="preserve">0.2013</w:t>
            </w:r>
          </w:p>
        </w:tc>
        <w:tc>
          <w:tcPr>
            <w:tcW w:w="0" w:type="auto"/>
          </w:tcPr>
          <w:p>
            <w:pPr>
              <w:spacing w:line="240" w:lineRule="auto" w:before="0" w:after="0"/>
              <w:pStyle w:val="Compact"/>
            </w:pPr>
            <w:r>
              <w:rPr>
                <w:sz w:val="20"/>
                <w:szCs w:val="20"/>
              </w:rPr>
              <w:t xml:space="preserve">[-1.1264, 0.2373]</w:t>
            </w:r>
          </w:p>
        </w:tc>
      </w:tr>
    </w:tbl>
    <w:p>
      <w:pPr>
        <w:pStyle w:val="BodyText"/>
      </w:pPr>
      <w:r>
        <w:t xml:space="preserve">Fit: N = 30 R2 = 0.0524 elasticity_b = -0.4445 progress_ratio_2^b = 0.7348</w:t>
      </w:r>
    </w:p>
    <w:bookmarkEnd w:id="85"/>
    <w:bookmarkEnd w:id="86"/>
    <w:bookmarkEnd w:id="87"/>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9" Target="media/rId79.png" /><Relationship Type="http://schemas.openxmlformats.org/officeDocument/2006/relationships/hyperlink" Id="rId76" Target="https://doi.org/10.64861/FKER7625" TargetMode="External" /><Relationship Type="http://schemas.openxmlformats.org/officeDocument/2006/relationships/hyperlink" Id="rId68" Target="https://doi.org/10.64861/KYFU6858" TargetMode="External" /></Relationships>
</file>

<file path=word/_rels/footnotes.xml.rels><?xml version="1.0" encoding="UTF-8"?><Relationships xmlns="http://schemas.openxmlformats.org/package/2006/relationships"><Relationship Type="http://schemas.openxmlformats.org/officeDocument/2006/relationships/hyperlink" Id="rId76" Target="https://doi.org/10.64861/FKER7625" TargetMode="External" /><Relationship Type="http://schemas.openxmlformats.org/officeDocument/2006/relationships/hyperlink" Id="rId68" Target="https://doi.org/10.64861/KYFU685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2026-06-28T19:57:08Z</dcterms:created>
  <dcterms:modified xsi:type="dcterms:W3CDTF">2026-06-28T19:57:08Z</dcterms:modified>
</cp:coreProperties>
</file>

<file path=docProps/custom.xml><?xml version="1.0" encoding="utf-8"?>
<Properties xmlns="http://schemas.openxmlformats.org/officeDocument/2006/custom-properties" xmlns:vt="http://schemas.openxmlformats.org/officeDocument/2006/docPropsVTypes"/>
</file>