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fcb28df618d7311a21ec68b20827b644c940c57"/>
    <w:p>
      <w:pPr>
        <w:pStyle w:val="Heading1"/>
      </w:pPr>
      <w:r>
        <w:t xml:space="preserve">Signal Intensity in NEPA as a Launch Gate does environmental review explain spaceport time-to-opera: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Diego Petrov (1B-INF-183) and the dissertation project</w:t>
      </w:r>
      <w:r>
        <w:t xml:space="preserve"> </w:t>
      </w:r>
      <w:r>
        <w:rPr>
          <w:i/>
          <w:iCs/>
        </w:rPr>
        <w:t xml:space="preserve">NEPA as a Launch Gate: does environmental review explain spaceport time-to-opera</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R2=0.43235026884632977, R2_adj=0.36685222294398323, F=23.234722949047008, F_p=1.5886831157959067e-07. The exact term summary is: const coef=1.6040196823913204 p=0.09921586195980427; recency_index coef=0.3536051312841998 p=0.000520798893197348; cites_num coef=-0.0006598249470758789 p=0.9428880597580572; venue_score coef=-0.977797381861415 p=5.571305256233388e-06.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Phillip Reid, The Boeing Company. Conceptual Framework for a Rapid Space Launch Capability (2023). doi:</w:t>
      </w:r>
      <w:r>
        <w:t xml:space="preserve"> </w:t>
      </w:r>
      <w:hyperlink r:id="rId68">
        <w:r>
          <w:rPr>
            <w:rStyle w:val="Hyperlink"/>
          </w:rPr>
          <w:t xml:space="preserve">10.64861/KYFU6858</w:t>
        </w:r>
      </w:hyperlink>
      <w:r>
        <w:t xml:space="preserve"> </w:t>
      </w:r>
      <w:bookmarkStart w:id="69" w:name="ref-2"/>
      <w:bookmarkEnd w:id="69"/>
      <w:r>
        <w:t xml:space="preserve">2. Thomas G. Roberts, Massachusetts Institute of Technology; Richard Linares, Massachusetts Institute of Technology. A Survey of International Telecommunication Union (ITU) Space Station License Applications in the Geosynchronous Orbital Regime (GEO) (2022). [AMOS]</w:t>
      </w:r>
      <w:r>
        <w:t xml:space="preserve"> </w:t>
      </w:r>
      <w:bookmarkStart w:id="70" w:name="ref-3"/>
      <w:bookmarkEnd w:id="70"/>
      <w:r>
        <w:t xml:space="preserve">3. Torbjörn Sundberg, FOI Swedish Defence Research Agency; Matti Nylund, FOI Swedish Defence Research Agency; Ola Rasmusson, FOI Swedish Defence Research Agency. Swedish National Interests in Space Situational Awareness (2021). [AMOS]</w:t>
      </w:r>
      <w:r>
        <w:t xml:space="preserve"> </w:t>
      </w:r>
      <w:bookmarkStart w:id="71" w:name="ref-4"/>
      <w:bookmarkEnd w:id="71"/>
      <w:r>
        <w:t xml:space="preserve">4. Liberty Shockley, U.S. Air Force; Robert Bettinger, U.S. Air Force. Policy and Geopolitical Implications of Launch-on-Demand Capabilities (2019). [AMOS]</w:t>
      </w:r>
      <w:r>
        <w:t xml:space="preserve"> </w:t>
      </w:r>
      <w:bookmarkStart w:id="72" w:name="ref-5"/>
      <w:bookmarkEnd w:id="72"/>
      <w:r>
        <w:t xml:space="preserve">5. Louis Penafiel, Aptima, Inc.; William Dupree, Aptima, Inc.; Thomas Gemmer, Aptima, Inc.. Clustering-Based Uncorrelated Track Association (2021). [AMOS]</w:t>
      </w:r>
      <w:r>
        <w:t xml:space="preserve"> </w:t>
      </w:r>
      <w:bookmarkStart w:id="73" w:name="ref-6"/>
      <w:bookmarkEnd w:id="73"/>
      <w:r>
        <w:t xml:space="preserve">6. Mark Wolfson (Lockheed Martin Space Systems Company). Hands on Education Through Student-Industry Partnerships (2013). [AMOS]</w:t>
      </w:r>
      <w:r>
        <w:t xml:space="preserve"> </w:t>
      </w:r>
      <w:bookmarkStart w:id="74" w:name="ref-7"/>
      <w:bookmarkEnd w:id="74"/>
      <w:r>
        <w:t xml:space="preserve">7. Todd Harrison, Center for Strategic and International Studies. International Perspectives on Space Weapons (2020). [AMOS]</w:t>
      </w:r>
      <w:r>
        <w:t xml:space="preserve"> </w:t>
      </w:r>
      <w:bookmarkStart w:id="75" w:name="ref-8"/>
      <w:bookmarkEnd w:id="75"/>
      <w:r>
        <w:t xml:space="preserve">8.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76">
        <w:r>
          <w:rPr>
            <w:rStyle w:val="Hyperlink"/>
          </w:rPr>
          <w:t xml:space="preserve">10.64861/FKER7625</w:t>
        </w:r>
      </w:hyperlink>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1.604</w:t>
            </w:r>
          </w:p>
        </w:tc>
        <w:tc>
          <w:tcPr>
            <w:tcW w:w="0" w:type="auto"/>
          </w:tcPr>
          <w:p>
            <w:pPr>
              <w:spacing w:line="240" w:lineRule="auto" w:before="0" w:after="0"/>
              <w:pStyle w:val="Compact"/>
            </w:pPr>
            <w:r>
              <w:rPr>
                <w:sz w:val="20"/>
                <w:szCs w:val="20"/>
              </w:rPr>
              <w:t xml:space="preserve">0.9729</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0.0992</w:t>
            </w:r>
          </w:p>
        </w:tc>
        <w:tc>
          <w:tcPr>
            <w:tcW w:w="0" w:type="auto"/>
          </w:tcPr>
          <w:p>
            <w:pPr>
              <w:spacing w:line="240" w:lineRule="auto" w:before="0" w:after="0"/>
              <w:pStyle w:val="Compact"/>
            </w:pPr>
            <w:r>
              <w:rPr>
                <w:sz w:val="20"/>
                <w:szCs w:val="20"/>
              </w:rPr>
              <w:t xml:space="preserve">[-0.3029, 3.5109]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0.3536</w:t>
            </w:r>
          </w:p>
        </w:tc>
        <w:tc>
          <w:tcPr>
            <w:tcW w:w="0" w:type="auto"/>
          </w:tcPr>
          <w:p>
            <w:pPr>
              <w:spacing w:line="240" w:lineRule="auto" w:before="0" w:after="0"/>
              <w:pStyle w:val="Compact"/>
            </w:pPr>
            <w:r>
              <w:rPr>
                <w:sz w:val="20"/>
                <w:szCs w:val="20"/>
              </w:rPr>
              <w:t xml:space="preserve">0.1019</w:t>
            </w:r>
          </w:p>
        </w:tc>
        <w:tc>
          <w:tcPr>
            <w:tcW w:w="0" w:type="auto"/>
          </w:tcPr>
          <w:p>
            <w:pPr>
              <w:spacing w:line="240" w:lineRule="auto" w:before="0" w:after="0"/>
              <w:pStyle w:val="Compact"/>
            </w:pPr>
            <w:r>
              <w:rPr>
                <w:sz w:val="20"/>
                <w:szCs w:val="20"/>
              </w:rPr>
              <w:t xml:space="preserve">3.4698</w:t>
            </w:r>
          </w:p>
        </w:tc>
        <w:tc>
          <w:tcPr>
            <w:tcW w:w="0" w:type="auto"/>
          </w:tcPr>
          <w:p>
            <w:pPr>
              <w:spacing w:line="240" w:lineRule="auto" w:before="0" w:after="0"/>
              <w:pStyle w:val="Compact"/>
            </w:pPr>
            <w:r>
              <w:rPr>
                <w:sz w:val="20"/>
                <w:szCs w:val="20"/>
              </w:rPr>
              <w:t xml:space="preserve">0.0005208</w:t>
            </w:r>
          </w:p>
        </w:tc>
        <w:tc>
          <w:tcPr>
            <w:tcW w:w="0" w:type="auto"/>
          </w:tcPr>
          <w:p>
            <w:pPr>
              <w:spacing w:line="240" w:lineRule="auto" w:before="0" w:after="0"/>
              <w:pStyle w:val="Compact"/>
            </w:pPr>
            <w:r>
              <w:rPr>
                <w:sz w:val="20"/>
                <w:szCs w:val="20"/>
              </w:rPr>
              <w:t xml:space="preserve">[0.1539, 0.5533]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-0.0006598</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-0.0716</w:t>
            </w:r>
          </w:p>
        </w:tc>
        <w:tc>
          <w:tcPr>
            <w:tcW w:w="0" w:type="auto"/>
          </w:tcPr>
          <w:p>
            <w:pPr>
              <w:spacing w:line="240" w:lineRule="auto" w:before="0" w:after="0"/>
              <w:pStyle w:val="Compact"/>
            </w:pPr>
            <w:r>
              <w:rPr>
                <w:sz w:val="20"/>
                <w:szCs w:val="20"/>
              </w:rPr>
              <w:t xml:space="preserve">0.9429</w:t>
            </w:r>
          </w:p>
        </w:tc>
        <w:tc>
          <w:tcPr>
            <w:tcW w:w="0" w:type="auto"/>
          </w:tcPr>
          <w:p>
            <w:pPr>
              <w:spacing w:line="240" w:lineRule="auto" w:before="0" w:after="0"/>
              <w:pStyle w:val="Compact"/>
            </w:pPr>
            <w:r>
              <w:rPr>
                <w:sz w:val="20"/>
                <w:szCs w:val="20"/>
              </w:rPr>
              <w:t xml:space="preserve">[-0.0187, 0.0174]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-0.9778</w:t>
            </w:r>
          </w:p>
        </w:tc>
        <w:tc>
          <w:tcPr>
            <w:tcW w:w="0" w:type="auto"/>
          </w:tcPr>
          <w:p>
            <w:pPr>
              <w:spacing w:line="240" w:lineRule="auto" w:before="0" w:after="0"/>
              <w:pStyle w:val="Compact"/>
            </w:pPr>
            <w:r>
              <w:rPr>
                <w:sz w:val="20"/>
                <w:szCs w:val="20"/>
              </w:rPr>
              <w:t xml:space="preserve">0.2153</w:t>
            </w:r>
          </w:p>
        </w:tc>
        <w:tc>
          <w:tcPr>
            <w:tcW w:w="0" w:type="auto"/>
          </w:tcPr>
          <w:p>
            <w:pPr>
              <w:spacing w:line="240" w:lineRule="auto" w:before="0" w:after="0"/>
              <w:pStyle w:val="Compact"/>
            </w:pPr>
            <w:r>
              <w:rPr>
                <w:sz w:val="20"/>
                <w:szCs w:val="20"/>
              </w:rPr>
              <w:t xml:space="preserve">-4.542</w:t>
            </w:r>
          </w:p>
        </w:tc>
        <w:tc>
          <w:tcPr>
            <w:tcW w:w="0" w:type="auto"/>
          </w:tcPr>
          <w:p>
            <w:pPr>
              <w:spacing w:line="240" w:lineRule="auto" w:before="0" w:after="0"/>
              <w:pStyle w:val="Compact"/>
            </w:pPr>
            <w:r>
              <w:rPr>
                <w:sz w:val="20"/>
                <w:szCs w:val="20"/>
              </w:rPr>
              <w:t xml:space="preserve">5.571e-06</w:t>
            </w:r>
          </w:p>
        </w:tc>
        <w:tc>
          <w:tcPr>
            <w:tcW w:w="0" w:type="auto"/>
          </w:tcPr>
          <w:p>
            <w:pPr>
              <w:spacing w:line="240" w:lineRule="auto" w:before="0" w:after="0"/>
              <w:pStyle w:val="Compact"/>
            </w:pPr>
            <w:r>
              <w:rPr>
                <w:sz w:val="20"/>
                <w:szCs w:val="20"/>
              </w:rPr>
              <w:t xml:space="preserve">[-1.3997, -0.5559]</w:t>
            </w:r>
          </w:p>
        </w:tc>
      </w:tr>
    </w:tbl>
    <w:p>
      <w:pPr>
        <w:pStyle w:val="BodyText"/>
      </w:pPr>
      <w:r>
        <w:t xml:space="preserve">Fit: N = 30 R2 = 0.4324 R2_adj = 0.3669 F = 23.2347 F_p = 1.589e-07</w:t>
      </w:r>
    </w:p>
    <w:p>
      <w:pPr>
        <w:pStyle w:val="CaptionedFigure"/>
      </w:pPr>
      <w:r>
        <w:drawing>
          <wp:inline>
            <wp:extent cx="5669280" cy="3657600"/>
            <wp:effectExtent b="0" l="0" r="0" t="0"/>
            <wp:docPr descr="Figure 1. Topic-signal score by publication recency, conditioning on citation attention and venue family." title="" id="80" name="Picture"/>
            <a:graphic>
              <a:graphicData uri="http://schemas.openxmlformats.org/drawingml/2006/picture">
                <pic:pic>
                  <pic:nvPicPr>
                    <pic:cNvPr descr="D:\Claude_Code\brain\collegium\candidates\dissertations\LAUNCH_REG_06\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https://amostech.space/year/2022/a-survey-of-international-telecommunication-union-itu-space-station-license-applications-in-the-geosynchronous-orbital-regime-geo/</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https://amostech.space/year/2021/swedish-national-interests-in-space-situational-awareness/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https://amostech.space/year/2019/policy-and-geopolitical-implications-of-launch-on-demand-capabilities/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https://amostech.space/year/2021/clustering-based-uncorrelated-track-association/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https://amostech.space/year/2013/hands-on-education-through-student-industry-partnerships/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https://amostech.space/year/2017/launcherone-virgin-orbits-dedicated-launch-vehicle-for-small-satellites-impact-to-the-space-enterprise-vision/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10.64861/HKAM1019</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10.1016/j.actaastro.2024.11.029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10.1016/j.actaastro.2024.06.049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10.1016/j.actaastro.2023.12.060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10.1016/j.actaastro.2024.04.012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10.1016/j.actaastro.2018.08.014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10.1016/j.actaastro.2025.06.036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10.1016/j.actaastro.2025.07.004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10.1016/j.actaastro.2024.09.011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10.1016/j.actaastro.2024.05.009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10.18352/ijc.634</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1.604</w:t>
            </w:r>
          </w:p>
        </w:tc>
        <w:tc>
          <w:tcPr>
            <w:tcW w:w="0" w:type="auto"/>
          </w:tcPr>
          <w:p>
            <w:pPr>
              <w:spacing w:line="240" w:lineRule="auto" w:before="0" w:after="0"/>
              <w:pStyle w:val="Compact"/>
            </w:pPr>
            <w:r>
              <w:rPr>
                <w:sz w:val="20"/>
                <w:szCs w:val="20"/>
              </w:rPr>
              <w:t xml:space="preserve">0.9729</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0.0992</w:t>
            </w:r>
          </w:p>
        </w:tc>
        <w:tc>
          <w:tcPr>
            <w:tcW w:w="0" w:type="auto"/>
          </w:tcPr>
          <w:p>
            <w:pPr>
              <w:spacing w:line="240" w:lineRule="auto" w:before="0" w:after="0"/>
              <w:pStyle w:val="Compact"/>
            </w:pPr>
            <w:r>
              <w:rPr>
                <w:sz w:val="20"/>
                <w:szCs w:val="20"/>
              </w:rPr>
              <w:t xml:space="preserve">[-0.3029, 3.5109]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0.3536</w:t>
            </w:r>
          </w:p>
        </w:tc>
        <w:tc>
          <w:tcPr>
            <w:tcW w:w="0" w:type="auto"/>
          </w:tcPr>
          <w:p>
            <w:pPr>
              <w:spacing w:line="240" w:lineRule="auto" w:before="0" w:after="0"/>
              <w:pStyle w:val="Compact"/>
            </w:pPr>
            <w:r>
              <w:rPr>
                <w:sz w:val="20"/>
                <w:szCs w:val="20"/>
              </w:rPr>
              <w:t xml:space="preserve">0.1019</w:t>
            </w:r>
          </w:p>
        </w:tc>
        <w:tc>
          <w:tcPr>
            <w:tcW w:w="0" w:type="auto"/>
          </w:tcPr>
          <w:p>
            <w:pPr>
              <w:spacing w:line="240" w:lineRule="auto" w:before="0" w:after="0"/>
              <w:pStyle w:val="Compact"/>
            </w:pPr>
            <w:r>
              <w:rPr>
                <w:sz w:val="20"/>
                <w:szCs w:val="20"/>
              </w:rPr>
              <w:t xml:space="preserve">3.4698</w:t>
            </w:r>
          </w:p>
        </w:tc>
        <w:tc>
          <w:tcPr>
            <w:tcW w:w="0" w:type="auto"/>
          </w:tcPr>
          <w:p>
            <w:pPr>
              <w:spacing w:line="240" w:lineRule="auto" w:before="0" w:after="0"/>
              <w:pStyle w:val="Compact"/>
            </w:pPr>
            <w:r>
              <w:rPr>
                <w:sz w:val="20"/>
                <w:szCs w:val="20"/>
              </w:rPr>
              <w:t xml:space="preserve">0.0005208</w:t>
            </w:r>
          </w:p>
        </w:tc>
        <w:tc>
          <w:tcPr>
            <w:tcW w:w="0" w:type="auto"/>
          </w:tcPr>
          <w:p>
            <w:pPr>
              <w:spacing w:line="240" w:lineRule="auto" w:before="0" w:after="0"/>
              <w:pStyle w:val="Compact"/>
            </w:pPr>
            <w:r>
              <w:rPr>
                <w:sz w:val="20"/>
                <w:szCs w:val="20"/>
              </w:rPr>
              <w:t xml:space="preserve">[0.1539, 0.5533]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-0.0006598</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-0.0716</w:t>
            </w:r>
          </w:p>
        </w:tc>
        <w:tc>
          <w:tcPr>
            <w:tcW w:w="0" w:type="auto"/>
          </w:tcPr>
          <w:p>
            <w:pPr>
              <w:spacing w:line="240" w:lineRule="auto" w:before="0" w:after="0"/>
              <w:pStyle w:val="Compact"/>
            </w:pPr>
            <w:r>
              <w:rPr>
                <w:sz w:val="20"/>
                <w:szCs w:val="20"/>
              </w:rPr>
              <w:t xml:space="preserve">0.9429</w:t>
            </w:r>
          </w:p>
        </w:tc>
        <w:tc>
          <w:tcPr>
            <w:tcW w:w="0" w:type="auto"/>
          </w:tcPr>
          <w:p>
            <w:pPr>
              <w:spacing w:line="240" w:lineRule="auto" w:before="0" w:after="0"/>
              <w:pStyle w:val="Compact"/>
            </w:pPr>
            <w:r>
              <w:rPr>
                <w:sz w:val="20"/>
                <w:szCs w:val="20"/>
              </w:rPr>
              <w:t xml:space="preserve">[-0.0187, 0.0174]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-0.9778</w:t>
            </w:r>
          </w:p>
        </w:tc>
        <w:tc>
          <w:tcPr>
            <w:tcW w:w="0" w:type="auto"/>
          </w:tcPr>
          <w:p>
            <w:pPr>
              <w:spacing w:line="240" w:lineRule="auto" w:before="0" w:after="0"/>
              <w:pStyle w:val="Compact"/>
            </w:pPr>
            <w:r>
              <w:rPr>
                <w:sz w:val="20"/>
                <w:szCs w:val="20"/>
              </w:rPr>
              <w:t xml:space="preserve">0.2153</w:t>
            </w:r>
          </w:p>
        </w:tc>
        <w:tc>
          <w:tcPr>
            <w:tcW w:w="0" w:type="auto"/>
          </w:tcPr>
          <w:p>
            <w:pPr>
              <w:spacing w:line="240" w:lineRule="auto" w:before="0" w:after="0"/>
              <w:pStyle w:val="Compact"/>
            </w:pPr>
            <w:r>
              <w:rPr>
                <w:sz w:val="20"/>
                <w:szCs w:val="20"/>
              </w:rPr>
              <w:t xml:space="preserve">-4.542</w:t>
            </w:r>
          </w:p>
        </w:tc>
        <w:tc>
          <w:tcPr>
            <w:tcW w:w="0" w:type="auto"/>
          </w:tcPr>
          <w:p>
            <w:pPr>
              <w:spacing w:line="240" w:lineRule="auto" w:before="0" w:after="0"/>
              <w:pStyle w:val="Compact"/>
            </w:pPr>
            <w:r>
              <w:rPr>
                <w:sz w:val="20"/>
                <w:szCs w:val="20"/>
              </w:rPr>
              <w:t xml:space="preserve">5.571e-06</w:t>
            </w:r>
          </w:p>
        </w:tc>
        <w:tc>
          <w:tcPr>
            <w:tcW w:w="0" w:type="auto"/>
          </w:tcPr>
          <w:p>
            <w:pPr>
              <w:spacing w:line="240" w:lineRule="auto" w:before="0" w:after="0"/>
              <w:pStyle w:val="Compact"/>
            </w:pPr>
            <w:r>
              <w:rPr>
                <w:sz w:val="20"/>
                <w:szCs w:val="20"/>
              </w:rPr>
              <w:t xml:space="preserve">[-1.3997, -0.5559]</w:t>
            </w:r>
          </w:p>
        </w:tc>
      </w:tr>
    </w:tbl>
    <w:p>
      <w:pPr>
        <w:pStyle w:val="BodyText"/>
      </w:pPr>
      <w:r>
        <w:t xml:space="preserve">Fit: N = 30 R2 = 0.4324 R2_adj = 0.3669 F = 23.2347 F_p = 1.589e-07</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6" Target="https://doi.org/10.64861/FKER7625" TargetMode="External" /><Relationship Type="http://schemas.openxmlformats.org/officeDocument/2006/relationships/hyperlink" Id="rId68" Target="https://doi.org/10.64861/KYFU6858"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64861/FKER7625" TargetMode="External" /><Relationship Type="http://schemas.openxmlformats.org/officeDocument/2006/relationships/hyperlink" Id="rId68" Target="https://doi.org/10.64861/KYFU685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2026-06-28T19:57:07Z</dcterms:created>
  <dcterms:modified xsi:type="dcterms:W3CDTF">2026-06-28T19:57:07Z</dcterms:modified>
</cp:coreProperties>
</file>

<file path=docProps/custom.xml><?xml version="1.0" encoding="utf-8"?>
<Properties xmlns="http://schemas.openxmlformats.org/officeDocument/2006/custom-properties" xmlns:vt="http://schemas.openxmlformats.org/officeDocument/2006/docPropsVTypes"/>
</file>