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NEPA AS A LAUNCH GATE: DOES ENVIRONMENTAL REVIEW EXPLAIN SPACEPORT TIME-TO-OPERA</w:t>
      </w:r>
    </w:p>
    <w:p>
      <w:pPr>
        <w:jc w:val="center"/>
      </w:pPr>
    </w:p>
    <w:p>
      <w:pPr>
        <w:jc w:val="center"/>
      </w:pPr>
      <w:r>
        <w:rPr>
          <w:rFonts w:ascii="Times New Roman" w:hAnsi="Times New Roman"/>
          <w:sz w:val="24"/>
        </w:rPr>
        <w:t>by</w:t>
      </w:r>
    </w:p>
    <w:p>
      <w:pPr>
        <w:jc w:val="center"/>
      </w:pPr>
      <w:r>
        <w:rPr>
          <w:rFonts w:ascii="Times New Roman" w:hAnsi="Times New Roman"/>
          <w:b/>
          <w:sz w:val="28"/>
        </w:rPr>
        <w:t>Diego Petrov</w:t>
      </w:r>
    </w:p>
    <w:p>
      <w:pPr>
        <w:jc w:val="center"/>
      </w:pPr>
      <w:r>
        <w:rPr>
          <w:rFonts w:ascii="Times New Roman" w:hAnsi="Times New Roman"/>
          <w:sz w:val="24"/>
        </w:rPr>
        <w:t>1B-INF-183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A spaceport is a promise made in concrete. Before a single vehicle lifts, a launch site is a wager that the surrounding land, air, water, and community can absorb repeated, high-energy operations without unacceptable harm. In the United States that wager passes through a specific institutional gate: the environmental review required under the National Environmental Policy Act. This dissertation asks a narrow, testable question about that gate. Does environmental review explain how long a spaceport takes to reach operational status, or is it a convenient scapegoat for delays that live elsewhere in the development pipeline?</w:t>
      </w:r>
    </w:p>
    <w:p>
      <w:pPr>
        <w:pStyle w:val="BodyText"/>
        <w:spacing w:line="480" w:lineRule="auto"/>
        <w:ind w:firstLine="720"/>
      </w:pPr>
      <w:r>
        <w:t xml:space="preserve">The question matters because the stakes have grown quickly. Launch cadence has climbed, commercial operators have multiplied, and new sites have been proposed at a pace the licensing system was not built to absorb</w:t>
      </w:r>
      <w:r>
        <w:t xml:space="preserve"> </w:t>
      </w:r>
      <w:hyperlink w:anchor="ref-1">
        <w:r>
          <w:rPr>
            <w:rStyle w:val="Hyperlink"/>
          </w:rPr>
          <w:t xml:space="preserve">[1]</w:t>
        </w:r>
      </w:hyperlink>
      <w:r>
        <w:t xml:space="preserve"> </w:t>
      </w:r>
      <w:hyperlink w:anchor="ref-4">
        <w:r>
          <w:rPr>
            <w:rStyle w:val="Hyperlink"/>
          </w:rPr>
          <w:t xml:space="preserve">[4]</w:t>
        </w:r>
      </w:hyperlink>
      <w:r>
        <w:t xml:space="preserve">. When operators talk about schedule risk, environmental review is frequently the first institution named. Yet the empirical basis for that naming is thin. Delay attributions circulate as intuition, as anecdote, as the shared folklore of an industry under pressure, rather than as measured relationships between review structure and time-to-operational outcomes.</w:t>
      </w:r>
    </w:p>
    <w:p>
      <w:pPr>
        <w:pStyle w:val="BodyText"/>
        <w:spacing w:line="480" w:lineRule="auto"/>
        <w:ind w:firstLine="720"/>
      </w:pPr>
      <w:r>
        <w:t xml:space="preserve">This project treats that intuition as something to be examined rather than assumed. It does not accept the claim that environmental review is the binding constraint, and it does not accept the counterclaim that review is a trivial formality. Instead it builds a disciplined evidentiary path from source selection through variable construction to estimator output, and it reports only what the data actually support. The design is deliberately modest in what it promises and deliberately strict in what it delivers.</w:t>
      </w:r>
    </w:p>
    <w:bookmarkStart w:id="61" w:name="the-problem-in-plain-terms"/>
    <w:p>
      <w:pPr>
        <w:pStyle w:val="Heading2"/>
        <w:spacing w:line="480" w:lineRule="auto"/>
      </w:pPr>
      <w:r>
        <w:t xml:space="preserve">1.1 The problem in plain terms</w:t>
      </w:r>
    </w:p>
    <w:p>
      <w:pPr>
        <w:pStyle w:val="FirstParagraph"/>
        <w:spacing w:line="480" w:lineRule="auto"/>
      </w:pPr>
      <w:r>
        <w:t xml:space="preserve">Spaceport development is a layered process. A site is identified, studied, and characterized. Environmental documentation is prepared, circulated, and adjudicated. Infrastructure is designed and built. Licensing proceeds in parallel and in sequence with all of it. Somewhere inside that layered process, calendar time accumulates. The policy question is where.</w:t>
      </w:r>
    </w:p>
    <w:p>
      <w:pPr>
        <w:pStyle w:val="BodyText"/>
        <w:spacing w:line="480" w:lineRule="auto"/>
        <w:ind w:firstLine="720"/>
      </w:pPr>
      <w:r>
        <w:t xml:space="preserve">Two rival stories compete. The first story holds that environmental review is the rate-limiting step, that the length and contestability of the documentation process sets the outer bound on how fast a site can come online. The second story holds that review tracks other constraints without causing them, that documentation length is a symptom of site complexity, community opposition, and engineering difficulty rather than an independent driver of delay. Both stories are plausible. Both are told with confidence. Neither has been tested against a corpus of evidence assembled for the purpose.</w:t>
      </w:r>
    </w:p>
    <w:p>
      <w:pPr>
        <w:pStyle w:val="BodyText"/>
        <w:spacing w:line="480" w:lineRule="auto"/>
        <w:ind w:firstLine="720"/>
      </w:pPr>
      <w:r>
        <w:t xml:space="preserve">The difficulty is that time-to-operational is expensive to observe directly and cleanly across many sites. Sites differ in geography, in regulatory history, in the vehicles they intend to host, and in the political environments that surround them. A single well-measured causal estimate of review length on operational date, cleanly identified, is not available from any public dataset at the scale this project can reach. That constraint shapes the design that follows, and admitting it early is the first act of the discipline this dissertation tries to sustain.</w:t>
      </w:r>
    </w:p>
    <w:p>
      <w:pPr>
        <w:pStyle w:val="BodyText"/>
        <w:spacing w:line="480" w:lineRule="auto"/>
        <w:ind w:firstLine="720"/>
      </w:pPr>
      <w:r>
        <w:t xml:space="preserve">Consider the calendar arithmetic more carefully. A spaceport that reaches operation in five years and one that reaches operation in nine years differ by four years, and those four years are worth enormous sums to an operator whose launch manifest is waiting on a site. The temptation is to attribute the entire gap to the single most legible difference between the two projects, and the environmental documentation is almost always the most legible difference, because it is public, dated, and contestable, which a financing negotiation or an engineering setback is not. Legibility invites attribution, and attribution invites the delay claim. The claim’s popularity is partly an artifact of what is easy to see</w:t>
      </w:r>
      <w:r>
        <w:t xml:space="preserve"> </w:t>
      </w:r>
      <w:hyperlink w:anchor="ref-4">
        <w:r>
          <w:rPr>
            <w:rStyle w:val="Hyperlink"/>
          </w:rPr>
          <w:t xml:space="preserve">[4]</w:t>
        </w:r>
      </w:hyperlink>
      <w:r>
        <w:t xml:space="preserve">. Ease of sight is not evidence.</w:t>
      </w:r>
    </w:p>
    <w:p>
      <w:pPr>
        <w:pStyle w:val="BodyText"/>
        <w:spacing w:line="480" w:lineRule="auto"/>
        <w:ind w:firstLine="720"/>
      </w:pPr>
      <w:r>
        <w:t xml:space="preserve">None of that makes the claim false. Rising launch cadence and a proliferation of proposed sites have put genuine pressure on a review system that was calibrated for a slower era</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pressure is real, and it would be strange if a system under that much strain contributed nothing to timelines. The point is only that a real pressure and a binding constraint are different things, and the difference is exactly what evidence is supposed to adjudicate. An institution can be strained, visible, and frequently blamed without being the step that actually sets the outer bound on how fast a site comes online.</w:t>
      </w:r>
    </w:p>
    <w:bookmarkEnd w:id="61"/>
    <w:bookmarkStart w:id="62" w:name="what-this-dissertation-actually-tests"/>
    <w:p>
      <w:pPr>
        <w:pStyle w:val="Heading2"/>
        <w:spacing w:line="480" w:lineRule="auto"/>
      </w:pPr>
      <w:r>
        <w:t xml:space="preserve">1.2 What this dissertation actually tests</w:t>
      </w:r>
    </w:p>
    <w:p>
      <w:pPr>
        <w:pStyle w:val="FirstParagraph"/>
        <w:spacing w:line="480" w:lineRule="auto"/>
      </w:pPr>
      <w:r>
        <w:t xml:space="preserve">Rather than overclaim a causal estimate the data cannot yield, this dissertation tests a prior and necessary condition: whether the candidate topic is structured in the retrieved literature at all, and if so, along which dimensions. If environmental review as a launch gate is a live and hardening concern, that concern should leave fingerprints in how the relevant source records are distributed across publication time, citation attention, and venue family</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it leaves no such fingerprints, then strong policy claims about the gate are premature regardless of how confidently they are voiced.</w:t>
      </w:r>
    </w:p>
    <w:p>
      <w:pPr>
        <w:pStyle w:val="BodyText"/>
        <w:spacing w:line="480" w:lineRule="auto"/>
        <w:ind w:firstLine="720"/>
      </w:pPr>
      <w:r>
        <w:t xml:space="preserve">The falsifiable contribution is a single document-level test, run two ways. The first estimator is an ordinary least squares model of topic-signal intensity as a function of publication recency, citation count, and venue family. The second estimator is a log-log learning-curve model of citation accumulation as a function of article age. Each model can fail. Each was fixed against a stable record set before estimation. Each reports deterministic output that any reader can reproduce from the embedded data workbooks.</w:t>
      </w:r>
    </w:p>
    <w:p>
      <w:pPr>
        <w:pStyle w:val="BodyText"/>
        <w:spacing w:line="480" w:lineRule="auto"/>
        <w:ind w:firstLine="720"/>
      </w:pPr>
      <w:r>
        <w:t xml:space="preserve">This is a corpus-structure test, not a causal policy test, and the distinction is load-bearing throughout. The models tell us whether and how the topic is visible in the assembled evidence. They do not tell us the elasticity of operational date with respect to review length. Keeping that boundary sharp is the central methodological commitment of the project</w:t>
      </w:r>
      <w:r>
        <w:t xml:space="preserve"> </w:t>
      </w:r>
      <w:hyperlink w:anchor="ref-5">
        <w:r>
          <w:rPr>
            <w:rStyle w:val="Hyperlink"/>
          </w:rPr>
          <w:t xml:space="preserve">[5]</w:t>
        </w:r>
      </w:hyperlink>
      <w:r>
        <w:t xml:space="preserve">.</w:t>
      </w:r>
    </w:p>
    <w:p>
      <w:pPr>
        <w:pStyle w:val="BodyText"/>
        <w:spacing w:line="480" w:lineRule="auto"/>
        <w:ind w:firstLine="720"/>
      </w:pPr>
      <w:r>
        <w:t xml:space="preserve">The choice to test corpus structure rather than causal effect is not a retreat from ambition; it is a sequencing decision. Any credible causal study of the environmental gate would first need to establish that the topic is coherent enough in the literature to define its terms, locate its debates, and identify the covariates a matched design would require. A field too diffuse to show any structure cannot yet support a clean causal question, because the analyst would not even know which comparisons to draw</w:t>
      </w:r>
      <w:r>
        <w:t xml:space="preserve"> </w:t>
      </w:r>
      <w:hyperlink w:anchor="ref-3">
        <w:r>
          <w:rPr>
            <w:rStyle w:val="Hyperlink"/>
          </w:rPr>
          <w:t xml:space="preserve">[3]</w:t>
        </w:r>
      </w:hyperlink>
      <w:r>
        <w:t xml:space="preserve"> </w:t>
      </w:r>
      <w:hyperlink w:anchor="ref-8">
        <w:r>
          <w:rPr>
            <w:rStyle w:val="Hyperlink"/>
          </w:rPr>
          <w:t xml:space="preserve">[8]</w:t>
        </w:r>
      </w:hyperlink>
      <w:r>
        <w:t xml:space="preserve">. So the screen this dissertation runs is the natural first move in a two-move research program, and it is a move that can fail on its own terms. If the topic showed no structure along any theorized dimension, the correct conclusion would be that the causal question is premature, and that conclusion would itself be a finding worth reporting.</w:t>
      </w:r>
    </w:p>
    <w:bookmarkEnd w:id="62"/>
    <w:bookmarkStart w:id="63" w:name="Xad2e15319dfddd1b31360f3ee8c63b5cb8d9dcf"/>
    <w:p>
      <w:pPr>
        <w:pStyle w:val="Heading2"/>
        <w:spacing w:line="480" w:lineRule="auto"/>
      </w:pPr>
      <w:r>
        <w:t xml:space="preserve">1.3 Why the modest design is the honest design</w:t>
      </w:r>
    </w:p>
    <w:p>
      <w:pPr>
        <w:pStyle w:val="FirstParagraph"/>
        <w:spacing w:line="480" w:lineRule="auto"/>
      </w:pPr>
      <w:r>
        <w:t xml:space="preserve">A dissertation can fail in two opposite directions. It can promise a clean causal answer it cannot support, dressing intuition in the vocabulary of identification. Or it can retreat into pure narrative, offering no test that could ever come out the wrong way. This project refuses both failures. It offers a test that can be run, that can fail, and whose result is fixed by the data rather than by the author’s preference.</w:t>
      </w:r>
    </w:p>
    <w:p>
      <w:pPr>
        <w:pStyle w:val="BodyText"/>
        <w:spacing w:line="480" w:lineRule="auto"/>
        <w:ind w:firstLine="720"/>
      </w:pPr>
      <w:r>
        <w:t xml:space="preserve">The honesty is in the boundaries. When a coefficient is signed and precisely estimated, the analysis reads it as structure in the retrieved corpus. When a coefficient is imprecise, the analysis reads it as evidence against a strong claim, not as a weaker version of the same claim</w:t>
      </w:r>
      <w:r>
        <w:t xml:space="preserve"> </w:t>
      </w:r>
      <w:hyperlink w:anchor="ref-2">
        <w:r>
          <w:rPr>
            <w:rStyle w:val="Hyperlink"/>
          </w:rPr>
          <w:t xml:space="preserve">[2]</w:t>
        </w:r>
      </w:hyperlink>
      <w:r>
        <w:t xml:space="preserve">. A noisy record set should never be forced to carry more policy weight than it can bear, and much of the discipline in the chapters that follow consists of refusing to let it.</w:t>
      </w:r>
    </w:p>
    <w:p>
      <w:pPr>
        <w:pStyle w:val="BodyText"/>
        <w:spacing w:line="480" w:lineRule="auto"/>
        <w:ind w:firstLine="720"/>
      </w:pPr>
      <w:r>
        <w:t xml:space="preserve">The design also earns its keep by being auditable. Every source record carries provenance. Every variable is constructed by a stated rule. Every estimator reports its full fit summary and its per-term coefficients and p-values. A reader who distrusts the interpretation can open the workbook, recompute the numbers, and check the author’s restraint against the evidence. That auditability is the deliverable, as much as any single finding. The trail matters. It is also, quietly, a rebuke to the way delay claims usually travel through the launch sector, which is by assertion.</w:t>
      </w:r>
    </w:p>
    <w:bookmarkEnd w:id="63"/>
    <w:bookmarkStart w:id="64" w:name="situating-the-contribution"/>
    <w:p>
      <w:pPr>
        <w:pStyle w:val="Heading2"/>
        <w:spacing w:line="480" w:lineRule="auto"/>
      </w:pPr>
      <w:r>
        <w:t xml:space="preserve">1.4 Situating the contribution</w:t>
      </w:r>
    </w:p>
    <w:p>
      <w:pPr>
        <w:pStyle w:val="FirstParagraph"/>
        <w:spacing w:line="480" w:lineRule="auto"/>
      </w:pPr>
      <w:r>
        <w:t xml:space="preserve">The spaceport siting literature has grown more sophisticated about sustainability, about the environmental footprint of repeated launch operations, and about the ground-segment infrastructure that a launch site requires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Work on launch-on-demand and rapid launch capability has sharpened the policy stakes of schedule, framing time-to-operational as a strategic variable rather than a mere administrative one</w:t>
      </w:r>
      <w:r>
        <w:t xml:space="preserve"> </w:t>
      </w:r>
      <w:hyperlink w:anchor="ref-1">
        <w:r>
          <w:rPr>
            <w:rStyle w:val="Hyperlink"/>
          </w:rPr>
          <w:t xml:space="preserve">[1]</w:t>
        </w:r>
      </w:hyperlink>
      <w:r>
        <w:t xml:space="preserve"> </w:t>
      </w:r>
      <w:hyperlink w:anchor="ref-4">
        <w:r>
          <w:rPr>
            <w:rStyle w:val="Hyperlink"/>
          </w:rPr>
          <w:t xml:space="preserve">[4]</w:t>
        </w:r>
      </w:hyperlink>
      <w:r>
        <w:t xml:space="preserve">. Studies of launch traffic growth have made the demand side quantitative, projecting the volume of operations the ground system must eventually absorb</w:t>
      </w:r>
      <w:r>
        <w:t xml:space="preserve"> </w:t>
      </w:r>
      <w:hyperlink w:anchor="ref-11">
        <w:r>
          <w:rPr>
            <w:rStyle w:val="Hyperlink"/>
          </w:rPr>
          <w:t xml:space="preserve">[11]</w:t>
        </w:r>
      </w:hyperlink>
      <w:r>
        <w:t xml:space="preserve">.</w:t>
      </w:r>
    </w:p>
    <w:p>
      <w:pPr>
        <w:pStyle w:val="BodyText"/>
        <w:spacing w:line="480" w:lineRule="auto"/>
        <w:ind w:firstLine="720"/>
      </w:pPr>
      <w:r>
        <w:t xml:space="preserve">What that body of work has not done is measure whether environmental review, specifically, is the structural pinch point that industry rhetoric assumes. The gap this dissertation addresses is the gap between technical characterization of spaceport systems and institutional explanation of spaceport timelines. The first tells us what a launch site is and does. The second would tell us why some sites take longer than others to reach operation. This project takes a disciplined first step across that gap by asking whether the topic is even legible in the evidence before anyone attempts the harder causal question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There is a further reason to begin here. Emissions modeling for reusable launch vehicles has become quantitative and specific, which means the substantive content of an environmental review is now richer and more contestable than it once was</w:t>
      </w:r>
      <w:r>
        <w:t xml:space="preserve"> </w:t>
      </w:r>
      <w:hyperlink w:anchor="ref-12">
        <w:r>
          <w:rPr>
            <w:rStyle w:val="Hyperlink"/>
          </w:rPr>
          <w:t xml:space="preserve">[12]</w:t>
        </w:r>
      </w:hyperlink>
      <w:r>
        <w:t xml:space="preserve">. A review that must weigh detailed atmospheric estimates is a different administrative object than a review that ticks boxes. If that richer content is what lengthens timelines, it should eventually show up as topic salience in the literature that feeds the review. Testing for that salience is the entry point this dissertation chooses.</w:t>
      </w:r>
    </w:p>
    <w:bookmarkEnd w:id="64"/>
    <w:bookmarkStart w:id="65" w:name="X6fd727f859bbdf3d12f1938e6e323536e2d73dd"/>
    <w:p>
      <w:pPr>
        <w:pStyle w:val="Heading2"/>
        <w:spacing w:line="480" w:lineRule="auto"/>
      </w:pPr>
      <w:r>
        <w:t xml:space="preserve">1.5 The environmental gate as an institution, not a form</w:t>
      </w:r>
    </w:p>
    <w:p>
      <w:pPr>
        <w:pStyle w:val="FirstParagraph"/>
        <w:spacing w:line="480" w:lineRule="auto"/>
      </w:pPr>
      <w:r>
        <w:t xml:space="preserve">It is worth pausing on what the environmental gate actually is, because the reflexive delay claim tends to flatten it into a single form to be filed. The review process is better understood as an institution: a durable set of rules, actors, and expectations that shapes behavior long before any document is submitted. Operators anticipate the gate and design around it. Communities organize in relation to it. Agencies calibrate their own timelines to its rhythms. The institution casts a shadow forward across the entire development pipeline, and that shadow is part of what a study of timelines must reckon with</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An institution of this kind has three features that matter for measurement. First, it produces documents, and those documents accumulate in a record that can be observed. Second, it evolves, because the technical content it must adjudicate changes as launch technology changes, and an institution adjudicating quantitative emissions estimates is a different institution than one reviewing a static site plan</w:t>
      </w:r>
      <w:r>
        <w:t xml:space="preserve"> </w:t>
      </w:r>
      <w:hyperlink w:anchor="ref-12">
        <w:r>
          <w:rPr>
            <w:rStyle w:val="Hyperlink"/>
          </w:rPr>
          <w:t xml:space="preserve">[12]</w:t>
        </w:r>
      </w:hyperlink>
      <w:r>
        <w:t xml:space="preserve">. Third, it is contested, because the actors it governs have divergent interests in its speed and stringency, and contestation generates precisely the kind of analytic literature that leaves a documentary trace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These three features are why a corpus-structure screen is a reasonable first instrument: an institution that produces, evolves, and provokes contestation should be legible in the literature that surrounds it, if it is consequential at all.</w:t>
      </w:r>
    </w:p>
    <w:p>
      <w:pPr>
        <w:pStyle w:val="BodyText"/>
        <w:spacing w:line="480" w:lineRule="auto"/>
        <w:ind w:firstLine="720"/>
      </w:pPr>
      <w:r>
        <w:t xml:space="preserve">The alternative hypothesis deserves equal respect. The gate may be an institution that has routinized, that adjudicates predictably and quickly, and whose apparent association with delay is an artifact of its being the most visible step in a pipeline whose real bottlenecks are quieter. Financing gaps, supply-chain constraints on ground infrastructure, engineering rework, and community opposition all consume calendar time without producing the conspicuous paper trail that a formal review generates</w:t>
      </w:r>
      <w:r>
        <w:t xml:space="preserve"> </w:t>
      </w:r>
      <w:hyperlink w:anchor="ref-14">
        <w:r>
          <w:rPr>
            <w:rStyle w:val="Hyperlink"/>
          </w:rPr>
          <w:t xml:space="preserve">[14]</w:t>
        </w:r>
      </w:hyperlink>
      <w:r>
        <w:t xml:space="preserve">. If that alternative is right, the gate is being blamed for its visibility rather than its causal weight, and a literature screen should find its salience flat or falling rather than rising. The design is built to let that alternative win if the data favor it.</w:t>
      </w:r>
    </w:p>
    <w:bookmarkEnd w:id="65"/>
    <w:bookmarkStart w:id="66" w:name="a-note-on-scope-and-generalizability"/>
    <w:p>
      <w:pPr>
        <w:pStyle w:val="Heading2"/>
        <w:spacing w:line="480" w:lineRule="auto"/>
      </w:pPr>
      <w:r>
        <w:t xml:space="preserve">1.6 A note on scope and generalizability</w:t>
      </w:r>
    </w:p>
    <w:p>
      <w:pPr>
        <w:pStyle w:val="FirstParagraph"/>
        <w:spacing w:line="480" w:lineRule="auto"/>
      </w:pPr>
      <w:r>
        <w:t xml:space="preserve">This dissertation studies a retrieved corpus of thirty source records, and the reader should hold that number in view from the outset. Thirty records is a small sample, and the corpus was retrieved from specific indexes rather than drawn at random from the universe of relevant writing. Both facts bound what the study can claim, and neither is hidden. The findings describe the structure of the retrieved corpus; they do not describe the structure of the launch-policy literature as a whole, and they certainly do not describe the population of spaceports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Why accept those bounds rather than chase a larger, cleaner dataset? Because the larger dataset does not exist in accessible form, and building it is the work of the successor study this dissertation specifies rather than the work it can complete. A design that waited for the ideal dataset would produce nothing. A design that pretended its thirty records were a population sample would produce something false. The honest middle path is to run a rigorous screen on the corpus that exists, report exactly what it returns, and mark the edge beyond which the findings do not travel. That middle path is the one this project walks, and the roadmap below is its itinerary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66"/>
    <w:bookmarkStart w:id="67" w:name="roadmap"/>
    <w:p>
      <w:pPr>
        <w:pStyle w:val="Heading2"/>
        <w:spacing w:line="480" w:lineRule="auto"/>
      </w:pPr>
      <w:r>
        <w:t xml:space="preserve">1.7 Roadmap</w:t>
      </w:r>
    </w:p>
    <w:p>
      <w:pPr>
        <w:pStyle w:val="FirstParagraph"/>
        <w:spacing w:line="480" w:lineRule="auto"/>
      </w:pPr>
      <w:r>
        <w:t xml:space="preserve">The dissertation proceeds in eight chapters. Chapter 2 situates the project against prior work on spaceport siting, launch policy, and space governance, drawing on the assembled reference pool to locate the contribution precisely. Chapter 3 develops the theory: the mechanism by which an environmental-review gate would, if binding, leave measurable structure in a topic literature, and the testable predictions that follow. Chapter 4 sets out the estimators and explains why each identifies the corpus-structure quantity it targets, including the choice of robust standard errors and the fixed specification. Chapter 5 describes the data: the candidate record set, the construction of every variable, the sources of each record, and the sample size.</w:t>
      </w:r>
    </w:p>
    <w:p>
      <w:pPr>
        <w:pStyle w:val="BodyText"/>
        <w:spacing w:line="480" w:lineRule="auto"/>
        <w:ind w:firstLine="720"/>
      </w:pPr>
      <w:r>
        <w:t xml:space="preserve">Chapter 6 is the empirical core. It reports the exact estimator output for both models, coefficients, standard errors, p-values, and sample size, reproduced verbatim from the embedded workbooks, and it interprets the signs and magnitudes with the restraint the design demands. Chapter 7 discusses what the findings mean and, equally, what they cannot mean, cataloguing the threats to validity that bound every interpretation. Chapter 8 states the contribution, draws out the governance and program relevance for spaceport siting and launch licensing, and lays out the more direct document-coding design that a causal successor project would require</w:t>
      </w:r>
      <w:r>
        <w:t xml:space="preserve"> </w:t>
      </w:r>
      <w:hyperlink w:anchor="ref-6">
        <w:r>
          <w:rPr>
            <w:rStyle w:val="Hyperlink"/>
          </w:rPr>
          <w:t xml:space="preserve">[6]</w:t>
        </w:r>
      </w:hyperlink>
      <w:r>
        <w:t xml:space="preserve">.</w:t>
      </w:r>
    </w:p>
    <w:p>
      <w:pPr>
        <w:pStyle w:val="BodyText"/>
        <w:spacing w:line="480" w:lineRule="auto"/>
        <w:ind w:firstLine="720"/>
      </w:pPr>
      <w:r>
        <w:t xml:space="preserve">A word is owed on why the corpus-structure screen precedes the causal study rather than the reverse, since a reader might expect a dissertation to lead with its most ambitious question. The ordering is dictated by the evidence, not by timidity. A causal design needs a defined comparison set, a measured outcome, and a set of covariates chosen to close the paths that would otherwise confound the estimate. None of those can be specified responsibly for a topic whose literature has not first been shown to be coherent. Which venues carry the debate? Which records define the terms? Which covariates does the substantive discussion suggest? These are questions the screen answers, and they are prerequisites for the causal design rather than luxuries</w:t>
      </w:r>
      <w:r>
        <w:t xml:space="preserve"> </w:t>
      </w:r>
      <w:hyperlink w:anchor="ref-3">
        <w:r>
          <w:rPr>
            <w:rStyle w:val="Hyperlink"/>
          </w:rPr>
          <w:t xml:space="preserve">[3]</w:t>
        </w:r>
      </w:hyperlink>
      <w:r>
        <w:t xml:space="preserve"> </w:t>
      </w:r>
      <w:hyperlink w:anchor="ref-8">
        <w:r>
          <w:rPr>
            <w:rStyle w:val="Hyperlink"/>
          </w:rPr>
          <w:t xml:space="preserve">[8]</w:t>
        </w:r>
      </w:hyperlink>
      <w:r>
        <w:t xml:space="preserve">. Running the screen first is therefore the efficient path, because it prevents a costly causal study from being built on a topic that turns out to be too diffuse to measure.</w:t>
      </w:r>
    </w:p>
    <w:p>
      <w:pPr>
        <w:pStyle w:val="BodyText"/>
        <w:spacing w:line="480" w:lineRule="auto"/>
        <w:ind w:firstLine="720"/>
      </w:pPr>
      <w:r>
        <w:t xml:space="preserve">The screen also has a quiet auditing function for the field’s own claims. If the launch sector is right that environmental review is a rising and binding constraint, the topic should be structured and its salience should be climbing, and the screen will detect that climb</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If the sector is instead projecting its frustrations onto the most visible step in a slow pipeline, the screen will find flat or incoherent structure, and that finding will discipline the rhetoric. Either way the screen returns information the field currently lacks, which is why a modest instrument is worth building before a grand one.</w:t>
      </w:r>
    </w:p>
    <w:p>
      <w:pPr>
        <w:pStyle w:val="BodyText"/>
        <w:spacing w:line="480" w:lineRule="auto"/>
        <w:ind w:firstLine="720"/>
      </w:pPr>
      <w:r>
        <w:t xml:space="preserve">The through-line is a single commitment. This dissertation would rather report a small, defensible result than a large, decorative one. The chapters that follow are an extended argument for why that trade is the right one when the institution under study is as consequential, and as contested, as the environmental gate that stands between a proposed spaceport and its first launch. Vocabulary is fixed here for the whole document. The launch gate is the environmental review step. Time-to-operational is the interval from proposal to first operational launch. Topic signal is the deterministic count of theme terms in a source record. None of these terms will be asked to mean more than its construction allows. Words earn their scope.</w:t>
      </w:r>
    </w:p>
    <w:bookmarkEnd w:id="67"/>
    <w:bookmarkEnd w:id="68"/>
    <w:bookmarkStart w:id="79" w:name="chapter-2.-literature-review"/>
    <w:p>
      <w:pPr>
        <w:pStyle w:val="Heading1"/>
        <w:spacing w:line="480" w:lineRule="auto"/>
      </w:pPr>
      <w:r>
        <w:t xml:space="preserve">Chapter 2. Literature Review</w:t>
      </w:r>
    </w:p>
    <w:p>
      <w:pPr>
        <w:pStyle w:val="FirstParagraph"/>
        <w:spacing w:line="480" w:lineRule="auto"/>
      </w:pPr>
      <w:r>
        <w:t xml:space="preserve">Two bodies of work bear on this dissertation, and they rarely meet. One is the substantive literature on spaceports, launch policy, and space governance: writing that establishes why an environmental gate on launch-site development is a real and rising problem. The other is the measurement literature: writing about how to turn documents, citations, publication years, and venues into variables that can be estimated. The contribution of this chapter is to hold both strands in view and to locate, precisely, the seam where they fail to connect. That seam is where the dissertation does its work.</w:t>
      </w:r>
    </w:p>
    <w:bookmarkStart w:id="69" w:name="spaceports-as-sited-infrastructure"/>
    <w:p>
      <w:pPr>
        <w:pStyle w:val="Heading2"/>
        <w:spacing w:line="480" w:lineRule="auto"/>
      </w:pPr>
      <w:r>
        <w:t xml:space="preserve">2.1 Spaceports as sited infrastructure</w:t>
      </w:r>
    </w:p>
    <w:p>
      <w:pPr>
        <w:pStyle w:val="FirstParagraph"/>
        <w:spacing w:line="480" w:lineRule="auto"/>
      </w:pPr>
      <w:r>
        <w:t xml:space="preserve">A launch site is not a runway with rockets. It is a fixed piece of infrastructure whose placement, footprint, and operating envelope are constrained by geography, safety corridors, and the communities within range. The most direct treatment of that reality in the assembled sources is the study of sustainable site planning for new launch facilities, which frames spaceport siting as an exercise in balancing operational capability against environmental and community constraint</w:t>
      </w:r>
      <w:r>
        <w:t xml:space="preserve"> </w:t>
      </w:r>
      <w:hyperlink w:anchor="ref-9">
        <w:r>
          <w:rPr>
            <w:rStyle w:val="Hyperlink"/>
          </w:rPr>
          <w:t xml:space="preserve">[9]</w:t>
        </w:r>
      </w:hyperlink>
      <w:r>
        <w:t xml:space="preserve">. That framing is important for this project because it treats the environmental dimension not as an afterthought bolted onto an engineering decision, but as a structuring variable in the siting problem itself.</w:t>
      </w:r>
    </w:p>
    <w:p>
      <w:pPr>
        <w:pStyle w:val="BodyText"/>
        <w:spacing w:line="480" w:lineRule="auto"/>
        <w:ind w:firstLine="720"/>
      </w:pPr>
      <w:r>
        <w:t xml:space="preserve">Adjacent work on ground-segment assessment for suborbital transportation extends the point</w:t>
      </w:r>
      <w:r>
        <w:t xml:space="preserve"> </w:t>
      </w:r>
      <w:hyperlink w:anchor="ref-14">
        <w:r>
          <w:rPr>
            <w:rStyle w:val="Hyperlink"/>
          </w:rPr>
          <w:t xml:space="preserve">[14]</w:t>
        </w:r>
      </w:hyperlink>
      <w:r>
        <w:t xml:space="preserve">. Enabling operations at a candidate territory turns out to require a coordinated evaluation of ground infrastructure, safety, and regulatory fit, not a single go/no-go engineering judgment. The lesson for a study of time-to-operational is that the clock runs across many coupled subsystems, and environmental review is one node in that coupled system rather than a free-standing hurdle. Any honest test of whether review drives delay has to reckon with the fact that review is entangled with the very complexity it is asked to certify.</w:t>
      </w:r>
    </w:p>
    <w:p>
      <w:pPr>
        <w:pStyle w:val="BodyText"/>
        <w:spacing w:line="480" w:lineRule="auto"/>
        <w:ind w:firstLine="720"/>
      </w:pPr>
      <w:r>
        <w:t xml:space="preserve">Site-selection studies at the national scale reinforce the same theme. Preliminary work on potential spaceports for suborbital tourism and point-to-point transportation treats candidate-site identification as a multi-criteria problem in which regulatory and environmental feasibility sit alongside geographic and market factors</w:t>
      </w:r>
      <w:r>
        <w:t xml:space="preserve"> </w:t>
      </w:r>
      <w:hyperlink w:anchor="ref-10">
        <w:r>
          <w:rPr>
            <w:rStyle w:val="Hyperlink"/>
          </w:rPr>
          <w:t xml:space="preserve">[10]</w:t>
        </w:r>
      </w:hyperlink>
      <w:r>
        <w:t xml:space="preserve">. Read together, these sources make spaceport siting legible as a governance problem, not merely a location problem. That is precisely the register in which an environmental-gate question belongs.</w:t>
      </w:r>
    </w:p>
    <w:bookmarkEnd w:id="69"/>
    <w:bookmarkStart w:id="70" w:name="the-strategic-weight-of-schedule"/>
    <w:p>
      <w:pPr>
        <w:pStyle w:val="Heading2"/>
        <w:spacing w:line="480" w:lineRule="auto"/>
      </w:pPr>
      <w:r>
        <w:t xml:space="preserve">2.2 The strategic weight of schedule</w:t>
      </w:r>
    </w:p>
    <w:p>
      <w:pPr>
        <w:pStyle w:val="FirstParagraph"/>
        <w:spacing w:line="480" w:lineRule="auto"/>
      </w:pPr>
      <w:r>
        <w:t xml:space="preserve">If siting is the spatial dimension, schedule is the temporal one, and the literature has increasingly treated schedule as a strategic asset. Work on rapid space launch capability frames the ability to bring capacity online quickly as a capability in its own right, not a logistical detail</w:t>
      </w:r>
      <w:r>
        <w:t xml:space="preserve"> </w:t>
      </w:r>
      <w:hyperlink w:anchor="ref-1">
        <w:r>
          <w:rPr>
            <w:rStyle w:val="Hyperlink"/>
          </w:rPr>
          <w:t xml:space="preserve">[1]</w:t>
        </w:r>
      </w:hyperlink>
      <w:r>
        <w:t xml:space="preserve">. When conceptual frameworks for rapid launch are being written, the implicit claim is that time-to-operational is contested terrain, and that whatever gates that timeline acquires outsized importance.</w:t>
      </w:r>
    </w:p>
    <w:p>
      <w:pPr>
        <w:pStyle w:val="BodyText"/>
        <w:spacing w:line="480" w:lineRule="auto"/>
        <w:ind w:firstLine="720"/>
      </w:pPr>
      <w:r>
        <w:t xml:space="preserve">Analysis of launch-on-demand capabilities sharpens the policy and geopolitical stakes further</w:t>
      </w:r>
      <w:r>
        <w:t xml:space="preserve"> </w:t>
      </w:r>
      <w:hyperlink w:anchor="ref-4">
        <w:r>
          <w:rPr>
            <w:rStyle w:val="Hyperlink"/>
          </w:rPr>
          <w:t xml:space="preserve">[4]</w:t>
        </w:r>
      </w:hyperlink>
      <w:r>
        <w:t xml:space="preserve">. If responsiveness is a source of advantage, then anything that lengthens the path from proposal to operation carries strategic cost, and environmental review is a natural suspect precisely because it is visible, documented, and contestable. This is the intuition the dissertation sets out to test rather than inherit. The strategic framing explains why the delay claim is voiced so often and so confidently; it does not, by itself, establish that the claim is true.</w:t>
      </w:r>
    </w:p>
    <w:p>
      <w:pPr>
        <w:pStyle w:val="BodyText"/>
        <w:spacing w:line="480" w:lineRule="auto"/>
        <w:ind w:firstLine="720"/>
      </w:pPr>
      <w:r>
        <w:t xml:space="preserve">The demand side gives the schedule question its urgency. Traffic forecasts tied to global economic output and announced constellation plans project sustained growth in launch volume</w:t>
      </w:r>
      <w:r>
        <w:t xml:space="preserve"> </w:t>
      </w:r>
      <w:hyperlink w:anchor="ref-11">
        <w:r>
          <w:rPr>
            <w:rStyle w:val="Hyperlink"/>
          </w:rPr>
          <w:t xml:space="preserve">[11]</w:t>
        </w:r>
      </w:hyperlink>
      <w:r>
        <w:t xml:space="preserve">. A ground system that must absorb rising cadence cannot afford indefinite site-development timelines, which raises the value of understanding exactly where the timeline binds. A forecast of demand is not a diagnosis of supply-side delay, but it establishes the pressure under which the delay question is being asked.</w:t>
      </w:r>
    </w:p>
    <w:bookmarkEnd w:id="70"/>
    <w:bookmarkStart w:id="71" w:name="what-environmental-review-now-weighs"/>
    <w:p>
      <w:pPr>
        <w:pStyle w:val="Heading2"/>
        <w:spacing w:line="480" w:lineRule="auto"/>
      </w:pPr>
      <w:r>
        <w:t xml:space="preserve">2.3 What environmental review now weighs</w:t>
      </w:r>
    </w:p>
    <w:p>
      <w:pPr>
        <w:pStyle w:val="FirstParagraph"/>
        <w:spacing w:line="480" w:lineRule="auto"/>
      </w:pPr>
      <w:r>
        <w:t xml:space="preserve">The content of an environmental review has become more technical, and that matters for a study of whether review lengthens timelines. Emissions estimation for air-breathing reusable access-to-space vehicles is now a quantitative discipline, with methodologies for projecting atmospheric effects during conceptual design</w:t>
      </w:r>
      <w:r>
        <w:t xml:space="preserve"> </w:t>
      </w:r>
      <w:hyperlink w:anchor="ref-12">
        <w:r>
          <w:rPr>
            <w:rStyle w:val="Hyperlink"/>
          </w:rPr>
          <w:t xml:space="preserve">[12]</w:t>
        </w:r>
      </w:hyperlink>
      <w:r>
        <w:t xml:space="preserve">. A review that must evaluate such estimates is adjudicating real technical uncertainty, not performing a formality. The heavier the substantive content, the more plausible it becomes that review is a genuine constraint rather than an administrative veneer, and the more important it becomes to test the claim directly.</w:t>
      </w:r>
    </w:p>
    <w:p>
      <w:pPr>
        <w:pStyle w:val="BodyText"/>
        <w:spacing w:line="480" w:lineRule="auto"/>
        <w:ind w:firstLine="720"/>
      </w:pPr>
      <w:r>
        <w:t xml:space="preserve">Emerging autonomous flight-safety systems point in a complementary direction</w:t>
      </w:r>
      <w:r>
        <w:t xml:space="preserve"> </w:t>
      </w:r>
      <w:hyperlink w:anchor="ref-16">
        <w:r>
          <w:rPr>
            <w:rStyle w:val="Hyperlink"/>
          </w:rPr>
          <w:t xml:space="preserve">[16]</w:t>
        </w:r>
      </w:hyperlink>
      <w:r>
        <w:t xml:space="preserve">. As safety functions become software-defined and autonomous, the certification and review burden shifts rather than disappears, and the environmental and safety cases a site must make evolve with the technology it intends to host. The gate is a moving target, which is one reason its effect on timelines is hard to pin down with static intuition. The target moves.</w:t>
      </w:r>
    </w:p>
    <w:bookmarkEnd w:id="71"/>
    <w:bookmarkStart w:id="72" w:name="the-measurement-strand"/>
    <w:p>
      <w:pPr>
        <w:pStyle w:val="Heading2"/>
        <w:spacing w:line="480" w:lineRule="auto"/>
      </w:pPr>
      <w:r>
        <w:t xml:space="preserve">2.4 The measurement strand</w:t>
      </w:r>
    </w:p>
    <w:p>
      <w:pPr>
        <w:pStyle w:val="FirstParagraph"/>
        <w:spacing w:line="480" w:lineRule="auto"/>
      </w:pPr>
      <w:r>
        <w:t xml:space="preserve">The second strand asks a different question: how does one convert a literature into evidence about its own structure? Here the assembled sources supply method by analogy. A survey of telecommunication license applications in geosynchronous orbit demonstrates that regulatory activity can be catalogued, counted, and analyzed as data rather than narrated case by case</w:t>
      </w:r>
      <w:r>
        <w:t xml:space="preserve"> </w:t>
      </w:r>
      <w:hyperlink w:anchor="ref-2">
        <w:r>
          <w:rPr>
            <w:rStyle w:val="Hyperlink"/>
          </w:rPr>
          <w:t xml:space="preserve">[2]</w:t>
        </w:r>
      </w:hyperlink>
      <w:r>
        <w:t xml:space="preserve">. That move, treating applications and records as observations, is the same move this dissertation makes with source records.</w:t>
      </w:r>
    </w:p>
    <w:p>
      <w:pPr>
        <w:pStyle w:val="BodyText"/>
        <w:spacing w:line="480" w:lineRule="auto"/>
        <w:ind w:firstLine="720"/>
      </w:pPr>
      <w:r>
        <w:t xml:space="preserve">Work on national interests in space situational awareness models how a policy domain can be characterized through its documentary output, showing that institutional priorities leave a legible trace in the record</w:t>
      </w:r>
      <w:r>
        <w:t xml:space="preserve"> </w:t>
      </w:r>
      <w:hyperlink w:anchor="ref-3">
        <w:r>
          <w:rPr>
            <w:rStyle w:val="Hyperlink"/>
          </w:rPr>
          <w:t xml:space="preserve">[3]</w:t>
        </w:r>
      </w:hyperlink>
      <w:r>
        <w:t xml:space="preserve">. Analysis of clustering-based track association, though technical in origin, supplies a discipline about grouping noisy observations without overinterpreting the groups</w:t>
      </w:r>
      <w:r>
        <w:t xml:space="preserve"> </w:t>
      </w:r>
      <w:hyperlink w:anchor="ref-5">
        <w:r>
          <w:rPr>
            <w:rStyle w:val="Hyperlink"/>
          </w:rPr>
          <w:t xml:space="preserve">[5]</w:t>
        </w:r>
      </w:hyperlink>
      <w:r>
        <w:t xml:space="preserve">. Each of these offers a template: define observable fields, count them consistently, and refuse to read more into the grouping than the data support.</w:t>
      </w:r>
    </w:p>
    <w:p>
      <w:pPr>
        <w:pStyle w:val="BodyText"/>
        <w:spacing w:line="480" w:lineRule="auto"/>
        <w:ind w:firstLine="720"/>
      </w:pPr>
      <w:r>
        <w:t xml:space="preserve">Broader governance and decision-support modeling closes the loop. Source-sink evolutionary models for space environmental governance show how a domain can be reduced to a small set of tractable variables that inform decisions without pretending to capture every mechanism</w:t>
      </w:r>
      <w:r>
        <w:t xml:space="preserve"> </w:t>
      </w:r>
      <w:hyperlink w:anchor="ref-8">
        <w:r>
          <w:rPr>
            <w:rStyle w:val="Hyperlink"/>
          </w:rPr>
          <w:t xml:space="preserve">[8]</w:t>
        </w:r>
      </w:hyperlink>
      <w:r>
        <w:t xml:space="preserve">. The methodological inheritance for this dissertation is exactly that posture: a small, auditable variable set, estimated honestly, interpreted narrowly.</w:t>
      </w:r>
    </w:p>
    <w:bookmarkEnd w:id="72"/>
    <w:bookmarkStart w:id="73" w:name="X78b4a3cb61bb65ce13acb4b6574a95db7fae8cd"/>
    <w:p>
      <w:pPr>
        <w:pStyle w:val="Heading2"/>
        <w:spacing w:line="480" w:lineRule="auto"/>
      </w:pPr>
      <w:r>
        <w:t xml:space="preserve">2.5 Vehicles, propulsion, and the moving footprint</w:t>
      </w:r>
    </w:p>
    <w:p>
      <w:pPr>
        <w:pStyle w:val="FirstParagraph"/>
        <w:spacing w:line="480" w:lineRule="auto"/>
      </w:pPr>
      <w:r>
        <w:t xml:space="preserve">The environmental footprint a review must assess is not fixed; it moves with the vehicle. Design-optimization studies of propulsion systems for sounding rockets show how sharply the emissions and safety profile of a launch can vary with propulsion choice, which means two sites hosting different vehicle classes present genuinely different environmental cases even when their geography is identical</w:t>
      </w:r>
      <w:r>
        <w:t xml:space="preserve"> </w:t>
      </w:r>
      <w:hyperlink w:anchor="ref-15">
        <w:r>
          <w:rPr>
            <w:rStyle w:val="Hyperlink"/>
          </w:rPr>
          <w:t xml:space="preserve">[15]</w:t>
        </w:r>
      </w:hyperlink>
      <w:r>
        <w:t xml:space="preserve">. A review calibrated for one propulsion regime may be poorly matched to another, and the mismatch is a source of both substantive difficulty and, plausibly, of schedule friction. This is one concrete pathway by which the gate could become binding: not through bureaucratic sloth, but through a real analytic burden that grows with vehicle complexity.</w:t>
      </w:r>
    </w:p>
    <w:p>
      <w:pPr>
        <w:pStyle w:val="BodyText"/>
        <w:spacing w:line="480" w:lineRule="auto"/>
        <w:ind w:firstLine="720"/>
      </w:pPr>
      <w:r>
        <w:t xml:space="preserve">Emissions estimation for air-breathing reusable vehicles deepens the point</w:t>
      </w:r>
      <w:r>
        <w:t xml:space="preserve"> </w:t>
      </w:r>
      <w:hyperlink w:anchor="ref-12">
        <w:r>
          <w:rPr>
            <w:rStyle w:val="Hyperlink"/>
          </w:rPr>
          <w:t xml:space="preserve">[12]</w:t>
        </w:r>
      </w:hyperlink>
      <w:r>
        <w:t xml:space="preserve">. When the methodology for projecting atmospheric effects is itself under development, a review that must apply it is adjudicating a live scientific question rather than checking a settled standard. The reviewer and the operator may disagree in good faith about the right estimation method, and good-faith technical disagreement is exactly the kind of thing that consumes calendar time. The literature on emissions methodology is therefore not tangential to a study of timelines; it is a map of where the substantive contestation lives, and contestation is a candidate mechanism for delay.</w:t>
      </w:r>
    </w:p>
    <w:p>
      <w:pPr>
        <w:pStyle w:val="BodyText"/>
        <w:spacing w:line="480" w:lineRule="auto"/>
        <w:ind w:firstLine="720"/>
      </w:pPr>
      <w:r>
        <w:t xml:space="preserve">Autonomous flight-safety systems complete this cluster</w:t>
      </w:r>
      <w:r>
        <w:t xml:space="preserve"> </w:t>
      </w:r>
      <w:hyperlink w:anchor="ref-16">
        <w:r>
          <w:rPr>
            <w:rStyle w:val="Hyperlink"/>
          </w:rPr>
          <w:t xml:space="preserve">[16]</w:t>
        </w:r>
      </w:hyperlink>
      <w:r>
        <w:t xml:space="preserve">. As the safety case shifts from human-in-the-loop range control toward software-defined autonomous systems, the certification and environmental-safety burden migrates rather than vanishing, and the documents a site must produce to satisfy that burden change shape. A review process facing a novel autonomous safety architecture is, again, adjudicating something genuinely new, and novelty is slow. The pattern across all three sources is consistent: the substantive content of the gate is rising in technical difficulty, which makes the delay claim more plausible even as it complicates any attempt to test it, because difficulty and delay are entangled with the very site complexity that also drives delay through other channels.</w:t>
      </w:r>
    </w:p>
    <w:bookmarkEnd w:id="73"/>
    <w:bookmarkStart w:id="74" w:name="the-economics-of-the-ground-segment"/>
    <w:p>
      <w:pPr>
        <w:pStyle w:val="Heading2"/>
        <w:spacing w:line="480" w:lineRule="auto"/>
      </w:pPr>
      <w:r>
        <w:t xml:space="preserve">2.6 The economics of the ground segment</w:t>
      </w:r>
    </w:p>
    <w:p>
      <w:pPr>
        <w:pStyle w:val="FirstParagraph"/>
        <w:spacing w:line="480" w:lineRule="auto"/>
      </w:pPr>
      <w:r>
        <w:t xml:space="preserve">A launch site is a capital asset with an operating economics, and the assembled sources include economic-policy documents that frame spaceport development in those terms. The space-economy material in the corpus treats launch infrastructure as an investment whose returns depend on throughput, which sharpens the cost of delay: a site that reaches operation late is a stranded asset accruing carrying costs without revenue</w:t>
      </w:r>
      <w:r>
        <w:t xml:space="preserve"> </w:t>
      </w:r>
      <w:hyperlink w:anchor="ref-11">
        <w:r>
          <w:rPr>
            <w:rStyle w:val="Hyperlink"/>
          </w:rPr>
          <w:t xml:space="preserve">[11]</w:t>
        </w:r>
      </w:hyperlink>
      <w:r>
        <w:t xml:space="preserve">. This economic framing matters for the dissertation because it explains why the delay claim carries such rhetorical charge. Delay is not merely inconvenient; it is expensive enough to concentrate the minds of the actors most likely to name a culprit.</w:t>
      </w:r>
    </w:p>
    <w:p>
      <w:pPr>
        <w:pStyle w:val="BodyText"/>
        <w:spacing w:line="480" w:lineRule="auto"/>
        <w:ind w:firstLine="720"/>
      </w:pPr>
      <w:r>
        <w:t xml:space="preserve">Ground-segment assessment work supplies the operational complement</w:t>
      </w:r>
      <w:r>
        <w:t xml:space="preserve"> </w:t>
      </w:r>
      <w:hyperlink w:anchor="ref-14">
        <w:r>
          <w:rPr>
            <w:rStyle w:val="Hyperlink"/>
          </w:rPr>
          <w:t xml:space="preserve">[14]</w:t>
        </w:r>
      </w:hyperlink>
      <w:r>
        <w:t xml:space="preserve">. Enabling operations at a candidate territory requires coordinated investment across infrastructure, safety, and regulatory subsystems, and the economics of that coordination reward speed. An operator financing a site wants the environmental gate cleared quickly not out of impatience but out of the arithmetic of capital at risk. The economic and operational literatures together establish the incentive structure within which the delay claim is voiced, which is essential context for reading a literature that is, in part, the documentary residue of that incentive structure. A corpus is never a neutral mirror; it is shaped by who has reason to write, and the space-economy sources make those reasons explicit. Incentives shape the record.</w:t>
      </w:r>
    </w:p>
    <w:bookmarkEnd w:id="74"/>
    <w:bookmarkStart w:id="75" w:name="X073bbb75c01be2c972b98b66187b952310ab251"/>
    <w:p>
      <w:pPr>
        <w:pStyle w:val="Heading2"/>
        <w:spacing w:line="480" w:lineRule="auto"/>
      </w:pPr>
      <w:r>
        <w:t xml:space="preserve">2.7 What the measurement analogies do and do not license</w:t>
      </w:r>
    </w:p>
    <w:p>
      <w:pPr>
        <w:pStyle w:val="FirstParagraph"/>
        <w:spacing w:line="480" w:lineRule="auto"/>
      </w:pPr>
      <w:r>
        <w:t xml:space="preserve">The measurement strand of the literature supplies templates, but templates carry their own hazards, and this chapter is obligated to name them. The license-survey approach demonstrates that regulatory activity can be counted</w:t>
      </w:r>
      <w:r>
        <w:t xml:space="preserve"> </w:t>
      </w:r>
      <w:hyperlink w:anchor="ref-2">
        <w:r>
          <w:rPr>
            <w:rStyle w:val="Hyperlink"/>
          </w:rPr>
          <w:t xml:space="preserve">[2]</w:t>
        </w:r>
      </w:hyperlink>
      <w:r>
        <w:t xml:space="preserve">, but counting applications is not the same as measuring their effect, and the analogy would be abused if it were taken to imply that counting topic-relevant records measures the effect of environmental review. The situational-awareness documentary work shows that institutional priorities leave a trace</w:t>
      </w:r>
      <w:r>
        <w:t xml:space="preserve"> </w:t>
      </w:r>
      <w:hyperlink w:anchor="ref-3">
        <w:r>
          <w:rPr>
            <w:rStyle w:val="Hyperlink"/>
          </w:rPr>
          <w:t xml:space="preserve">[3]</w:t>
        </w:r>
      </w:hyperlink>
      <w:r>
        <w:t xml:space="preserve">, but a trace is a correlate of priority, not a measure of causal weight. Each analogy licenses a counting move and forbids a causal one, and the dissertation is careful to take only what each licenses.</w:t>
      </w:r>
    </w:p>
    <w:p>
      <w:pPr>
        <w:pStyle w:val="BodyText"/>
        <w:spacing w:line="480" w:lineRule="auto"/>
        <w:ind w:firstLine="720"/>
      </w:pPr>
      <w:r>
        <w:t xml:space="preserve">The clustering and decision-support sources carry the same double edge</w:t>
      </w:r>
      <w:r>
        <w:t xml:space="preserve"> </w:t>
      </w:r>
      <w:hyperlink w:anchor="ref-5">
        <w:r>
          <w:rPr>
            <w:rStyle w:val="Hyperlink"/>
          </w:rPr>
          <w:t xml:space="preserve">[5]</w:t>
        </w:r>
      </w:hyperlink>
      <w:r>
        <w:t xml:space="preserve"> </w:t>
      </w:r>
      <w:hyperlink w:anchor="ref-8">
        <w:r>
          <w:rPr>
            <w:rStyle w:val="Hyperlink"/>
          </w:rPr>
          <w:t xml:space="preserve">[8]</w:t>
        </w:r>
      </w:hyperlink>
      <w:r>
        <w:t xml:space="preserve">. Clustering noisy observations is a discipline in not overinterpreting groups, which is exactly the caution a small heterogeneous corpus demands. Source-sink governance modeling shows the value of a small, tractable variable set, but it also shows the cost: a small variable set omits mechanisms, and the omission must be acknowledged rather than hidden</w:t>
      </w:r>
      <w:r>
        <w:t xml:space="preserve"> </w:t>
      </w:r>
      <w:hyperlink w:anchor="ref-8">
        <w:r>
          <w:rPr>
            <w:rStyle w:val="Hyperlink"/>
          </w:rPr>
          <w:t xml:space="preserve">[8]</w:t>
        </w:r>
      </w:hyperlink>
      <w:r>
        <w:t xml:space="preserve">. The methodological inheritance this dissertation accepts is therefore a disciplined one. It takes the counting, the caution, and the parsimony, and it refuses the temptation to let any of them masquerade as identification.</w:t>
      </w:r>
    </w:p>
    <w:bookmarkEnd w:id="75"/>
    <w:bookmarkStart w:id="76" w:name="the-gap-and-the-response"/>
    <w:p>
      <w:pPr>
        <w:pStyle w:val="Heading2"/>
        <w:spacing w:line="480" w:lineRule="auto"/>
      </w:pPr>
      <w:r>
        <w:t xml:space="preserve">2.8 The gap and the response</w:t>
      </w:r>
    </w:p>
    <w:p>
      <w:pPr>
        <w:pStyle w:val="FirstParagraph"/>
        <w:spacing w:line="480" w:lineRule="auto"/>
      </w:pPr>
      <w:r>
        <w:t xml:space="preserve">The two strands remain only partly connected, and the disconnection is the gap. The domain literature establishes that environmental review is a plausible and rising constraint on spaceport timelines</w:t>
      </w:r>
      <w:r>
        <w:t xml:space="preserve"> </w:t>
      </w:r>
      <w:hyperlink w:anchor="ref-9">
        <w:r>
          <w:rPr>
            <w:rStyle w:val="Hyperlink"/>
          </w:rPr>
          <w:t xml:space="preserve">[9]</w:t>
        </w:r>
      </w:hyperlink>
      <w:r>
        <w:t xml:space="preserve"> </w:t>
      </w:r>
      <w:hyperlink w:anchor="ref-1">
        <w:r>
          <w:rPr>
            <w:rStyle w:val="Hyperlink"/>
          </w:rPr>
          <w:t xml:space="preserve">[1]</w:t>
        </w:r>
      </w:hyperlink>
      <w:r>
        <w:t xml:space="preserve"> </w:t>
      </w:r>
      <w:hyperlink w:anchor="ref-4">
        <w:r>
          <w:rPr>
            <w:rStyle w:val="Hyperlink"/>
          </w:rPr>
          <w:t xml:space="preserve">[4]</w:t>
        </w:r>
      </w:hyperlink>
      <w:r>
        <w:t xml:space="preserve">. The measurement literature establishes that a policy domain can be turned into countable, estimable structure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8">
        <w:r>
          <w:rPr>
            <w:rStyle w:val="Hyperlink"/>
          </w:rPr>
          <w:t xml:space="preserve">[8]</w:t>
        </w:r>
      </w:hyperlink>
      <w:r>
        <w:t xml:space="preserve">. What no one in the assembled sources has done is join them: to ask whether the specific topic of environmental review as a launch gate is even structured in the retrieved literature before anyone attempts to estimate its causal effect on operational dates.</w:t>
      </w:r>
    </w:p>
    <w:p>
      <w:pPr>
        <w:pStyle w:val="BodyText"/>
        <w:spacing w:line="480" w:lineRule="auto"/>
        <w:ind w:firstLine="720"/>
      </w:pPr>
      <w:r>
        <w:t xml:space="preserve">That is the gap this dissertation fills, and it fills it modestly. International perspectives on space weapons and student-industry education partnerships appear in the record set as reminders that a topic corpus is heterogeneous, spanning strategic, technical, and educational registers, and that heterogeneity is itself a measurement fact worth respecting</w:t>
      </w:r>
      <w:r>
        <w:t xml:space="preserve"> </w:t>
      </w:r>
      <w:hyperlink w:anchor="ref-7">
        <w:r>
          <w:rPr>
            <w:rStyle w:val="Hyperlink"/>
          </w:rPr>
          <w:t xml:space="preserve">[7]</w:t>
        </w:r>
      </w:hyperlink>
      <w:r>
        <w:t xml:space="preserve"> </w:t>
      </w:r>
      <w:hyperlink w:anchor="ref-6">
        <w:r>
          <w:rPr>
            <w:rStyle w:val="Hyperlink"/>
          </w:rPr>
          <w:t xml:space="preserve">[6]</w:t>
        </w:r>
      </w:hyperlink>
      <w:r>
        <w:t xml:space="preserve">. The response is to convert the literature into an auditable design: source records become rows, observable fields become variables, and interpretation stays inside estimator output.</w:t>
      </w:r>
    </w:p>
    <w:bookmarkEnd w:id="76"/>
    <w:bookmarkStart w:id="77" w:name="X68fcd7b58d4156c49648c4b691f2ed1613adf9e"/>
    <w:p>
      <w:pPr>
        <w:pStyle w:val="Heading2"/>
        <w:spacing w:line="480" w:lineRule="auto"/>
      </w:pPr>
      <w:r>
        <w:t xml:space="preserve">2.9 How this review positions the contribution</w:t>
      </w:r>
    </w:p>
    <w:p>
      <w:pPr>
        <w:pStyle w:val="FirstParagraph"/>
        <w:spacing w:line="480" w:lineRule="auto"/>
      </w:pPr>
      <w:r>
        <w:t xml:space="preserve">It helps to state, at the review’s close, exactly what kind of contribution the surrounding literature makes room for. The siting and ground-segment sources establish that the environmental dimension is a structuring variable in spaceport development, which grants the topic substantive standing</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rapid-launch and launch-on-demand sources establish that schedule is strategically weighty, which grants the delay question its urgency</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emissions, propulsion, and autonomous-safety sources establish that the content of review is rising in technical difficulty, which makes the delay claim mechanistically plausible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the demand-forecast source establishes that the pressure on timelines will grow, which makes the question timely rather than academic</w:t>
      </w:r>
      <w:r>
        <w:t xml:space="preserve"> </w:t>
      </w:r>
      <w:hyperlink w:anchor="ref-11">
        <w:r>
          <w:rPr>
            <w:rStyle w:val="Hyperlink"/>
          </w:rPr>
          <w:t xml:space="preserve">[11]</w:t>
        </w:r>
      </w:hyperlink>
      <w:r>
        <w:t xml:space="preserve">.</w:t>
      </w:r>
    </w:p>
    <w:p>
      <w:pPr>
        <w:pStyle w:val="BodyText"/>
        <w:spacing w:line="480" w:lineRule="auto"/>
        <w:ind w:firstLine="720"/>
      </w:pPr>
      <w:r>
        <w:t xml:space="preserve">What none of these sources supplies is a test of whether the topic is even legible enough in the literature to support a causal study. That absence is the contribution’s home. The measurement sources show that such legibility can be assessed by counting and estimating over records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but no one has pointed those methods at this topic. The dissertation occupies the intersection: it applies the measurement strand’s tools to the substantive strand’s question, and it reports the result with the parsimony the decision-support literature models</w:t>
      </w:r>
      <w:r>
        <w:t xml:space="preserve"> </w:t>
      </w:r>
      <w:hyperlink w:anchor="ref-8">
        <w:r>
          <w:rPr>
            <w:rStyle w:val="Hyperlink"/>
          </w:rPr>
          <w:t xml:space="preserve">[8]</w:t>
        </w:r>
      </w:hyperlink>
      <w:r>
        <w:t xml:space="preserve">. Positioned this way, the contribution is neither a substantive claim the siting literature already makes nor a methodological novelty the measurement literature already possesses. It is the join, and the join is what was missing.</w:t>
      </w:r>
    </w:p>
    <w:bookmarkEnd w:id="77"/>
    <w:bookmarkStart w:id="78" w:name="the-heterogeneity-of-the-topic-corpus"/>
    <w:p>
      <w:pPr>
        <w:pStyle w:val="Heading2"/>
        <w:spacing w:line="480" w:lineRule="auto"/>
      </w:pPr>
      <w:r>
        <w:t xml:space="preserve">2.10 The heterogeneity of the topic corpus</w:t>
      </w:r>
    </w:p>
    <w:p>
      <w:pPr>
        <w:pStyle w:val="FirstParagraph"/>
        <w:spacing w:line="480" w:lineRule="auto"/>
      </w:pPr>
      <w:r>
        <w:t xml:space="preserve">One further feature of the literature deserves comment because it shapes the measurement design directly: the topic corpus is genuinely heterogeneous, spanning registers that do not usually share a bibliography. International perspectives on space weapons sit alongside student-industry education partnerships, situational-awareness policy sits beside orbital-mechanics and propulsion engineering, and economic-statecraft framing sits near ground-segment assessment</w:t>
      </w:r>
      <w:r>
        <w:t xml:space="preserve"> </w:t>
      </w:r>
      <w:hyperlink w:anchor="ref-7">
        <w:r>
          <w:rPr>
            <w:rStyle w:val="Hyperlink"/>
          </w:rPr>
          <w:t xml:space="preserve">[7]</w:t>
        </w:r>
      </w:hyperlink>
      <w:r>
        <w:t xml:space="preserve"> </w:t>
      </w:r>
      <w:hyperlink w:anchor="ref-6">
        <w:r>
          <w:rPr>
            <w:rStyle w:val="Hyperlink"/>
          </w:rPr>
          <w:t xml:space="preserve">[6]</w:t>
        </w:r>
      </w:hyperlink>
      <w:r>
        <w:t xml:space="preserve"> </w:t>
      </w:r>
      <w:hyperlink w:anchor="ref-3">
        <w:r>
          <w:rPr>
            <w:rStyle w:val="Hyperlink"/>
          </w:rPr>
          <w:t xml:space="preserve">[3]</w:t>
        </w:r>
      </w:hyperlink>
      <w:r>
        <w:t xml:space="preserve"> </w:t>
      </w:r>
      <w:hyperlink w:anchor="ref-15">
        <w:r>
          <w:rPr>
            <w:rStyle w:val="Hyperlink"/>
          </w:rPr>
          <w:t xml:space="preserve">[15]</w:t>
        </w:r>
      </w:hyperlink>
      <w:r>
        <w:t xml:space="preserve">. This spread is not a flaw in the record set; it is a property of a topic that touches strategy, engineering, education, and economics at once.</w:t>
      </w:r>
    </w:p>
    <w:p>
      <w:pPr>
        <w:pStyle w:val="BodyText"/>
        <w:spacing w:line="480" w:lineRule="auto"/>
        <w:ind w:firstLine="720"/>
      </w:pPr>
      <w:r>
        <w:t xml:space="preserve">Heterogeneity has a measurement consequence the review must flag. A corpus drawn from many registers will vary in documentary form as much as in substance, because a conference abstract, a peer-reviewed article, and a policy memorandum differ in length, metadata richness, and citation culture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 Any variable built from that metadata will therefore carry a form component alongside its substance component, and the venue variable exists precisely to hold that form variation where it can be seen. The review’s recognition of heterogeneity is what motivates the ordinal venue coding that the data and results chapters lean on so heavily.</w:t>
      </w:r>
    </w:p>
    <w:p>
      <w:pPr>
        <w:pStyle w:val="BodyText"/>
        <w:spacing w:line="480" w:lineRule="auto"/>
        <w:ind w:firstLine="720"/>
      </w:pPr>
      <w:r>
        <w:t xml:space="preserve">The heterogeneity also bounds the interpretation of any single record. No individual source in this pack settles the delay question, and none is asked to. The literature’s value is aggregate: taken together, the sources establish that the topic is substantively real, strategically weighty, technically hardening, economically urgent, and documentarily heterogeneous, which is exactly the profile that makes a corpus-structure screen the right first instrument</w:t>
      </w:r>
      <w:r>
        <w:t xml:space="preserve"> </w:t>
      </w:r>
      <w:hyperlink w:anchor="ref-9">
        <w:r>
          <w:rPr>
            <w:rStyle w:val="Hyperlink"/>
          </w:rPr>
          <w:t xml:space="preserve">[9]</w:t>
        </w:r>
      </w:hyperlink>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1">
        <w:r>
          <w:rPr>
            <w:rStyle w:val="Hyperlink"/>
          </w:rPr>
          <w:t xml:space="preserve">[11]</w:t>
        </w:r>
      </w:hyperlink>
      <w:r>
        <w:t xml:space="preserve">. Reading the literature as an aggregate rather than a set of individual verdicts is the posture the whole dissertation inherits from this chapter.</w:t>
      </w:r>
    </w:p>
    <w:p>
      <w:pPr>
        <w:pStyle w:val="BodyText"/>
        <w:spacing w:line="480" w:lineRule="auto"/>
        <w:ind w:firstLine="720"/>
      </w:pPr>
      <w:r>
        <w:t xml:space="preserve">A brief note on what the review deliberately excludes is warranted. The chapter does not survey the general environmental-law literature, nor the administrative-procedure scholarship that would frame review as a legal institution, because the record set was retrieved for a space-sector topic and those bodies of work lie outside it</w:t>
      </w:r>
      <w:r>
        <w:t xml:space="preserve"> </w:t>
      </w:r>
      <w:hyperlink w:anchor="ref-9">
        <w:r>
          <w:rPr>
            <w:rStyle w:val="Hyperlink"/>
          </w:rPr>
          <w:t xml:space="preserve">[9]</w:t>
        </w:r>
      </w:hyperlink>
      <w:r>
        <w:t xml:space="preserve"> </w:t>
      </w:r>
      <w:hyperlink w:anchor="ref-3">
        <w:r>
          <w:rPr>
            <w:rStyle w:val="Hyperlink"/>
          </w:rPr>
          <w:t xml:space="preserve">[3]</w:t>
        </w:r>
      </w:hyperlink>
      <w:r>
        <w:t xml:space="preserve">. That exclusion is a limit on the review, and it is stated plainly rather than hidden: a fuller causal study would need to reach into the legal and administrative literatures the screen does not touch. The present chapter maps the space-sector corpus that the estimators will actually analyze, and it maps only that.</w:t>
      </w:r>
    </w:p>
    <w:p>
      <w:pPr>
        <w:pStyle w:val="BodyText"/>
        <w:spacing w:line="480" w:lineRule="auto"/>
        <w:ind w:firstLine="720"/>
      </w:pPr>
      <w:r>
        <w:t xml:space="preserve">The next chapter sets out the mechanism that would, if the delay claim has substance, make that structure appear.</w:t>
      </w:r>
    </w:p>
    <w:bookmarkEnd w:id="78"/>
    <w:bookmarkEnd w:id="79"/>
    <w:bookmarkStart w:id="88" w:name="chapter-3.-theory-and-hypotheses"/>
    <w:p>
      <w:pPr>
        <w:pStyle w:val="Heading1"/>
        <w:spacing w:line="480" w:lineRule="auto"/>
      </w:pPr>
      <w:r>
        <w:t xml:space="preserve">Chapter 3. Theory and Hypotheses</w:t>
      </w:r>
    </w:p>
    <w:p>
      <w:pPr>
        <w:pStyle w:val="FirstParagraph"/>
        <w:spacing w:line="480" w:lineRule="auto"/>
      </w:pPr>
      <w:r>
        <w:t xml:space="preserve">This chapter states the mechanism that links a policy constraint to a measurable pattern in a topic literature, and it derives the testable predictions that follow. The theory is deliberately spare. It does not model the physics of launch, the economics of siting, or the internal deliberation of a review board. It models one thing: how a hardening institutional concern propagates into the documentary record that surrounds it, and what that propagation should look like if we go looking for it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0" w:name="the-propagation-mechanism"/>
    <w:p>
      <w:pPr>
        <w:pStyle w:val="Heading2"/>
        <w:spacing w:line="480" w:lineRule="auto"/>
      </w:pPr>
      <w:r>
        <w:t xml:space="preserve">3.1 The propagation mechanism</w:t>
      </w:r>
    </w:p>
    <w:p>
      <w:pPr>
        <w:pStyle w:val="FirstParagraph"/>
        <w:spacing w:line="480" w:lineRule="auto"/>
      </w:pPr>
      <w:r>
        <w:t xml:space="preserve">Start with a simple premise. When an institutional constraint becomes consequential, actors write about it. Engineers document the technical case that must clear the gate. Policy analysts argue about whether the gate is calibrated correctly. Operators publish their grievances and their workarounds. The constraint, in other words, generates literature, and the literature accumulates in patterned rather than random ways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pattern has three observable dimensions in the assembled data. The first is timing: a rising concern produces more recent records, so topic salience should correlate with publication recency if the concern is genuinely current rather than historical. The second is attention: consequential topics attract citation, so citation counts carry information about which records the field has decided to build upon. The third is venue: different publication families serve different functions, and where a topic concentrates says something about whether it is being treated as an operational problem, a peer-reviewed research problem, or an economic-policy problem</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mechanism like this does not require all three dimensions to move together. It requires the theory to say, in advance, what each dimension would mean. A topic that is salient and recent but uncited may be an emerging concern the field has not yet consolidated. A topic that is cited but old may be a settled reference base rather than a live controversy. A topic concentrated in one venue family may reflect the publication practices of that family as much as the substance of the topic. The theory’s job is to fix these interpretations before the estimator runs, so that the reading of the coefficients is not chosen after seeing them. Fix meaning first.</w:t>
      </w:r>
    </w:p>
    <w:bookmarkEnd w:id="80"/>
    <w:bookmarkStart w:id="81" w:name="Xa8aafd7cb536c33353f069edf02c7fac0c1e1f0"/>
    <w:p>
      <w:pPr>
        <w:pStyle w:val="Heading2"/>
        <w:spacing w:line="480" w:lineRule="auto"/>
      </w:pPr>
      <w:r>
        <w:t xml:space="preserve">3.2 Why the environmental gate should leave a signal</w:t>
      </w:r>
    </w:p>
    <w:p>
      <w:pPr>
        <w:pStyle w:val="FirstParagraph"/>
        <w:spacing w:line="480" w:lineRule="auto"/>
      </w:pPr>
      <w:r>
        <w:t xml:space="preserve">Apply the mechanism to the substantive question. If environmental review is a real and rising constraint on spaceport time-to-operational, several documentary consequences follow. The substantive content of reviews has grown more technical, which should push topic-relevant material toward recent publication years</w:t>
      </w:r>
      <w:r>
        <w:t xml:space="preserve"> </w:t>
      </w:r>
      <w:hyperlink w:anchor="ref-12">
        <w:r>
          <w:rPr>
            <w:rStyle w:val="Hyperlink"/>
          </w:rPr>
          <w:t xml:space="preserve">[12]</w:t>
        </w:r>
      </w:hyperlink>
      <w:r>
        <w:t xml:space="preserve">. The strategic weight of schedule should attract analytic attention, drawing citations toward records that treat launch responsiveness and site development as consequential</w:t>
      </w:r>
      <w:r>
        <w:t xml:space="preserve"> </w:t>
      </w:r>
      <w:hyperlink w:anchor="ref-1">
        <w:r>
          <w:rPr>
            <w:rStyle w:val="Hyperlink"/>
          </w:rPr>
          <w:t xml:space="preserve">[1]</w:t>
        </w:r>
      </w:hyperlink>
      <w:r>
        <w:t xml:space="preserve"> </w:t>
      </w:r>
      <w:hyperlink w:anchor="ref-4">
        <w:r>
          <w:rPr>
            <w:rStyle w:val="Hyperlink"/>
          </w:rPr>
          <w:t xml:space="preserve">[4]</w:t>
        </w:r>
      </w:hyperlink>
      <w:r>
        <w:t xml:space="preserve">. And the topic should distribute across venue families reflecting its dual identity as both an engineering problem and a governance problem</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Its converse is equally informative. If the environmental gate is not a hardening constraint but a stable, routinized administrative step, then topic salience should show weak or unstable relationships with recency, attention, and venue. A routine process does not generate an accelerating literature. It generates a flat one. Flat means routine. So the absence of structure is not a null result to be embarrassed about; it is direct evidence against the strong version of the delay claim, and the design treats it that way</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symmetry is the theoretical payoff. Both outcomes are meaningful. Structure supports the view that the topic is live and consequential enough to be worth a causal successor study. The absence of structure supports the view that the delay claim rests on anecdote and that resources would be better spent measuring the other candidate constraints in the development pipeline. Either way, the test discriminates. It cuts both ways.</w:t>
      </w:r>
    </w:p>
    <w:bookmarkEnd w:id="81"/>
    <w:bookmarkStart w:id="82" w:name="cross-sectional-predictions-paper-1"/>
    <w:p>
      <w:pPr>
        <w:pStyle w:val="Heading2"/>
        <w:spacing w:line="480" w:lineRule="auto"/>
      </w:pPr>
      <w:r>
        <w:t xml:space="preserve">3.3 Cross-sectional predictions: Paper 1</w:t>
      </w:r>
    </w:p>
    <w:p>
      <w:pPr>
        <w:pStyle w:val="FirstParagraph"/>
        <w:spacing w:line="480" w:lineRule="auto"/>
      </w:pPr>
      <w:r>
        <w:t xml:space="preserve">A first estimable prediction concerns cross-sectional structure. It is operationalized through a topic-signal score regressed on publication recency, citation count, and venue family. The theory yields directional expectations for each term.</w:t>
      </w:r>
    </w:p>
    <w:p>
      <w:pPr>
        <w:pStyle w:val="BodyText"/>
        <w:spacing w:line="480" w:lineRule="auto"/>
        <w:ind w:firstLine="720"/>
      </w:pPr>
      <w:r>
        <w:t xml:space="preserve">For recency, the prediction is positive. If the concern is current, more recent records should carry more topic signal, because the field writes about the gate as its technical and strategic weight grows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For citation count, the theory is more agnostic. Citation accrues slowly and unevenly, and in a small heterogeneous corpus it may carry little cross-sectional information about topic salience, so the prediction is weak and the term is included as much to test as to confirm</w:t>
      </w:r>
      <w:r>
        <w:t xml:space="preserve"> </w:t>
      </w:r>
      <w:hyperlink w:anchor="ref-2">
        <w:r>
          <w:rPr>
            <w:rStyle w:val="Hyperlink"/>
          </w:rPr>
          <w:t xml:space="preserve">[2]</w:t>
        </w:r>
      </w:hyperlink>
      <w:r>
        <w:t xml:space="preserve"> </w:t>
      </w:r>
      <w:hyperlink w:anchor="ref-5">
        <w:r>
          <w:rPr>
            <w:rStyle w:val="Hyperlink"/>
          </w:rPr>
          <w:t xml:space="preserve">[5]</w:t>
        </w:r>
      </w:hyperlink>
      <w:r>
        <w:t xml:space="preserve">. For venue family, the theory offers no strong prior on sign. Venue coding is ordinal and reflects publication practice, so a significant venue coefficient must be read as a fact about where the topic concentrates rather than as a claim about its importance</w:t>
      </w:r>
      <w:r>
        <w:t xml:space="preserve"> </w:t>
      </w:r>
      <w:hyperlink w:anchor="ref-9">
        <w:r>
          <w:rPr>
            <w:rStyle w:val="Hyperlink"/>
          </w:rPr>
          <w:t xml:space="preserve">[9]</w:t>
        </w:r>
      </w:hyperlink>
      <w:r>
        <w:t xml:space="preserve">.</w:t>
      </w:r>
    </w:p>
    <w:p>
      <w:pPr>
        <w:pStyle w:val="BodyText"/>
        <w:spacing w:line="480" w:lineRule="auto"/>
        <w:ind w:firstLine="720"/>
      </w:pPr>
      <w:r>
        <w:t xml:space="preserve">The formal statement is the null and its alternative. H0 for Paper 1: the topic-signal score is unrelated to publication recency, citation attention, and venue family. H1: the topic-signal score is systematically related to those dimensions, and in particular increases with recency. The alternative does not require every coefficient to be significant; it requires the retrieved literature to show detectable structure along at least one theorized dimension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2"/>
    <w:bookmarkStart w:id="83" w:name="temporal-predictions-paper-2"/>
    <w:p>
      <w:pPr>
        <w:pStyle w:val="Heading2"/>
        <w:spacing w:line="480" w:lineRule="auto"/>
      </w:pPr>
      <w:r>
        <w:t xml:space="preserve">3.4 Temporal predictions: Paper 2</w:t>
      </w:r>
    </w:p>
    <w:p>
      <w:pPr>
        <w:pStyle w:val="FirstParagraph"/>
        <w:spacing w:line="480" w:lineRule="auto"/>
      </w:pPr>
      <w:r>
        <w:t xml:space="preserve">A second estimable prediction concerns accumulation over time. It is operationalized through a log-log learning-curve model of citation count against article age. The learning-curve form is not decorative. It encodes a specific hypothesis about how attention accrues: that citations grow with exposure time in a proportional, elasticity-governed way rather than linearly, so that the log of citations moves with the log of age</w:t>
      </w:r>
      <w:r>
        <w:t xml:space="preserve"> </w:t>
      </w:r>
      <w:hyperlink w:anchor="ref-8">
        <w:r>
          <w:rPr>
            <w:rStyle w:val="Hyperlink"/>
          </w:rPr>
          <w:t xml:space="preserve">[8]</w:t>
        </w:r>
      </w:hyperlink>
      <w:r>
        <w:t xml:space="preserve">.</w:t>
      </w:r>
    </w:p>
    <w:p>
      <w:pPr>
        <w:pStyle w:val="BodyText"/>
        <w:spacing w:line="480" w:lineRule="auto"/>
        <w:ind w:firstLine="720"/>
      </w:pPr>
      <w:r>
        <w:t xml:space="preserve">Here the directional expectation is subtle. Older articles have had more time to accumulate citations, which argues for a positive age elasticity. But in a topic corpus dominated by very recent records, with many uncited items and a few heavily cited ones, the age-attention relationship can be weak, flat, or even perverse, because the heavily cited records are not necessarily the oldest ones. The theory therefore predicts that this relationship may be imprecise, and it treats imprecision as a substantive finding about the corpus rather than a failure of the model</w:t>
      </w:r>
      <w:r>
        <w:t xml:space="preserve"> </w:t>
      </w:r>
      <w:hyperlink w:anchor="ref-5">
        <w:r>
          <w:rPr>
            <w:rStyle w:val="Hyperlink"/>
          </w:rPr>
          <w:t xml:space="preserve">[5]</w:t>
        </w:r>
      </w:hyperlink>
      <w:r>
        <w:t xml:space="preserve">.</w:t>
      </w:r>
    </w:p>
    <w:p>
      <w:pPr>
        <w:pStyle w:val="BodyText"/>
        <w:spacing w:line="480" w:lineRule="auto"/>
        <w:ind w:firstLine="720"/>
      </w:pPr>
      <w:r>
        <w:t xml:space="preserve">The formal statement follows. H0 for Paper 2: citation accumulation is unrelated to article age in the retrieved topic literature. H1: citation accumulation follows a measurable age-based attention curve. A precise elasticity would indicate that attention in this field is governed by exposure time in the ordinary way. An imprecise elasticity would indicate that attention here is driven by something other than age, which for a young and fast-moving topic is itself worth knowing</w:t>
      </w:r>
      <w:r>
        <w:t xml:space="preserve"> </w:t>
      </w:r>
      <w:hyperlink w:anchor="ref-11">
        <w:r>
          <w:rPr>
            <w:rStyle w:val="Hyperlink"/>
          </w:rPr>
          <w:t xml:space="preserve">[11]</w:t>
        </w:r>
      </w:hyperlink>
      <w:r>
        <w:t xml:space="preserve">.</w:t>
      </w:r>
    </w:p>
    <w:bookmarkEnd w:id="83"/>
    <w:bookmarkStart w:id="84" w:name="X046a58da9195f3d5f70bf8b137825457c967ac9"/>
    <w:p>
      <w:pPr>
        <w:pStyle w:val="Heading2"/>
        <w:spacing w:line="480" w:lineRule="auto"/>
      </w:pPr>
      <w:r>
        <w:t xml:space="preserve">3.5 Why cross-sectional and temporal structure are distinct claims</w:t>
      </w:r>
    </w:p>
    <w:p>
      <w:pPr>
        <w:pStyle w:val="FirstParagraph"/>
        <w:spacing w:line="480" w:lineRule="auto"/>
      </w:pPr>
      <w:r>
        <w:t xml:space="preserve">A reader might ask why two estimators are needed when a single richer model could, in principle, absorb both. The answer is that cross-sectional structure and temporal structure are different claims about the world, and conflating them would obscure exactly the distinction the theory is built to draw. Cross-sectional structure asks whether, at one analytic instant, the records carrying more topic signal share observable features. Temporal structure asks whether attention accumulates over time in a patterned way. A field can exhibit one without the other, and the four combinations carry four distinct meanings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Consider each combination. A field with cross-sectional structure and temporal structure is a mature, consolidated one: its salient records are identifiable and its attention has organized around exposure time. A field with cross-sectional but not temporal structure is emerging: its salience is legible but its citation dynamics have not settled. A field with temporal but not cross-sectional structure is a curious case in which attention accumulates by age without the salient records sharing observable features, which usually signals that citation is being driven by something outside the measured predictors. And a field with neither is either genuinely inactive or too noisy to measure. Separating the two estimators is what lets the dissertation place the topic among these four cells rather than collapsing them</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is not a merely taxonomic point. The placement has direct consequences for the successor study. An emerging field, with cross-sectional but not temporal structure, calls for a purpose-built dataset and a causal design, because the topic is real but the literature is not yet a settled evidence base to lean on. A mature field would call for a synthesis of existing findings instead. Getting the placement right therefore changes what the next research dollar should buy, which is why the theory insists on two separate tests rather than one combined one</w:t>
      </w:r>
      <w:r>
        <w:t xml:space="preserve"> </w:t>
      </w:r>
      <w:hyperlink w:anchor="ref-5">
        <w:r>
          <w:rPr>
            <w:rStyle w:val="Hyperlink"/>
          </w:rPr>
          <w:t xml:space="preserve">[5]</w:t>
        </w:r>
      </w:hyperlink>
      <w:r>
        <w:t xml:space="preserve">.</w:t>
      </w:r>
    </w:p>
    <w:bookmarkEnd w:id="84"/>
    <w:bookmarkStart w:id="85" w:name="X23da94eb00370018382c090138b8f5ea50bc8d1"/>
    <w:p>
      <w:pPr>
        <w:pStyle w:val="Heading2"/>
        <w:spacing w:line="480" w:lineRule="auto"/>
      </w:pPr>
      <w:r>
        <w:t xml:space="preserve">3.6 The learning curve as a theory of attention</w:t>
      </w:r>
    </w:p>
    <w:p>
      <w:pPr>
        <w:pStyle w:val="FirstParagraph"/>
        <w:spacing w:line="480" w:lineRule="auto"/>
      </w:pPr>
      <w:r>
        <w:t xml:space="preserve">The log-log form of Paper 2 deserves a theoretical rather than merely a technical justification, because the functional choice encodes a substantive belief about how attention behaves. A learning curve models an outcome as a power function of accumulated experience, so that the outcome changes by a constant percentage each time experience doubles. Applied to citations and age, the claim is that citation count scales with article age according to a constant elasticity, and that the log of citations therefore moves linearly with the log of age</w:t>
      </w:r>
      <w:r>
        <w:t xml:space="preserve"> </w:t>
      </w:r>
      <w:hyperlink w:anchor="ref-8">
        <w:r>
          <w:rPr>
            <w:rStyle w:val="Hyperlink"/>
          </w:rPr>
          <w:t xml:space="preserve">[8]</w:t>
        </w:r>
      </w:hyperlink>
      <w:r>
        <w:t xml:space="preserve">.</w:t>
      </w:r>
    </w:p>
    <w:p>
      <w:pPr>
        <w:pStyle w:val="BodyText"/>
        <w:spacing w:line="480" w:lineRule="auto"/>
        <w:ind w:firstLine="720"/>
      </w:pPr>
      <w:r>
        <w:t xml:space="preserve">The theory behind this form is that attention compounds. Early citations make a work more discoverable, which generates further citations, so that exposure time and accumulated attention reinforce one another in a proportional rather than additive way. In a mature field, this compounding produces the familiar pattern in which older works carry disproportionately more citations, and the elasticity that governs the compounding is positive and estimable. The learning-curve form is the natural way to test for that compounding, because its single slope parameter is exactly the elasticity the theory names</w:t>
      </w:r>
      <w:r>
        <w:t xml:space="preserve"> </w:t>
      </w:r>
      <w:hyperlink w:anchor="ref-11">
        <w:r>
          <w:rPr>
            <w:rStyle w:val="Hyperlink"/>
          </w:rPr>
          <w:t xml:space="preserve">[11]</w:t>
        </w:r>
      </w:hyperlink>
      <w:r>
        <w:t xml:space="preserve">.</w:t>
      </w:r>
    </w:p>
    <w:p>
      <w:pPr>
        <w:pStyle w:val="BodyText"/>
        <w:spacing w:line="480" w:lineRule="auto"/>
        <w:ind w:firstLine="720"/>
      </w:pPr>
      <w:r>
        <w:t xml:space="preserve">The prediction, though, is hedged, and the hedge is itself theoretical. In a young topic dominated by recent records, the compounding has not had time to run, and the few heavily cited works may be recent rather than old, breaking the age-attention link. The theory therefore predicts that the learning curve may return a weak or imprecise elasticity, and it interprets that outcome not as a failure but as a measurement of immaturity. A field whose attention has not yet organized around age is a field still forming, and detecting that state is a genuine result</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85"/>
    <w:bookmarkStart w:id="86" w:name="rival-explanations-named-in-advance"/>
    <w:p>
      <w:pPr>
        <w:pStyle w:val="Heading2"/>
        <w:spacing w:line="480" w:lineRule="auto"/>
      </w:pPr>
      <w:r>
        <w:t xml:space="preserve">3.7 Rival explanations, named in advance</w:t>
      </w:r>
    </w:p>
    <w:p>
      <w:pPr>
        <w:pStyle w:val="FirstParagraph"/>
        <w:spacing w:line="480" w:lineRule="auto"/>
      </w:pPr>
      <w:r>
        <w:t xml:space="preserve">Good theory names the ways it could be wrong. Four rival explanations are registered here and carried forward into the interpretation. A significant coefficient may reflect venue effects rather than substantive salience, because publication families differ in length, style, and citation culture</w:t>
      </w:r>
      <w:r>
        <w:t xml:space="preserve"> </w:t>
      </w:r>
      <w:hyperlink w:anchor="ref-2">
        <w:r>
          <w:rPr>
            <w:rStyle w:val="Hyperlink"/>
          </w:rPr>
          <w:t xml:space="preserve">[2]</w:t>
        </w:r>
      </w:hyperlink>
      <w:r>
        <w:t xml:space="preserve">. It may reflect source-family coverage rather than field maturity, because the corpus was retrieved from specific indexes that oversample some venues</w:t>
      </w:r>
      <w:r>
        <w:t xml:space="preserve"> </w:t>
      </w:r>
      <w:hyperlink w:anchor="ref-3">
        <w:r>
          <w:rPr>
            <w:rStyle w:val="Hyperlink"/>
          </w:rPr>
          <w:t xml:space="preserve">[3]</w:t>
        </w:r>
      </w:hyperlink>
      <w:r>
        <w:t xml:space="preserve">. It may reflect citation age rather than current relevance, because old records accrue citations mechanically</w:t>
      </w:r>
      <w:r>
        <w:t xml:space="preserve"> </w:t>
      </w:r>
      <w:hyperlink w:anchor="ref-8">
        <w:r>
          <w:rPr>
            <w:rStyle w:val="Hyperlink"/>
          </w:rPr>
          <w:t xml:space="preserve">[8]</w:t>
        </w:r>
      </w:hyperlink>
      <w:r>
        <w:t xml:space="preserve">. And it may reflect metadata availability rather than true activity, because records with sparse metadata contribute less signal by construction</w:t>
      </w:r>
      <w:r>
        <w:t xml:space="preserve"> </w:t>
      </w:r>
      <w:hyperlink w:anchor="ref-5">
        <w:r>
          <w:rPr>
            <w:rStyle w:val="Hyperlink"/>
          </w:rPr>
          <w:t xml:space="preserve">[5]</w:t>
        </w:r>
      </w:hyperlink>
      <w:r>
        <w:t xml:space="preserve">.</w:t>
      </w:r>
    </w:p>
    <w:p>
      <w:pPr>
        <w:pStyle w:val="BodyText"/>
        <w:spacing w:line="480" w:lineRule="auto"/>
        <w:ind w:firstLine="720"/>
      </w:pPr>
      <w:r>
        <w:t xml:space="preserve">None of these rivals is dismissed. Each is a reason to qualify a claim, and each returns in Chapter 7 as a specified threat to validity. The theory’s final commitment is procedural: a significant coefficient earns an association claim inside the retained corpus and nothing more, a stable fit earns the use of the corpus as a measurement base, and a weak coefficient earns a caution rather than a silence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86"/>
    <w:bookmarkStart w:id="87" w:name="the-evidence-ladder-and-its-rungs"/>
    <w:p>
      <w:pPr>
        <w:pStyle w:val="Heading2"/>
        <w:spacing w:line="480" w:lineRule="auto"/>
      </w:pPr>
      <w:r>
        <w:t xml:space="preserve">3.8 The evidence ladder and its rungs</w:t>
      </w:r>
    </w:p>
    <w:p>
      <w:pPr>
        <w:pStyle w:val="FirstParagraph"/>
        <w:spacing w:line="480" w:lineRule="auto"/>
      </w:pPr>
      <w:r>
        <w:t xml:space="preserve">This framework can be summarized as an evidence ladder, and naming its rungs makes the interpretive rules concrete. The bottom rung is a significant coefficient in the predicted direction, which supports an association claim confined to the retained corpus. This is the strongest rung the design can reach, and it is deliberately lower than a causal rung. Climbing from association to causation would require the identification the data cannot supply, so the ladder simply does not extend that far, and the theory refuses to pretend it does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middle rung is a stable overall model fit, which supports treating the corpus as a usable measurement base even where individual terms are weak. A model that explains a meaningful share of the outcome variance has demonstrated that the retained records contain estimable structure, which licenses further measurement work on the same corpus. This rung matters because it can be reached even when the substantive coefficients are mixed, and it tells a successor study that the measurement apparatus itself is sound</w:t>
      </w:r>
      <w:r>
        <w:t xml:space="preserve"> </w:t>
      </w:r>
      <w:hyperlink w:anchor="ref-3">
        <w:r>
          <w:rPr>
            <w:rStyle w:val="Hyperlink"/>
          </w:rPr>
          <w:t xml:space="preserve">[3]</w:t>
        </w:r>
      </w:hyperlink>
      <w:r>
        <w:t xml:space="preserve">.</w:t>
      </w:r>
    </w:p>
    <w:p>
      <w:pPr>
        <w:pStyle w:val="BodyText"/>
        <w:spacing w:line="480" w:lineRule="auto"/>
        <w:ind w:firstLine="720"/>
      </w:pPr>
      <w:r>
        <w:t xml:space="preserve">The top rung, counterintuitively, is a weak or imprecise coefficient, because an honest null is the rung that does the most to prevent error. A weak coefficient earns a caution: it tells the field not to build on a relationship the data cannot sustain, and it redirects effort toward the dimensions that do show structure. Treating the null as informative rather than embarrassing is the theory’s most distinctive commitment, and it is what lets both a significant recency term and a flat learning curve count as findings within the same framework</w:t>
      </w:r>
      <w:r>
        <w:t xml:space="preserve"> </w:t>
      </w:r>
      <w:hyperlink w:anchor="ref-4">
        <w:r>
          <w:rPr>
            <w:rStyle w:val="Hyperlink"/>
          </w:rPr>
          <w:t xml:space="preserve">[4]</w:t>
        </w:r>
      </w:hyperlink>
      <w:r>
        <w:t xml:space="preserve"> </w:t>
      </w:r>
      <w:hyperlink w:anchor="ref-11">
        <w:r>
          <w:rPr>
            <w:rStyle w:val="Hyperlink"/>
          </w:rPr>
          <w:t xml:space="preserve">[11]</w:t>
        </w:r>
      </w:hyperlink>
      <w:r>
        <w:t xml:space="preserve">. ## 3.9 From mechanism to falsifiability</w:t>
      </w:r>
    </w:p>
    <w:p>
      <w:pPr>
        <w:pStyle w:val="BodyText"/>
        <w:spacing w:line="480" w:lineRule="auto"/>
        <w:ind w:firstLine="720"/>
      </w:pPr>
      <w:r>
        <w:t xml:space="preserve">Its claim to falsifiability rests on a simple property: each hypothesis specifies an outcome that the data could contradict. The recency prediction could fail if recent records carried no more topic signal than old ones, in which case the coefficient would be near zero or negative and imprecise. The learning-curve prediction could fail if age explained no variation in citations, in which case the fit would be negligible and the elasticity insignificant. Neither prediction is protected from disconfirmation by the way it is stated, which is what makes them genuine hypotheses rather than restatements of the design</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Falsifiability here is symmetric across the two papers, and the symmetry is deliberate. A framework that could only be confirmed, never disconfirmed, would be rhetoric dressed as theory. By fixing, in advance, what each coefficient’s failure would look like, the framework commits itself to reporting failure as failure. The results chapter honors that commitment when it reports the flat citation term and the imprecise age elasticity as nulls rather than reinterpreting them into weak positives</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The theory earns its scientific standing precisely by naming, ahead of time, the outcomes that would embarrass it.</w:t>
      </w:r>
    </w:p>
    <w:p>
      <w:pPr>
        <w:pStyle w:val="BodyText"/>
        <w:spacing w:line="480" w:lineRule="auto"/>
        <w:ind w:firstLine="720"/>
      </w:pPr>
      <w:r>
        <w:t xml:space="preserve">This is the deepest reason the design runs a screen before a causal study. A causal study on an unfalsifiable foundation would inherit the foundation’s weakness, however sophisticated its identification. The screen’s falsifiable hypotheses build a foundation that can bear weight, because they have been exposed to the possibility of failure and, on two of four fronts, have actually met it</w:t>
      </w:r>
      <w:r>
        <w:t xml:space="preserve"> </w:t>
      </w:r>
      <w:hyperlink w:anchor="ref-4">
        <w:r>
          <w:rPr>
            <w:rStyle w:val="Hyperlink"/>
          </w:rPr>
          <w:t xml:space="preserve">[4]</w:t>
        </w:r>
      </w:hyperlink>
      <w:r>
        <w:t xml:space="preserve">. A foundation tested by its own nulls is stronger than one confirmed only by its successes. Nulls are load-bearing here.</w:t>
      </w:r>
    </w:p>
    <w:p>
      <w:pPr>
        <w:pStyle w:val="BodyText"/>
        <w:spacing w:line="480" w:lineRule="auto"/>
        <w:ind w:firstLine="720"/>
      </w:pPr>
      <w:r>
        <w:t xml:space="preserve">The framework also fixes the scope of every claim in advance, which is the final safeguard against drift. Each hypothesis is stated over the retrieved corpus, not over the launch-policy field as a whole, so a confirmed prediction supports a claim about the corpus and a disconfirmed one refutes a claim about the corpus</w:t>
      </w:r>
      <w:r>
        <w:t xml:space="preserve"> </w:t>
      </w:r>
      <w:hyperlink w:anchor="ref-3">
        <w:r>
          <w:rPr>
            <w:rStyle w:val="Hyperlink"/>
          </w:rPr>
          <w:t xml:space="preserve">[3]</w:t>
        </w:r>
      </w:hyperlink>
      <w:r>
        <w:t xml:space="preserve"> </w:t>
      </w:r>
      <w:hyperlink w:anchor="ref-5">
        <w:r>
          <w:rPr>
            <w:rStyle w:val="Hyperlink"/>
          </w:rPr>
          <w:t xml:space="preserve">[5]</w:t>
        </w:r>
      </w:hyperlink>
      <w:r>
        <w:t xml:space="preserve">. Neither outcome licenses a statement about the population of spaceports, because the theory never made a prediction at that level. Binding the scope to the corpus before estimation is what keeps the results chapter from quietly widening its claims once the coefficients are in hand, and it is the theoretical counterpart to the data chapter’s insistence that the sample is the retrieved pack rather than a population draw</w:t>
      </w:r>
      <w:r>
        <w:t xml:space="preserve"> </w:t>
      </w:r>
      <w:hyperlink w:anchor="ref-8">
        <w:r>
          <w:rPr>
            <w:rStyle w:val="Hyperlink"/>
          </w:rPr>
          <w:t xml:space="preserve">[8]</w:t>
        </w:r>
      </w:hyperlink>
      <w:r>
        <w:t xml:space="preserve">. The scope restriction is not a weakness of the theory; it is the theory declining to promise what it cannot deliver, which is the same discipline that governs every other commitment in this framework</w:t>
      </w:r>
      <w:r>
        <w:t xml:space="preserve"> </w:t>
      </w:r>
      <w:hyperlink w:anchor="ref-5">
        <w:r>
          <w:rPr>
            <w:rStyle w:val="Hyperlink"/>
          </w:rPr>
          <w:t xml:space="preserve">[5]</w:t>
        </w:r>
      </w:hyperlink>
      <w:r>
        <w:t xml:space="preserve">.</w:t>
      </w:r>
    </w:p>
    <w:p>
      <w:pPr>
        <w:pStyle w:val="BodyText"/>
        <w:spacing w:line="480" w:lineRule="auto"/>
        <w:ind w:firstLine="720"/>
      </w:pPr>
      <w:r>
        <w:t xml:space="preserve">With the mechanism fixed, the predictions registered, and the evidence ladder specified, the next chapter turns to the estimators that will adjudicate them.</w:t>
      </w:r>
    </w:p>
    <w:bookmarkEnd w:id="87"/>
    <w:bookmarkEnd w:id="88"/>
    <w:bookmarkStart w:id="100"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sets out the two estimators, states what each is designed to identify, and explains why each is the right tool for the question it answers. It also states plainly what neither estimator can identify. The methodological posture is conservative by design: the models are simple, the standard errors are robust, the specifications were fixed before estimation, and the interpretive claims are bounded to the retained corpus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9" w:name="what-identification-means-here"/>
    <w:p>
      <w:pPr>
        <w:pStyle w:val="Heading2"/>
        <w:spacing w:line="480" w:lineRule="auto"/>
      </w:pPr>
      <w:r>
        <w:t xml:space="preserve">4.1 What</w:t>
      </w:r>
      <w:r>
        <w:t xml:space="preserve"> </w:t>
      </w:r>
      <w:r>
        <w:t xml:space="preserve">“identification”</w:t>
      </w:r>
      <w:r>
        <w:t xml:space="preserve"> </w:t>
      </w:r>
      <w:r>
        <w:t xml:space="preserve">means here</w:t>
      </w:r>
    </w:p>
    <w:p>
      <w:pPr>
        <w:pStyle w:val="FirstParagraph"/>
        <w:spacing w:line="480" w:lineRule="auto"/>
      </w:pPr>
      <w:r>
        <w:t xml:space="preserve">Identification, in the strict causal sense, means recovering the effect of a treatment on an outcome free of confounding. This dissertation does not claim identification in that sense, and saying so is not a hedge but a precise statement of scope. There is no random assignment of environmental review to spaceports, no natural experiment in the record set, and no instrument for review length. To dress the models in causal language would misrepresent what they do</w:t>
      </w:r>
      <w:r>
        <w:t xml:space="preserve"> </w:t>
      </w:r>
      <w:hyperlink w:anchor="ref-5">
        <w:r>
          <w:rPr>
            <w:rStyle w:val="Hyperlink"/>
          </w:rPr>
          <w:t xml:space="preserve">[5]</w:t>
        </w:r>
      </w:hyperlink>
      <w:r>
        <w:t xml:space="preserve">. They screen; they do not identify.</w:t>
      </w:r>
    </w:p>
    <w:p>
      <w:pPr>
        <w:pStyle w:val="BodyText"/>
        <w:spacing w:line="480" w:lineRule="auto"/>
        <w:ind w:firstLine="720"/>
      </w:pPr>
      <w:r>
        <w:t xml:space="preserve">What the estimators do identify is corpus structure: whether observable features of the retrieved records covary in the way the theory predicts. That is a real and testable quantity. It answers a prior question that any causal study must first pass: is the topic even legible in the evidence? A corpus that shows no structure along any theorized dimension is a corpus that cannot yet support a causal claim, and detecting that is a genuine methodological result</w:t>
      </w:r>
      <w:r>
        <w:t xml:space="preserve"> </w:t>
      </w:r>
      <w:hyperlink w:anchor="ref-3">
        <w:r>
          <w:rPr>
            <w:rStyle w:val="Hyperlink"/>
          </w:rPr>
          <w:t xml:space="preserve">[3]</w:t>
        </w:r>
      </w:hyperlink>
      <w:r>
        <w:t xml:space="preserve"> </w:t>
      </w:r>
      <w:hyperlink w:anchor="ref-8">
        <w:r>
          <w:rPr>
            <w:rStyle w:val="Hyperlink"/>
          </w:rPr>
          <w:t xml:space="preserve">[8]</w:t>
        </w:r>
      </w:hyperlink>
      <w:r>
        <w:t xml:space="preserve">. Identification here is identification of pattern, and it is labeled that way throughout.</w:t>
      </w:r>
    </w:p>
    <w:bookmarkEnd w:id="89"/>
    <w:bookmarkStart w:id="90" w:name="X60fa72c45fae02acb1ba8607c97a66a6eb9a555"/>
    <w:p>
      <w:pPr>
        <w:pStyle w:val="Heading2"/>
        <w:spacing w:line="480" w:lineRule="auto"/>
      </w:pPr>
      <w:r>
        <w:t xml:space="preserve">4.2 Paper 1: ordinary least squares on topic signal</w:t>
      </w:r>
    </w:p>
    <w:p>
      <w:pPr>
        <w:pStyle w:val="FirstParagraph"/>
        <w:spacing w:line="480" w:lineRule="auto"/>
      </w:pPr>
      <w:r>
        <w:t xml:space="preserve">The first estimator is ordinary least squares. The dependent variable is the topic-signal score for each source record. The predictors are the recency index, the reported citation count, and the ordinal venue-family score. The specification recorded in the configuration file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Ordinary least squares is the appropriate estimator for this task for three reasons. First, the outcome is a bounded count of theme-term hits that behaves, across thirty records, enough like a continuous score that a linear conditional mean is a defensible approximation. Second, the question is explicitly about linear association: does topic signal move with recency, with attention, and across venue families? Third, the estimator is transparent, its coefficients are directly interpretable as marginal changes in signal per unit of predictor, and its output is fully reproducible from the embedded workbook</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interpretive burden falls on the coefficients and their precision. A coefficient that is signed as theory predicts and precisely estimated supports an association inside the corpus. A coefficient with a large p-value does not support a stable association even when its sign is suggestive, and the analysis is bound in advance to read it that way rather than to salvage a story from noise</w:t>
      </w:r>
      <w:r>
        <w:t xml:space="preserve"> </w:t>
      </w:r>
      <w:hyperlink w:anchor="ref-5">
        <w:r>
          <w:rPr>
            <w:rStyle w:val="Hyperlink"/>
          </w:rPr>
          <w:t xml:space="preserve">[5]</w:t>
        </w:r>
      </w:hyperlink>
      <w:r>
        <w:t xml:space="preserve">.</w:t>
      </w:r>
    </w:p>
    <w:bookmarkEnd w:id="90"/>
    <w:bookmarkStart w:id="91" w:name="Xd37ebd17544c8f5d8d600fa24acd857056297a7"/>
    <w:p>
      <w:pPr>
        <w:pStyle w:val="Heading2"/>
        <w:spacing w:line="480" w:lineRule="auto"/>
      </w:pPr>
      <w:r>
        <w:t xml:space="preserve">4.3 Robust standard errors and why they are used</w:t>
      </w:r>
    </w:p>
    <w:p>
      <w:pPr>
        <w:pStyle w:val="FirstParagraph"/>
        <w:spacing w:line="480" w:lineRule="auto"/>
      </w:pPr>
      <w:r>
        <w:t xml:space="preserve">Both estimators use heteroskedasticity-consistent HC1 standard errors. The reason is specific to this data. A corpus of thirty heterogeneous records, spanning conference papers, peer-reviewed journal articles, and economic-policy documents, is almost certain to have non-constant error variance: the spread of the topic-signal residual is unlikely to be the same for a terse conference abstract as for a long journal article. Classical standard errors assume homoskedasticity and would understate uncertainty where that assumption fails</w:t>
      </w:r>
      <w:r>
        <w:t xml:space="preserve"> </w:t>
      </w:r>
      <w:hyperlink w:anchor="ref-3">
        <w:r>
          <w:rPr>
            <w:rStyle w:val="Hyperlink"/>
          </w:rPr>
          <w:t xml:space="preserve">[3]</w:t>
        </w:r>
      </w:hyperlink>
      <w:r>
        <w:t xml:space="preserve">.</w:t>
      </w:r>
    </w:p>
    <w:p>
      <w:pPr>
        <w:pStyle w:val="BodyText"/>
        <w:spacing w:line="480" w:lineRule="auto"/>
        <w:ind w:firstLine="720"/>
      </w:pPr>
      <w:r>
        <w:t xml:space="preserve">HC1 standard errors relax the constant-variance assumption and apply a small-sample correction, which matters when N is thirty rather than three hundred. They do not change the point estimates; they change the inference around them, and in the conservative direction where the data warrant it. Using them is a way of refusing to claim more precision than the corpus supports</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choice was made before estimation, not after inspecting which terms it would help or hurt. Order matters.</w:t>
      </w:r>
    </w:p>
    <w:bookmarkEnd w:id="91"/>
    <w:bookmarkStart w:id="92" w:name="paper-2-the-log-log-learning-curve"/>
    <w:p>
      <w:pPr>
        <w:pStyle w:val="Heading2"/>
        <w:spacing w:line="480" w:lineRule="auto"/>
      </w:pPr>
      <w:r>
        <w:t xml:space="preserve">4.4 Paper 2: the log-log learning curve</w:t>
      </w:r>
    </w:p>
    <w:p>
      <w:pPr>
        <w:pStyle w:val="FirstParagraph"/>
        <w:spacing w:line="480" w:lineRule="auto"/>
      </w:pPr>
      <w:r>
        <w:t xml:space="preserve">The second estimator is a log-log learning-curve model. The dependent variable is citation count plus one, transformed to logarithm so that uncited records, which are numerous in this corpus, remain defined. The single predictor is the logarithm of the article age index. The specification recorded in the configuration file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log-log form is chosen because it encodes a proportional theory of attention. Its slope coefficient is an elasticity: the percentage change in citations associated with a one-percent change in article age. That is exactly the quantity the learning-curve hypothesis is about. A linear model would impose a constant additive increment per year of age, which is the wrong functional commitment for a process the theory describes as proportional and compounding</w:t>
      </w:r>
      <w:r>
        <w:t xml:space="preserve"> </w:t>
      </w:r>
      <w:hyperlink w:anchor="ref-8">
        <w:r>
          <w:rPr>
            <w:rStyle w:val="Hyperlink"/>
          </w:rPr>
          <w:t xml:space="preserve">[8]</w:t>
        </w:r>
      </w:hyperlink>
      <w:r>
        <w:t xml:space="preserve">.</w:t>
      </w:r>
    </w:p>
    <w:p>
      <w:pPr>
        <w:pStyle w:val="BodyText"/>
        <w:spacing w:line="480" w:lineRule="auto"/>
        <w:ind w:firstLine="720"/>
      </w:pPr>
      <w:r>
        <w:t xml:space="preserve">The learning-curve framing also yields an interpretable derived quantity, the progress ratio, which expresses how citations scale when age doubles. Reporting that ratio alongside the elasticity turns an abstract slope into a statement a reader can reason about directly, and it does so without adding any assumption beyond the log-log form already stated. The</w:t>
      </w:r>
      <w:r>
        <w:t xml:space="preserve"> </w:t>
      </w:r>
      <w:r>
        <w:t xml:space="preserve">“plus one”</w:t>
      </w:r>
      <w:r>
        <w:t xml:space="preserve"> </w:t>
      </w:r>
      <w:r>
        <w:t xml:space="preserve">transformation is the only preprocessing the outcome receives, and it is a mathematical necessity rather than a modeling choice, since the logarithm of zero is undefined.</w:t>
      </w:r>
    </w:p>
    <w:bookmarkEnd w:id="92"/>
    <w:bookmarkStart w:id="93" w:name="the-identifying-logic-made-explicit"/>
    <w:p>
      <w:pPr>
        <w:pStyle w:val="Heading2"/>
        <w:spacing w:line="480" w:lineRule="auto"/>
      </w:pPr>
      <w:r>
        <w:t xml:space="preserve">4.5 The identifying logic, made explicit</w:t>
      </w:r>
    </w:p>
    <w:p>
      <w:pPr>
        <w:pStyle w:val="FirstParagraph"/>
        <w:spacing w:line="480" w:lineRule="auto"/>
      </w:pPr>
      <w:r>
        <w:t xml:space="preserve">Why should these two estimators, between them, adjudicate the theory? Because they target the two dimensions along which a hardening constraint must leave a trace. Paper 1 targets cross-sectional structure: at a single slice in analytic time, do the records that carry more topic signal also tend to be more recent, more cited, or concentrated in particular venues? Paper 2 targets temporal structure: as records age, does attention accumulate in the proportional way that a maturing field’s citation dynamics would produce</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If the delay concern is genuine and rising, Paper 1 should detect a positive recency association and Paper 2 should detect a coherent age elasticity. If the concern is routine or overstated, the theory predicts weak structure on one or both fronts. The two estimators are complementary rather than redundant: one could show cross-sectional structure without temporal structure, or the reverse, and each pattern would carry a distinct substantive meaning</w:t>
      </w:r>
      <w:r>
        <w:t xml:space="preserve"> </w:t>
      </w:r>
      <w:hyperlink w:anchor="ref-4">
        <w:r>
          <w:rPr>
            <w:rStyle w:val="Hyperlink"/>
          </w:rPr>
          <w:t xml:space="preserve">[4]</w:t>
        </w:r>
      </w:hyperlink>
      <w:r>
        <w:t xml:space="preserve">. Running both is what lets the dissertation distinguish an emerging concern from a settled reference base.</w:t>
      </w:r>
    </w:p>
    <w:bookmarkEnd w:id="93"/>
    <w:bookmarkStart w:id="94" w:name="the-small-sample-posture"/>
    <w:p>
      <w:pPr>
        <w:pStyle w:val="Heading2"/>
        <w:spacing w:line="480" w:lineRule="auto"/>
      </w:pPr>
      <w:r>
        <w:t xml:space="preserve">4.6 The small-sample posture</w:t>
      </w:r>
    </w:p>
    <w:p>
      <w:pPr>
        <w:pStyle w:val="FirstParagraph"/>
        <w:spacing w:line="480" w:lineRule="auto"/>
      </w:pPr>
      <w:r>
        <w:t xml:space="preserve">With thirty observations, the estimators operate in a regime where every modeling choice is magnified, and the methodology takes an explicit small-sample posture rather than pretending the corpus is large. Three predictors and a constant consume four degrees of freedom, leaving twenty-six for the residual in Paper 1, which is enough to estimate the model but not enough to be cavalier about specification. The design responds by keeping the predictor set minimal and theory-driven: recency, citation, and venue are included because the mechanism names them, not because a search over candidate regressors selected them</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Minimalism here is a defense against overfitting. A larger predictor set would raise the in-sample fit mechanically while degrading the credibility of every coefficient, and in thirty records that trade turns bad quickly. The adjusted fit statistic, which penalizes added predictors, is reported precisely so a reader can see whether the model earns its complexity. The commitment to a fixed, pre-stated specification is the other half of this defense: because the three predictors were named before estimation, the coefficients cannot be the product of a specification search that chased significance</w:t>
      </w:r>
      <w:r>
        <w:t xml:space="preserve"> </w:t>
      </w:r>
      <w:hyperlink w:anchor="ref-8">
        <w:r>
          <w:rPr>
            <w:rStyle w:val="Hyperlink"/>
          </w:rPr>
          <w:t xml:space="preserve">[8]</w:t>
        </w:r>
      </w:hyperlink>
      <w:r>
        <w:t xml:space="preserve">.</w:t>
      </w:r>
    </w:p>
    <w:p>
      <w:pPr>
        <w:pStyle w:val="BodyText"/>
        <w:spacing w:line="480" w:lineRule="auto"/>
        <w:ind w:firstLine="720"/>
      </w:pPr>
      <w:r>
        <w:t xml:space="preserve">The learning-curve model is even more austere, with a single predictor, which is the right austerity for a thirty-record temporal question. A richer temporal model, with age and age-squared or interaction terms, would invite the same overfitting hazard without a theoretical warrant. The learning curve tests one clean claim with one parameter, and its low fit statistic, reported honestly, is part of what the reader learns rather than a defect to be engineered away</w:t>
      </w:r>
      <w:r>
        <w:t xml:space="preserve"> </w:t>
      </w:r>
      <w:hyperlink w:anchor="ref-11">
        <w:r>
          <w:rPr>
            <w:rStyle w:val="Hyperlink"/>
          </w:rPr>
          <w:t xml:space="preserve">[11]</w:t>
        </w:r>
      </w:hyperlink>
      <w:r>
        <w:t xml:space="preserve">.</w:t>
      </w:r>
    </w:p>
    <w:bookmarkEnd w:id="94"/>
    <w:bookmarkStart w:id="95" w:name="X9b8c5f9b189975acf3f102d59962be7442dcfae"/>
    <w:p>
      <w:pPr>
        <w:pStyle w:val="Heading2"/>
        <w:spacing w:line="480" w:lineRule="auto"/>
      </w:pPr>
      <w:r>
        <w:t xml:space="preserve">4.7 Reproducibility as a methodological commitment</w:t>
      </w:r>
    </w:p>
    <w:p>
      <w:pPr>
        <w:pStyle w:val="FirstParagraph"/>
        <w:spacing w:line="480" w:lineRule="auto"/>
      </w:pPr>
      <w:r>
        <w:t xml:space="preserve">The methodology treats reproducibility as a first-class design goal, not an afterthought. Every estimator is deterministic: the same data and the same specification yield the same coefficients, standard errors, and p-values on every run, because there is no stochastic component in ordinary least squares estimation and no random seed to vary. This determinism is what lets Chapter 6 report the coefficients to full precision and invite the reader to recompute them</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determinism extends up the artifact hierarchy. The configuration files fix the variable construction rules and the estimator formulas in a form that a reader can read and a machine can execute. The data files preserve the source column for every row, so that any observation can be traced to its origin. The workbooks reproduce the estimator output alongside the inputs that produced it. The result is a chain in which no link is hidden, and the methodological claim is precisely that a hidden link is a place where an unjustified inference can enter unnoticed</w:t>
      </w:r>
      <w:r>
        <w:t xml:space="preserve"> </w:t>
      </w:r>
      <w:hyperlink w:anchor="ref-3">
        <w:r>
          <w:rPr>
            <w:rStyle w:val="Hyperlink"/>
          </w:rPr>
          <w:t xml:space="preserve">[3]</w:t>
        </w:r>
      </w:hyperlink>
      <w:r>
        <w:t xml:space="preserve">. By leaving no link hidden, the design leaves no place for such an inference to hide.</w:t>
      </w:r>
    </w:p>
    <w:p>
      <w:pPr>
        <w:pStyle w:val="BodyText"/>
        <w:spacing w:line="480" w:lineRule="auto"/>
        <w:ind w:firstLine="720"/>
      </w:pPr>
      <w:r>
        <w:t xml:space="preserve">This posture has a cost. A fully reproducible, fully auditable design cannot reach for the sophisticated corrections and latent-variable models that might, on a larger and cleaner dataset, extract more from the data. The methodology accepts that cost deliberately. On a thirty-record retrieved corpus, the marginal insight from a more elaborate estimator is small, and the marginal loss of auditability is large. Trading elaboration for transparency is the right trade at this scale, and it is the trade the whole design makes</w:t>
      </w:r>
      <w:r>
        <w:t xml:space="preserve"> </w:t>
      </w:r>
      <w:hyperlink w:anchor="ref-5">
        <w:r>
          <w:rPr>
            <w:rStyle w:val="Hyperlink"/>
          </w:rPr>
          <w:t xml:space="preserve">[5]</w:t>
        </w:r>
      </w:hyperlink>
      <w:r>
        <w:t xml:space="preserve">. Transparency wins.</w:t>
      </w:r>
    </w:p>
    <w:bookmarkEnd w:id="95"/>
    <w:bookmarkStart w:id="96" w:name="what-the-design-cannot-do"/>
    <w:p>
      <w:pPr>
        <w:pStyle w:val="Heading2"/>
        <w:spacing w:line="480" w:lineRule="auto"/>
      </w:pPr>
      <w:r>
        <w:t xml:space="preserve">4.8 What the design cannot do</w:t>
      </w:r>
    </w:p>
    <w:p>
      <w:pPr>
        <w:pStyle w:val="FirstParagraph"/>
        <w:spacing w:line="480" w:lineRule="auto"/>
      </w:pPr>
      <w:r>
        <w:t xml:space="preserve">Four limits are stated here and honored throughout. The design cannot recover the causal effect of review length on operational date, because the outcome it observes is topic signal, not time-to-operational</w:t>
      </w:r>
      <w:r>
        <w:t xml:space="preserve"> </w:t>
      </w:r>
      <w:hyperlink w:anchor="ref-5">
        <w:r>
          <w:rPr>
            <w:rStyle w:val="Hyperlink"/>
          </w:rPr>
          <w:t xml:space="preserve">[5]</w:t>
        </w:r>
      </w:hyperlink>
      <w:r>
        <w:t xml:space="preserve">. It cannot generalize beyond the retained corpus, because the records were retrieved from specific indexes with their own coverage biases</w:t>
      </w:r>
      <w:r>
        <w:t xml:space="preserve"> </w:t>
      </w:r>
      <w:hyperlink w:anchor="ref-3">
        <w:r>
          <w:rPr>
            <w:rStyle w:val="Hyperlink"/>
          </w:rPr>
          <w:t xml:space="preserve">[3]</w:t>
        </w:r>
      </w:hyperlink>
      <w:r>
        <w:t xml:space="preserve">. It cannot separate substantive salience from publication practice in the venue coefficient, because venue is ordinal and confounded with style</w:t>
      </w:r>
      <w:r>
        <w:t xml:space="preserve"> </w:t>
      </w:r>
      <w:hyperlink w:anchor="ref-2">
        <w:r>
          <w:rPr>
            <w:rStyle w:val="Hyperlink"/>
          </w:rPr>
          <w:t xml:space="preserve">[2]</w:t>
        </w:r>
      </w:hyperlink>
      <w:r>
        <w:t xml:space="preserve">. And it cannot treat citation count as a universal measure, because the counts are local index values that may differ from global counts</w:t>
      </w:r>
      <w:r>
        <w:t xml:space="preserve"> </w:t>
      </w:r>
      <w:hyperlink w:anchor="ref-8">
        <w:r>
          <w:rPr>
            <w:rStyle w:val="Hyperlink"/>
          </w:rPr>
          <w:t xml:space="preserve">[8]</w:t>
        </w:r>
      </w:hyperlink>
      <w:r>
        <w:t xml:space="preserve">.</w:t>
      </w:r>
    </w:p>
    <w:p>
      <w:pPr>
        <w:pStyle w:val="BodyText"/>
        <w:spacing w:line="480" w:lineRule="auto"/>
        <w:ind w:firstLine="720"/>
      </w:pPr>
      <w:r>
        <w:t xml:space="preserve">These are not defects to be apologized for. They are the boundary of a design that chose to test something it could actually test. The methodology’s contribution is a reproducible screen: a way to convert a rhetorical delay claim into an estimable pattern, and to report the pattern with standard errors that do not flatter it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6"/>
    <w:bookmarkStart w:id="97" w:name="X9c04240dcb5041cd91ce869954ecbf9b3cf1613"/>
    <w:p>
      <w:pPr>
        <w:pStyle w:val="Heading2"/>
        <w:spacing w:line="480" w:lineRule="auto"/>
      </w:pPr>
      <w:r>
        <w:t xml:space="preserve">4.9 Why two estimators rather than one combined model</w:t>
      </w:r>
    </w:p>
    <w:p>
      <w:pPr>
        <w:pStyle w:val="FirstParagraph"/>
        <w:spacing w:line="480" w:lineRule="auto"/>
      </w:pPr>
      <w:r>
        <w:t xml:space="preserve">A methodologically minded reader will wonder why the design uses two separate models instead of a single specification that includes both the cross-sectional predictors and a temporal term. The reasons are both statistical and interpretive. Statistically, the two models have different outcomes and different functional forms: Paper 1 explains a linear topic-signal score, while Paper 2 explains a log-transformed citation count. Forcing them into one specification would require choosing a single outcome, which would discard one of the two questions the theory poses</w:t>
      </w:r>
      <w:r>
        <w:t xml:space="preserve"> </w:t>
      </w:r>
      <w:hyperlink w:anchor="ref-8">
        <w:r>
          <w:rPr>
            <w:rStyle w:val="Hyperlink"/>
          </w:rPr>
          <w:t xml:space="preserve">[8]</w:t>
        </w:r>
      </w:hyperlink>
      <w:r>
        <w:t xml:space="preserve">.</w:t>
      </w:r>
    </w:p>
    <w:p>
      <w:pPr>
        <w:pStyle w:val="BodyText"/>
        <w:spacing w:line="480" w:lineRule="auto"/>
        <w:ind w:firstLine="720"/>
      </w:pPr>
      <w:r>
        <w:t xml:space="preserve">Interpretively, keeping the models separate preserves the four-cell distinction developed in the theory chapter. A combined model would blend cross-sectional and temporal signal into coefficients that could not be cleanly assigned to either dimension, and the whole point of the design is to say which dimension carries structure and which does not. Separation is what lets the results chapter report that recency carries precise cross-sectional structure while age carries no reliable temporal structure, a contrast that a combined model would smear</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two-estimator design trades a small amount of statistical elegance for a large gain in interpretive clarity, which is the right trade for a study whose contribution is diagnostic.</w:t>
      </w:r>
    </w:p>
    <w:p>
      <w:pPr>
        <w:pStyle w:val="BodyText"/>
        <w:spacing w:line="480" w:lineRule="auto"/>
        <w:ind w:firstLine="720"/>
      </w:pPr>
      <w:r>
        <w:t xml:space="preserve">There is also a robustness argument for separation. Two independent models that each fail or succeed on their own terms provide a more legible picture of where the corpus is structured than one model whose overall fit could mask a mix of strong and weak components. If a single combined model returned a middling fit, the reader could not tell whether that reflected uniform weak structure or a strong cross-sectional component diluted by a null temporal one. The separate estimators resolve that ambiguity by construction, and resolving it is exactly what a diagnostic screen exists to do</w:t>
      </w:r>
      <w:r>
        <w:t xml:space="preserve"> </w:t>
      </w:r>
      <w:hyperlink w:anchor="ref-5">
        <w:r>
          <w:rPr>
            <w:rStyle w:val="Hyperlink"/>
          </w:rPr>
          <w:t xml:space="preserve">[5]</w:t>
        </w:r>
      </w:hyperlink>
      <w:r>
        <w:t xml:space="preserve">.</w:t>
      </w:r>
    </w:p>
    <w:bookmarkEnd w:id="97"/>
    <w:bookmarkStart w:id="98" w:name="X6e9ed6311d0093f4e4ff4c38b70da83c521ffc0"/>
    <w:p>
      <w:pPr>
        <w:pStyle w:val="Heading2"/>
        <w:spacing w:line="480" w:lineRule="auto"/>
      </w:pPr>
      <w:r>
        <w:t xml:space="preserve">4.10 The standard against which the methodology should be judged</w:t>
      </w:r>
    </w:p>
    <w:p>
      <w:pPr>
        <w:pStyle w:val="FirstParagraph"/>
        <w:spacing w:line="480" w:lineRule="auto"/>
      </w:pPr>
      <w:r>
        <w:t xml:space="preserve">It is worth stating the standard by which this methodology asks to be evaluated, because it is not the standard of a causal study. A causal study is judged by whether its identifying assumptions hold and its effect estimate is unbiased. This design makes no identifying assumptions of that kind, so judging it by that standard would be a category error. The right standard is whether the screen is reproducible, whether its variable construction is transparent, whether its inference is appropriately cautious given the sample, and whether its interpretation stays within the boundary of what the corpus can support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By that standard the methodology can be checked directly. Reproducibility is verifiable by rerunning the deterministic estimators. Transparency is verifiable by reading the construction rules against the raw rows. Caution is verifiable by confirming that robust standard errors were used and that no null was narrated into a positive claim. Boundary discipline is verifiable by confirming that no coefficient was assigned a causal meaning. Each of these is a check a reader can perform, and offering checkable standards rather than unfalsifiable assurances is itself part of the methodological contribution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8"/>
    <w:bookmarkStart w:id="99" w:name="Xbb14c300a2c0b88f69e52bbac3ed31de62f4444"/>
    <w:p>
      <w:pPr>
        <w:pStyle w:val="Heading2"/>
        <w:spacing w:line="480" w:lineRule="auto"/>
      </w:pPr>
      <w:r>
        <w:t xml:space="preserve">4.11 The role of the constant and the reference categories</w:t>
      </w:r>
    </w:p>
    <w:p>
      <w:pPr>
        <w:pStyle w:val="FirstParagraph"/>
        <w:spacing w:line="480" w:lineRule="auto"/>
      </w:pPr>
      <w:r>
        <w:t xml:space="preserve">Two technical features of the specifications warrant a note, because they shape how the coefficients should be read. In Paper 1, the constant represents the expected topic signal for a hypothetical record at the recency-index origin, with zero citations, at the lowest venue score. That reference point is a construct rather than an observed record, so the constant is best read as a scaling anchor rather than a substantive quantity, and the interpretation in the results chapter treats it accordingly</w:t>
      </w:r>
      <w:r>
        <w:t xml:space="preserve"> </w:t>
      </w:r>
      <w:hyperlink w:anchor="ref-2">
        <w:r>
          <w:rPr>
            <w:rStyle w:val="Hyperlink"/>
          </w:rPr>
          <w:t xml:space="preserve">[2]</w:t>
        </w:r>
      </w:hyperlink>
      <w:r>
        <w:t xml:space="preserve">. The coefficients of interest are the slopes, which measure how signal changes as each predictor moves away from that reference.</w:t>
      </w:r>
    </w:p>
    <w:p>
      <w:pPr>
        <w:pStyle w:val="BodyText"/>
        <w:spacing w:line="480" w:lineRule="auto"/>
        <w:ind w:firstLine="720"/>
      </w:pPr>
      <w:r>
        <w:t xml:space="preserve">In Paper 2, the log-log form gives the constant an even more purely technical role. It fixes the predicted log-citation level at the reference age, and because both variables are logged, the constant carries no direct interpretation in the units a reader cares about. What carries the hypothesis is the single slope, the elasticity, and the design is explicit that a precise constant paired with an imprecise slope is a null result for the accumulation question</w:t>
      </w:r>
      <w:r>
        <w:t xml:space="preserve"> </w:t>
      </w:r>
      <w:hyperlink w:anchor="ref-8">
        <w:r>
          <w:rPr>
            <w:rStyle w:val="Hyperlink"/>
          </w:rPr>
          <w:t xml:space="preserve">[8]</w:t>
        </w:r>
      </w:hyperlink>
      <w:r>
        <w:t xml:space="preserve">. Separating the constant’s scaling role from the slope’s inferential role is what prevents a precise but uninformative intercept from being mistaken for support.</w:t>
      </w:r>
    </w:p>
    <w:p>
      <w:pPr>
        <w:pStyle w:val="BodyText"/>
        <w:spacing w:line="480" w:lineRule="auto"/>
        <w:ind w:firstLine="720"/>
      </w:pPr>
      <w:r>
        <w:t xml:space="preserve">The venue variable’s ordinal coding requires a parallel caution. Because venue is entered as a single ordinal score rather than as separate indicators for each family, the venue coefficient measures the average change in signal per step up the ordinal scale, under the assumption that the steps are comparable</w:t>
      </w:r>
      <w:r>
        <w:t xml:space="preserve"> </w:t>
      </w:r>
      <w:hyperlink w:anchor="ref-9">
        <w:r>
          <w:rPr>
            <w:rStyle w:val="Hyperlink"/>
          </w:rPr>
          <w:t xml:space="preserve">[9]</w:t>
        </w:r>
      </w:hyperlink>
      <w:r>
        <w:t xml:space="preserve">. That assumption is a simplification, and the results chapter reads the venue coefficient with the simplification in view, treating it as a summary of a monotone trend across families rather than as a precise contrast between any two of them. Stating these coding choices here is what lets the results chapter interpret each coefficient without re-litigating its construction.</w:t>
      </w:r>
    </w:p>
    <w:p>
      <w:pPr>
        <w:pStyle w:val="BodyText"/>
        <w:spacing w:line="480" w:lineRule="auto"/>
        <w:ind w:firstLine="720"/>
      </w:pPr>
      <w:r>
        <w:t xml:space="preserve">One methodological principle unifies these choices: every simplification is disclosed rather than buried. The ordinal venue coding, the reference-category constant, the plus-one citation transformation, and the fixed three-predictor specification are all simplifications, and each was chosen for a stated reason and flagged for its stated cost</w:t>
      </w:r>
      <w:r>
        <w:t xml:space="preserve"> </w:t>
      </w:r>
      <w:hyperlink w:anchor="ref-2">
        <w:r>
          <w:rPr>
            <w:rStyle w:val="Hyperlink"/>
          </w:rPr>
          <w:t xml:space="preserve">[2]</w:t>
        </w:r>
      </w:hyperlink>
      <w:r>
        <w:t xml:space="preserve"> </w:t>
      </w:r>
      <w:hyperlink w:anchor="ref-8">
        <w:r>
          <w:rPr>
            <w:rStyle w:val="Hyperlink"/>
          </w:rPr>
          <w:t xml:space="preserve">[8]</w:t>
        </w:r>
      </w:hyperlink>
      <w:r>
        <w:t xml:space="preserve">. A design that hid its simplifications would present cleaner-looking coefficients at the price of concealing where the estimates could mislead. This design does the opposite, surfacing each choice so the reader can weigh it, because a coefficient whose construction is fully disclosed is worth more than a coefficient that merely looks precise. Chapter 5 now describes the data on which these estimators run.</w:t>
      </w:r>
    </w:p>
    <w:bookmarkEnd w:id="99"/>
    <w:bookmarkEnd w:id="100"/>
    <w:bookmarkStart w:id="111" w:name="chapter-5.-data-and-measurement"/>
    <w:p>
      <w:pPr>
        <w:pStyle w:val="Heading1"/>
        <w:spacing w:line="480" w:lineRule="auto"/>
      </w:pPr>
      <w:r>
        <w:t xml:space="preserve">Chapter 5. Data and Measurement</w:t>
      </w:r>
    </w:p>
    <w:p>
      <w:pPr>
        <w:pStyle w:val="FirstParagraph"/>
        <w:spacing w:line="480" w:lineRule="auto"/>
      </w:pPr>
      <w:r>
        <w:t xml:space="preserve">This chapter describes the dataset in full: where the records come from, how many there are, and exactly how every variable is built from observable fields. The aim is that a skeptical reader could reconstruct each row from the source column and the stated construction rules, then recompute the estimators without consulting the author. That reconstructibility is the standard the data section holds itself to</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01" w:name="the-record-set-and-the-sample"/>
    <w:p>
      <w:pPr>
        <w:pStyle w:val="Heading2"/>
        <w:spacing w:line="480" w:lineRule="auto"/>
      </w:pPr>
      <w:r>
        <w:t xml:space="preserve">5.1 The record set and the sample</w:t>
      </w:r>
    </w:p>
    <w:p>
      <w:pPr>
        <w:pStyle w:val="FirstParagraph"/>
        <w:spacing w:line="480" w:lineRule="auto"/>
      </w:pPr>
      <w:r>
        <w:t xml:space="preserve">A candidate-specific record set of thirty retrieved records is the dataset, and thirty is the N that both estimators report. The records are not a random sample of the launch-policy literature. They are the corpus retrieved for this topic from a defined set of indexes, and that provenance is the first fact about them. Because the sample is the retrieved corpus rather than a population draw, every claim in later chapters is conditioned on the retrieval, not projected onto the field as a whole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These records are heterogeneous by construction. They span conference proceedings on rapid launch and launch-on-demand</w:t>
      </w:r>
      <w:r>
        <w:t xml:space="preserve"> </w:t>
      </w:r>
      <w:hyperlink w:anchor="ref-1">
        <w:r>
          <w:rPr>
            <w:rStyle w:val="Hyperlink"/>
          </w:rPr>
          <w:t xml:space="preserve">[1]</w:t>
        </w:r>
      </w:hyperlink>
      <w:r>
        <w:t xml:space="preserve"> </w:t>
      </w:r>
      <w:hyperlink w:anchor="ref-4">
        <w:r>
          <w:rPr>
            <w:rStyle w:val="Hyperlink"/>
          </w:rPr>
          <w:t xml:space="preserve">[4]</w:t>
        </w:r>
      </w:hyperlink>
      <w:r>
        <w:t xml:space="preserve">, peer-reviewed journal work on spaceport siting, ground segments, and emissions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w:t>
      </w:r>
      <w:hyperlink w:anchor="ref-12">
        <w:r>
          <w:rPr>
            <w:rStyle w:val="Hyperlink"/>
          </w:rPr>
          <w:t xml:space="preserve">[12]</w:t>
        </w:r>
      </w:hyperlink>
      <w:r>
        <w:t xml:space="preserve">, and economic-policy documents on the space economy. Each record occupies one row. Each row carries a source column, a digital object identifier or a resolvable index URL or a titled document reference, so that provenance travels with the observation and no row is anonymous. Heterogeneity is not noise to be hidden; it is a property the venue variable is built to encode.</w:t>
      </w:r>
    </w:p>
    <w:bookmarkEnd w:id="101"/>
    <w:bookmarkStart w:id="102" w:name="variables-in-paper-1"/>
    <w:p>
      <w:pPr>
        <w:pStyle w:val="Heading2"/>
        <w:spacing w:line="480" w:lineRule="auto"/>
      </w:pPr>
      <w:r>
        <w:t xml:space="preserve">5.2 Variables in Paper 1</w:t>
      </w:r>
    </w:p>
    <w:p>
      <w:pPr>
        <w:pStyle w:val="FirstParagraph"/>
        <w:spacing w:line="480" w:lineRule="auto"/>
      </w:pPr>
      <w:r>
        <w:t xml:space="preserve">Paper 1 uses four constructed variables plus the source column. The outcome is the topic-signal score. It is a deterministic count built from candidate-theme term hits in the source title, snippet, keyword field, and author metadata. Determinism is the point: the same record always yields the same score, because the construction is a fixed counting rule over fixed fields rather than a judgment call. Across the thirty records the score ranges from one, for records that touch the theme only glancingly, to nine, for the record most saturated with theme terms</w:t>
      </w:r>
      <w:r>
        <w:t xml:space="preserve"> </w:t>
      </w:r>
      <w:hyperlink w:anchor="ref-2">
        <w:r>
          <w:rPr>
            <w:rStyle w:val="Hyperlink"/>
          </w:rPr>
          <w:t xml:space="preserve">[2]</w:t>
        </w:r>
      </w:hyperlink>
      <w:r>
        <w:t xml:space="preserve">.</w:t>
      </w:r>
    </w:p>
    <w:p>
      <w:pPr>
        <w:pStyle w:val="BodyText"/>
        <w:spacing w:line="480" w:lineRule="auto"/>
        <w:ind w:firstLine="720"/>
      </w:pPr>
      <w:r>
        <w:t xml:space="preserve">A recency index is the first predictor. It is computed as the publication year minus the minimum publication year in the sample plus one. The oldest record in the pack is from 2013, which anchors the index at one; the most recent, from 2026, sits at the top of the range. The plus-one offset keeps the index positive and interpretable as years-since-earliest, a natural scale for asking whether newer records carry more signal</w:t>
      </w:r>
      <w:r>
        <w:t xml:space="preserve"> </w:t>
      </w:r>
      <w:hyperlink w:anchor="ref-11">
        <w:r>
          <w:rPr>
            <w:rStyle w:val="Hyperlink"/>
          </w:rPr>
          <w:t xml:space="preserve">[11]</w:t>
        </w:r>
      </w:hyperlink>
      <w:r>
        <w:t xml:space="preserve">.</w:t>
      </w:r>
    </w:p>
    <w:p>
      <w:pPr>
        <w:pStyle w:val="BodyText"/>
        <w:spacing w:line="480" w:lineRule="auto"/>
        <w:ind w:firstLine="720"/>
      </w:pPr>
      <w:r>
        <w:t xml:space="preserve">A citation count is the second predictor, parsed directly from the local index citation field and set to zero when the index reported no count. Most records in this pack are uncited or lightly cited, which is unsurprising for recent journal articles and conference papers, while a single heavily cited record on machine learning in robotic grasping carries eighty-two citations and sits far out in the right tail</w:t>
      </w:r>
      <w:r>
        <w:t xml:space="preserve"> </w:t>
      </w:r>
      <w:hyperlink w:anchor="ref-13">
        <w:r>
          <w:rPr>
            <w:rStyle w:val="Hyperlink"/>
          </w:rPr>
          <w:t xml:space="preserve">[13]</w:t>
        </w:r>
      </w:hyperlink>
      <w:r>
        <w:t xml:space="preserve">. That skew is a data fact the estimator must contend with, and it is one reason the citation term is expected to be imprecise.</w:t>
      </w:r>
    </w:p>
    <w:p>
      <w:pPr>
        <w:pStyle w:val="BodyText"/>
        <w:spacing w:line="480" w:lineRule="auto"/>
        <w:ind w:firstLine="720"/>
      </w:pPr>
      <w:r>
        <w:t xml:space="preserve">A venue-family score is the third predictor, an ordinal code: AMOS conference proceedings score one, Acta Astronautica journal articles score two, and space-economy documents score three. The ordering reflects venue family, not quality, and the analysis treats it strictly as a categorical location marker placed on an ordinal scale</w:t>
      </w:r>
      <w:r>
        <w:t xml:space="preserve"> </w:t>
      </w:r>
      <w:hyperlink w:anchor="ref-9">
        <w:r>
          <w:rPr>
            <w:rStyle w:val="Hyperlink"/>
          </w:rPr>
          <w:t xml:space="preserve">[9]</w:t>
        </w:r>
      </w:hyperlink>
      <w:r>
        <w:t xml:space="preserve">. Nothing in the interpretation reads the venue score as a ranking of merit.</w:t>
      </w:r>
    </w:p>
    <w:bookmarkEnd w:id="102"/>
    <w:bookmarkStart w:id="103" w:name="variables-in-paper-2"/>
    <w:p>
      <w:pPr>
        <w:pStyle w:val="Heading2"/>
        <w:spacing w:line="480" w:lineRule="auto"/>
      </w:pPr>
      <w:r>
        <w:t xml:space="preserve">5.3 Variables in Paper 2</w:t>
      </w:r>
    </w:p>
    <w:p>
      <w:pPr>
        <w:pStyle w:val="FirstParagraph"/>
        <w:spacing w:line="480" w:lineRule="auto"/>
      </w:pPr>
      <w:r>
        <w:t xml:space="preserve">Paper 2 uses a smaller variable set targeted at temporal structure. The outcome is citation count plus one. The plus-one is a mathematical necessity: many records have zero citations, and the log transformation the learning-curve model requires is undefined at zero, so adding one keeps every record in the estimation rather than silently dropping the uncited majority</w:t>
      </w:r>
      <w:r>
        <w:t xml:space="preserve"> </w:t>
      </w:r>
      <w:hyperlink w:anchor="ref-8">
        <w:r>
          <w:rPr>
            <w:rStyle w:val="Hyperlink"/>
          </w:rPr>
          <w:t xml:space="preserve">[8]</w:t>
        </w:r>
      </w:hyperlink>
      <w:r>
        <w:t xml:space="preserve">. Without that transformation the model would be estimated only on the cited minority, which would bias the age-attention relationship toward the handful of high-citation records.</w:t>
      </w:r>
    </w:p>
    <w:p>
      <w:pPr>
        <w:pStyle w:val="BodyText"/>
        <w:spacing w:line="480" w:lineRule="auto"/>
        <w:ind w:firstLine="720"/>
      </w:pPr>
      <w:r>
        <w:t xml:space="preserve">Its single predictor is the article age index, computed as 2026 minus the publication year plus one. The most recent record, from 2026, has an age index of one; the oldest, from 2013, has an age index of fourteen. This variable is the temporal axis of the learning curve, and its construction is the mirror image of the recency index used in Paper 1: recency counts up from the oldest record, age counts down from the analytic present. Both are exact functions of publication year, so both are fully reproducible from the year field alone.</w:t>
      </w:r>
    </w:p>
    <w:bookmarkEnd w:id="103"/>
    <w:bookmarkStart w:id="104" w:name="measurement-validity-and-its-limits"/>
    <w:p>
      <w:pPr>
        <w:pStyle w:val="Heading2"/>
        <w:spacing w:line="480" w:lineRule="auto"/>
      </w:pPr>
      <w:r>
        <w:t xml:space="preserve">5.4 Measurement validity and its limits</w:t>
      </w:r>
    </w:p>
    <w:p>
      <w:pPr>
        <w:pStyle w:val="FirstParagraph"/>
        <w:spacing w:line="480" w:lineRule="auto"/>
      </w:pPr>
      <w:r>
        <w:t xml:space="preserve">Measurement strategy is strongest where the question is whether observable records contain structure, and it is weakest if read as a direct measure of any policy or program outcome. The topic-signal score is a proxy for salience, not a measure of environmental-review burden. The citation count is a local index value, not a universal citation total. The venue score is a family marker, not a substantive weight. Each variable is honest about what it observes, and the data section states the proxy relationship rather than relabeling a proxy as the thing it stands for</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measurement threats deserve naming here, ahead of the fuller treatment in Chapter 7. The first is coverage: the record set reflects what specific indexes returned, so records in venues those indexes undercover are absent by construction, and their absence is invisible in the data</w:t>
      </w:r>
      <w:r>
        <w:t xml:space="preserve"> </w:t>
      </w:r>
      <w:hyperlink w:anchor="ref-3">
        <w:r>
          <w:rPr>
            <w:rStyle w:val="Hyperlink"/>
          </w:rPr>
          <w:t xml:space="preserve">[3]</w:t>
        </w:r>
      </w:hyperlink>
      <w:r>
        <w:t xml:space="preserve">. The second is metadata sparsity: economic-policy documents in this pack often lack snippet and keyword fields, which mechanically lowers their achievable topic-signal score regardless of their substantive relevance. That interaction between venue family and metadata completeness is a real confound, and it is one the venue coefficient will partly absorb</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4"/>
    <w:bookmarkStart w:id="105" w:name="the-distribution-of-the-data-in-detail"/>
    <w:p>
      <w:pPr>
        <w:pStyle w:val="Heading2"/>
        <w:spacing w:line="480" w:lineRule="auto"/>
      </w:pPr>
      <w:r>
        <w:t xml:space="preserve">5.5 The distribution of the data in detail</w:t>
      </w:r>
    </w:p>
    <w:p>
      <w:pPr>
        <w:pStyle w:val="FirstParagraph"/>
        <w:spacing w:line="480" w:lineRule="auto"/>
      </w:pPr>
      <w:r>
        <w:t xml:space="preserve">A dataset is best understood by looking at how its values actually fall, and this pack rewards the look. Publication years span 2013 to 2026, with a heavy concentration in the most recent years: a large share of the records date from 2024 or later, which is consistent with a topic drawing rising attention rather than a settled historical literature</w:t>
      </w:r>
      <w:r>
        <w:t xml:space="preserve"> </w:t>
      </w:r>
      <w:hyperlink w:anchor="ref-11">
        <w:r>
          <w:rPr>
            <w:rStyle w:val="Hyperlink"/>
          </w:rPr>
          <w:t xml:space="preserve">[11]</w:t>
        </w:r>
      </w:hyperlink>
      <w:r>
        <w:t xml:space="preserve">. The recency index, which counts up from the 2013 floor, therefore places most of the mass toward its upper end, and the topic-signal outcome the model tries to explain is being explained largely among recent records. That concentration is a feature of the topic, and it is the reason the recency predictor has real variation to work with.</w:t>
      </w:r>
    </w:p>
    <w:p>
      <w:pPr>
        <w:pStyle w:val="BodyText"/>
        <w:spacing w:line="480" w:lineRule="auto"/>
        <w:ind w:firstLine="720"/>
      </w:pPr>
      <w:r>
        <w:t xml:space="preserve">The venue distribution is tripartite and uneven. AMOS conference records, scored one, supply a substantial block drawn from the situational-awareness and launch-policy tracks</w:t>
      </w:r>
      <w:r>
        <w:t xml:space="preserve"> </w:t>
      </w:r>
      <w:hyperlink w:anchor="ref-3">
        <w:r>
          <w:rPr>
            <w:rStyle w:val="Hyperlink"/>
          </w:rPr>
          <w:t xml:space="preserve">[3]</w:t>
        </w:r>
      </w:hyperlink>
      <w:r>
        <w:t xml:space="preserve"> </w:t>
      </w:r>
      <w:hyperlink w:anchor="ref-4">
        <w:r>
          <w:rPr>
            <w:rStyle w:val="Hyperlink"/>
          </w:rPr>
          <w:t xml:space="preserve">[4]</w:t>
        </w:r>
      </w:hyperlink>
      <w:r>
        <w:t xml:space="preserve">. Acta Astronautica journal articles, scored two, supply the peer-reviewed core, including the siting, ground-segment, emissions, and propulsion work that anchors the substantive literature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5">
        <w:r>
          <w:rPr>
            <w:rStyle w:val="Hyperlink"/>
          </w:rPr>
          <w:t xml:space="preserve">[15]</w:t>
        </w:r>
      </w:hyperlink>
      <w:r>
        <w:t xml:space="preserve">. Space-economy documents, scored three, supply a smaller block of policy and economic material. The unevenness matters because the venue coefficient is estimated across these three groups, and the groups differ not only in venue family but in metadata completeness, which is the confound the data section has flagged twice and which Chapter 6 will show operating in the estimates.</w:t>
      </w:r>
    </w:p>
    <w:p>
      <w:pPr>
        <w:pStyle w:val="BodyText"/>
        <w:spacing w:line="480" w:lineRule="auto"/>
        <w:ind w:firstLine="720"/>
      </w:pPr>
      <w:r>
        <w:t xml:space="preserve">The citation distribution is the most skewed of all, and its skew is the single most important data fact for interpreting Paper 2. The overwhelming majority of records carry zero or a handful of citations, which is expected for recent work that has had little time to accrue attention. Against that backdrop, a single record on machine learning in robotic grasping carries eighty-two citations, an order of magnitude beyond any other</w:t>
      </w:r>
      <w:r>
        <w:t xml:space="preserve"> </w:t>
      </w:r>
      <w:hyperlink w:anchor="ref-13">
        <w:r>
          <w:rPr>
            <w:rStyle w:val="Hyperlink"/>
          </w:rPr>
          <w:t xml:space="preserve">[13]</w:t>
        </w:r>
      </w:hyperlink>
      <w:r>
        <w:t xml:space="preserve">. That outlier is recent, not old, which is precisely why the age-attention relationship the learning curve tests comes out flat: the citation mass sits in a young record, breaking the presumed link between age and accumulation</w:t>
      </w:r>
      <w:r>
        <w:t xml:space="preserve"> </w:t>
      </w:r>
      <w:hyperlink w:anchor="ref-8">
        <w:r>
          <w:rPr>
            <w:rStyle w:val="Hyperlink"/>
          </w:rPr>
          <w:t xml:space="preserve">[8]</w:t>
        </w:r>
      </w:hyperlink>
      <w:r>
        <w:t xml:space="preserve">. Seeing the distribution makes the later null result legible in advance. The skew explains it.</w:t>
      </w:r>
    </w:p>
    <w:bookmarkEnd w:id="105"/>
    <w:bookmarkStart w:id="106" w:name="determinism-and-the-source-column"/>
    <w:p>
      <w:pPr>
        <w:pStyle w:val="Heading2"/>
        <w:spacing w:line="480" w:lineRule="auto"/>
      </w:pPr>
      <w:r>
        <w:t xml:space="preserve">5.6 Determinism and the source column</w:t>
      </w:r>
    </w:p>
    <w:p>
      <w:pPr>
        <w:pStyle w:val="FirstParagraph"/>
        <w:spacing w:line="480" w:lineRule="auto"/>
      </w:pPr>
      <w:r>
        <w:t xml:space="preserve">Two properties of the data deserve emphasis because they are what make the whole design auditable. The first is determinism in variable construction. The topic-signal score, the recency index, the citation count, the venue score, and the age index are all fixed functions of observable fields, so the same record always produces the same values. There is no coding discretion to drift between analysts, and no judgment call that a second coder might make differently. No discretion drifts. Determinism is what turns a subjective salience impression into a reproducible number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second property is the source column that every row carries. A digital object identifier, a resolvable index URL, or a titled document reference travels with each observation, so that no row is anonymous and every value can be traced back to the record that generated it. This is more than bookkeeping. It is the mechanism by which a skeptical reader converts doubt into a check: pick a suspicious row, follow its source, recount its theme-term hits, and confirm or refute the signal score the data assigns it. A dataset without a source column asks for trust; a dataset with one offers verification instead, and the difference is the difference between assertion and evidence</w:t>
      </w:r>
      <w:r>
        <w:t xml:space="preserve"> </w:t>
      </w:r>
      <w:hyperlink w:anchor="ref-3">
        <w:r>
          <w:rPr>
            <w:rStyle w:val="Hyperlink"/>
          </w:rPr>
          <w:t xml:space="preserve">[3]</w:t>
        </w:r>
      </w:hyperlink>
      <w:r>
        <w:t xml:space="preserve"> </w:t>
      </w:r>
      <w:hyperlink w:anchor="ref-6">
        <w:r>
          <w:rPr>
            <w:rStyle w:val="Hyperlink"/>
          </w:rPr>
          <w:t xml:space="preserve">[6]</w:t>
        </w:r>
      </w:hyperlink>
      <w:r>
        <w:t xml:space="preserve">. Verification beats trust.</w:t>
      </w:r>
    </w:p>
    <w:p>
      <w:pPr>
        <w:pStyle w:val="BodyText"/>
        <w:spacing w:line="480" w:lineRule="auto"/>
        <w:ind w:firstLine="720"/>
      </w:pPr>
      <w:r>
        <w:t xml:space="preserve">The two properties reinforce one another. Determinism guarantees that the construction rule, applied to a traced source, yields the recorded value, and the source column guarantees that the traced source is the right one. Together they close the loop between the raw record and the estimated coefficient, so that the entire distance from a spaceport-policy document to a p-value in Chapter 6 is walkable in both directions. That walkability is the deliverable the data chapter exists to secure</w:t>
      </w:r>
      <w:r>
        <w:t xml:space="preserve"> </w:t>
      </w:r>
      <w:hyperlink w:anchor="ref-7">
        <w:r>
          <w:rPr>
            <w:rStyle w:val="Hyperlink"/>
          </w:rPr>
          <w:t xml:space="preserve">[7]</w:t>
        </w:r>
      </w:hyperlink>
      <w:r>
        <w:t xml:space="preserve">.</w:t>
      </w:r>
    </w:p>
    <w:bookmarkEnd w:id="106"/>
    <w:bookmarkStart w:id="107" w:name="the-reproducibility-hierarchy"/>
    <w:p>
      <w:pPr>
        <w:pStyle w:val="Heading2"/>
        <w:spacing w:line="480" w:lineRule="auto"/>
      </w:pPr>
      <w:r>
        <w:t xml:space="preserve">5.7 The reproducibility hierarchy</w:t>
      </w:r>
    </w:p>
    <w:p>
      <w:pPr>
        <w:pStyle w:val="FirstParagraph"/>
        <w:spacing w:line="480" w:lineRule="auto"/>
      </w:pPr>
      <w:r>
        <w:t xml:space="preserve">The data are organized as a strict hierarchy, and the dissertation narrative sits at the bottom of it, downstream of every artifact. The bibliography and source metadata establish the universe of records. The comma-separated data files define the rows and their observable fields. The configuration files define each variable, its construction rule, and the estimator formula. The workbooks reproduce the estimator output exactly. Each layer is inspectable, and each layer constrains the one below it, so that no claim in the prose can drift free of the number that licenses it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ordering is the data section’s central commitment. A reader who doubts a coefficient in Chapter 6 can descend the hierarchy: read the interpretation, check it against the workbook output, check the workbook against the configuration formula, and check the formula against the raw rows and their sources. At no point does the trail go cold.</w:t>
      </w:r>
    </w:p>
    <w:bookmarkEnd w:id="107"/>
    <w:bookmarkStart w:id="108" w:name="X32829320543d6168278377601ee41b0754bfb53"/>
    <w:p>
      <w:pPr>
        <w:pStyle w:val="Heading2"/>
        <w:spacing w:line="480" w:lineRule="auto"/>
      </w:pPr>
      <w:r>
        <w:t xml:space="preserve">5.8 What the topic-signal score can and cannot represent</w:t>
      </w:r>
    </w:p>
    <w:p>
      <w:pPr>
        <w:pStyle w:val="FirstParagraph"/>
        <w:spacing w:line="480" w:lineRule="auto"/>
      </w:pPr>
      <w:r>
        <w:t xml:space="preserve">Because so much rests on the topic-signal score, its representational limits deserve explicit treatment. The score is a count of theme-term hits across four fields, and that construction makes it a measure of surface salience: how prominently a record’s observable metadata invokes the topic. It is a good measure of that and only that. It does not measure the depth of a record’s engagement with the topic, the quality of its analysis, or its relevance to the causal question, because none of those qualities is legible in a term count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limit cuts in a specific direction. A record that engages the environmental gate deeply but describes it in varied language may score low, while a record that mentions the theme terms often but shallowly may score high. The score cannot tell these apart, and the interpretation must not pretend otherwise. What the score can do is detect gross patterns across many records: if recent records systematically invoke the theme more, that pattern is real even if any single record’s score is a noisy measure of its true engagement</w:t>
      </w:r>
      <w:r>
        <w:t xml:space="preserve"> </w:t>
      </w:r>
      <w:hyperlink w:anchor="ref-3">
        <w:r>
          <w:rPr>
            <w:rStyle w:val="Hyperlink"/>
          </w:rPr>
          <w:t xml:space="preserve">[3]</w:t>
        </w:r>
      </w:hyperlink>
      <w:r>
        <w:t xml:space="preserve">. The design leans on the aggregate pattern, not on individual scores, and the aggregate is where a deterministic term count is most trustworthy.</w:t>
      </w:r>
    </w:p>
    <w:p>
      <w:pPr>
        <w:pStyle w:val="BodyText"/>
        <w:spacing w:line="480" w:lineRule="auto"/>
        <w:ind w:firstLine="720"/>
      </w:pPr>
      <w:r>
        <w:t xml:space="preserve">The metadata-sparsity interaction sharpens this limit further. Records from venues that supply rich snippets and keyword fields have more surface on which theme terms can land, so they can achieve higher scores independent of their substantive relevance</w:t>
      </w:r>
      <w:r>
        <w:t xml:space="preserve"> </w:t>
      </w:r>
      <w:hyperlink w:anchor="ref-8">
        <w:r>
          <w:rPr>
            <w:rStyle w:val="Hyperlink"/>
          </w:rPr>
          <w:t xml:space="preserve">[8]</w:t>
        </w:r>
      </w:hyperlink>
      <w:r>
        <w:t xml:space="preserve">. Space-economy documents, which often lack these fields, are structurally capped at lower scores. This is why the venue coefficient must be read as partly a metadata artifact, and it is why the data chapter flags the interaction before the results chapter shows it operating. Naming the limit here is what makes the later coefficient interpretable rather than misleading.</w:t>
      </w:r>
    </w:p>
    <w:bookmarkEnd w:id="108"/>
    <w:bookmarkStart w:id="109" w:name="the-sample-size-and-its-consequences"/>
    <w:p>
      <w:pPr>
        <w:pStyle w:val="Heading2"/>
        <w:spacing w:line="480" w:lineRule="auto"/>
      </w:pPr>
      <w:r>
        <w:t xml:space="preserve">5.9 The sample size and its consequences</w:t>
      </w:r>
    </w:p>
    <w:p>
      <w:pPr>
        <w:pStyle w:val="FirstParagraph"/>
        <w:spacing w:line="480" w:lineRule="auto"/>
      </w:pPr>
      <w:r>
        <w:t xml:space="preserve">Thirty is a number the reader should keep in mind through every chapter that follows, and this section states its consequences plainly. Thirty observations are enough to estimate a four-parameter linear model and a two-parameter log-log model, but they are not enough to support elaborate specifications, subgroup analyses, or claims of high precision on weak effects</w:t>
      </w:r>
      <w:r>
        <w:t xml:space="preserve"> </w:t>
      </w:r>
      <w:hyperlink w:anchor="ref-5">
        <w:r>
          <w:rPr>
            <w:rStyle w:val="Hyperlink"/>
          </w:rPr>
          <w:t xml:space="preserve">[5]</w:t>
        </w:r>
      </w:hyperlink>
      <w:r>
        <w:t xml:space="preserve">. The design responds to the small sample not by hiding it but by matching its ambitions to it: few predictors, robust standard errors, and interpretations calibrated to the width of the confidence intervals the sample produces.</w:t>
      </w:r>
    </w:p>
    <w:p>
      <w:pPr>
        <w:pStyle w:val="BodyText"/>
        <w:spacing w:line="480" w:lineRule="auto"/>
        <w:ind w:firstLine="720"/>
      </w:pPr>
      <w:r>
        <w:t xml:space="preserve">The small sample also shapes which findings are trustworthy. A large, precise coefficient like the recency term is credible even at N of thirty, because a relationship strong enough to clear significance with so few observations is unlikely to be an artifact of a handful of points</w:t>
      </w:r>
      <w:r>
        <w:t xml:space="preserve"> </w:t>
      </w:r>
      <w:hyperlink w:anchor="ref-11">
        <w:r>
          <w:rPr>
            <w:rStyle w:val="Hyperlink"/>
          </w:rPr>
          <w:t xml:space="preserve">[11]</w:t>
        </w:r>
      </w:hyperlink>
      <w:r>
        <w:t xml:space="preserve">. A weak, imprecise coefficient like the age elasticity is, by contrast, exactly what a small sample produces when no real relationship is present, so the null is consistent both with genuine absence and with low power, and the interpretation says so</w:t>
      </w:r>
      <w:r>
        <w:t xml:space="preserve"> </w:t>
      </w:r>
      <w:hyperlink w:anchor="ref-8">
        <w:r>
          <w:rPr>
            <w:rStyle w:val="Hyperlink"/>
          </w:rPr>
          <w:t xml:space="preserve">[8]</w:t>
        </w:r>
      </w:hyperlink>
      <w:r>
        <w:t xml:space="preserve">. Holding the sample size in view is what lets the reader weight each finding correctly, and stating it here is the last piece of context the results chapter needs.</w:t>
      </w:r>
    </w:p>
    <w:bookmarkEnd w:id="109"/>
    <w:bookmarkStart w:id="110" w:name="X27396ff58e383fc4aa40df9d3f1b5e244c02600"/>
    <w:p>
      <w:pPr>
        <w:pStyle w:val="Heading2"/>
        <w:spacing w:line="480" w:lineRule="auto"/>
      </w:pPr>
      <w:r>
        <w:t xml:space="preserve">5.10 Provenance and the audit trail in practice</w:t>
      </w:r>
    </w:p>
    <w:p>
      <w:pPr>
        <w:pStyle w:val="FirstParagraph"/>
        <w:spacing w:line="480" w:lineRule="auto"/>
      </w:pPr>
      <w:r>
        <w:t xml:space="preserve">To make the audit trail concrete, consider how a reader would verify a single row end to end. Take the record on space environmental governance and source-sink evolutionary models, which appears in the pack with a resolvable digital object identifier in its source column</w:t>
      </w:r>
      <w:r>
        <w:t xml:space="preserve"> </w:t>
      </w:r>
      <w:hyperlink w:anchor="ref-8">
        <w:r>
          <w:rPr>
            <w:rStyle w:val="Hyperlink"/>
          </w:rPr>
          <w:t xml:space="preserve">[8]</w:t>
        </w:r>
      </w:hyperlink>
      <w:r>
        <w:t xml:space="preserve">. A skeptic could resolve that identifier, retrieve the record, and count the theme-term hits across its title, snippet, keyword field, and author metadata using the same deterministic rule the data applied. The count should reproduce the signal score the dataset assigns, and if it does not, the discrepancy is itself diagnostic and locatable</w:t>
      </w:r>
      <w:r>
        <w:t xml:space="preserve"> </w:t>
      </w:r>
      <w:hyperlink w:anchor="ref-2">
        <w:r>
          <w:rPr>
            <w:rStyle w:val="Hyperlink"/>
          </w:rPr>
          <w:t xml:space="preserve">[2]</w:t>
        </w:r>
      </w:hyperlink>
      <w:r>
        <w:t xml:space="preserve">.</w:t>
      </w:r>
    </w:p>
    <w:p>
      <w:pPr>
        <w:pStyle w:val="BodyText"/>
        <w:spacing w:line="480" w:lineRule="auto"/>
        <w:ind w:firstLine="720"/>
      </w:pPr>
      <w:r>
        <w:t xml:space="preserve">The same walk works for the temporal variables. The record’s publication year is observable from the resolved source, and the recency and age indices are exact arithmetic functions of that year, so both can be recomputed by hand and checked against the dataset. There is no hidden transformation between the year field and the two indices; the construction is transparent by design</w:t>
      </w:r>
      <w:r>
        <w:t xml:space="preserve"> </w:t>
      </w:r>
      <w:hyperlink w:anchor="ref-11">
        <w:r>
          <w:rPr>
            <w:rStyle w:val="Hyperlink"/>
          </w:rPr>
          <w:t xml:space="preserve">[11]</w:t>
        </w:r>
      </w:hyperlink>
      <w:r>
        <w:t xml:space="preserve">. A reader who performs this walk for a handful of rows gains warranted confidence in the whole dataset, because the construction rules are uniform across records and the source column makes every row traceable.</w:t>
      </w:r>
    </w:p>
    <w:p>
      <w:pPr>
        <w:pStyle w:val="BodyText"/>
        <w:spacing w:line="480" w:lineRule="auto"/>
        <w:ind w:firstLine="720"/>
      </w:pPr>
      <w:r>
        <w:t xml:space="preserve">This practical auditability is what distinguishes the dataset from a black-box feature matrix. Many quantitative studies present variables whose construction cannot be checked against sources, and the reader must extend trust. Here the trust is replaced by verification: every value has a stated rule and a traced source, and the two together let a determined reader reconstruct the dataset without the author’s cooperation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property is the data chapter’s most important deliverable, more important than any summary statistic, because it is what makes every downstream coefficient inspectable rather than merely asserted. With the data and its construction now fully specified, the next chapter reports what the two estimators return when run on these thirty records, and it reports those numbers exactly as the workbooks produced them.</w:t>
      </w:r>
    </w:p>
    <w:bookmarkEnd w:id="110"/>
    <w:bookmarkEnd w:id="111"/>
    <w:bookmarkStart w:id="120" w:name="chapter-6.-results"/>
    <w:p>
      <w:pPr>
        <w:pStyle w:val="Heading1"/>
        <w:spacing w:line="480" w:lineRule="auto"/>
      </w:pPr>
      <w:r>
        <w:t xml:space="preserve">Chapter 6. Results</w:t>
      </w:r>
    </w:p>
    <w:p>
      <w:pPr>
        <w:pStyle w:val="FirstParagraph"/>
        <w:spacing w:line="480" w:lineRule="auto"/>
      </w:pPr>
      <w:r>
        <w:t xml:space="preserve">This chapter reports the estimator output for both models exactly as the embedded workbooks produced it, then interprets the signs and magnitudes within the boundaries the design has fixed. No number here is rounded away from its workbook value in the underlying record, and no coefficient is read as more than the corpus can license. The results are presented model by model, then read together</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2" w:name="Xab72d99a1361bee345313574e2fa9bb38165300"/>
    <w:p>
      <w:pPr>
        <w:pStyle w:val="Heading2"/>
        <w:spacing w:line="480" w:lineRule="auto"/>
      </w:pPr>
      <w:r>
        <w:t xml:space="preserve">6.1 Paper 1: ordinary least squares on topic signal</w:t>
      </w:r>
    </w:p>
    <w:p>
      <w:pPr>
        <w:pStyle w:val="FirstParagraph"/>
        <w:spacing w:line="480" w:lineRule="auto"/>
      </w:pPr>
      <w:r>
        <w:t xml:space="preserve">Paper 1 estimates an ordinary least squares model with robust HC1 standard errors on the thirty-record record set. The fit summary is: N = 30, R2 = 0.43235026884632977, adjusted R2 = 0.36685222294398323, F = 23.234722949047008, and F p-value = 1.5886831157959067e-07. The model accounts for roughly forty-three percent of the variation in the topic-signal score across records, and the adjusted figure of about thirty-seven percent, which penalizes the three predictors, remains substantial for a thirty-observation cross section. The F-statistic of 23.23 with a p-value near 1.59e-07 rejects the joint null that all slope coefficients are zero. The model as a whole carries structure; the question is which terms carry it. Two of three do.</w:t>
      </w:r>
    </w:p>
    <w:p>
      <w:pPr>
        <w:pStyle w:val="BodyText"/>
        <w:spacing w:line="480" w:lineRule="auto"/>
        <w:ind w:firstLine="720"/>
      </w:pPr>
      <w:r>
        <w:t xml:space="preserve">The term summary is as follows. The constant has coefficient 1.6040196823913204, standard error 0.9729, and p-value 0.09921586195980427. The recency index has coefficient 0.3536051312841998, standard error 0.1019, and p-value 0.000520798893197348. The citation count has coefficient -0.0006598249470758789, standard error 0.0092, and p-value 0.9428880597580572. The venue score has coefficient -0.977797381861415, standard error 0.2153, and p-value 5.571305256233388e-06.</w:t>
      </w:r>
    </w:p>
    <w:p>
      <w:pPr>
        <w:pStyle w:val="BodyText"/>
        <w:spacing w:line="480" w:lineRule="auto"/>
        <w:ind w:firstLine="720"/>
      </w:pPr>
      <w:r>
        <w:t xml:space="preserve">Read term by term, the pattern is sharp. The recency coefficient is positive and precisely estimated, with a p-value of roughly 0.0005. Each one-unit increase in the recency index, one additional year past the oldest record in the pack, is associated with an increase of about 0.354 in the topic-signal score. This is the coefficient the theory predicted would be positive and significant, and it is. More recent records carry more topic signal, which is the documentary fingerprint of a concern that is current rather than historical</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citation coefficient is, by contrast, essentially zero and wildly imprecise, with a coefficient of about -0.00066 and a p-value of 0.943. The design anticipated this. In a small corpus dominated by uncited and lightly cited records, with a single eighty-two-citation outlier, cross-sectional citation count carries almost no information about topic salience</w:t>
      </w:r>
      <w:r>
        <w:t xml:space="preserve"> </w:t>
      </w:r>
      <w:hyperlink w:anchor="ref-13">
        <w:r>
          <w:rPr>
            <w:rStyle w:val="Hyperlink"/>
          </w:rPr>
          <w:t xml:space="preserve">[13]</w:t>
        </w:r>
      </w:hyperlink>
      <w:r>
        <w:t xml:space="preserve">. The correct reading is not that citations reduce signal; the point estimate is indistinguishable from zero. The correct reading is that this term supports no association at all, and the analysis is bound to say so rather than to narrate its negative sign</w:t>
      </w:r>
      <w:r>
        <w:t xml:space="preserve"> </w:t>
      </w:r>
      <w:hyperlink w:anchor="ref-5">
        <w:r>
          <w:rPr>
            <w:rStyle w:val="Hyperlink"/>
          </w:rPr>
          <w:t xml:space="preserve">[5]</w:t>
        </w:r>
      </w:hyperlink>
      <w:r>
        <w:t xml:space="preserve">.</w:t>
      </w:r>
    </w:p>
    <w:p>
      <w:pPr>
        <w:pStyle w:val="BodyText"/>
        <w:spacing w:line="480" w:lineRule="auto"/>
        <w:ind w:firstLine="720"/>
      </w:pPr>
      <w:r>
        <w:t xml:space="preserve">The venue coefficient is negative and highly precise, with a coefficient of about -0.978 and a p-value near 5.57e-06. Moving up the ordinal venue scale, from AMOS proceedings toward space-economy documents, is associated with a drop of nearly a full point in topic-signal score. This is where the measurement confound identified in Chapter 5 surfaces in the estimates. Space-economy documents in this pack frequently lack snippet and keyword fields, which mechanically lowers their achievable signal score, so the venue coefficient is partly absorbing metadata sparsity rather than measuring substantive salience</w:t>
      </w:r>
      <w:r>
        <w:t xml:space="preserve"> </w:t>
      </w:r>
      <w:hyperlink w:anchor="ref-2">
        <w:r>
          <w:rPr>
            <w:rStyle w:val="Hyperlink"/>
          </w:rPr>
          <w:t xml:space="preserve">[2]</w:t>
        </w:r>
      </w:hyperlink>
      <w:r>
        <w:t xml:space="preserve"> </w:t>
      </w:r>
      <w:hyperlink w:anchor="ref-8">
        <w:r>
          <w:rPr>
            <w:rStyle w:val="Hyperlink"/>
          </w:rPr>
          <w:t xml:space="preserve">[8]</w:t>
        </w:r>
      </w:hyperlink>
      <w:r>
        <w:t xml:space="preserve">. The coefficient is real and precise, but its interpretation is constrained: it is a fact about where in the venue structure the measurable signal concentrates, not a ranking of which venues matter.</w:t>
      </w:r>
    </w:p>
    <w:bookmarkEnd w:id="112"/>
    <w:bookmarkStart w:id="113" w:name="paper-2-the-log-log-learning-curve-1"/>
    <w:p>
      <w:pPr>
        <w:pStyle w:val="Heading2"/>
        <w:spacing w:line="480" w:lineRule="auto"/>
      </w:pPr>
      <w:r>
        <w:t xml:space="preserve">6.2 Paper 2: the log-log learning curve</w:t>
      </w:r>
    </w:p>
    <w:p>
      <w:pPr>
        <w:pStyle w:val="FirstParagraph"/>
        <w:spacing w:line="480" w:lineRule="auto"/>
      </w:pPr>
      <w:r>
        <w:t xml:space="preserve">Paper 2 estimates a log-log learning-curve model with robust HC1 standard errors on the same thirty records. The fit summary is: N = 30, R2 = 0.05240466270189603, elasticity b = -0.44452941895914644, and progress ratio (2^b) = 0.7348239638453695. The R2 of about 0.052 is small: article age, entered in logarithm, explains roughly five percent of the variation in log citations. The model captures little of the citation pattern, and that is itself the finding.</w:t>
      </w:r>
    </w:p>
    <w:p>
      <w:pPr>
        <w:pStyle w:val="BodyText"/>
        <w:spacing w:line="480" w:lineRule="auto"/>
        <w:ind w:firstLine="720"/>
      </w:pPr>
      <w:r>
        <w:t xml:space="preserve">The term summary is: the constant has coefficient 1.367752130949552, standard error 0.6338, and p-value 0.030915126015488962; the log age term has coefficient -0.44452941895914644, standard error 0.3479, and p-value 0.20134101857633835. The constant is precisely estimated, but the constant in a log-log model is only a scale anchor, not a test of the theory. The coefficient that carries the hypothesis is the log age term, and it is imprecise, with a p-value of about 0.201, comfortably short of any conventional threshold.</w:t>
      </w:r>
    </w:p>
    <w:p>
      <w:pPr>
        <w:pStyle w:val="BodyText"/>
        <w:spacing w:line="480" w:lineRule="auto"/>
        <w:ind w:firstLine="720"/>
      </w:pPr>
      <w:r>
        <w:t xml:space="preserve">The point estimate of the elasticity is -0.4445, and its derived progress ratio is 0.735. Taken at face value, a negative age elasticity would say that older articles carry fewer citations, which inverts the ordinary expectation that citations accumulate with exposure time</w:t>
      </w:r>
      <w:r>
        <w:t xml:space="preserve"> </w:t>
      </w:r>
      <w:hyperlink w:anchor="ref-8">
        <w:r>
          <w:rPr>
            <w:rStyle w:val="Hyperlink"/>
          </w:rPr>
          <w:t xml:space="preserve">[8]</w:t>
        </w:r>
      </w:hyperlink>
      <w:r>
        <w:t xml:space="preserve">. But the imprecision forbids taking it at face value. With a standard error of 0.348 around a point estimate of -0.445, the interval comfortably includes zero, and the honest reading is that this corpus shows no reliable age-attention relationship at all. The learning-curve hypothesis is not supported. It fails.</w:t>
      </w:r>
    </w:p>
    <w:p>
      <w:pPr>
        <w:pStyle w:val="BodyText"/>
        <w:spacing w:line="480" w:lineRule="auto"/>
        <w:ind w:firstLine="720"/>
      </w:pPr>
      <w:r>
        <w:t xml:space="preserve">Why the relationship is absent is legible in the data. The most heavily cited record, at eighty-two citations, is a 2024 article, one of the youngest in the pack, not one of the oldest</w:t>
      </w:r>
      <w:r>
        <w:t xml:space="preserve"> </w:t>
      </w:r>
      <w:hyperlink w:anchor="ref-13">
        <w:r>
          <w:rPr>
            <w:rStyle w:val="Hyperlink"/>
          </w:rPr>
          <w:t xml:space="preserve">[13]</w:t>
        </w:r>
      </w:hyperlink>
      <w:r>
        <w:t xml:space="preserve">. The citation mass sits in recent records rather than accumulating monotonically with age, which flattens and even inverts the age elasticity. For a young, fast-moving topic in which recent journal work draws attention quickly, age is simply not the axis along which citations organize, and the model correctly returns a weak, imprecise slope</w:t>
      </w:r>
      <w:r>
        <w:t xml:space="preserve"> </w:t>
      </w:r>
      <w:hyperlink w:anchor="ref-11">
        <w:r>
          <w:rPr>
            <w:rStyle w:val="Hyperlink"/>
          </w:rPr>
          <w:t xml:space="preserve">[11]</w:t>
        </w:r>
      </w:hyperlink>
      <w:r>
        <w:t xml:space="preserve">.</w:t>
      </w:r>
    </w:p>
    <w:bookmarkEnd w:id="113"/>
    <w:bookmarkStart w:id="114" w:name="reading-the-two-models-together"/>
    <w:p>
      <w:pPr>
        <w:pStyle w:val="Heading2"/>
        <w:spacing w:line="480" w:lineRule="auto"/>
      </w:pPr>
      <w:r>
        <w:t xml:space="preserve">6.3 Reading the two models together</w:t>
      </w:r>
    </w:p>
    <w:p>
      <w:pPr>
        <w:pStyle w:val="FirstParagraph"/>
        <w:spacing w:line="480" w:lineRule="auto"/>
      </w:pPr>
      <w:r>
        <w:t xml:space="preserve">The two estimators, read jointly, give a bounded and coherent answer. Paper 1 finds real cross-sectional structure: topic signal rises with recency, precisely and significantly, and concentrates measurably across venue families, while cross-sectional citation count carries no information. Paper 2 finds no reliable temporal structure: citation accumulation is not governed by article age in this corpus, and the learning-curve elasticity is imprecise enough to be treated as null.</w:t>
      </w:r>
    </w:p>
    <w:p>
      <w:pPr>
        <w:pStyle w:val="BodyText"/>
        <w:spacing w:line="480" w:lineRule="auto"/>
        <w:ind w:firstLine="720"/>
      </w:pPr>
      <w:r>
        <w:t xml:space="preserve">That combination is informative rather than contradictory. It says the topic is current and legible in cross section, its salience concentrated in recent records, but that its citation dynamics have not yet settled into the age-governed accumulation pattern of a mature field. This is the documentary profile of an emerging concern: visible, recent, venue-structured, but too young for its attention to have organized around exposure time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recency result is the load-bearing finding; the flat learning curve is the qualification that keeps the recency result from being overread as evidence of a consolidated literature.</w:t>
      </w:r>
    </w:p>
    <w:bookmarkEnd w:id="114"/>
    <w:bookmarkStart w:id="115" w:name="X1176b953fa37e95c97789a39233574385495607"/>
    <w:p>
      <w:pPr>
        <w:pStyle w:val="Heading2"/>
        <w:spacing w:line="480" w:lineRule="auto"/>
      </w:pPr>
      <w:r>
        <w:t xml:space="preserve">6.4 The magnitude of the recency effect in context</w:t>
      </w:r>
    </w:p>
    <w:p>
      <w:pPr>
        <w:pStyle w:val="FirstParagraph"/>
        <w:spacing w:line="480" w:lineRule="auto"/>
      </w:pPr>
      <w:r>
        <w:t xml:space="preserve">A significant coefficient is only half a finding; the other half is its magnitude, and the recency coefficient rewards a closer look. The estimate of 0.3536051312841998 says that each additional year of recency, one step up the index from the 2013 floor, is associated with about a third of a point more topic signal. Across the full span of the index, from the oldest record to the most recent, that accumulates to a difference of several points on a signal scale that runs from one to nine. The recency effect is not a hairline association clinging to significance; it is a substantial slope that moves the outcome across a meaningful fraction of its range</w:t>
      </w:r>
      <w:r>
        <w:t xml:space="preserve"> </w:t>
      </w:r>
      <w:hyperlink w:anchor="ref-11">
        <w:r>
          <w:rPr>
            <w:rStyle w:val="Hyperlink"/>
          </w:rPr>
          <w:t xml:space="preserve">[11]</w:t>
        </w:r>
      </w:hyperlink>
      <w:r>
        <w:t xml:space="preserve">. The slope is large.</w:t>
      </w:r>
    </w:p>
    <w:p>
      <w:pPr>
        <w:pStyle w:val="BodyText"/>
        <w:spacing w:line="480" w:lineRule="auto"/>
        <w:ind w:firstLine="720"/>
      </w:pPr>
      <w:r>
        <w:t xml:space="preserve">Placed against the constant of 1.6040196823913204, the arithmetic is instructive. A record at the oldest end of the recency scale starts near the constant, adjusted for its venue, while a record at the recent end has accumulated most of a decade of the recency increment on top. The model is describing a literature whose topic salience is concentrated in its newest records, and the size of the recency coefficient is what makes that concentration quantitatively real rather than merely directional. The precision, with a p-value near 0.0005, and the magnitude together are what license reading recency as the load-bearing structural finding of the whole analysis</w:t>
      </w:r>
      <w:r>
        <w:t xml:space="preserve"> </w:t>
      </w:r>
      <w:hyperlink w:anchor="ref-12">
        <w:r>
          <w:rPr>
            <w:rStyle w:val="Hyperlink"/>
          </w:rPr>
          <w:t xml:space="preserve">[12]</w:t>
        </w:r>
      </w:hyperlink>
      <w:r>
        <w:t xml:space="preserve">.</w:t>
      </w:r>
    </w:p>
    <w:p>
      <w:pPr>
        <w:pStyle w:val="BodyText"/>
        <w:spacing w:line="480" w:lineRule="auto"/>
        <w:ind w:firstLine="720"/>
      </w:pPr>
      <w:r>
        <w:t xml:space="preserve">Contrast this with the citation coefficient of -0.0006598249470758789. Its magnitude is not merely imprecise; it is negligible even at its point estimate. A one-citation increase moves the predicted signal by less than a thousandth of a point, which is indistinguishable from no effect on any scale a reader could care about. The combination of a near-zero magnitude and a p-value of 0.943 is doubly conclusive: the term neither reaches significance nor would matter if it did. The design reads this as a clean absence, and the magnitude reinforces what the p-value already established</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15"/>
    <w:bookmarkStart w:id="116" w:name="X15e1962d13d46547b1ab84b8515a98b55ce020e"/>
    <w:p>
      <w:pPr>
        <w:pStyle w:val="Heading2"/>
        <w:spacing w:line="480" w:lineRule="auto"/>
      </w:pPr>
      <w:r>
        <w:t xml:space="preserve">6.5 The learning curve read as a measurement of immaturity</w:t>
      </w:r>
    </w:p>
    <w:p>
      <w:pPr>
        <w:pStyle w:val="FirstParagraph"/>
        <w:spacing w:line="480" w:lineRule="auto"/>
      </w:pPr>
      <w:r>
        <w:t xml:space="preserve">Paper 2 returns a fit statistic of 0.05240466270189603 and an elasticity of -0.44452941895914644, and the honest reading of that pair is that the model has found almost nothing, which is itself the finding. An R2 of about five percent means that ninety-five percent of the variation in log citations is unexplained by article age. Whatever governs citation in this corpus, it is not exposure time, and the smallness of the fit is the quantitative statement of that fact</w:t>
      </w:r>
      <w:r>
        <w:t xml:space="preserve"> </w:t>
      </w:r>
      <w:hyperlink w:anchor="ref-8">
        <w:r>
          <w:rPr>
            <w:rStyle w:val="Hyperlink"/>
          </w:rPr>
          <w:t xml:space="preserve">[8]</w:t>
        </w:r>
      </w:hyperlink>
      <w:r>
        <w:t xml:space="preserve">.</w:t>
      </w:r>
    </w:p>
    <w:p>
      <w:pPr>
        <w:pStyle w:val="BodyText"/>
        <w:spacing w:line="480" w:lineRule="auto"/>
        <w:ind w:firstLine="720"/>
      </w:pPr>
      <w:r>
        <w:t xml:space="preserve">The progress ratio of 0.7348239638453695 makes the point interpretable. A progress ratio below one would ordinarily say that doubling article age is associated with fewer citations, an inversion of the usual accumulation story. But this interpretation must be held at arm’s length, because the elasticity that produces the ratio carries a standard error of 0.3479 around a point estimate of -0.4445, and a p-value of 0.20134101857633835. The interval around the elasticity comfortably contains zero, so the progress ratio’s departure from one is not statistically reliable. The correct summary is not that citations fall with age but that this corpus provides no reliable evidence of any age-attention relationship at all</w:t>
      </w:r>
      <w:r>
        <w:t xml:space="preserve"> </w:t>
      </w:r>
      <w:hyperlink w:anchor="ref-11">
        <w:r>
          <w:rPr>
            <w:rStyle w:val="Hyperlink"/>
          </w:rPr>
          <w:t xml:space="preserve">[11]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constant of 1.367752130949552, with its p-value of 0.030915126015488962, is precisely estimated, but its precision is beside the point. In a log-log model the intercept fixes the scale of predicted citations at the reference age; it is not a test of the accumulation hypothesis. Reporting it precisely and then declining to lean on it is part of the discipline: a precise coefficient that does not bear on the hypothesis earns no interpretive weight simply for being precise. The hypothesis rides on the slope, and the slope is null</w:t>
      </w:r>
      <w:r>
        <w:t xml:space="preserve"> </w:t>
      </w:r>
      <w:hyperlink w:anchor="ref-8">
        <w:r>
          <w:rPr>
            <w:rStyle w:val="Hyperlink"/>
          </w:rPr>
          <w:t xml:space="preserve">[8]</w:t>
        </w:r>
      </w:hyperlink>
      <w:r>
        <w:t xml:space="preserve">.</w:t>
      </w:r>
    </w:p>
    <w:bookmarkEnd w:id="116"/>
    <w:bookmarkStart w:id="117" w:name="what-the-results-do-and-do-not-establish"/>
    <w:p>
      <w:pPr>
        <w:pStyle w:val="Heading2"/>
        <w:spacing w:line="480" w:lineRule="auto"/>
      </w:pPr>
      <w:r>
        <w:t xml:space="preserve">6.6 What the results do and do not establish</w:t>
      </w:r>
    </w:p>
    <w:p>
      <w:pPr>
        <w:pStyle w:val="FirstParagraph"/>
        <w:spacing w:line="480" w:lineRule="auto"/>
      </w:pPr>
      <w:r>
        <w:t xml:space="preserve">The results establish that the candidate topic has detectable structure along the recency and venue dimensions of the retrieved corpus, and that at least one theorized relationship, the recency-signal association, is precise and in the predicted direction</w:t>
      </w:r>
      <w:r>
        <w:t xml:space="preserve"> </w:t>
      </w:r>
      <w:hyperlink w:anchor="ref-11">
        <w:r>
          <w:rPr>
            <w:rStyle w:val="Hyperlink"/>
          </w:rPr>
          <w:t xml:space="preserve">[11]</w:t>
        </w:r>
      </w:hyperlink>
      <w:r>
        <w:t xml:space="preserve">. They establish, equally firmly, that two other candidate relationships, cross-sectional citation and age-based accumulation, are not supported by this data. Both the positive and the null findings are reported with the same standard errors and read by the same rule.</w:t>
      </w:r>
    </w:p>
    <w:p>
      <w:pPr>
        <w:pStyle w:val="BodyText"/>
        <w:spacing w:line="480" w:lineRule="auto"/>
        <w:ind w:firstLine="720"/>
      </w:pPr>
      <w:r>
        <w:t xml:space="preserve">The results do not establish that environmental review causes spaceport delay. The outcome estimated is topic signal, not time-to-operational, and no coefficient here speaks to the elasticity of operational date with respect to review length</w:t>
      </w:r>
      <w:r>
        <w:t xml:space="preserve"> </w:t>
      </w:r>
      <w:hyperlink w:anchor="ref-5">
        <w:r>
          <w:rPr>
            <w:rStyle w:val="Hyperlink"/>
          </w:rPr>
          <w:t xml:space="preserve">[5]</w:t>
        </w:r>
      </w:hyperlink>
      <w:r>
        <w:t xml:space="preserve">. What the chapter delivers is the prior condition a causal study would need: evidence that the topic is live and structured enough in the literature to justify the more direct, and more expensive, document-coding design that Chapter 8 will specify</w:t>
      </w:r>
      <w:r>
        <w:t xml:space="preserve"> </w:t>
      </w:r>
      <w:hyperlink w:anchor="ref-6">
        <w:r>
          <w:rPr>
            <w:rStyle w:val="Hyperlink"/>
          </w:rPr>
          <w:t xml:space="preserve">[6]</w:t>
        </w:r>
      </w:hyperlink>
      <w:r>
        <w:t xml:space="preserve">.</w:t>
      </w:r>
    </w:p>
    <w:bookmarkEnd w:id="117"/>
    <w:bookmarkStart w:id="118" w:name="Xc16251c7791ea00eecdbb27928087fa317f7b54"/>
    <w:p>
      <w:pPr>
        <w:pStyle w:val="Heading2"/>
        <w:spacing w:line="480" w:lineRule="auto"/>
      </w:pPr>
      <w:r>
        <w:t xml:space="preserve">6.7 The overall model fit as a finding in its own right</w:t>
      </w:r>
    </w:p>
    <w:p>
      <w:pPr>
        <w:pStyle w:val="FirstParagraph"/>
        <w:spacing w:line="480" w:lineRule="auto"/>
      </w:pPr>
      <w:r>
        <w:t xml:space="preserve">The fit statistics of the two models deserve to be read against each other, because their contrast is as informative as any single coefficient. Paper 1 returns an R2 of 0.43235026884632977 and an adjusted R2 of 0.36685222294398323 on three predictors. Paper 2 returns an R2 of 0.05240466270189603 on one predictor. The cross-sectional model explains roughly eight times as much of its outcome’s variance as the temporal model explains of its own. That ratio is not a technicality; it is the quantitative form of the study’s central conclusion that the corpus is structured in cross section but not in time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F-statistic sharpens the cross-sectional result further. A value of 23.234722949047008 with a p-value of 1.5886831157959067e-07 rejects the joint null of no relationship at a level far beyond conventional thresholds, which means the three-predictor model as a whole is capturing something real about how topic signal is distributed across records. That joint significance holds even though one of the three predictors, citation count, contributes essentially nothing, which tells us the recency and venue terms are carrying the model’s explanatory weight between them</w:t>
      </w:r>
      <w:r>
        <w:t xml:space="preserve"> </w:t>
      </w:r>
      <w:hyperlink w:anchor="ref-11">
        <w:r>
          <w:rPr>
            <w:rStyle w:val="Hyperlink"/>
          </w:rPr>
          <w:t xml:space="preserve">[11]</w:t>
        </w:r>
      </w:hyperlink>
      <w:r>
        <w:t xml:space="preserve"> </w:t>
      </w:r>
      <w:hyperlink w:anchor="ref-2">
        <w:r>
          <w:rPr>
            <w:rStyle w:val="Hyperlink"/>
          </w:rPr>
          <w:t xml:space="preserve">[2]</w:t>
        </w:r>
      </w:hyperlink>
      <w:r>
        <w:t xml:space="preserve">. A reader who wanted a single number to summarize Paper 1 could take the F-statistic: the model is jointly significant, and it is significant because of recency and venue.</w:t>
      </w:r>
    </w:p>
    <w:p>
      <w:pPr>
        <w:pStyle w:val="BodyText"/>
        <w:spacing w:line="480" w:lineRule="auto"/>
        <w:ind w:firstLine="720"/>
      </w:pPr>
      <w:r>
        <w:t xml:space="preserve">Paper 2 offers the mirror image, and its low fit is the finding rather than a disappointment. When a one-predictor model explains five percent of its outcome, the correct conclusion is that the predictor is not the axis along which the outcome organizes</w:t>
      </w:r>
      <w:r>
        <w:t xml:space="preserve"> </w:t>
      </w:r>
      <w:hyperlink w:anchor="ref-8">
        <w:r>
          <w:rPr>
            <w:rStyle w:val="Hyperlink"/>
          </w:rPr>
          <w:t xml:space="preserve">[8]</w:t>
        </w:r>
      </w:hyperlink>
      <w:r>
        <w:t xml:space="preserve">. The design anticipated exactly this outcome and built the interpretation to receive it: a low fit on the age predictor is direct evidence that citation in this corpus is not age-governed, which is the substantive claim that the topic’s citation dynamics are immature. Reading a low fit as a result, rather than as a failed model, is the interpretive move the whole design was constructed to make</w:t>
      </w:r>
      <w:r>
        <w:t xml:space="preserve"> </w:t>
      </w:r>
      <w:hyperlink w:anchor="ref-5">
        <w:r>
          <w:rPr>
            <w:rStyle w:val="Hyperlink"/>
          </w:rPr>
          <w:t xml:space="preserve">[5]</w:t>
        </w:r>
      </w:hyperlink>
      <w:r>
        <w:t xml:space="preserve">. A null is data.</w:t>
      </w:r>
    </w:p>
    <w:bookmarkEnd w:id="118"/>
    <w:bookmarkStart w:id="119" w:name="a-summary-table-of-the-estimates"/>
    <w:p>
      <w:pPr>
        <w:pStyle w:val="Heading2"/>
        <w:spacing w:line="480" w:lineRule="auto"/>
      </w:pPr>
      <w:r>
        <w:t xml:space="preserve">6.8 A summary table of the estimates</w:t>
      </w:r>
    </w:p>
    <w:p>
      <w:pPr>
        <w:pStyle w:val="FirstParagraph"/>
        <w:spacing w:line="480" w:lineRule="auto"/>
      </w:pPr>
      <w:r>
        <w:t xml:space="preserve">Gathering the estimates in one place makes the pattern legible at a glance. For Paper 1, the ordinary least squares model on thirty records: the constant is 1.6040196823913204 with standard error 0.9729 and p-value 0.09921586195980427; recency index is 0.3536051312841998 with standard error 0.1019 and p-value 0.000520798893197348; citation count is -0.0006598249470758789 with standard error 0.0092 and p-value 0.9428880597580572; venue score is -0.977797381861415 with standard error 0.2153 and p-value 5.571305256233388e-06; the model R2 is 0.43235026884632977, adjusted R2 is 0.36685222294398323, F is 23.234722949047008, and F p-value is 1.5886831157959067e-07.</w:t>
      </w:r>
    </w:p>
    <w:p>
      <w:pPr>
        <w:pStyle w:val="BodyText"/>
        <w:spacing w:line="480" w:lineRule="auto"/>
        <w:ind w:firstLine="720"/>
      </w:pPr>
      <w:r>
        <w:t xml:space="preserve">For Paper 2, the log-log learning-curve model on thirty records: the constant is 1.367752130949552 with standard error 0.6338 and p-value 0.030915126015488962; the log age term is -0.44452941895914644 with standard error 0.3479 and p-value 0.20134101857633835; the model R2 is 0.05240466270189603, the elasticity is -0.44452941895914644, and the progress ratio is 0.7348239638453695. Two coefficients across the two models clear conventional significance and bear on the hypotheses: recency, positively, and venue, negatively. Two do not: cross-sectional citation and the age elasticity. That two-and-two split, reproduced here exactly as the workbooks returned it, is the empirical spine of the dissertation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Nothing in this reporting was rounded away from the workbook values, and that fidelity is itself part of the result. Where a coefficient is given to many decimal places, the precision reflects the deterministic estimator output rather than a claim to measure the world that finely, and the reader should read the trailing digits as provenance, a fingerprint tying the prose to the exact run that produced it</w:t>
      </w:r>
      <w:r>
        <w:t xml:space="preserve"> </w:t>
      </w:r>
      <w:hyperlink w:anchor="ref-3">
        <w:r>
          <w:rPr>
            <w:rStyle w:val="Hyperlink"/>
          </w:rPr>
          <w:t xml:space="preserve">[3]</w:t>
        </w:r>
      </w:hyperlink>
      <w:r>
        <w:t xml:space="preserve"> </w:t>
      </w:r>
      <w:hyperlink w:anchor="ref-6">
        <w:r>
          <w:rPr>
            <w:rStyle w:val="Hyperlink"/>
          </w:rPr>
          <w:t xml:space="preserve">[6]</w:t>
        </w:r>
      </w:hyperlink>
      <w:r>
        <w:t xml:space="preserve">. A study that reported rounded coefficients would sever that tie and invite the suspicion that the numbers had been massaged. Reporting them verbatim is the results chapter’s way of proving it did not, and it is the reason a reader can recompute every figure and expect an exact match</w:t>
      </w:r>
      <w:r>
        <w:t xml:space="preserve"> </w:t>
      </w:r>
      <w:hyperlink w:anchor="ref-5">
        <w:r>
          <w:rPr>
            <w:rStyle w:val="Hyperlink"/>
          </w:rPr>
          <w:t xml:space="preserve">[5]</w:t>
        </w:r>
      </w:hyperlink>
      <w:r>
        <w:t xml:space="preserve">. The exact-match standard is high, and the chapter holds itself to it deliberately, because a number that reproduces to the last digit is a number no one can accuse of having been chosen to fit the argument</w:t>
      </w:r>
      <w:r>
        <w:t xml:space="preserve"> </w:t>
      </w:r>
      <w:hyperlink w:anchor="ref-3">
        <w:r>
          <w:rPr>
            <w:rStyle w:val="Hyperlink"/>
          </w:rPr>
          <w:t xml:space="preserve">[3]</w:t>
        </w:r>
      </w:hyperlink>
      <w:r>
        <w:t xml:space="preserve">.</w:t>
      </w:r>
    </w:p>
    <w:p>
      <w:pPr>
        <w:pStyle w:val="BodyText"/>
        <w:spacing w:line="480" w:lineRule="auto"/>
        <w:ind w:firstLine="720"/>
      </w:pPr>
      <w:r>
        <w:t xml:space="preserve">The next chapter interprets these findings and catalogues the threats that bound them</w:t>
      </w:r>
      <w:r>
        <w:t xml:space="preserve"> </w:t>
      </w:r>
      <w:hyperlink w:anchor="ref-7">
        <w:r>
          <w:rPr>
            <w:rStyle w:val="Hyperlink"/>
          </w:rPr>
          <w:t xml:space="preserve">[7]</w:t>
        </w:r>
      </w:hyperlink>
      <w:r>
        <w:t xml:space="preserve">.</w:t>
      </w:r>
    </w:p>
    <w:bookmarkEnd w:id="119"/>
    <w:bookmarkEnd w:id="120"/>
    <w:bookmarkStart w:id="131" w:name="chapter-7.-discussion-and-limitations"/>
    <w:p>
      <w:pPr>
        <w:pStyle w:val="Heading1"/>
        <w:spacing w:line="480" w:lineRule="auto"/>
      </w:pPr>
      <w:r>
        <w:t xml:space="preserve">Chapter 7. Discussion and Limitations</w:t>
      </w:r>
    </w:p>
    <w:p>
      <w:pPr>
        <w:pStyle w:val="FirstParagraph"/>
        <w:spacing w:line="480" w:lineRule="auto"/>
      </w:pPr>
      <w:r>
        <w:t xml:space="preserve">Modest results, precise where they are precise and null where they are null, are what this chapter must interpret. This chapter draws out what that pattern means for the question of environmental review as a launch gate, then catalogues the threats to validity that bound every interpretation. The organizing claim is that the findings are useful precisely because they refuse to say more than the data support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21" w:name="what-the-recency-result-means"/>
    <w:p>
      <w:pPr>
        <w:pStyle w:val="Heading2"/>
        <w:spacing w:line="480" w:lineRule="auto"/>
      </w:pPr>
      <w:r>
        <w:t xml:space="preserve">7.1 What the recency result means</w:t>
      </w:r>
    </w:p>
    <w:p>
      <w:pPr>
        <w:pStyle w:val="FirstParagraph"/>
        <w:spacing w:line="480" w:lineRule="auto"/>
      </w:pPr>
      <w:r>
        <w:t xml:space="preserve">The load-bearing finding is the precise, positive recency coefficient in Paper 1. Its substantive meaning is specific. The topic of environmental review as a constraint on spaceport development is a current concern in the retrieved literature, not a historical one, and its salience is concentrated in recent records. That is consistent with the substantive story told in Chapter 2, in which the content of environmental reviews has grown more technical, emissions modeling has become quantitative, and the strategic weight of schedule has risen</w:t>
      </w:r>
      <w:r>
        <w:t xml:space="preserve"> </w:t>
      </w:r>
      <w:hyperlink w:anchor="ref-12">
        <w:r>
          <w:rPr>
            <w:rStyle w:val="Hyperlink"/>
          </w:rPr>
          <w:t xml:space="preserve">[12]</w:t>
        </w:r>
      </w:hyperlink>
      <w:r>
        <w:t xml:space="preserve"> </w:t>
      </w:r>
      <w:hyperlink w:anchor="ref-1">
        <w:r>
          <w:rPr>
            <w:rStyle w:val="Hyperlink"/>
          </w:rPr>
          <w:t xml:space="preserve">[1]</w:t>
        </w:r>
      </w:hyperlink>
      <w:r>
        <w:t xml:space="preserve">.</w:t>
      </w:r>
    </w:p>
    <w:p>
      <w:pPr>
        <w:pStyle w:val="BodyText"/>
        <w:spacing w:line="480" w:lineRule="auto"/>
        <w:ind w:firstLine="720"/>
      </w:pPr>
      <w:r>
        <w:t xml:space="preserve">What the recency result does not mean is equally important. It does not mean review causes delay. It means the field is writing about the gate now, with growing intensity, which is what one would expect if the gate were becoming consequential, but which is also what one would expect if the gate were merely becoming a popular explanation for delays that originate elsewhere. The documentary record cannot, on its own, distinguish a real constraint from a fashionable one. It can only establish that the topic is live, which it does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Live, not proven. That gap is the whole discipline.</w:t>
      </w:r>
    </w:p>
    <w:p>
      <w:pPr>
        <w:pStyle w:val="BodyText"/>
        <w:spacing w:line="480" w:lineRule="auto"/>
        <w:ind w:firstLine="720"/>
      </w:pPr>
      <w:r>
        <w:t xml:space="preserve">So the recency finding functions as a license, not a verdict. It licenses the next, harder study by establishing that the topic clears the prior threshold of legibility. A causal successor project would not be chasing a phantom; the concern it seeks to measure is demonstrably present and rising in the literature. That is a real contribution to research prioritization, even though it settles nothing about causation</w:t>
      </w:r>
      <w:r>
        <w:t xml:space="preserve"> </w:t>
      </w:r>
      <w:hyperlink w:anchor="ref-5">
        <w:r>
          <w:rPr>
            <w:rStyle w:val="Hyperlink"/>
          </w:rPr>
          <w:t xml:space="preserve">[5]</w:t>
        </w:r>
      </w:hyperlink>
      <w:r>
        <w:t xml:space="preserve">.</w:t>
      </w:r>
    </w:p>
    <w:bookmarkEnd w:id="121"/>
    <w:bookmarkStart w:id="122" w:name="what-the-two-null-results-mean"/>
    <w:p>
      <w:pPr>
        <w:pStyle w:val="Heading2"/>
        <w:spacing w:line="480" w:lineRule="auto"/>
      </w:pPr>
      <w:r>
        <w:t xml:space="preserve">7.2 What the two null results mean</w:t>
      </w:r>
    </w:p>
    <w:p>
      <w:pPr>
        <w:pStyle w:val="FirstParagraph"/>
        <w:spacing w:line="480" w:lineRule="auto"/>
      </w:pPr>
      <w:r>
        <w:t xml:space="preserve">Two null findings, the flat cross-sectional citation term and the imprecise age elasticity, carry their own meaning, and the design insists that they be read rather than buried. The flat citation term says that in this small, skewed corpus, cross-sectional citation count is not a usable proxy for topic salience. A single eighty-two-citation outlier and a majority of uncited records leave the term without traction</w:t>
      </w:r>
      <w:r>
        <w:t xml:space="preserve"> </w:t>
      </w:r>
      <w:hyperlink w:anchor="ref-13">
        <w:r>
          <w:rPr>
            <w:rStyle w:val="Hyperlink"/>
          </w:rPr>
          <w:t xml:space="preserve">[13]</w:t>
        </w:r>
      </w:hyperlink>
      <w:r>
        <w:t xml:space="preserve"> </w:t>
      </w:r>
      <w:hyperlink w:anchor="ref-5">
        <w:r>
          <w:rPr>
            <w:rStyle w:val="Hyperlink"/>
          </w:rPr>
          <w:t xml:space="preserve">[5]</w:t>
        </w:r>
      </w:hyperlink>
      <w:r>
        <w:t xml:space="preserve">. The lesson for future measurement is to abandon raw cross-sectional citation as a salience proxy in corpora of this size and shape.</w:t>
      </w:r>
    </w:p>
    <w:p>
      <w:pPr>
        <w:pStyle w:val="BodyText"/>
        <w:spacing w:line="480" w:lineRule="auto"/>
        <w:ind w:firstLine="720"/>
      </w:pPr>
      <w:r>
        <w:t xml:space="preserve">An imprecise age elasticity says that citation accumulation in this topic is not governed by article age. The heavily cited records are recent, not old, so the learning-curve mechanism that works in mature fields does not describe this one</w:t>
      </w:r>
      <w:r>
        <w:t xml:space="preserve"> </w:t>
      </w:r>
      <w:hyperlink w:anchor="ref-8">
        <w:r>
          <w:rPr>
            <w:rStyle w:val="Hyperlink"/>
          </w:rPr>
          <w:t xml:space="preserve">[8]</w:t>
        </w:r>
      </w:hyperlink>
      <w:r>
        <w:t xml:space="preserve">. That is a substantive statement about the topic’s maturity: it is young enough that attention has not yet organized around exposure time. An analyst who assumed a settled, age-governed citation dynamic here would be assuming a maturity the field has not reached, and the null result guards against exactly that error</w:t>
      </w:r>
      <w:r>
        <w:t xml:space="preserve"> </w:t>
      </w:r>
      <w:hyperlink w:anchor="ref-11">
        <w:r>
          <w:rPr>
            <w:rStyle w:val="Hyperlink"/>
          </w:rPr>
          <w:t xml:space="preserve">[11]</w:t>
        </w:r>
      </w:hyperlink>
      <w:r>
        <w:t xml:space="preserve">.</w:t>
      </w:r>
    </w:p>
    <w:p>
      <w:pPr>
        <w:pStyle w:val="BodyText"/>
        <w:spacing w:line="480" w:lineRule="auto"/>
        <w:ind w:firstLine="720"/>
      </w:pPr>
      <w:r>
        <w:t xml:space="preserve">Read together, the nulls sharpen the recency result rather than undercutting it. The topic is recent and venue-structured but citation-immature. That is a coherent profile, and it is a more honest one than a design that reported only the significant coefficient would have produced</w:t>
      </w:r>
      <w:r>
        <w:t xml:space="preserve"> </w:t>
      </w:r>
      <w:hyperlink w:anchor="ref-3">
        <w:r>
          <w:rPr>
            <w:rStyle w:val="Hyperlink"/>
          </w:rPr>
          <w:t xml:space="preserve">[3]</w:t>
        </w:r>
      </w:hyperlink>
      <w:r>
        <w:t xml:space="preserve">.</w:t>
      </w:r>
    </w:p>
    <w:bookmarkEnd w:id="122"/>
    <w:bookmarkStart w:id="123" w:name="threats-to-validity"/>
    <w:p>
      <w:pPr>
        <w:pStyle w:val="Heading2"/>
        <w:spacing w:line="480" w:lineRule="auto"/>
      </w:pPr>
      <w:r>
        <w:t xml:space="preserve">7.3 Threats to validity</w:t>
      </w:r>
    </w:p>
    <w:p>
      <w:pPr>
        <w:pStyle w:val="FirstParagraph"/>
        <w:spacing w:line="480" w:lineRule="auto"/>
      </w:pPr>
      <w:r>
        <w:t xml:space="preserve">Five threats bound the interpretation, and each was named in advance so that its appearance here is a settling of accounts rather than a surprise.</w:t>
      </w:r>
    </w:p>
    <w:p>
      <w:pPr>
        <w:pStyle w:val="BodyText"/>
        <w:spacing w:line="480" w:lineRule="auto"/>
        <w:ind w:firstLine="720"/>
      </w:pPr>
      <w:r>
        <w:t xml:space="preserve">The first is source selection. The corpus is the retrieved pack, not a population sample, so records in venues the retrieval undercovers are absent by construction, and their absence cannot be seen in the data</w:t>
      </w:r>
      <w:r>
        <w:t xml:space="preserve"> </w:t>
      </w:r>
      <w:hyperlink w:anchor="ref-3">
        <w:r>
          <w:rPr>
            <w:rStyle w:val="Hyperlink"/>
          </w:rPr>
          <w:t xml:space="preserve">[3]</w:t>
        </w:r>
      </w:hyperlink>
      <w:r>
        <w:t xml:space="preserve">. If the true environmental-review literature lives disproportionately in regulatory filings and agency documents that the indexes do not return, the corpus systematically understates it. The recency result holds within the retrieved pack; whether it generalizes depends on retrieval coverage that this design cannot audit.</w:t>
      </w:r>
    </w:p>
    <w:p>
      <w:pPr>
        <w:pStyle w:val="BodyText"/>
        <w:spacing w:line="480" w:lineRule="auto"/>
        <w:ind w:firstLine="720"/>
      </w:pPr>
      <w:r>
        <w:t xml:space="preserve">The second is proxy measurement. The outcome is a topic-signal score, a count of theme-term hits, not a measure of review burden or of time-to-operational</w:t>
      </w:r>
      <w:r>
        <w:t xml:space="preserve"> </w:t>
      </w:r>
      <w:hyperlink w:anchor="ref-2">
        <w:r>
          <w:rPr>
            <w:rStyle w:val="Hyperlink"/>
          </w:rPr>
          <w:t xml:space="preserve">[2]</w:t>
        </w:r>
      </w:hyperlink>
      <w:r>
        <w:t xml:space="preserve">. Every finding is a finding about documentary salience, and the leap from salience to policy effect is exactly the leap the design refuses to make. Naming the proxy as a proxy is the safeguard, and it is honored throughout.</w:t>
      </w:r>
    </w:p>
    <w:p>
      <w:pPr>
        <w:pStyle w:val="BodyText"/>
        <w:spacing w:line="480" w:lineRule="auto"/>
        <w:ind w:firstLine="720"/>
      </w:pPr>
      <w:r>
        <w:t xml:space="preserve">The third is the venue confound. The precise negative venue coefficient is entangled with metadata sparsity, because space-economy documents in this pack frequently lack the snippet and keyword fields that feed the signal score</w:t>
      </w:r>
      <w:r>
        <w:t xml:space="preserve"> </w:t>
      </w:r>
      <w:hyperlink w:anchor="ref-8">
        <w:r>
          <w:rPr>
            <w:rStyle w:val="Hyperlink"/>
          </w:rPr>
          <w:t xml:space="preserve">[8]</w:t>
        </w:r>
      </w:hyperlink>
      <w:r>
        <w:t xml:space="preserve">. The coefficient is real, but it partly measures where complete metadata lives rather than where substantive salience lives. It should not be read as a claim that one venue family matters less than another.</w:t>
      </w:r>
    </w:p>
    <w:p>
      <w:pPr>
        <w:pStyle w:val="BodyText"/>
        <w:spacing w:line="480" w:lineRule="auto"/>
        <w:ind w:firstLine="720"/>
      </w:pPr>
      <w:r>
        <w:t xml:space="preserve">The fourth is citation-count validity. The counts are local index values, not universal citation totals, and they may diverge from what a comprehensive citation database would report</w:t>
      </w:r>
      <w:r>
        <w:t xml:space="preserve"> </w:t>
      </w:r>
      <w:hyperlink w:anchor="ref-5">
        <w:r>
          <w:rPr>
            <w:rStyle w:val="Hyperlink"/>
          </w:rPr>
          <w:t xml:space="preserve">[5]</w:t>
        </w:r>
      </w:hyperlink>
      <w:r>
        <w:t xml:space="preserve">. Any claim resting on citation magnitude inherits that measurement uncertainty, which is a further reason the flat cross-sectional citation term should be read as uninformative rather than as evidence of no relationship in the wider literature.</w:t>
      </w:r>
    </w:p>
    <w:p>
      <w:pPr>
        <w:pStyle w:val="BodyText"/>
        <w:spacing w:line="480" w:lineRule="auto"/>
        <w:ind w:firstLine="720"/>
      </w:pPr>
      <w:r>
        <w:t xml:space="preserve">The fifth is overinterpretation, the threat that the prose outruns the estimator. The defense is procedural and has been applied consistently: significant coefficients earn association claims inside the corpus, weak coefficients earn cautions, and no coefficient earns a causal statement</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discipline is visible in the results chapter, where the negative citation sign was explicitly not narrated into a story.</w:t>
      </w:r>
    </w:p>
    <w:bookmarkEnd w:id="123"/>
    <w:bookmarkStart w:id="124" w:name="what-the-data-cannot-show"/>
    <w:p>
      <w:pPr>
        <w:pStyle w:val="Heading2"/>
        <w:spacing w:line="480" w:lineRule="auto"/>
      </w:pPr>
      <w:r>
        <w:t xml:space="preserve">7.4 What the data cannot show</w:t>
      </w:r>
    </w:p>
    <w:p>
      <w:pPr>
        <w:pStyle w:val="FirstParagraph"/>
        <w:spacing w:line="480" w:lineRule="auto"/>
      </w:pPr>
      <w:r>
        <w:t xml:space="preserve">Some limits are not threats to be mitigated but boundaries that no amount of care within this design can cross. The data cannot show the effect of review length on operational date, because it never observes operational date. It cannot show whether review is the binding constraint relative to engineering, financing, or community opposition, because it observes none of those competing constraints. It cannot show whether the rising topic salience reflects a worsening real constraint or a rising rhetorical convenience, because the documentary record is silent on the difference</w:t>
      </w:r>
      <w:r>
        <w:t xml:space="preserve"> </w:t>
      </w:r>
      <w:hyperlink w:anchor="ref-4">
        <w:r>
          <w:rPr>
            <w:rStyle w:val="Hyperlink"/>
          </w:rPr>
          <w:t xml:space="preserve">[4]</w:t>
        </w:r>
      </w:hyperlink>
      <w:r>
        <w:t xml:space="preserve">.</w:t>
      </w:r>
    </w:p>
    <w:p>
      <w:pPr>
        <w:pStyle w:val="BodyText"/>
        <w:spacing w:line="480" w:lineRule="auto"/>
        <w:ind w:firstLine="720"/>
      </w:pPr>
      <w:r>
        <w:t xml:space="preserve">These boundaries are the reason the dissertation is framed as a corpus-structure screen rather than a causal study. Acknowledging them is not a weakness of the argument; it is the argument. A screen that knew its own edges is more useful than a causal claim that did not, because the screen tells a successor study precisely where to point its more expensive instruments</w:t>
      </w:r>
      <w:r>
        <w:t xml:space="preserve"> </w:t>
      </w:r>
      <w:hyperlink w:anchor="ref-9">
        <w:r>
          <w:rPr>
            <w:rStyle w:val="Hyperlink"/>
          </w:rPr>
          <w:t xml:space="preserve">[9]</w:t>
        </w:r>
      </w:hyperlink>
      <w:r>
        <w:t xml:space="preserve">.</w:t>
      </w:r>
    </w:p>
    <w:bookmarkEnd w:id="124"/>
    <w:bookmarkStart w:id="125" w:name="Xf71aa4f23f4af66a3963697fca8cca49f2843ae"/>
    <w:p>
      <w:pPr>
        <w:pStyle w:val="Heading2"/>
        <w:spacing w:line="480" w:lineRule="auto"/>
      </w:pPr>
      <w:r>
        <w:t xml:space="preserve">7.5 Situating the findings against the substantive literature</w:t>
      </w:r>
    </w:p>
    <w:p>
      <w:pPr>
        <w:pStyle w:val="FirstParagraph"/>
        <w:spacing w:line="480" w:lineRule="auto"/>
      </w:pPr>
      <w:r>
        <w:t xml:space="preserve">The findings can be read back against the substantive sources to check whether they cohere with what the field otherwise believes. The rising recency of topic salience aligns with the trajectory those sources describe. Sustainable site planning has moved environmental constraint to the center of the siting problem</w:t>
      </w:r>
      <w:r>
        <w:t xml:space="preserve"> </w:t>
      </w:r>
      <w:hyperlink w:anchor="ref-9">
        <w:r>
          <w:rPr>
            <w:rStyle w:val="Hyperlink"/>
          </w:rPr>
          <w:t xml:space="preserve">[9]</w:t>
        </w:r>
      </w:hyperlink>
      <w:r>
        <w:t xml:space="preserve">. Emissions methodology has become quantitative and therefore reviewable in more contested detail</w:t>
      </w:r>
      <w:r>
        <w:t xml:space="preserve"> </w:t>
      </w:r>
      <w:hyperlink w:anchor="ref-12">
        <w:r>
          <w:rPr>
            <w:rStyle w:val="Hyperlink"/>
          </w:rPr>
          <w:t xml:space="preserve">[12]</w:t>
        </w:r>
      </w:hyperlink>
      <w:r>
        <w:t xml:space="preserve">. Propulsion-choice studies show the environmental case shifting with vehicle class</w:t>
      </w:r>
      <w:r>
        <w:t xml:space="preserve"> </w:t>
      </w:r>
      <w:hyperlink w:anchor="ref-15">
        <w:r>
          <w:rPr>
            <w:rStyle w:val="Hyperlink"/>
          </w:rPr>
          <w:t xml:space="preserve">[15]</w:t>
        </w:r>
      </w:hyperlink>
      <w:r>
        <w:t xml:space="preserve">. Each of these is a reason the literature would be writing about the environmental gate more now than a decade ago, and the recency coefficient is the documentary shadow of exactly that trend. The finding does not merely survive contact with the substantive literature; it is predicted by it.</w:t>
      </w:r>
    </w:p>
    <w:p>
      <w:pPr>
        <w:pStyle w:val="BodyText"/>
        <w:spacing w:line="480" w:lineRule="auto"/>
        <w:ind w:firstLine="720"/>
      </w:pPr>
      <w:r>
        <w:t xml:space="preserve">That venue result also coheres, once its confound is respected. That measurable topic signal concentrates in the AMOS and Acta families rather than the space-economy family reflects, in part, that the operational and peer-reviewed venues carry richer metadata and more theme-dense abstracts than policy documents do</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economic framing of the ground segment is real and important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but it lives in documents whose form yields less measurable signal, which is a fact about documentary form rather than about substantive importance. Reading the venue coefficient this way keeps it consistent with a literature in which economics matters greatly even though economic documents score low on a metadata-driven signal measure.</w:t>
      </w:r>
    </w:p>
    <w:p>
      <w:pPr>
        <w:pStyle w:val="BodyText"/>
        <w:spacing w:line="480" w:lineRule="auto"/>
        <w:ind w:firstLine="720"/>
      </w:pPr>
      <w:r>
        <w:t xml:space="preserve">A flat learning curve, finally, coheres with the observation that this is a young topic. A literature whose substantive attention has surged only in the last few years, driven by rising cadence and demand forecasts</w:t>
      </w:r>
      <w:r>
        <w:t xml:space="preserve"> </w:t>
      </w:r>
      <w:hyperlink w:anchor="ref-11">
        <w:r>
          <w:rPr>
            <w:rStyle w:val="Hyperlink"/>
          </w:rPr>
          <w:t xml:space="preserve">[11]</w:t>
        </w:r>
      </w:hyperlink>
      <w:r>
        <w:t xml:space="preserve">, has not had time for its citation dynamics to mature into an age-governed pattern. The null is not an anomaly against the substantive story; it is what that story predicts. Across all three results, the estimator output and the substantive literature tell the same tale: a real, rising, still-forming concern.</w:t>
      </w:r>
    </w:p>
    <w:bookmarkEnd w:id="125"/>
    <w:bookmarkStart w:id="126" w:name="what-a-skeptic-would-say-and-the-reply"/>
    <w:p>
      <w:pPr>
        <w:pStyle w:val="Heading2"/>
        <w:spacing w:line="480" w:lineRule="auto"/>
      </w:pPr>
      <w:r>
        <w:t xml:space="preserve">7.6 What a skeptic would say, and the reply</w:t>
      </w:r>
    </w:p>
    <w:p>
      <w:pPr>
        <w:pStyle w:val="FirstParagraph"/>
        <w:spacing w:line="480" w:lineRule="auto"/>
      </w:pPr>
      <w:r>
        <w:t xml:space="preserve">A rigorous discussion should stage its own strongest objection. A skeptic could argue that the entire exercise is circular: the topic-signal score is built from theme-term counts, and recent records were retrieved because they matched the theme, so of course recent records score high on theme salience. On this view the recency coefficient is an artifact of retrieval rather than a fact about the field</w:t>
      </w:r>
      <w:r>
        <w:t xml:space="preserve"> </w:t>
      </w:r>
      <w:hyperlink w:anchor="ref-5">
        <w:r>
          <w:rPr>
            <w:rStyle w:val="Hyperlink"/>
          </w:rPr>
          <w:t xml:space="preserve">[5]</w:t>
        </w:r>
      </w:hyperlink>
      <w:r>
        <w:t xml:space="preserve">. The objection is serious and deserves a direct answer.</w:t>
      </w:r>
    </w:p>
    <w:p>
      <w:pPr>
        <w:pStyle w:val="BodyText"/>
        <w:spacing w:line="480" w:lineRule="auto"/>
        <w:ind w:firstLine="720"/>
      </w:pPr>
      <w:r>
        <w:t xml:space="preserve">That answer is partial and honest. Retrieval does shape the corpus, and the recency result must be read within the retrieved pack rather than projected onto the field, which is exactly the boundary Chapter 5 and this chapter have insisted upon</w:t>
      </w:r>
      <w:r>
        <w:t xml:space="preserve"> </w:t>
      </w:r>
      <w:hyperlink w:anchor="ref-3">
        <w:r>
          <w:rPr>
            <w:rStyle w:val="Hyperlink"/>
          </w:rPr>
          <w:t xml:space="preserve">[3]</w:t>
        </w:r>
      </w:hyperlink>
      <w:r>
        <w:t xml:space="preserve">. But the circularity is not complete, because the signal score varies among recent records rather than being uniformly high for all of them, and the model explains only about forty-three percent of that variation. If retrieval mechanically produced high signal in recent records, the fit would be near perfect and the residual variation small. That it is not tells us the recency association is measuring genuine dispersion in salience among recent records, not merely the tautology that retrieved records match the theme</w:t>
      </w:r>
      <w:r>
        <w:t xml:space="preserve"> </w:t>
      </w:r>
      <w:hyperlink w:anchor="ref-11">
        <w:r>
          <w:rPr>
            <w:rStyle w:val="Hyperlink"/>
          </w:rPr>
          <w:t xml:space="preserve">[11]</w:t>
        </w:r>
      </w:hyperlink>
      <w:r>
        <w:t xml:space="preserve">.</w:t>
      </w:r>
    </w:p>
    <w:p>
      <w:pPr>
        <w:pStyle w:val="BodyText"/>
        <w:spacing w:line="480" w:lineRule="auto"/>
        <w:ind w:firstLine="720"/>
      </w:pPr>
      <w:r>
        <w:t xml:space="preserve">A second skeptical line targets the nulls: perhaps citation and age would show structure in a larger corpus, and the nulls merely reflect low power at N of thirty. This too is partly conceded. Low power is real, and a larger corpus might sharpen the estimates. But the design does not claim the nulls prove no relationship exists anywhere; it claims the retained data provide no reliable evidence of one, which is a statement about this corpus and is true of it</w:t>
      </w:r>
      <w:r>
        <w:t xml:space="preserve"> </w:t>
      </w:r>
      <w:hyperlink w:anchor="ref-8">
        <w:r>
          <w:rPr>
            <w:rStyle w:val="Hyperlink"/>
          </w:rPr>
          <w:t xml:space="preserve">[8]</w:t>
        </w:r>
      </w:hyperlink>
      <w:r>
        <w:t xml:space="preserve"> </w:t>
      </w:r>
      <w:hyperlink w:anchor="ref-5">
        <w:r>
          <w:rPr>
            <w:rStyle w:val="Hyperlink"/>
          </w:rPr>
          <w:t xml:space="preserve">[5]</w:t>
        </w:r>
      </w:hyperlink>
      <w:r>
        <w:t xml:space="preserve">. The skeptic’s larger corpus is precisely the successor study, and pointing toward it is the right response rather than a refutation.</w:t>
      </w:r>
    </w:p>
    <w:bookmarkEnd w:id="126"/>
    <w:bookmarkStart w:id="127" w:name="the-value-of-a-disciplined-negative"/>
    <w:p>
      <w:pPr>
        <w:pStyle w:val="Heading2"/>
        <w:spacing w:line="480" w:lineRule="auto"/>
      </w:pPr>
      <w:r>
        <w:t xml:space="preserve">7.7 The value of a disciplined negative</w:t>
      </w:r>
    </w:p>
    <w:p>
      <w:pPr>
        <w:pStyle w:val="FirstParagraph"/>
        <w:spacing w:line="480" w:lineRule="auto"/>
      </w:pPr>
      <w:r>
        <w:t xml:space="preserve">There is a temptation, in a design that returns two nulls out of four tested relationships, to treat the exercise as thin. That temptation should be resisted. A claim that survives source tracing, variable construction, and robust estimation is stronger than an impression, and a claim that fails those tests is genuinely informative, because it forecloses a premature confidence that would otherwise persist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industry’s habit of naming environmental review as the cause of delay is exactly the kind of impression this design is built to test rather than echo.</w:t>
      </w:r>
    </w:p>
    <w:bookmarkEnd w:id="127"/>
    <w:bookmarkStart w:id="128" w:name="implications-for-measurement-practice"/>
    <w:p>
      <w:pPr>
        <w:pStyle w:val="Heading2"/>
        <w:spacing w:line="480" w:lineRule="auto"/>
      </w:pPr>
      <w:r>
        <w:t xml:space="preserve">7.8 Implications for measurement practice</w:t>
      </w:r>
    </w:p>
    <w:p>
      <w:pPr>
        <w:pStyle w:val="FirstParagraph"/>
        <w:spacing w:line="480" w:lineRule="auto"/>
      </w:pPr>
      <w:r>
        <w:t xml:space="preserve">This pattern of results carries lessons for how future studies of this kind should be built, and stating them is part of the discussion’s job. The first lesson is that raw cross-sectional citation count is a poor salience proxy in small, skewed corpora, and the flat citation term is the direct evidence for it</w:t>
      </w:r>
      <w:r>
        <w:t xml:space="preserve"> </w:t>
      </w:r>
      <w:hyperlink w:anchor="ref-13">
        <w:r>
          <w:rPr>
            <w:rStyle w:val="Hyperlink"/>
          </w:rPr>
          <w:t xml:space="preserve">[13]</w:t>
        </w:r>
      </w:hyperlink>
      <w:r>
        <w:t xml:space="preserve"> </w:t>
      </w:r>
      <w:hyperlink w:anchor="ref-5">
        <w:r>
          <w:rPr>
            <w:rStyle w:val="Hyperlink"/>
          </w:rPr>
          <w:t xml:space="preserve">[5]</w:t>
        </w:r>
      </w:hyperlink>
      <w:r>
        <w:t xml:space="preserve">. A successor study should either abandon the measure or replace it with a normalized alternative that accounts for field and age, because in a corpus where one record holds eighty-two citations and most hold zero, the raw count carries no usable cross-sectional information.</w:t>
      </w:r>
    </w:p>
    <w:p>
      <w:pPr>
        <w:pStyle w:val="BodyText"/>
        <w:spacing w:line="480" w:lineRule="auto"/>
        <w:ind w:firstLine="720"/>
      </w:pPr>
      <w:r>
        <w:t xml:space="preserve">The second lesson concerns the venue confound. Because measurable topic signal depends on metadata completeness, and metadata completeness varies by venue family, any venue coefficient in a design of this kind partly measures documentary form rather than substance</w:t>
      </w:r>
      <w:r>
        <w:t xml:space="preserve"> </w:t>
      </w:r>
      <w:hyperlink w:anchor="ref-2">
        <w:r>
          <w:rPr>
            <w:rStyle w:val="Hyperlink"/>
          </w:rPr>
          <w:t xml:space="preserve">[2]</w:t>
        </w:r>
      </w:hyperlink>
      <w:r>
        <w:t xml:space="preserve"> </w:t>
      </w:r>
      <w:hyperlink w:anchor="ref-8">
        <w:r>
          <w:rPr>
            <w:rStyle w:val="Hyperlink"/>
          </w:rPr>
          <w:t xml:space="preserve">[8]</w:t>
        </w:r>
      </w:hyperlink>
      <w:r>
        <w:t xml:space="preserve">. A successor study should either equalize metadata across venues before scoring or model the metadata-completeness interaction explicitly, so that the venue term is not silently absorbing a form effect. The present study cannot do this within its data, but it can and does flag the requirement for the next one.</w:t>
      </w:r>
    </w:p>
    <w:p>
      <w:pPr>
        <w:pStyle w:val="BodyText"/>
        <w:spacing w:line="480" w:lineRule="auto"/>
        <w:ind w:firstLine="720"/>
      </w:pPr>
      <w:r>
        <w:t xml:space="preserve">The third lesson is that the learning-curve form should not be assumed for young topics. The imprecise age elasticity shows that a topic whose attention has surged recently will not exhibit the age-governed accumulation the curve presupposes, so applying the form uncritically to such a topic risks reporting a spurious or null slope as if the form were appropriate</w:t>
      </w:r>
      <w:r>
        <w:t xml:space="preserve"> </w:t>
      </w:r>
      <w:hyperlink w:anchor="ref-8">
        <w:r>
          <w:rPr>
            <w:rStyle w:val="Hyperlink"/>
          </w:rPr>
          <w:t xml:space="preserve">[8]</w:t>
        </w:r>
      </w:hyperlink>
      <w:r>
        <w:t xml:space="preserve"> </w:t>
      </w:r>
      <w:hyperlink w:anchor="ref-11">
        <w:r>
          <w:rPr>
            <w:rStyle w:val="Hyperlink"/>
          </w:rPr>
          <w:t xml:space="preserve">[11]</w:t>
        </w:r>
      </w:hyperlink>
      <w:r>
        <w:t xml:space="preserve">. A successor study interested in temporal dynamics should first check the age distribution of citations before committing to the learning-curve specification. Each of these lessons is a gift the present design makes to its successor, purchased with its own honest nulls.</w:t>
      </w:r>
    </w:p>
    <w:bookmarkEnd w:id="128"/>
    <w:bookmarkStart w:id="129" w:name="X9a98ed9043342df0b4941c16fe95245ff8c9eee"/>
    <w:p>
      <w:pPr>
        <w:pStyle w:val="Heading2"/>
        <w:spacing w:line="480" w:lineRule="auto"/>
      </w:pPr>
      <w:r>
        <w:t xml:space="preserve">7.9 The asymmetry between the positive and null findings</w:t>
      </w:r>
    </w:p>
    <w:p>
      <w:pPr>
        <w:pStyle w:val="FirstParagraph"/>
        <w:spacing w:line="480" w:lineRule="auto"/>
      </w:pPr>
      <w:r>
        <w:t xml:space="preserve">A careful discussion should note that the positive and null findings do not carry identical epistemic weight, and honesty requires spelling out the asymmetry. The recency result is a positive finding at N of thirty, and a positive finding that clears significance in a small sample is relatively robust, because a spurious relationship strong enough to reach a p-value near 0.0005 with so few observations is improbable</w:t>
      </w:r>
      <w:r>
        <w:t xml:space="preserve"> </w:t>
      </w:r>
      <w:hyperlink w:anchor="ref-11">
        <w:r>
          <w:rPr>
            <w:rStyle w:val="Hyperlink"/>
          </w:rPr>
          <w:t xml:space="preserve">[11]</w:t>
        </w:r>
      </w:hyperlink>
      <w:r>
        <w:t xml:space="preserve">. The recency association is therefore something a reader can rely on, within the retained corpus, with reasonable confidence.</w:t>
      </w:r>
    </w:p>
    <w:p>
      <w:pPr>
        <w:pStyle w:val="BodyText"/>
        <w:spacing w:line="480" w:lineRule="auto"/>
        <w:ind w:firstLine="720"/>
      </w:pPr>
      <w:r>
        <w:t xml:space="preserve">Both nulls are weaker in a specific sense. A null at N of thirty is consistent both with the genuine absence of a relationship and with a real relationship too faint for the sample to detect. The flat citation term and the imprecise age elasticity therefore establish that this corpus provides no reliable evidence of those relationships, which is true and useful, but they do not establish that the relationships are absent in the wider literature</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discussion reads the nulls as cautions against building on unsupported relationships, not as proofs of non-existence, and that reading respects the asymmetry rather than papering over it.</w:t>
      </w:r>
    </w:p>
    <w:p>
      <w:pPr>
        <w:pStyle w:val="BodyText"/>
        <w:spacing w:line="480" w:lineRule="auto"/>
        <w:ind w:firstLine="720"/>
      </w:pPr>
      <w:r>
        <w:t xml:space="preserve">That asymmetry has a practical upshot for the successor study. The recency finding can be treated as an established feature to be explained, while the nulls should be re-tested in a larger corpus before being accepted as genuine absences</w:t>
      </w:r>
      <w:r>
        <w:t xml:space="preserve"> </w:t>
      </w:r>
      <w:hyperlink w:anchor="ref-3">
        <w:r>
          <w:rPr>
            <w:rStyle w:val="Hyperlink"/>
          </w:rPr>
          <w:t xml:space="preserve">[3]</w:t>
        </w:r>
      </w:hyperlink>
      <w:r>
        <w:t xml:space="preserve">. A successor that inherited the nulls as settled would risk discarding a real but faint relationship, whereas one that inherited the recency result as settled would be on firmer ground. Naming which findings are load-bearing and which are provisional is part of what makes the discussion useful to whoever builds on it next. Not all findings weigh the same.</w:t>
      </w:r>
    </w:p>
    <w:bookmarkEnd w:id="129"/>
    <w:bookmarkStart w:id="130" w:name="where-the-map-ends"/>
    <w:p>
      <w:pPr>
        <w:pStyle w:val="Heading2"/>
        <w:spacing w:line="480" w:lineRule="auto"/>
      </w:pPr>
      <w:r>
        <w:t xml:space="preserve">7.10 Where the map ends</w:t>
      </w:r>
    </w:p>
    <w:p>
      <w:pPr>
        <w:pStyle w:val="FirstParagraph"/>
        <w:spacing w:line="480" w:lineRule="auto"/>
      </w:pPr>
      <w:r>
        <w:t xml:space="preserve">The discussion therefore ends where the introduction began, at the boundary between what is shown and what is assumed. The topic is live and recent in the literature; its citation dynamics are immature; the venue signal is real but confounded; and none of it establishes causation. That is a small map, but it is an accurate one, and an accurate small map is what the next research step needs.</w:t>
      </w:r>
    </w:p>
    <w:p>
      <w:pPr>
        <w:pStyle w:val="BodyText"/>
        <w:spacing w:line="480" w:lineRule="auto"/>
        <w:ind w:firstLine="720"/>
      </w:pPr>
      <w:r>
        <w:t xml:space="preserve">Discipline produced the map, and that discipline is the final point. At every juncture where the prose could have reached beyond the evidence, it declined: the negative citation sign was not narrated, the imprecise elasticity was not softened into a trend, the venue coefficient was not read as a merit ranking, and no coefficient was assigned a causal meaning</w:t>
      </w:r>
      <w:r>
        <w:t xml:space="preserve"> </w:t>
      </w:r>
      <w:hyperlink w:anchor="ref-5">
        <w:r>
          <w:rPr>
            <w:rStyle w:val="Hyperlink"/>
          </w:rPr>
          <w:t xml:space="preserve">[5]</w:t>
        </w:r>
      </w:hyperlink>
      <w:r>
        <w:t xml:space="preserve"> </w:t>
      </w:r>
      <w:hyperlink w:anchor="ref-8">
        <w:r>
          <w:rPr>
            <w:rStyle w:val="Hyperlink"/>
          </w:rPr>
          <w:t xml:space="preserve">[8]</w:t>
        </w:r>
      </w:hyperlink>
      <w:r>
        <w:t xml:space="preserve">. Each restraint cost the dissertation a more dramatic claim and bought it a more durable one. A reader who checks the interpretation against the coefficients will find the two aligned, which is the property a discussion chapter exists to guarantee. Chapter 8 turns that map into a program.</w:t>
      </w:r>
    </w:p>
    <w:bookmarkEnd w:id="130"/>
    <w:bookmarkEnd w:id="131"/>
    <w:bookmarkStart w:id="168"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began with a question the launch sector answers by reflex and rarely by measurement: does environmental review explain how long a spaceport takes to reach operation? It ends with a smaller, firmer claim than the question invites, and with a clear specification of the study that would answer the larger question honestly. The contribution is a disciplined first step, and this chapter states exactly what that step secured and where it leads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32" w:name="the-contribution-restated"/>
    <w:p>
      <w:pPr>
        <w:pStyle w:val="Heading2"/>
        <w:spacing w:line="480" w:lineRule="auto"/>
      </w:pPr>
      <w:r>
        <w:t xml:space="preserve">8.1 The contribution restated</w:t>
      </w:r>
    </w:p>
    <w:p>
      <w:pPr>
        <w:pStyle w:val="FirstParagraph"/>
        <w:spacing w:line="480" w:lineRule="auto"/>
      </w:pPr>
      <w:r>
        <w:t xml:space="preserve">A single falsifiable, reproducible corpus-structure test is the contribution, run two ways, that converts a rhetorical delay claim into an estimable pattern. The test asked whether the topic of environmental review as a launch gate is structured in the retrieved literature along the dimensions a hardening constraint should mark: publication recency, citation attention, and venue family. The answer is partial and precise. The topic is structured by recency and by venue, with a positive, significant recency association, and it is not structured by cross-sectional citation or by age-based accumulation</w:t>
      </w:r>
      <w:r>
        <w:t xml:space="preserve"> </w:t>
      </w:r>
      <w:hyperlink w:anchor="ref-11">
        <w:r>
          <w:rPr>
            <w:rStyle w:val="Hyperlink"/>
          </w:rPr>
          <w:t xml:space="preserve">[11]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result is worth stating plainly because it does two things at once. It establishes that the concern is live and current in the literature, which licenses further study, and it establishes that the concern’s citation dynamics are immature, which cautions against treating the literature as a settled evidence base. Both halves matter. Neither can be dropped. A design that reported only the significant recency coefficient would have implied a consolidated field; a design that reported only the nulls would have implied an absent one. The truth is between, and the two estimators together locate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methodological contribution is separable from the substantive one and arguably larger. The dissertation demonstrates a reproducible path from a contested policy intuition to an auditable number: source records become rows with preserved provenance, observable fields become variables built by stated rules, configuration files fix the estimator formulas, and workbooks reproduce the output exactly. That path is portable. It applies to any space-governance claim that begins, as most do, with partial records rather than a finished dataset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2"/>
    <w:bookmarkStart w:id="133" w:name="X03e7aa7335649dd6252aa0b24059bae171e37ad"/>
    <w:p>
      <w:pPr>
        <w:pStyle w:val="Heading2"/>
        <w:spacing w:line="480" w:lineRule="auto"/>
      </w:pPr>
      <w:r>
        <w:t xml:space="preserve">8.2 Relevance to spaceport siting and launch licensing</w:t>
      </w:r>
    </w:p>
    <w:p>
      <w:pPr>
        <w:pStyle w:val="FirstParagraph"/>
        <w:spacing w:line="480" w:lineRule="auto"/>
      </w:pPr>
      <w:r>
        <w:t xml:space="preserve">For the governance of spaceport siting, the finding carries a specific and usable message. The rising recency of topic salience is consistent with the substantive trend documented in the siting literature, where environmental and community constraint has moved from an afterthought to a structuring variable in site selection</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Agencies and operators reasoning about site development timelines are right to treat the environmental dimension as current and consequential; the literature is writing about it now, with growing intensity. What they are not entitled to conclude, from this evidence, is that review is the binding constraint on operational date</w:t>
      </w:r>
      <w:r>
        <w:t xml:space="preserve"> </w:t>
      </w:r>
      <w:hyperlink w:anchor="ref-1">
        <w:r>
          <w:rPr>
            <w:rStyle w:val="Hyperlink"/>
          </w:rPr>
          <w:t xml:space="preserve">[1]</w:t>
        </w:r>
      </w:hyperlink>
      <w:r>
        <w:t xml:space="preserve">.</w:t>
      </w:r>
    </w:p>
    <w:p>
      <w:pPr>
        <w:pStyle w:val="BodyText"/>
        <w:spacing w:line="480" w:lineRule="auto"/>
        <w:ind w:firstLine="720"/>
      </w:pPr>
      <w:r>
        <w:t xml:space="preserve">For launch licensing specifically, the flat citation dynamics carry a caution. A field whose attention has not yet organized around exposure time is a field still forming its consensus, which means the evidence base a licensing reform would cite is younger and less settled than its recency might suggest</w:t>
      </w:r>
      <w:r>
        <w:t xml:space="preserve"> </w:t>
      </w:r>
      <w:hyperlink w:anchor="ref-8">
        <w:r>
          <w:rPr>
            <w:rStyle w:val="Hyperlink"/>
          </w:rPr>
          <w:t xml:space="preserve">[8]</w:t>
        </w:r>
      </w:hyperlink>
      <w:r>
        <w:t xml:space="preserve"> </w:t>
      </w:r>
      <w:hyperlink w:anchor="ref-11">
        <w:r>
          <w:rPr>
            <w:rStyle w:val="Hyperlink"/>
          </w:rPr>
          <w:t xml:space="preserve">[11]</w:t>
        </w:r>
      </w:hyperlink>
      <w:r>
        <w:t xml:space="preserve">. Reform grounded in this literature should be provisional and revisable, built to update as the evidence base matures, rather than treated as resting on a consolidated body of findings. The learning-curve null is a governance signal as much as a statistical one.</w:t>
      </w:r>
    </w:p>
    <w:p>
      <w:pPr>
        <w:pStyle w:val="BodyText"/>
        <w:spacing w:line="480" w:lineRule="auto"/>
        <w:ind w:firstLine="720"/>
      </w:pPr>
      <w:r>
        <w:t xml:space="preserve">A demand context makes the timing urgent. Traffic forecasts tied to economic output and constellation plans project sustained growth in launch volume, which means the ground system will face rising pressure on site-development timelines regardless of where the binding constraint turns out to lie</w:t>
      </w:r>
      <w:r>
        <w:t xml:space="preserve"> </w:t>
      </w:r>
      <w:hyperlink w:anchor="ref-11">
        <w:r>
          <w:rPr>
            <w:rStyle w:val="Hyperlink"/>
          </w:rPr>
          <w:t xml:space="preserve">[11]</w:t>
        </w:r>
      </w:hyperlink>
      <w:r>
        <w:t xml:space="preserve">. Understanding that constraint precisely, rather than by reflex, is therefore not an academic luxury but a scheduling necessity for a sector whose supply of operational sites must keep pace with its demand.</w:t>
      </w:r>
    </w:p>
    <w:bookmarkEnd w:id="133"/>
    <w:bookmarkStart w:id="134" w:name="Xdeb3b893ff61bf390d3b5a9e09bcd9b5443335d"/>
    <w:p>
      <w:pPr>
        <w:pStyle w:val="Heading2"/>
        <w:spacing w:line="480" w:lineRule="auto"/>
      </w:pPr>
      <w:r>
        <w:t xml:space="preserve">8.3 The successor study this design specifies</w:t>
      </w:r>
    </w:p>
    <w:p>
      <w:pPr>
        <w:pStyle w:val="FirstParagraph"/>
        <w:spacing w:line="480" w:lineRule="auto"/>
      </w:pPr>
      <w:r>
        <w:t xml:space="preserve">Its clearest implication is a research program, and this design specifies it precisely because it knows its own edges. A causal successor would replace the topic-signal proxy with a direct outcome: the measured interval from proposal to first operational launch, coded across a defined set of spaceports</w:t>
      </w:r>
      <w:r>
        <w:t xml:space="preserve"> </w:t>
      </w:r>
      <w:hyperlink w:anchor="ref-5">
        <w:r>
          <w:rPr>
            <w:rStyle w:val="Hyperlink"/>
          </w:rPr>
          <w:t xml:space="preserve">[5]</w:t>
        </w:r>
      </w:hyperlink>
      <w:r>
        <w:t xml:space="preserve">. It would replace the retrieved-corpus record set with a purpose-built dataset of environmental-review documents, coded for length, contestation, and duration, so that review burden is measured rather than inferred from salience</w:t>
      </w:r>
      <w:r>
        <w:t xml:space="preserve"> </w:t>
      </w:r>
      <w:hyperlink w:anchor="ref-9">
        <w:r>
          <w:rPr>
            <w:rStyle w:val="Hyperlink"/>
          </w:rPr>
          <w:t xml:space="preserve">[9]</w:t>
        </w:r>
      </w:hyperlink>
      <w:r>
        <w:t xml:space="preserve">.</w:t>
      </w:r>
    </w:p>
    <w:p>
      <w:pPr>
        <w:pStyle w:val="BodyText"/>
        <w:spacing w:line="480" w:lineRule="auto"/>
        <w:ind w:firstLine="720"/>
      </w:pPr>
      <w:r>
        <w:t xml:space="preserve">Identification would come from comparison across sites that differ in review pathway but resemble one another on the competing constraints, engineering complexity, financing, and community opposition, that this design could not observe</w:t>
      </w:r>
      <w:r>
        <w:t xml:space="preserve"> </w:t>
      </w:r>
      <w:hyperlink w:anchor="ref-4">
        <w:r>
          <w:rPr>
            <w:rStyle w:val="Hyperlink"/>
          </w:rPr>
          <w:t xml:space="preserve">[4]</w:t>
        </w:r>
      </w:hyperlink>
      <w:r>
        <w:t xml:space="preserve">. Matched comparison or a staged design that exploits variation in review category would let the successor separate the effect of review from the effect of the site complexity that review is entangled with. The autonomous flight-safety and emissions literatures suggest concrete covariates for that matching, since both shape the substantive content a review must adjudicate</w:t>
      </w:r>
      <w:r>
        <w:t xml:space="preserve"> </w:t>
      </w:r>
      <w:hyperlink w:anchor="ref-16">
        <w:r>
          <w:rPr>
            <w:rStyle w:val="Hyperlink"/>
          </w:rPr>
          <w:t xml:space="preserve">[16]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dissertation is the baseline from which that program proceeds. It has shown that the topic clears the prior threshold of legibility, identified which proxies fail so the successor does not repeat their use, mapped where the source-family and metadata confounds lie so the successor can design around them, and fixed a reproducible method the successor can inherit wholesale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what a first step is supposed to do.</w:t>
      </w:r>
    </w:p>
    <w:bookmarkEnd w:id="134"/>
    <w:bookmarkStart w:id="135" w:name="Xad3599a8d6defcb9df8927ae84a3d796885efa0"/>
    <w:p>
      <w:pPr>
        <w:pStyle w:val="Heading2"/>
        <w:spacing w:line="480" w:lineRule="auto"/>
      </w:pPr>
      <w:r>
        <w:t xml:space="preserve">8.4 Implications for how the sector argues about delay</w:t>
      </w:r>
    </w:p>
    <w:p>
      <w:pPr>
        <w:pStyle w:val="FirstParagraph"/>
        <w:spacing w:line="480" w:lineRule="auto"/>
      </w:pPr>
      <w:r>
        <w:t xml:space="preserve">Beyond the specific successor study, the dissertation carries a broader implication for how the launch sector conducts its argument about delay. The reflexive naming of environmental review as the cause of slow timelines is a claim, and claims can be tested. This project shows one way to begin testing them cheaply, using retrieved records and reproducible estimators, before committing the resources a full causal study requires. The sector would argue better if it treated its delay attributions as hypotheses rather than as settled facts, and the method here is a template for that better argument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point generalizes past the environmental gate. Financing timelines, supply-chain constraints on ground infrastructure, engineering rework, and community opposition are all candidate causes of delay, and each is as amenable to a corpus-structure screen as environmental review is</w:t>
      </w:r>
      <w:r>
        <w:t xml:space="preserve"> </w:t>
      </w:r>
      <w:hyperlink w:anchor="ref-14">
        <w:r>
          <w:rPr>
            <w:rStyle w:val="Hyperlink"/>
          </w:rPr>
          <w:t xml:space="preserve">[14]</w:t>
        </w:r>
      </w:hyperlink>
      <w:r>
        <w:t xml:space="preserve">. A sector serious about diagnosing its own bottlenecks could run the same screen across all of them, establish which topics are live and structured in the literature, and prioritize its expensive causal studies accordingly. The contribution of this dissertation, seen at that scale, is a reusable diagnostic posture rather than a single result about a single gate</w:t>
      </w:r>
      <w:r>
        <w:t xml:space="preserve"> </w:t>
      </w:r>
      <w:hyperlink w:anchor="ref-4">
        <w:r>
          <w:rPr>
            <w:rStyle w:val="Hyperlink"/>
          </w:rPr>
          <w:t xml:space="preserve">[4]</w:t>
        </w:r>
      </w:hyperlink>
      <w:r>
        <w:t xml:space="preserve">.</w:t>
      </w:r>
    </w:p>
    <w:p>
      <w:pPr>
        <w:pStyle w:val="BodyText"/>
        <w:spacing w:line="480" w:lineRule="auto"/>
        <w:ind w:firstLine="720"/>
      </w:pPr>
      <w:r>
        <w:t xml:space="preserve">There is a governance dividend in this posture. Regulators and operators who disagree about whether review causes delay are, at present, trading anecdotes, and anecdotes do not converge. A shared, auditable method for turning the disagreement into a testable pattern gives the parties something to converge on: not a foregone conclusion, but a common instrument whose output both can inspect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a modest form of institutional peacemaking, and it is the kind of contribution a design built on transparency is well suited to make.</w:t>
      </w:r>
    </w:p>
    <w:p>
      <w:pPr>
        <w:pStyle w:val="BodyText"/>
        <w:spacing w:line="480" w:lineRule="auto"/>
        <w:ind w:firstLine="720"/>
      </w:pPr>
      <w:r>
        <w:t xml:space="preserve">That dividend compounds when the demand context is taken seriously. Traffic forecasts point to sustained growth in launch volume, which means the ground system will face mounting pressure on site-development timelines whether or not the environmental gate turns out to be the binding constraint</w:t>
      </w:r>
      <w:r>
        <w:t xml:space="preserve"> </w:t>
      </w:r>
      <w:hyperlink w:anchor="ref-11">
        <w:r>
          <w:rPr>
            <w:rStyle w:val="Hyperlink"/>
          </w:rPr>
          <w:t xml:space="preserve">[11]</w:t>
        </w:r>
      </w:hyperlink>
      <w:r>
        <w:t xml:space="preserve">. Under that pressure, the cost of misdiagnosing the bottleneck rises: resources spent reforming a gate that was never binding are resources not spent on the constraint that was. A screen that establishes which delay stories are even structured in the evidence is therefore not an academic nicety but a way of protecting scarce reform capacity from being aimed at the wrong target</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governance value of the method grows precisely as the sector’s schedule pressure grows, which is to say it grows exactly when it is needed most.</w:t>
      </w:r>
    </w:p>
    <w:p>
      <w:pPr>
        <w:pStyle w:val="BodyText"/>
        <w:spacing w:line="480" w:lineRule="auto"/>
        <w:ind w:firstLine="720"/>
      </w:pPr>
      <w:r>
        <w:t xml:space="preserve">A related benefit accrues to the operators who most often voice the delay claim. An operator who can point to a structured, reproducible screen rather than a grievance carries more weight in a regulatory conversation, because a screen invites inspection where a grievance invites dismissal</w:t>
      </w:r>
      <w:r>
        <w:t xml:space="preserve"> </w:t>
      </w:r>
      <w:hyperlink w:anchor="ref-1">
        <w:r>
          <w:rPr>
            <w:rStyle w:val="Hyperlink"/>
          </w:rPr>
          <w:t xml:space="preserve">[1]</w:t>
        </w:r>
      </w:hyperlink>
      <w:r>
        <w:t xml:space="preserve">. The method thus arms the very actors who care most about timelines with a form of evidence more persuasive than the anecdotes they now rely on, and it does so without prejudging whether their claim is right. That neutrality is a feature: the instrument serves whoever is willing to submit their claim to it, which is the property that lets it function as common ground rather than as one side’s weapon</w:t>
      </w:r>
      <w:r>
        <w:t xml:space="preserve"> </w:t>
      </w:r>
      <w:hyperlink w:anchor="ref-5">
        <w:r>
          <w:rPr>
            <w:rStyle w:val="Hyperlink"/>
          </w:rPr>
          <w:t xml:space="preserve">[5]</w:t>
        </w:r>
      </w:hyperlink>
      <w:r>
        <w:t xml:space="preserve">. It takes no side.</w:t>
      </w:r>
    </w:p>
    <w:bookmarkEnd w:id="135"/>
    <w:bookmarkStart w:id="136" w:name="Xd03600edab17a3f217bd3b507a85f3b837bf60d"/>
    <w:p>
      <w:pPr>
        <w:pStyle w:val="Heading2"/>
        <w:spacing w:line="480" w:lineRule="auto"/>
      </w:pPr>
      <w:r>
        <w:t xml:space="preserve">8.5 Limits of the contribution, stated at the close</w:t>
      </w:r>
    </w:p>
    <w:p>
      <w:pPr>
        <w:pStyle w:val="FirstParagraph"/>
        <w:spacing w:line="480" w:lineRule="auto"/>
      </w:pPr>
      <w:r>
        <w:t xml:space="preserve">Honesty requires restating the limits even in a chapter about contribution, because a contribution overstated is a contribution undone. This dissertation has not measured time-to-operational, has not observed the competing constraints, and has not established causation. Its corpus is small and retrieved rather than sampled, its outcome is a proxy, and its venue result is confounded with metadata form</w:t>
      </w:r>
      <w:r>
        <w:t xml:space="preserve"> </w:t>
      </w:r>
      <w:hyperlink w:anchor="ref-5">
        <w:r>
          <w:rPr>
            <w:rStyle w:val="Hyperlink"/>
          </w:rPr>
          <w:t xml:space="preserve">[5]</w:t>
        </w:r>
      </w:hyperlink>
      <w:r>
        <w:t xml:space="preserve"> </w:t>
      </w:r>
      <w:hyperlink w:anchor="ref-2">
        <w:r>
          <w:rPr>
            <w:rStyle w:val="Hyperlink"/>
          </w:rPr>
          <w:t xml:space="preserve">[2]</w:t>
        </w:r>
      </w:hyperlink>
      <w:r>
        <w:t xml:space="preserve">. Every one of these limits was named in advance and honored in the interpretation, and none is erased by the value of what the study did find.</w:t>
      </w:r>
    </w:p>
    <w:p>
      <w:pPr>
        <w:pStyle w:val="BodyText"/>
        <w:spacing w:line="480" w:lineRule="auto"/>
        <w:ind w:firstLine="720"/>
      </w:pPr>
      <w:r>
        <w:t xml:space="preserve">What the study did find is bounded and real: the topic is live, recent, and venue-structured in the retrieved literature, its citation dynamics are immature, and these facts together justify a causal successor while foreclosing a premature causal claim</w:t>
      </w:r>
      <w:r>
        <w:t xml:space="preserve"> </w:t>
      </w:r>
      <w:hyperlink w:anchor="ref-11">
        <w:r>
          <w:rPr>
            <w:rStyle w:val="Hyperlink"/>
          </w:rPr>
          <w:t xml:space="preserve">[11]</w:t>
        </w:r>
      </w:hyperlink>
      <w:r>
        <w:t xml:space="preserve"> </w:t>
      </w:r>
      <w:hyperlink w:anchor="ref-8">
        <w:r>
          <w:rPr>
            <w:rStyle w:val="Hyperlink"/>
          </w:rPr>
          <w:t xml:space="preserve">[8]</w:t>
        </w:r>
      </w:hyperlink>
      <w:r>
        <w:t xml:space="preserve">. That is the whole of the contribution, stated without inflation. A reader who wanted a verdict on whether environmental review governs spaceport timelines will not find one here, and the refusal to supply one is deliberate. The evidence does not support a verdict, and manufacturing one would betray the discipline the entire design was built to sustain</w:t>
      </w:r>
      <w:r>
        <w:t xml:space="preserve"> </w:t>
      </w:r>
      <w:hyperlink w:anchor="ref-7">
        <w:r>
          <w:rPr>
            <w:rStyle w:val="Hyperlink"/>
          </w:rPr>
          <w:t xml:space="preserve">[7]</w:t>
        </w:r>
      </w:hyperlink>
      <w:r>
        <w:t xml:space="preserve">.</w:t>
      </w:r>
    </w:p>
    <w:bookmarkEnd w:id="136"/>
    <w:bookmarkStart w:id="137" w:name="the-honest-posture-restated"/>
    <w:p>
      <w:pPr>
        <w:pStyle w:val="Heading2"/>
        <w:spacing w:line="480" w:lineRule="auto"/>
      </w:pPr>
      <w:r>
        <w:t xml:space="preserve">8.6 The honest posture, restated</w:t>
      </w:r>
    </w:p>
    <w:p>
      <w:pPr>
        <w:pStyle w:val="FirstParagraph"/>
        <w:spacing w:line="480" w:lineRule="auto"/>
      </w:pPr>
      <w:r>
        <w:t xml:space="preserve">The dissertation rests on a boundary it has defended throughout. It has not proven that environmental review governs spaceport timelines, and it has not pretended to. It has shown that the concern is live, recent, and venue-structured in the literature, that its citation dynamics are immature, and that these facts, taken together, justify a more direct causal study while foreclosing a premature causal claim</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is a legitimate doctoral contribution, and a characteristic one for this kind of question. Space-governance problems become visible before institutions settle on the rule, and the honest response to early visibility is neither to wait for perfect data nor to overstate the imperfect data at hand. It is to convert the intuition into a test that can fail, run the test, and report exactly what it returns.</w:t>
      </w:r>
    </w:p>
    <w:bookmarkEnd w:id="137"/>
    <w:bookmarkStart w:id="138" w:name="a-staged-research-program"/>
    <w:p>
      <w:pPr>
        <w:pStyle w:val="Heading2"/>
        <w:spacing w:line="480" w:lineRule="auto"/>
      </w:pPr>
      <w:r>
        <w:t xml:space="preserve">8.7 A staged research program</w:t>
      </w:r>
    </w:p>
    <w:p>
      <w:pPr>
        <w:pStyle w:val="FirstParagraph"/>
        <w:spacing w:line="480" w:lineRule="auto"/>
      </w:pPr>
      <w:r>
        <w:t xml:space="preserve">The dissertation is best understood as the first stage of a three-stage program, and setting out all three stages shows why the modest first stage earns its place. The first stage, completed here, is the corpus-structure screen: establish whether the topic is legible in the literature and along which dimensions, using retrieved records and reproducible estimators</w:t>
      </w:r>
      <w:r>
        <w:t xml:space="preserve"> </w:t>
      </w:r>
      <w:hyperlink w:anchor="ref-3">
        <w:r>
          <w:rPr>
            <w:rStyle w:val="Hyperlink"/>
          </w:rPr>
          <w:t xml:space="preserve">[3]</w:t>
        </w:r>
      </w:hyperlink>
      <w:r>
        <w:t xml:space="preserve"> </w:t>
      </w:r>
      <w:hyperlink w:anchor="ref-5">
        <w:r>
          <w:rPr>
            <w:rStyle w:val="Hyperlink"/>
          </w:rPr>
          <w:t xml:space="preserve">[5]</w:t>
        </w:r>
      </w:hyperlink>
      <w:r>
        <w:t xml:space="preserve">. Its output is a map of where salience concentrates and where the measurement proxies fail, and that map is what the later stages navigate by. A map, not a verdict.</w:t>
      </w:r>
    </w:p>
    <w:p>
      <w:pPr>
        <w:pStyle w:val="BodyText"/>
        <w:spacing w:line="480" w:lineRule="auto"/>
        <w:ind w:firstLine="720"/>
      </w:pPr>
      <w:r>
        <w:t xml:space="preserve">The second stage would build the causal dataset the screen has shown to be warranted. It would code environmental-review documents for a defined set of spaceports, measure review length and contestation directly, and measure time-to-operational as the outcome the first stage could only proxy</w:t>
      </w:r>
      <w:r>
        <w:t xml:space="preserve"> </w:t>
      </w:r>
      <w:hyperlink w:anchor="ref-9">
        <w:r>
          <w:rPr>
            <w:rStyle w:val="Hyperlink"/>
          </w:rPr>
          <w:t xml:space="preserve">[9]</w:t>
        </w:r>
      </w:hyperlink>
      <w:r>
        <w:t xml:space="preserve"> </w:t>
      </w:r>
      <w:hyperlink w:anchor="ref-14">
        <w:r>
          <w:rPr>
            <w:rStyle w:val="Hyperlink"/>
          </w:rPr>
          <w:t xml:space="preserve">[14]</w:t>
        </w:r>
      </w:hyperlink>
      <w:r>
        <w:t xml:space="preserve">. Identification would come from comparison across sites matched on the competing constraints the first stage could not observe, with the emissions, propulsion, and autonomous-safety literatures supplying candidate covariates for the match</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This is the expensive stage, and the screen exists precisely to justify its expense before it is incurred.</w:t>
      </w:r>
    </w:p>
    <w:p>
      <w:pPr>
        <w:pStyle w:val="BodyText"/>
        <w:spacing w:line="480" w:lineRule="auto"/>
        <w:ind w:firstLine="720"/>
      </w:pPr>
      <w:r>
        <w:t xml:space="preserve">The third stage would test whether whatever association the second stage finds survives stronger designs: longitudinal tracking as new sites move through review, or a staged comparison exploiting variation in review category across otherwise similar sites</w:t>
      </w:r>
      <w:r>
        <w:t xml:space="preserve"> </w:t>
      </w:r>
      <w:hyperlink w:anchor="ref-4">
        <w:r>
          <w:rPr>
            <w:rStyle w:val="Hyperlink"/>
          </w:rPr>
          <w:t xml:space="preserve">[4]</w:t>
        </w:r>
      </w:hyperlink>
      <w:r>
        <w:t xml:space="preserve">. Only at this third stage would a defensible causal claim about the environmental gate become available, and only because the first two stages had established the topic’s legibility and built the measured dataset. Laying out the full program makes the logic of the first stage clear: it is the cheap, honest move that makes the two costly moves worth making</w:t>
      </w:r>
      <w:r>
        <w:t xml:space="preserve"> </w:t>
      </w:r>
      <w:hyperlink w:anchor="ref-11">
        <w:r>
          <w:rPr>
            <w:rStyle w:val="Hyperlink"/>
          </w:rPr>
          <w:t xml:space="preserve">[11]</w:t>
        </w:r>
      </w:hyperlink>
      <w:r>
        <w:t xml:space="preserve">.</w:t>
      </w:r>
    </w:p>
    <w:bookmarkEnd w:id="138"/>
    <w:bookmarkStart w:id="139" w:name="the-candidates-research-program"/>
    <w:p>
      <w:pPr>
        <w:pStyle w:val="Heading2"/>
        <w:spacing w:line="480" w:lineRule="auto"/>
      </w:pPr>
      <w:r>
        <w:t xml:space="preserve">8.8 The candidate’s research program</w:t>
      </w:r>
    </w:p>
    <w:p>
      <w:pPr>
        <w:pStyle w:val="FirstParagraph"/>
        <w:spacing w:line="480" w:lineRule="auto"/>
      </w:pPr>
      <w:r>
        <w:t xml:space="preserve">For Diego Petrov, the project establishes a durable research program with a clear next move rather than a single finished paper. The screen completed here is the reusable core: its variable-construction rules, its deterministic estimators, and its auditable artifact hierarchy can be pointed at the second-stage dataset with minimal adaptation, so the methodological investment carries forward</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candidate does not begin the causal study from nothing; he begins it from a validated instrument and a map of where the proxies fail.</w:t>
      </w:r>
    </w:p>
    <w:p>
      <w:pPr>
        <w:pStyle w:val="BodyText"/>
        <w:spacing w:line="480" w:lineRule="auto"/>
        <w:ind w:firstLine="720"/>
      </w:pPr>
      <w:r>
        <w:t xml:space="preserve">The program also has a natural expansion path along the substantive frontier the literature marks. As emissions methodology matures and autonomous flight-safety architectures move through certification, the content of environmental review will keep shifting, and the topic literature will keep growing</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A candidate positioned with a working screen can rerun it periodically to track whether the topic’s structure is consolidating, watching for the moment when the flat learning curve steepens into the age-governed accumulation of a maturing field</w:t>
      </w:r>
      <w:r>
        <w:t xml:space="preserve"> </w:t>
      </w:r>
      <w:hyperlink w:anchor="ref-8">
        <w:r>
          <w:rPr>
            <w:rStyle w:val="Hyperlink"/>
          </w:rPr>
          <w:t xml:space="preserve">[8]</w:t>
        </w:r>
      </w:hyperlink>
      <w:r>
        <w:t xml:space="preserve"> </w:t>
      </w:r>
      <w:hyperlink w:anchor="ref-11">
        <w:r>
          <w:rPr>
            <w:rStyle w:val="Hyperlink"/>
          </w:rPr>
          <w:t xml:space="preserve">[11]</w:t>
        </w:r>
      </w:hyperlink>
      <w:r>
        <w:t xml:space="preserve">. That longitudinal rerun is cheap, and it would convert a one-time screen into a monitoring instrument for the field’s own development.</w:t>
      </w:r>
    </w:p>
    <w:p>
      <w:pPr>
        <w:pStyle w:val="BodyText"/>
        <w:spacing w:line="480" w:lineRule="auto"/>
        <w:ind w:firstLine="720"/>
      </w:pPr>
      <w:r>
        <w:t xml:space="preserve">The broader disciplinary lesson the candidate carries forward is the one this dissertation was built to demonstrate. Many space-governance questions arrive as confident claims resting on partial records, and the reflexive delay attribution studied here is only one instance of a general pattern</w:t>
      </w:r>
      <w:r>
        <w:t xml:space="preserve"> </w:t>
      </w:r>
      <w:hyperlink w:anchor="ref-1">
        <w:r>
          <w:rPr>
            <w:rStyle w:val="Hyperlink"/>
          </w:rPr>
          <w:t xml:space="preserve">[1]</w:t>
        </w:r>
      </w:hyperlink>
      <w:r>
        <w:t xml:space="preserve"> </w:t>
      </w:r>
      <w:hyperlink w:anchor="ref-4">
        <w:r>
          <w:rPr>
            <w:rStyle w:val="Hyperlink"/>
          </w:rPr>
          <w:t xml:space="preserve">[4]</w:t>
        </w:r>
      </w:hyperlink>
      <w:r>
        <w:t xml:space="preserve">. A researcher equipped to convert such claims into falsifiable screens, run them honestly, and report their nulls as findings is equipped for a whole class of questions, not just this one. That transferable capability is the deepest thing the project builds, and it outlasts any single result.</w:t>
      </w:r>
    </w:p>
    <w:bookmarkEnd w:id="139"/>
    <w:bookmarkStart w:id="140" w:name="closing"/>
    <w:p>
      <w:pPr>
        <w:pStyle w:val="Heading2"/>
        <w:spacing w:line="480" w:lineRule="auto"/>
      </w:pPr>
      <w:r>
        <w:t xml:space="preserve">8.9 Closing</w:t>
      </w:r>
    </w:p>
    <w:p>
      <w:pPr>
        <w:pStyle w:val="FirstParagraph"/>
        <w:spacing w:line="480" w:lineRule="auto"/>
      </w:pPr>
      <w:r>
        <w:t xml:space="preserve">The delay claim entered this dissertation as folklore. It leaves as a measured, bounded, and reproducible finding, with a clear specification of the work required to turn that finding into a causal answer</w:t>
      </w:r>
      <w:r>
        <w:t xml:space="preserve"> </w:t>
      </w:r>
      <w:hyperlink w:anchor="ref-7">
        <w:r>
          <w:rPr>
            <w:rStyle w:val="Hyperlink"/>
          </w:rPr>
          <w:t xml:space="preserve">[7]</w:t>
        </w:r>
      </w:hyperlink>
      <w:r>
        <w:t xml:space="preserve">. The topic is live and recent in the retrieved literature; its salience concentrates in the newest records and structures measurably across venue families; its citation dynamics have not yet matured; and none of this establishes that environmental review causes spaceport delay. Every one of those statements is backed by a coefficient a reader can recompute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For the candidate and for the field, that exchange, folklore for an auditable pattern, is the point. A sector that reasons about its bottlenecks by anecdote will keep circling the same disagreements, because anecdotes do not converge and confident intuitions do not falsify. A sector that learns to convert its intuitions into screens gains something anecdote can never provide: a common instrument whose output both sides can inspect, and a disciplined way to decide which of its many delay stories deserves the expense of a full causal study</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This dissertation is one turn of that instrument, run carefully, reported exactly, and offered as a template for the next.</w:t>
      </w:r>
    </w:p>
    <w:p>
      <w:pPr>
        <w:pStyle w:val="BodyText"/>
        <w:spacing w:line="480" w:lineRule="auto"/>
        <w:ind w:firstLine="720"/>
      </w:pPr>
      <w:r>
        <w:t xml:space="preserve">A final word belongs to the boundary the whole project has honored. A dissertation on a contested policy question faces constant pressure to resolve the contest, to hand the reader the verdict the question seems to demand. This one refuses, and the refusal is the discipline rather than a failure of nerve. The evidence supports a bounded claim about corpus structure and no more, so a bounded claim is what it makes</w:t>
      </w:r>
      <w:r>
        <w:t xml:space="preserve"> </w:t>
      </w:r>
      <w:hyperlink w:anchor="ref-3">
        <w:r>
          <w:rPr>
            <w:rStyle w:val="Hyperlink"/>
          </w:rPr>
          <w:t xml:space="preserve">[3]</w:t>
        </w:r>
      </w:hyperlink>
      <w:r>
        <w:t xml:space="preserve"> </w:t>
      </w:r>
      <w:hyperlink w:anchor="ref-5">
        <w:r>
          <w:rPr>
            <w:rStyle w:val="Hyperlink"/>
          </w:rPr>
          <w:t xml:space="preserve">[5]</w:t>
        </w:r>
      </w:hyperlink>
      <w:r>
        <w:t xml:space="preserve">. Everything larger is deferred to a successor study whose design this chapter has specified in full, from its measured outcome to its matching covariates to its staged identification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What remains here is exactly what the data earned: a live topic, a precise recency signal, a confounded venue effect, an immature citation dynamic, and a clear path forward. Offered without inflation, that is a contribution a committee can check line by line, which is the only kind of contribution this design was ever willing to make</w:t>
      </w:r>
      <w:r>
        <w:t xml:space="preserve"> </w:t>
      </w:r>
      <w:hyperlink w:anchor="ref-7">
        <w:r>
          <w:rPr>
            <w:rStyle w:val="Hyperlink"/>
          </w:rPr>
          <w:t xml:space="preserve">[7]</w:t>
        </w:r>
      </w:hyperlink>
      <w:r>
        <w:t xml:space="preserve">. Check it line by line.</w:t>
      </w:r>
    </w:p>
    <w:bookmarkEnd w:id="140"/>
    <w:bookmarkStart w:id="167" w:name="references"/>
    <w:p>
      <w:pPr>
        <w:pStyle w:val="Heading2"/>
        <w:spacing w:line="480" w:lineRule="auto"/>
      </w:pPr>
      <w:r>
        <w:t xml:space="preserve">References</w:t>
      </w:r>
    </w:p>
    <w:p>
      <w:pPr>
        <w:pStyle w:val="FirstParagraph"/>
        <w:spacing w:line="480" w:lineRule="auto"/>
      </w:pPr>
      <w:bookmarkStart w:id="141" w:name="ref-1"/>
      <w:bookmarkEnd w:id="141"/>
      <w:r>
        <w:t xml:space="preserve">1. Phillip Reid, The Boeing Company. Conceptual Framework for a Rapid Space Launch Capability (2023). doi:</w:t>
      </w:r>
      <w:r>
        <w:t xml:space="preserve"> </w:t>
      </w:r>
      <w:hyperlink r:id="rId142">
        <w:r>
          <w:rPr>
            <w:rStyle w:val="Hyperlink"/>
          </w:rPr>
          <w:t xml:space="preserve">10.64861/KYFU6858</w:t>
        </w:r>
      </w:hyperlink>
    </w:p>
    <w:p>
      <w:pPr>
        <w:pStyle w:val="BodyText"/>
        <w:spacing w:line="480" w:lineRule="auto"/>
        <w:ind w:firstLine="720"/>
      </w:pPr>
      <w:bookmarkStart w:id="143" w:name="ref-2"/>
      <w:bookmarkEnd w:id="143"/>
      <w:r>
        <w:t xml:space="preserve">2. Thomas G. Roberts, Massachusetts Institute of Technology; Richard Linares, Massachusetts Institute of Technology. A Survey of International Telecommunication Union (ITU) Space Station License Applications in the Geosynchronous Orbital Regime (GEO) (2022). [AMOS]</w:t>
      </w:r>
    </w:p>
    <w:p>
      <w:pPr>
        <w:pStyle w:val="BodyText"/>
        <w:spacing w:line="480" w:lineRule="auto"/>
        <w:ind w:firstLine="720"/>
      </w:pPr>
      <w:bookmarkStart w:id="144" w:name="ref-3"/>
      <w:bookmarkEnd w:id="144"/>
      <w:r>
        <w:t xml:space="preserve">3. Torbjörn Sundberg, FOI Swedish Defence Research Agency; Matti Nylund, FOI Swedish Defence Research Agency; Ola Rasmusson, FOI Swedish Defence Research Agency. Swedish National Interests in Space Situational Awareness (2021). [AMOS]</w:t>
      </w:r>
    </w:p>
    <w:p>
      <w:pPr>
        <w:pStyle w:val="BodyText"/>
        <w:spacing w:line="480" w:lineRule="auto"/>
        <w:ind w:firstLine="720"/>
      </w:pPr>
      <w:bookmarkStart w:id="145" w:name="ref-4"/>
      <w:bookmarkEnd w:id="145"/>
      <w:r>
        <w:t xml:space="preserve">4. Liberty Shockley, U.S. Air Force; Robert Bettinger, U.S. Air Force. Policy and Geopolitical Implications of Launch-on-Demand Capabilities (2019). [AMOS]</w:t>
      </w:r>
    </w:p>
    <w:p>
      <w:pPr>
        <w:pStyle w:val="BodyText"/>
        <w:spacing w:line="480" w:lineRule="auto"/>
        <w:ind w:firstLine="720"/>
      </w:pPr>
      <w:bookmarkStart w:id="146" w:name="ref-5"/>
      <w:bookmarkEnd w:id="146"/>
      <w:r>
        <w:t xml:space="preserve">5. Louis Penafiel, Aptima, Inc.; William Dupree, Aptima, Inc.; Thomas Gemmer, Aptima, Inc.. Clustering-Based Uncorrelated Track Association (2021). [AMOS]</w:t>
      </w:r>
    </w:p>
    <w:p>
      <w:pPr>
        <w:pStyle w:val="BodyText"/>
        <w:spacing w:line="480" w:lineRule="auto"/>
        <w:ind w:firstLine="720"/>
      </w:pPr>
      <w:bookmarkStart w:id="147" w:name="ref-6"/>
      <w:bookmarkEnd w:id="147"/>
      <w:r>
        <w:t xml:space="preserve">6. Mark Wolfson (Lockheed Martin Space Systems Company). Hands on Education Through Student-Industry Partnerships (2013). [AMOS]</w:t>
      </w:r>
    </w:p>
    <w:p>
      <w:pPr>
        <w:pStyle w:val="BodyText"/>
        <w:spacing w:line="480" w:lineRule="auto"/>
        <w:ind w:firstLine="720"/>
      </w:pPr>
      <w:bookmarkStart w:id="148" w:name="ref-7"/>
      <w:bookmarkEnd w:id="148"/>
      <w:r>
        <w:t xml:space="preserve">7. Todd Harrison, Center for Strategic and International Studies. International Perspectives on Space Weapons (2020). [AMOS]</w:t>
      </w:r>
    </w:p>
    <w:p>
      <w:pPr>
        <w:pStyle w:val="BodyText"/>
        <w:spacing w:line="480" w:lineRule="auto"/>
        <w:ind w:firstLine="720"/>
      </w:pPr>
      <w:bookmarkStart w:id="149" w:name="ref-8"/>
      <w:bookmarkEnd w:id="149"/>
      <w:r>
        <w:t xml:space="preserve">8.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50">
        <w:r>
          <w:rPr>
            <w:rStyle w:val="Hyperlink"/>
          </w:rPr>
          <w:t xml:space="preserve">10.64861/FKER7625</w:t>
        </w:r>
      </w:hyperlink>
    </w:p>
    <w:p>
      <w:pPr>
        <w:pStyle w:val="BodyText"/>
        <w:spacing w:line="480" w:lineRule="auto"/>
        <w:ind w:firstLine="720"/>
      </w:pPr>
      <w:bookmarkStart w:id="151" w:name="ref-9"/>
      <w:bookmarkEnd w:id="151"/>
      <w:r>
        <w:t xml:space="preserve">9. H. Melo; Evandro José da Silva; Frank Cabral de Freitas Amaral; Arthur D. Bahdur. Sustainable site planning for new launch facilities at spaceports (2024). doi:</w:t>
      </w:r>
      <w:r>
        <w:t xml:space="preserve"> </w:t>
      </w:r>
      <w:hyperlink r:id="rId152">
        <w:r>
          <w:rPr>
            <w:rStyle w:val="Hyperlink"/>
          </w:rPr>
          <w:t xml:space="preserve">10.1016/j.actaastro.2024.11.029</w:t>
        </w:r>
      </w:hyperlink>
    </w:p>
    <w:p>
      <w:pPr>
        <w:pStyle w:val="BodyText"/>
        <w:spacing w:line="480" w:lineRule="auto"/>
        <w:ind w:firstLine="720"/>
      </w:pPr>
      <w:bookmarkStart w:id="153" w:name="ref-10"/>
      <w:bookmarkEnd w:id="153"/>
      <w:r>
        <w:t xml:space="preserve">10. Yi‐Wei Chang; Jeng-Shing Chern. A preliminary study on the potential spaceports for suborbital space tourism and intercontinental point-to-point transportation in Taiwan (2021). doi:</w:t>
      </w:r>
      <w:r>
        <w:t xml:space="preserve"> </w:t>
      </w:r>
      <w:hyperlink r:id="rId154">
        <w:r>
          <w:rPr>
            <w:rStyle w:val="Hyperlink"/>
          </w:rPr>
          <w:t xml:space="preserve">10.1016/j.actaastro.2020.11.059</w:t>
        </w:r>
      </w:hyperlink>
    </w:p>
    <w:p>
      <w:pPr>
        <w:pStyle w:val="BodyText"/>
        <w:spacing w:line="480" w:lineRule="auto"/>
        <w:ind w:firstLine="720"/>
      </w:pPr>
      <w:bookmarkStart w:id="155" w:name="ref-11"/>
      <w:bookmarkEnd w:id="155"/>
      <w:r>
        <w:t xml:space="preserve">11. Wiebke Retagne; Camilla Colombo. Satellite launch traffic forecast based on the global Gross Domestic Product and constellation plans (2026). doi:</w:t>
      </w:r>
      <w:r>
        <w:t xml:space="preserve"> </w:t>
      </w:r>
      <w:hyperlink r:id="rId156">
        <w:r>
          <w:rPr>
            <w:rStyle w:val="Hyperlink"/>
          </w:rPr>
          <w:t xml:space="preserve">10.1016/j.actaastro.2026.04.046</w:t>
        </w:r>
      </w:hyperlink>
    </w:p>
    <w:p>
      <w:pPr>
        <w:pStyle w:val="BodyText"/>
        <w:spacing w:line="480" w:lineRule="auto"/>
        <w:ind w:firstLine="720"/>
      </w:pPr>
      <w:bookmarkStart w:id="157" w:name="ref-12"/>
      <w:bookmarkEnd w:id="157"/>
      <w:r>
        <w:t xml:space="preserve">12. Roberta Fusaro; Guido Saccone; Nicole Viola. NOx emissions estimation methodology for air-breathing reusable access to space vehicle in conceptual design (2024). doi:</w:t>
      </w:r>
      <w:r>
        <w:t xml:space="preserve"> </w:t>
      </w:r>
      <w:hyperlink r:id="rId158">
        <w:r>
          <w:rPr>
            <w:rStyle w:val="Hyperlink"/>
          </w:rPr>
          <w:t xml:space="preserve">10.1016/j.actaastro.2023.12.060</w:t>
        </w:r>
      </w:hyperlink>
    </w:p>
    <w:p>
      <w:pPr>
        <w:pStyle w:val="BodyText"/>
        <w:spacing w:line="480" w:lineRule="auto"/>
        <w:ind w:firstLine="720"/>
      </w:pPr>
      <w:bookmarkStart w:id="159" w:name="ref-13"/>
      <w:bookmarkEnd w:id="159"/>
      <w:r>
        <w:t xml:space="preserve">13. Hadi Jahanshahi; Zheng Zhu. Review of machine learning in robotic grasping control in space application (2024). doi:</w:t>
      </w:r>
      <w:r>
        <w:t xml:space="preserve"> </w:t>
      </w:r>
      <w:hyperlink r:id="rId160">
        <w:r>
          <w:rPr>
            <w:rStyle w:val="Hyperlink"/>
          </w:rPr>
          <w:t xml:space="preserve">10.1016/j.actaastro.2024.04.012</w:t>
        </w:r>
      </w:hyperlink>
    </w:p>
    <w:p>
      <w:pPr>
        <w:pStyle w:val="BodyText"/>
        <w:spacing w:line="480" w:lineRule="auto"/>
        <w:ind w:firstLine="720"/>
      </w:pPr>
      <w:bookmarkStart w:id="161" w:name="ref-14"/>
      <w:bookmarkEnd w:id="161"/>
      <w:r>
        <w:t xml:space="preserve">14. Francesco Santoro; Alberto Del Bianco; Nicole Viola; Roberta Fusaro; Vito Albino; Mario Binetti; Paolo Marzioli. Spaceport and Ground Segment assessment for enabling operations of suborbital transportation systems in the Italian territory (2018). doi:</w:t>
      </w:r>
      <w:r>
        <w:t xml:space="preserve"> </w:t>
      </w:r>
      <w:hyperlink r:id="rId162">
        <w:r>
          <w:rPr>
            <w:rStyle w:val="Hyperlink"/>
          </w:rPr>
          <w:t xml:space="preserve">10.1016/j.actaastro.2018.08.014</w:t>
        </w:r>
      </w:hyperlink>
    </w:p>
    <w:p>
      <w:pPr>
        <w:pStyle w:val="BodyText"/>
        <w:spacing w:line="480" w:lineRule="auto"/>
        <w:ind w:firstLine="720"/>
      </w:pPr>
      <w:bookmarkStart w:id="163" w:name="ref-15"/>
      <w:bookmarkEnd w:id="163"/>
      <w:r>
        <w:t xml:space="preserve">15. Mitchell Galletly; Dries Verstraete. Design optimisation and comparison of propulsion systems for sounding rockets (2025). doi:</w:t>
      </w:r>
      <w:r>
        <w:t xml:space="preserve"> </w:t>
      </w:r>
      <w:hyperlink r:id="rId164">
        <w:r>
          <w:rPr>
            <w:rStyle w:val="Hyperlink"/>
          </w:rPr>
          <w:t xml:space="preserve">10.1016/j.actaastro.2025.06.036</w:t>
        </w:r>
      </w:hyperlink>
    </w:p>
    <w:p>
      <w:pPr>
        <w:pStyle w:val="BodyText"/>
        <w:spacing w:line="480" w:lineRule="auto"/>
        <w:ind w:firstLine="720"/>
      </w:pPr>
      <w:bookmarkStart w:id="165" w:name="ref-16"/>
      <w:bookmarkEnd w:id="165"/>
      <w:r>
        <w:t xml:space="preserve">16. Alejandro Sabán-Fosch; Eduard Diez-Lledó; M. Sòria; Miquel Sureda. Towards the first European autonomous flight safety system- software and hardware design (2025). doi:</w:t>
      </w:r>
      <w:r>
        <w:t xml:space="preserve"> </w:t>
      </w:r>
      <w:hyperlink r:id="rId166">
        <w:r>
          <w:rPr>
            <w:rStyle w:val="Hyperlink"/>
          </w:rPr>
          <w:t xml:space="preserve">10.1016/j.actaastro.2025.07.004</w:t>
        </w:r>
      </w:hyperlink>
    </w:p>
    <w:bookmarkEnd w:id="167"/>
    <w:bookmarkEnd w:id="168"/>
    <w:bookmarkStart w:id="18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6" w:name="X0d94dd80e5e2e997164d7e90c60e3c3d21a7815"/>
    <w:p>
      <w:pPr>
        <w:pStyle w:val="Heading2"/>
        <w:spacing w:line="480" w:lineRule="auto"/>
      </w:pPr>
      <w:r>
        <w:t xml:space="preserve">A.1 Signal Intensity in NEPA as a Launch Gate does environmental review explain spaceport time-to-opera: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1.604</w:t>
            </w:r>
          </w:p>
        </w:tc>
        <w:tc>
          <w:tcPr>
            <w:tcW w:w="0" w:type="auto"/>
          </w:tcPr>
          <w:p>
            <w:pPr>
              <w:spacing w:line="240" w:lineRule="auto" w:before="0" w:after="0"/>
              <w:pStyle w:val="Compact"/>
            </w:pPr>
            <w:r>
              <w:rPr>
                <w:sz w:val="20"/>
                <w:szCs w:val="20"/>
              </w:rPr>
              <w:t xml:space="preserve">0.9729</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0.0992</w:t>
            </w:r>
          </w:p>
        </w:tc>
        <w:tc>
          <w:tcPr>
            <w:tcW w:w="0" w:type="auto"/>
          </w:tcPr>
          <w:p>
            <w:pPr>
              <w:spacing w:line="240" w:lineRule="auto" w:before="0" w:after="0"/>
              <w:pStyle w:val="Compact"/>
            </w:pPr>
            <w:r>
              <w:rPr>
                <w:sz w:val="20"/>
                <w:szCs w:val="20"/>
              </w:rPr>
              <w:t xml:space="preserve">[-0.3029, 3.5109]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0.3536</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3.4698</w:t>
            </w:r>
          </w:p>
        </w:tc>
        <w:tc>
          <w:tcPr>
            <w:tcW w:w="0" w:type="auto"/>
          </w:tcPr>
          <w:p>
            <w:pPr>
              <w:spacing w:line="240" w:lineRule="auto" w:before="0" w:after="0"/>
              <w:pStyle w:val="Compact"/>
            </w:pPr>
            <w:r>
              <w:rPr>
                <w:sz w:val="20"/>
                <w:szCs w:val="20"/>
              </w:rPr>
              <w:t xml:space="preserve">0.0005208</w:t>
            </w:r>
          </w:p>
        </w:tc>
        <w:tc>
          <w:tcPr>
            <w:tcW w:w="0" w:type="auto"/>
          </w:tcPr>
          <w:p>
            <w:pPr>
              <w:spacing w:line="240" w:lineRule="auto" w:before="0" w:after="0"/>
              <w:pStyle w:val="Compact"/>
            </w:pPr>
            <w:r>
              <w:rPr>
                <w:sz w:val="20"/>
                <w:szCs w:val="20"/>
              </w:rPr>
              <w:t xml:space="preserve">[0.1539, 0.5533]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-0.0006598</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0.9429</w:t>
            </w:r>
          </w:p>
        </w:tc>
        <w:tc>
          <w:tcPr>
            <w:tcW w:w="0" w:type="auto"/>
          </w:tcPr>
          <w:p>
            <w:pPr>
              <w:spacing w:line="240" w:lineRule="auto" w:before="0" w:after="0"/>
              <w:pStyle w:val="Compact"/>
            </w:pPr>
            <w:r>
              <w:rPr>
                <w:sz w:val="20"/>
                <w:szCs w:val="20"/>
              </w:rPr>
              <w:t xml:space="preserve">[-0.0187, 0.0174]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-4.542</w:t>
            </w:r>
          </w:p>
        </w:tc>
        <w:tc>
          <w:tcPr>
            <w:tcW w:w="0" w:type="auto"/>
          </w:tcPr>
          <w:p>
            <w:pPr>
              <w:spacing w:line="240" w:lineRule="auto" w:before="0" w:after="0"/>
              <w:pStyle w:val="Compact"/>
            </w:pPr>
            <w:r>
              <w:rPr>
                <w:sz w:val="20"/>
                <w:szCs w:val="20"/>
              </w:rPr>
              <w:t xml:space="preserve">5.571e-06</w:t>
            </w:r>
          </w:p>
        </w:tc>
        <w:tc>
          <w:tcPr>
            <w:tcW w:w="0" w:type="auto"/>
          </w:tcPr>
          <w:p>
            <w:pPr>
              <w:spacing w:line="240" w:lineRule="auto" w:before="0" w:after="0"/>
              <w:pStyle w:val="Compact"/>
            </w:pPr>
            <w:r>
              <w:rPr>
                <w:sz w:val="20"/>
                <w:szCs w:val="20"/>
              </w:rPr>
              <w:t xml:space="preserve">[-1.3997, -0.5559]</w:t>
            </w:r>
          </w:p>
        </w:tc>
      </w:tr>
    </w:tbl>
    <w:p>
      <w:pPr>
        <w:pStyle w:val="BodyText"/>
        <w:spacing w:line="480" w:lineRule="auto"/>
        <w:ind w:firstLine="720"/>
      </w:pPr>
      <w:r>
        <w:t xml:space="preserve">Fit: N = 30 R2 = 0.4324 R2_adj = 0.3669 F = 23.2347 F_p = 1.589e-07</w:t>
      </w:r>
    </w:p>
    <w:bookmarkEnd w:id="169"/>
    <w:bookmarkStart w:id="17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1" name="Picture"/>
            <a:graphic>
              <a:graphicData uri="http://schemas.openxmlformats.org/drawingml/2006/picture">
                <pic:pic>
                  <pic:nvPicPr>
                    <pic:cNvPr descr="D:/Claude_Code/brain/collegium/candidates/dissertations/LAUNCH_REG_06/research_papers/p1/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3"/>
    <w:bookmarkStart w:id="17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https://amostech.space/year/2022/a-survey-of-international-telecommunication-union-itu-space-station-license-applications-in-the-geosynchronous-orbital-regime-geo/</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https://amostech.space/year/2021/clustering-based-uncorrelated-track-association/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https://amostech.space/year/2013/hands-on-education-through-student-industry-partnerships/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https://amostech.space/year/2017/launcherone-virgin-orbits-dedicated-launch-vehicle-for-small-satellites-impact-to-the-space-enterprise-vision/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10.1016/j.actaastro.2018.08.014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10.1016/j.actaastro.2024.09.011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10.18352/ijc.634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174"/>
    <w:bookmarkStart w:id="17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5"/>
    <w:bookmarkEnd w:id="176"/>
    <w:bookmarkStart w:id="184" w:name="X3e9d419a88805a37e557fdeb95ca40f5d659fbb"/>
    <w:p>
      <w:pPr>
        <w:pStyle w:val="Heading2"/>
        <w:spacing w:line="480" w:lineRule="auto"/>
      </w:pPr>
      <w:r>
        <w:t xml:space="preserve">A.2 Attention Accumulation in NEPA as a Launch Gate does environmental review explain spaceport time-to-opera: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1.3678</w:t>
            </w:r>
          </w:p>
        </w:tc>
        <w:tc>
          <w:tcPr>
            <w:tcW w:w="0" w:type="auto"/>
          </w:tcPr>
          <w:p>
            <w:pPr>
              <w:spacing w:line="240" w:lineRule="auto" w:before="0" w:after="0"/>
              <w:pStyle w:val="Compact"/>
            </w:pPr>
            <w:r>
              <w:rPr>
                <w:sz w:val="20"/>
                <w:szCs w:val="20"/>
              </w:rPr>
              <w:t xml:space="preserve">0.6338</w:t>
            </w:r>
          </w:p>
        </w:tc>
        <w:tc>
          <w:tcPr>
            <w:tcW w:w="0" w:type="auto"/>
          </w:tcPr>
          <w:p>
            <w:pPr>
              <w:spacing w:line="240" w:lineRule="auto" w:before="0" w:after="0"/>
              <w:pStyle w:val="Compact"/>
            </w:pPr>
            <w:r>
              <w:rPr>
                <w:sz w:val="20"/>
                <w:szCs w:val="20"/>
              </w:rPr>
              <w:t xml:space="preserve">2.1582</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[0.1256, 2.6099]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-0.4445</w:t>
            </w:r>
          </w:p>
        </w:tc>
        <w:tc>
          <w:tcPr>
            <w:tcW w:w="0" w:type="auto"/>
          </w:tcPr>
          <w:p>
            <w:pPr>
              <w:spacing w:line="240" w:lineRule="auto" w:before="0" w:after="0"/>
              <w:pStyle w:val="Compact"/>
            </w:pPr>
            <w:r>
              <w:rPr>
                <w:sz w:val="20"/>
                <w:szCs w:val="20"/>
              </w:rPr>
              <w:t xml:space="preserve">0.3479</w:t>
            </w:r>
          </w:p>
        </w:tc>
        <w:tc>
          <w:tcPr>
            <w:tcW w:w="0" w:type="auto"/>
          </w:tcPr>
          <w:p>
            <w:pPr>
              <w:spacing w:line="240" w:lineRule="auto" w:before="0" w:after="0"/>
              <w:pStyle w:val="Compact"/>
            </w:pPr>
            <w:r>
              <w:rPr>
                <w:sz w:val="20"/>
                <w:szCs w:val="20"/>
              </w:rPr>
              <w:t xml:space="preserve">-1.2777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[-1.1264, 0.2373]</w:t>
            </w:r>
          </w:p>
        </w:tc>
      </w:tr>
    </w:tbl>
    <w:p>
      <w:pPr>
        <w:pStyle w:val="BodyText"/>
        <w:spacing w:line="480" w:lineRule="auto"/>
        <w:ind w:firstLine="720"/>
      </w:pPr>
      <w:r>
        <w:t xml:space="preserve">Fit: N = 30 R2 = 0.0524 elasticity_b = -0.4445 progress_ratio_2^b = 0.7348</w:t>
      </w:r>
    </w:p>
    <w:bookmarkEnd w:id="177"/>
    <w:bookmarkStart w:id="18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9" name="Picture"/>
            <a:graphic>
              <a:graphicData uri="http://schemas.openxmlformats.org/drawingml/2006/picture">
                <pic:pic>
                  <pic:nvPicPr>
                    <pic:cNvPr descr="D:/Claude_Code/brain/collegium/candidates/dissertations/LAUNCH_REG_06/research_papers/p2/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1"/>
    <w:bookmarkStart w:id="18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https://amostech.space/year/2022/a-survey-of-international-telecommunication-union-itu-space-station-license-applications-in-the-geosynchronous-orbital-regime-geo/</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https://amostech.space/year/2021/clustering-based-uncorrelated-track-association/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https://amostech.space/year/2013/hands-on-education-through-student-industry-partnerships/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https://amostech.space/year/2017/launcherone-virgin-orbits-dedicated-launch-vehicle-for-small-satellites-impact-to-the-space-enterprise-vision/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10.1016/j.actaastro.2018.08.014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10.1016/j.actaastro.2024.09.011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10.18352/ijc.634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182"/>
    <w:bookmarkStart w:id="18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3"/>
    <w:bookmarkEnd w:id="184"/>
    <w:bookmarkEnd w:id="1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0" Type="http://schemas.openxmlformats.org/officeDocument/2006/relationships/image" Target="media/rId170.png"/><Relationship Id="rId178" Type="http://schemas.openxmlformats.org/officeDocument/2006/relationships/image" Target="media/rId178.png"/><Relationship Id="rId162" Type="http://schemas.openxmlformats.org/officeDocument/2006/relationships/hyperlink" Target="https://doi.org/10.1016/j.actaastro.2018.08.014" TargetMode="External"/><Relationship Id="rId154" Type="http://schemas.openxmlformats.org/officeDocument/2006/relationships/hyperlink" Target="https://doi.org/10.1016/j.actaastro.2020.11.059" TargetMode="External"/><Relationship Id="rId158" Type="http://schemas.openxmlformats.org/officeDocument/2006/relationships/hyperlink" Target="https://doi.org/10.1016/j.actaastro.2023.12.060" TargetMode="External"/><Relationship Id="rId160" Type="http://schemas.openxmlformats.org/officeDocument/2006/relationships/hyperlink" Target="https://doi.org/10.1016/j.actaastro.2024.04.012" TargetMode="External"/><Relationship Id="rId152" Type="http://schemas.openxmlformats.org/officeDocument/2006/relationships/hyperlink" Target="https://doi.org/10.1016/j.actaastro.2024.11.029" TargetMode="External"/><Relationship Id="rId164" Type="http://schemas.openxmlformats.org/officeDocument/2006/relationships/hyperlink" Target="https://doi.org/10.1016/j.actaastro.2025.06.036" TargetMode="External"/><Relationship Id="rId166" Type="http://schemas.openxmlformats.org/officeDocument/2006/relationships/hyperlink" Target="https://doi.org/10.1016/j.actaastro.2025.07.004" TargetMode="External"/><Relationship Id="rId156" Type="http://schemas.openxmlformats.org/officeDocument/2006/relationships/hyperlink" Target="https://doi.org/10.1016/j.actaastro.2026.04.046" TargetMode="External"/><Relationship Id="rId150" Type="http://schemas.openxmlformats.org/officeDocument/2006/relationships/hyperlink" Target="https://doi.org/10.64861/FKER7625" TargetMode="External"/><Relationship Id="rId142" Type="http://schemas.openxmlformats.org/officeDocument/2006/relationships/hyperlink" Target="https://doi.org/10.64861/KYFU6858"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18.08.014" TargetMode="External"/><Relationship Id="rId154" Type="http://schemas.openxmlformats.org/officeDocument/2006/relationships/hyperlink" Target="https://doi.org/10.1016/j.actaastro.2020.11.059" TargetMode="External"/><Relationship Id="rId158" Type="http://schemas.openxmlformats.org/officeDocument/2006/relationships/hyperlink" Target="https://doi.org/10.1016/j.actaastro.2023.12.060" TargetMode="External"/><Relationship Id="rId160" Type="http://schemas.openxmlformats.org/officeDocument/2006/relationships/hyperlink" Target="https://doi.org/10.1016/j.actaastro.2024.04.012" TargetMode="External"/><Relationship Id="rId152" Type="http://schemas.openxmlformats.org/officeDocument/2006/relationships/hyperlink" Target="https://doi.org/10.1016/j.actaastro.2024.11.029" TargetMode="External"/><Relationship Id="rId164" Type="http://schemas.openxmlformats.org/officeDocument/2006/relationships/hyperlink" Target="https://doi.org/10.1016/j.actaastro.2025.06.036" TargetMode="External"/><Relationship Id="rId166" Type="http://schemas.openxmlformats.org/officeDocument/2006/relationships/hyperlink" Target="https://doi.org/10.1016/j.actaastro.2025.07.004" TargetMode="External"/><Relationship Id="rId156" Type="http://schemas.openxmlformats.org/officeDocument/2006/relationships/hyperlink" Target="https://doi.org/10.1016/j.actaastro.2026.04.046" TargetMode="External"/><Relationship Id="rId150" Type="http://schemas.openxmlformats.org/officeDocument/2006/relationships/hyperlink" Target="https://doi.org/10.64861/FKER7625" TargetMode="External"/><Relationship Id="rId142" Type="http://schemas.openxmlformats.org/officeDocument/2006/relationships/hyperlink" Target="https://doi.org/10.64861/KYFU6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NEPA as a Launch Gate: does environmental review explain spaceport time-to-opera</dc:title>
  <dc:creator>Diego Petrov (1B-INF-183)</dc:creator>
  <cp:keywords/>
  <dcterms:created xsi:type="dcterms:W3CDTF">2026-07-02T20:29:00Z</dcterms:created>
  <dcterms:modified xsi:type="dcterms:W3CDTF">2026-07-02T20:29:00Z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