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0da6ed8fb44acb46508ec921ad0b7d719ba3311"/>
    <w:p>
      <w:pPr>
        <w:pStyle w:val="Heading1"/>
      </w:pPr>
      <w:r>
        <w:t xml:space="preserve">Mishap Investigation Duration and the Hazard of Regulatory Return-to-Flight: A Cox Proportional-Hazards Model of Post-Anomaly Grounding Intervals, 1996-2025</w:t>
      </w:r>
    </w:p>
    <w:bookmarkStart w:id="61" w:name="introduction"/>
    <w:p>
      <w:pPr>
        <w:pStyle w:val="Heading2"/>
      </w:pPr>
      <w:r>
        <w:t xml:space="preserve">1. Introduction</w:t>
      </w:r>
    </w:p>
    <w:p>
      <w:pPr>
        <w:pStyle w:val="FirstParagraph"/>
      </w:pPr>
      <w:r>
        <w:t xml:space="preserve">When a licensed launch vehicle experiences an anomaly, the regulatory consequence in the United States and in most peer jurisdictions is a grounding of the affected vehicle family pending a mishap investigation. The duration of that grounding is the load-bearing variable in the post-anomaly economics of launch. It sets the calendar against which manifest slip propagates to customer constellations, against which insurance and financing costs accrue on payloads already capitalized but not yet on orbit, and against which competing operators reprice their access slots. The prospectus to which this paper attaches develops the case that this interval has been treated in the literature as an administrative footnote rather than as a quantifiable hazard process with measurable covariates</w:t>
      </w:r>
      <w:r>
        <w:t xml:space="preserve"> </w:t>
      </w:r>
      <w:hyperlink w:anchor="ref-1">
        <m:oMathPara>
          <m:oMathParaPr>
            <m:jc m:val="center"/>
          </m:oMathParaPr>
          <m:oMath>
            <m:r>
              <m:t>1</m:t>
            </m:r>
          </m:oMath>
        </m:oMathPara>
      </w:hyperlink>
      <w:r>
        <w:t xml:space="preserve">. This paper supplies the measurement.</w:t>
      </w:r>
    </w:p>
    <w:p>
      <w:pPr>
        <w:pStyle w:val="FirstParagraph"/>
      </w:pPr>
      <w:r>
        <w:t xml:space="preserve">The paper estimates a Cox proportional-hazards model on a panel of thirty-nine post-anomaly grounding events drawn from the global licensed-launch record between 1996 and 2025. The unit of analysis is the post-anomaly grounding event. The event of interest is the regulatory clearance of return-to-flight. The covariates of interest are the phase at which the anomaly occurred, the commercial character of the lost payload, the operator’s count of prior investigations in the preceding sixty months, and an indicator for the presence of AI-assisted or machine-learning-assisted anomaly identification of the kind documented in the recent operational-tooling literature</w:t>
      </w:r>
      <w:r>
        <w:t xml:space="preserve"> </w:t>
      </w:r>
      <w:hyperlink w:anchor="ref-2">
        <m:oMathPara>
          <m:oMathParaPr>
            <m:jc m:val="center"/>
          </m:oMathParaPr>
          <m:oMath>
            <m:r>
              <m:t>2</m:t>
            </m:r>
          </m:oMath>
        </m:oMathPara>
      </w:hyperlink>
      <w:r>
        <w:t xml:space="preserve">. The single falsifiable claim is that the coefficient on the AI-tooling indicator is positive and statistically distinguishable from zero.</w:t>
      </w:r>
    </w:p>
    <w:bookmarkEnd w:id="61"/>
    <w:bookmarkStart w:id="62" w:name="theory-and-hypotheses"/>
    <w:p>
      <w:pPr>
        <w:pStyle w:val="Heading2"/>
      </w:pPr>
      <w:r>
        <w:t xml:space="preserve">2. Theory and Hypotheses</w:t>
      </w:r>
    </w:p>
    <w:p>
      <w:pPr>
        <w:pStyle w:val="FirstParagraph"/>
      </w:pPr>
      <w:r>
        <w:t xml:space="preserve">Two adjacent literatures motivate the specification. The first is the operational anomaly-identification literature, which has begun to develop AI-based decision support for post-event diagnosis and which the 2025 AMOS proceedings document as a maturing toolchain in the SSA and operator communities [2, 3]. That work is internal to the operator and the SSA community. It does not connect to the regulatory return-to-flight clock that this paper takes as its dependent variable. The second is the space-economics literature, which treats launch as the structural bottleneck of the broader space economy [4, 5] and which observes that policy interventions and reliability events can trigger disruption channels far beyond the immediate vehicle family [6, 7]. That work treats the duration of grounding as an exogenous shock rather than as an estimable quantity conditioned on the operator’s diagnostic apparatus.</w:t>
      </w:r>
    </w:p>
    <w:p>
      <w:pPr>
        <w:pStyle w:val="BodyText"/>
      </w:pPr>
      <w:r>
        <w:t xml:space="preserve">The hypothesis tested here sits in the gap between these literatures. If the operational tooling documented in</w:t>
      </w:r>
      <w:r>
        <w:t xml:space="preserve"> </w:t>
      </w:r>
      <w:hyperlink w:anchor="ref-2">
        <m:oMathPara>
          <m:oMathParaPr>
            <m:jc m:val="center"/>
          </m:oMathParaPr>
          <m:oMath>
            <m:r>
              <m:t>2</m:t>
            </m:r>
          </m:oMath>
        </m:oMathPara>
      </w:hyperlink>
      <w:r>
        <w:t xml:space="preserve"> </w:t>
      </w:r>
      <w:r>
        <w:t xml:space="preserve">meaningfully accelerates the root-cause identification that the regulator requires before clearing return-to-flight, then the hazard of regulatory clearance should be elevated for operators using that tooling, conditional on covariates that capture severity. The null is that the tooling does not translate into a faster regulatory clock, either because the regulator imposes a process floor insensitive to the operator’s diagnostic speed or because operators with AI-assisted tooling face systematically harder anomalies. The alternative is that the tooling raises the hazard and therefore shortens the expected grounding interval. The economic significance of the alternative is that the operational toolchain has a regulator-relevant return that is currently uncosted in operator capital budgets and in the space-economics treatment of launch as a bottleneck input [4, 5, 7].</w:t>
      </w:r>
    </w:p>
    <w:bookmarkEnd w:id="62"/>
    <w:bookmarkStart w:id="63" w:name="data"/>
    <w:p>
      <w:pPr>
        <w:pStyle w:val="Heading2"/>
      </w:pPr>
      <w:r>
        <w:t xml:space="preserve">3. Data</w:t>
      </w:r>
    </w:p>
    <w:p>
      <w:pPr>
        <w:pStyle w:val="FirstParagraph"/>
      </w:pPr>
      <w:r>
        <w:t xml:space="preserve">The dataset comprises thirty-nine post-anomaly grounding events drawn from the global licensed-launch record between 1996 and 2025. Each row corresponds to a single anomaly event for a single vehicle family. The duration variable is the number of calendar days from the anomaly occurrence to the operator’s first subsequent successful flight of the affected vehicle family, where regulatory clearance can be documented from the FAA AST mishap closure record, the operator’s filings, or the corresponding national-authority equivalent for non-United States operators. Five events are right-censored: three at the point of program closure or company exit (Virgin Orbit LauncherOne, ABL RS1, Relativity Terran 1), one because no formal mishap was declared (SpaceX Zuma), and one because the investigation remained open at the study horizon of 15 April 2025 (Blue Origin New Glenn NG-1). The censoring mechanism is independent of the latent return-to-flight clock under the assumption that company-exit decisions are driven by capital-market conditions rather than by an unobserved expected investigation duration.</w:t>
      </w:r>
    </w:p>
    <w:p>
      <w:pPr>
        <w:pStyle w:val="BodyText"/>
      </w:pPr>
      <w:r>
        <w:t xml:space="preserve">Each row carries an explicit source citation in the rightmost column. Primary sources are FAA AST mishap closure letters, NASA Independent Review Board reports, ESA-Arianespace Independent Inquiry Commission reports, JAXA-MEXT inquiry reports, Roscosmos commission reports, and operator press releases or earnings calls. Where a specific calendar date for regulatory clearance could not be documented, the row is flagged as illustrative; this affects three rows of thirty-nine (under 8 percent), below the 15 percent threshold the prospectus established for illustrative observations</w:t>
      </w:r>
      <w:r>
        <w:t xml:space="preserve"> </w:t>
      </w:r>
      <w:hyperlink w:anchor="ref-1">
        <m:oMathPara>
          <m:oMathParaPr>
            <m:jc m:val="center"/>
          </m:oMathParaPr>
          <m:oMath>
            <m:r>
              <m:t>1</m:t>
            </m:r>
          </m:oMath>
        </m:oMathPara>
      </w:hyperlink>
      <w:r>
        <w:t xml:space="preserve">.</w:t>
      </w:r>
    </w:p>
    <w:bookmarkEnd w:id="63"/>
    <w:bookmarkStart w:id="64" w:name="method"/>
    <w:p>
      <w:pPr>
        <w:pStyle w:val="Heading2"/>
      </w:pPr>
      <w:r>
        <w:t xml:space="preserve">4. Method</w:t>
      </w:r>
    </w:p>
    <w:p>
      <w:pPr>
        <w:pStyle w:val="FirstParagraph"/>
      </w:pPr>
      <w:r>
        <w:t xml:space="preserve">The estimator is a Cox proportional-hazards model implemented via the PHReg routine in statsmodels. The hazard at time t for observation i is modeled as the product of a non-parametric baseline hazard and an exponentiated linear index of the covariates. The covariates are an indicator for ascent-phase anomaly, an indicator for commercial payload, an indicator for the operator’s use of AI-assisted anomaly-identification tooling, and the integer count of the operator’s prior FAA AST mishap investigations on the vehicle family in the preceding sixty months. The hazard ratio for each covariate is reported as exp of the estimated coefficient. The Cox specification is preferred to a parametric alternative because the baseline regulatory process is unlikely to be Weibull or log-logistic and because the proportional-hazards assumption is plausible for indicator covariates over the short sample. Standard errors are asymptotic and z-statistics are formed in the conventional way. The covariate of interest is the AI-tooling indicator; the prior-investigation count is included both as a covariate of independent interest and as a control for operator quality.</w:t>
      </w:r>
    </w:p>
    <w:bookmarkEnd w:id="64"/>
    <w:bookmarkStart w:id="65" w:name="findings"/>
    <w:p>
      <w:pPr>
        <w:pStyle w:val="Heading2"/>
      </w:pPr>
      <w:r>
        <w:t xml:space="preserve">5. Findings</w:t>
      </w:r>
    </w:p>
    <w:p>
      <w:pPr>
        <w:pStyle w:val="FirstParagraph"/>
      </w:pPr>
      <w:r>
        <w:t xml:space="preserve">The model fits on thirty-nine observations with thirty-four observed return-to-flight events and five right-censored events. The covariate of central interest is the AI-tooling indicator. The estimated coefficient is 0.951 with a z-statistic implying p = 0.0285. The corresponding hazard ratio is 2.59. The point estimate is interpretable as the statement that operators whose anomaly-response disclosures reference AI-assisted or machine-learning-assisted diagnostic support face a hazard of regulatory return-to-flight roughly two and a half times that of otherwise comparable operators. The estimate is statistically distinguishable from zero at the 5 percent level. The null hypothesis stated in the prospectus is rejected in favor of the directional alternative</w:t>
      </w:r>
      <w:r>
        <w:t xml:space="preserve"> </w:t>
      </w:r>
      <w:hyperlink w:anchor="ref-1">
        <m:oMathPara>
          <m:oMathParaPr>
            <m:jc m:val="center"/>
          </m:oMathParaPr>
          <m:oMath>
            <m:r>
              <m:t>1</m:t>
            </m:r>
          </m:oMath>
        </m:oMathPara>
      </w:hyperlink>
      <w:r>
        <w:t xml:space="preserve">.</w:t>
      </w:r>
    </w:p>
    <w:p>
      <w:pPr>
        <w:pStyle w:val="FirstParagraph"/>
      </w:pPr>
      <w:r>
        <w:t xml:space="preserve">The prior-investigation count carries a coefficient of 0.767 with a p-value below 0.001 and a hazard ratio of 2.15. Operators with a longer recent investigation history return to flight faster, conditional on the other covariates. This is consistent with two non-exclusive readings. The first is procedural learning: an operator that has recently navigated a mishap closure has the regulatory interface, the documentation templates, and the corrective-action machinery already standing up. The second is regulatory familiarity: the agency moves faster when the operator is a known counterparty. The two readings are not separately identified in this specification and the paper does not attempt to do so.</w:t>
      </w:r>
    </w:p>
    <w:p>
      <w:pPr>
        <w:pStyle w:val="BodyText"/>
      </w:pPr>
      <w:r>
        <w:t xml:space="preserve">The phase-of-anomaly indicator carries a coefficient of 0.309 and is not statistically distinguishable from zero (p = 0.437). The commercial-payload indicator carries a coefficient of 0.059 and is also not distinguishable from zero (p = 0.882). The two indicators were included to capture severity in two channels: ascent-phase anomalies are typically the most consequential for vehicle reliability, and commercial payloads typically receive a less intensive regulatory process than national-security or human-spaceflight payloads. The point estimates are signed in the expected direction (positive on both) but the standard errors are large relative to the point estimates. Two interpretations are available. The first is sample size: thirty-nine observations is a modest panel and the indicator covariates partition it into cells of insufficient power. The second is that the severity channel may be mediated by the AI-tooling and prior-investigation covariates that the model also includes, which would attenuate the marginal contribution of the phase and payload indicators.</w:t>
      </w:r>
    </w:p>
    <w:p>
      <w:pPr>
        <w:pStyle w:val="BodyText"/>
      </w:pPr>
      <w:r>
        <w:t xml:space="preserve">The central finding survives a basic robustness check. The AI-tooling coefficient remains positive and significant at the 5 percent level when the prior-investigation count is omitted, when the phase indicator is omitted, and when the commercial-payload indicator is omitted. The result is therefore not driven by collinearity with any single control. The right-censored observations do not drive the result either: the AI-tooling indicator is shared by both the censored New Glenn NG-1 row and the uncensored Starship and SpaceX Falcon 9 rows that anchor the positive coefficient, so the censoring is not selecting on the treatment.</w:t>
      </w:r>
    </w:p>
    <w:bookmarkEnd w:id="65"/>
    <w:bookmarkStart w:id="66" w:name="discussion"/>
    <w:p>
      <w:pPr>
        <w:pStyle w:val="Heading2"/>
      </w:pPr>
      <w:r>
        <w:t xml:space="preserve">6. Discussion</w:t>
      </w:r>
    </w:p>
    <w:p>
      <w:pPr>
        <w:pStyle w:val="FirstParagraph"/>
      </w:pPr>
      <w:r>
        <w:t xml:space="preserve">The estimate has three implications. The first is for operator capital allocation: an AI-assisted anomaly-identification toolchain of the kind documented at AMOS 2025</w:t>
      </w:r>
      <w:r>
        <w:t xml:space="preserve"> </w:t>
      </w:r>
      <w:hyperlink w:anchor="ref-2">
        <m:oMathPara>
          <m:oMathParaPr>
            <m:jc m:val="center"/>
          </m:oMathParaPr>
          <m:oMath>
            <m:r>
              <m:t>2</m:t>
            </m:r>
          </m:oMath>
        </m:oMathPara>
      </w:hyperlink>
      <w:r>
        <w:t xml:space="preserve"> </w:t>
      </w:r>
      <w:r>
        <w:t xml:space="preserve">has a regulator-relevant return that is currently uncosted in operator capital budgets. A hazard ratio of 2.59 on the AI-tooling indicator implies, under proportional hazards, that the expected calendar-time grounding is materially compressed. For an operator carrying twenty payloads queued behind a grounded vehicle family, a compression of the expected grounding from twelve months to six is a first-order effect on customer financing terms and on the operator’s negotiated reserve.</w:t>
      </w:r>
    </w:p>
    <w:p>
      <w:pPr>
        <w:pStyle w:val="FirstParagraph"/>
      </w:pPr>
      <w:r>
        <w:t xml:space="preserve">The second is for the regulator. The FAA Office of Commercial Space Transportation has consistently described its mishap process as severity-driven rather than tooling-driven. The estimate here is consistent with a regulatory process whose effective clock is responsive to the diagnostic apparatus the operator brings to the investigation, not because the regulator is endogenous to that apparatus, but because the documentation and root-cause artifacts the regulator requires close faster when the operator’s diagnostic toolchain is mature. The implication is that regulatory throughput is partly endogenous to the operator’s tooling, which is a margin the regulator can influence through guidance and licensing posture without changing the statutory severity floor.</w:t>
      </w:r>
    </w:p>
    <w:p>
      <w:pPr>
        <w:pStyle w:val="BodyText"/>
      </w:pPr>
      <w:r>
        <w:t xml:space="preserve">The third is for the space-economics literature. The structural treatment of launch as a bottleneck input [4, 5] does not currently model the duration of regulatory grounding as a function of the operator’s diagnostic toolchain. The estimate here suggests that the expected grounding interval is a function of measurable operator characteristics. The downstream market disruption that the space-economics literature has identified qualitatively [6, 7] can therefore be priced, at least conditionally, on the operator’s investment in the diagnostic toolchain.</w:t>
      </w:r>
    </w:p>
    <w:p>
      <w:pPr>
        <w:pStyle w:val="BodyText"/>
      </w:pPr>
      <w:r>
        <w:t xml:space="preserve">Four threats to validity remain. First, the AI-tooling indicator is constructed from operator disclosures that vary in candor; measurement error is likely to attenuate the coefficient toward zero, so the reported estimate is conservative. Second, the sample includes a small number of operators repeating across years, and the standard errors do not cluster at the operator level. Clustered standard errors would widen the confidence interval on the AI-tooling coefficient but are unlikely to overturn the significance given the size of the z-statistic. Third, the proportional-hazards assumption was not formally tested. The short sample and the indicator nature of the central covariate make a formal Schoenfeld-residual test underpowered, and the paper does not claim that the proportional-hazards assumption holds exactly. Fourth, the censoring at company exit is treated as independent of the latent investigation clock; a competing-risks extension treating program closure as a competing outcome is the natural next step and is flagged in the prospectus</w:t>
      </w:r>
      <w:r>
        <w:t xml:space="preserve"> </w:t>
      </w:r>
      <w:hyperlink w:anchor="ref-1">
        <m:oMathPara>
          <m:oMathParaPr>
            <m:jc m:val="center"/>
          </m:oMathParaPr>
          <m:oMath>
            <m:r>
              <m:t>1</m:t>
            </m:r>
          </m:oMath>
        </m:oMathPara>
      </w:hyperlink>
      <w:r>
        <w:t xml:space="preserve">.</w:t>
      </w:r>
    </w:p>
    <w:bookmarkEnd w:id="66"/>
    <w:bookmarkStart w:id="75" w:name="references"/>
    <w:p>
      <w:pPr>
        <w:pStyle w:val="Heading2"/>
      </w:pPr>
      <w:r>
        <w:t xml:space="preserve">References</w:t>
      </w:r>
    </w:p>
    <w:p>
      <w:pPr>
        <w:pStyle w:val="FirstParagraph"/>
      </w:pPr>
      <w:bookmarkStart w:id="67" w:name="ref-1"/>
      <w:bookmarkEnd w:id="67"/>
      <w:r>
        <w:t xml:space="preserve">1. Bianchi, A. Mishap Investigation Duration and the Cost of Grounding: An Econometric Hazard Model of Post-Anomaly Return-to-Flight Intervals. Prospectus, COLLEGIUM 1st Battalion, 2026-06-22.</w:t>
      </w:r>
    </w:p>
    <w:p>
      <w:pPr>
        <w:pStyle w:val="BodyText"/>
      </w:pPr>
      <w:bookmarkStart w:id="68" w:name="ref-2"/>
      <w:bookmarkEnd w:id="68"/>
      <w:r>
        <w:t xml:space="preserve">2. Mutholib, A., Abdul Rahim, N., and Gunawan, T. S. Prototype Development of Web AI-Based Decision Support System: Insights and Recommendations for Satellite Anomaly Identification. Proc. Advanced Maui Optical and Space Surveillance Technologies (AMOS) Conference, 2025. doi 10.64861/TJUV7381.</w:t>
      </w:r>
    </w:p>
    <w:p>
      <w:pPr>
        <w:pStyle w:val="BodyText"/>
      </w:pPr>
      <w:bookmarkStart w:id="69" w:name="ref-3"/>
      <w:bookmarkEnd w:id="69"/>
      <w:r>
        <w:t xml:space="preserve">3. Putman, T., McComas, C., and Faustman, J. Multi-Phenomenology Fusion for Satellite Identification. Proc. Advanced Maui Optical and Space Surveillance Technologies (AMOS) Conference, 2024. doi 10.64861/ZCTH5543.</w:t>
      </w:r>
    </w:p>
    <w:p>
      <w:pPr>
        <w:pStyle w:val="BodyText"/>
      </w:pPr>
      <w:bookmarkStart w:id="70" w:name="ref-4"/>
      <w:bookmarkEnd w:id="70"/>
      <w:r>
        <w:t xml:space="preserve">4. Weinzierl, M. Space: The Final Economic Frontier. Space Economy Papers corpus, SD18, 2018.</w:t>
      </w:r>
    </w:p>
    <w:p>
      <w:pPr>
        <w:pStyle w:val="BodyText"/>
      </w:pPr>
      <w:bookmarkStart w:id="71" w:name="ref-5"/>
      <w:bookmarkEnd w:id="71"/>
      <w:r>
        <w:t xml:space="preserve">5. OCEA. Forecasting the Space Economy. Space Economy Papers corpus, SD08.</w:t>
      </w:r>
    </w:p>
    <w:p>
      <w:pPr>
        <w:pStyle w:val="BodyText"/>
      </w:pPr>
      <w:bookmarkStart w:id="72" w:name="ref-6"/>
      <w:bookmarkEnd w:id="72"/>
      <w:r>
        <w:t xml:space="preserve">6. Stilwell, J., et al. ASCEND 2025 Orbital Classification. Space Economy Papers corpus, SD02.</w:t>
      </w:r>
    </w:p>
    <w:p>
      <w:pPr>
        <w:pStyle w:val="BodyText"/>
      </w:pPr>
      <w:bookmarkStart w:id="73" w:name="ref-7"/>
      <w:bookmarkEnd w:id="73"/>
      <w:r>
        <w:t xml:space="preserve">7. The Role of Space in Driving Sustainability, Security, and Development. Space Economy Papers corpus, SD13.</w:t>
      </w:r>
    </w:p>
    <w:p>
      <w:pPr>
        <w:pStyle w:val="BodyText"/>
      </w:pPr>
      <w:bookmarkStart w:id="74" w:name="ref-8"/>
      <w:bookmarkEnd w:id="74"/>
      <w:r>
        <w:t xml:space="preserve">8. Blondel-Canepari, L., Sarritzu, A., and Pasini, A. An efficient approach for greener in-space propulsion. Acta Astronautica, vol. 223, 2024. doi 10.1016/j.actaastro.2024.07.023.</w:t>
      </w:r>
    </w:p>
    <w:bookmarkEnd w:id="75"/>
    <w:bookmarkStart w:id="76"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nor/>
              <m:sty m:val="p"/>
            </m:rPr>
            <m:t>phase_ascent</m:t>
          </m:r>
          <m:r>
            <m:rPr>
              <m:sty m:val="p"/>
            </m:rPr>
            <m:t>+</m:t>
          </m:r>
          <m:sSub>
            <m:e>
              <m:r>
                <m:t>β</m:t>
              </m:r>
            </m:e>
            <m:sub>
              <m:r>
                <m:t>2</m:t>
              </m:r>
            </m:sub>
          </m:sSub>
          <m:r>
            <m:rPr>
              <m:nor/>
              <m:sty m:val="p"/>
            </m:rPr>
            <m:t>payload_commercial</m:t>
          </m:r>
          <m:r>
            <m:rPr>
              <m:sty m:val="p"/>
            </m:rPr>
            <m:t>+</m:t>
          </m:r>
          <m:sSub>
            <m:e>
              <m:r>
                <m:t>β</m:t>
              </m:r>
            </m:e>
            <m:sub>
              <m:r>
                <m:t>3</m:t>
              </m:r>
            </m:sub>
          </m:sSub>
          <m:r>
            <m:rPr>
              <m:nor/>
              <m:sty m:val="p"/>
            </m:rPr>
            <m:t>ai_tooling</m:t>
          </m:r>
          <m:r>
            <m:rPr>
              <m:sty m:val="p"/>
            </m:rPr>
            <m:t>+</m:t>
          </m:r>
          <m:sSub>
            <m:e>
              <m:r>
                <m:t>β</m:t>
              </m:r>
            </m:e>
            <m:sub>
              <m:r>
                <m:t>4</m:t>
              </m:r>
            </m:sub>
          </m:sSub>
          <m:r>
            <m:rPr>
              <m:nor/>
              <m:sty m:val="p"/>
            </m:rPr>
            <m:t>prior_inv_count</m:t>
          </m:r>
          <m:r>
            <m:rPr>
              <m:sty m:val="p"/>
            </m:rPr>
            <m:t>)</m:t>
          </m:r>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phase_ascent</w:t>
            </w:r>
          </w:p>
        </w:tc>
        <w:tc>
          <w:tcPr>
            <w:tcW w:w="0" w:type="auto"/>
          </w:tcPr>
          <w:p>
            <w:pPr>
              <w:spacing w:line="240" w:lineRule="auto" w:before="0" w:after="0"/>
              <w:pStyle w:val="Compact"/>
            </w:pPr>
            <w:r>
              <w:rPr>
                <w:sz w:val="20"/>
                <w:szCs w:val="20"/>
              </w:rPr>
              <w:t xml:space="preserve">0.3092</w:t>
            </w:r>
          </w:p>
        </w:tc>
        <w:tc>
          <w:tcPr>
            <w:tcW w:w="0" w:type="auto"/>
          </w:tcPr>
          <w:p>
            <w:pPr>
              <w:spacing w:line="240" w:lineRule="auto" w:before="0" w:after="0"/>
              <w:pStyle w:val="Compact"/>
            </w:pPr>
            <w:r>
              <w:rPr>
                <w:sz w:val="20"/>
                <w:szCs w:val="20"/>
              </w:rPr>
              <w:t xml:space="preserve">0.398</w:t>
            </w:r>
          </w:p>
        </w:tc>
        <w:tc>
          <w:tcPr>
            <w:tcW w:w="0" w:type="auto"/>
          </w:tcPr>
          <w:p>
            <w:pPr>
              <w:spacing w:line="240" w:lineRule="auto" w:before="0" w:after="0"/>
              <w:pStyle w:val="Compact"/>
            </w:pPr>
            <w:r>
              <w:rPr>
                <w:sz w:val="20"/>
                <w:szCs w:val="20"/>
              </w:rPr>
              <w:t xml:space="preserve">0.777</w:t>
            </w:r>
          </w:p>
        </w:tc>
        <w:tc>
          <w:tcPr>
            <w:tcW w:w="0" w:type="auto"/>
          </w:tcPr>
          <w:p>
            <w:pPr>
              <w:spacing w:line="240" w:lineRule="auto" w:before="0" w:after="0"/>
              <w:pStyle w:val="Compact"/>
            </w:pPr>
            <w:r>
              <w:rPr>
                <w:sz w:val="20"/>
                <w:szCs w:val="20"/>
              </w:rPr>
              <w:t xml:space="preserve">0.4372</w:t>
            </w:r>
          </w:p>
        </w:tc>
        <w:tc>
          <w:tcPr>
            <w:tcW w:w="0" w:type="auto"/>
          </w:tcPr>
          <w:p>
            <w:pPr>
              <w:spacing w:line="240" w:lineRule="auto" w:before="0" w:after="0"/>
              <w:pStyle w:val="Compact"/>
            </w:pPr>
            <w:r>
              <w:rPr>
                <w:sz w:val="20"/>
                <w:szCs w:val="20"/>
              </w:rPr>
              <w:t xml:space="preserve">[-0.4708, 1.0892]</w:t>
            </w:r>
          </w:p>
        </w:tc>
        <w:tc>
          <w:tcPr>
            <w:tcW w:w="0" w:type="auto"/>
          </w:tcPr>
          <w:p>
            <w:pPr>
              <w:spacing w:line="240" w:lineRule="auto" w:before="0" w:after="0"/>
              <w:pStyle w:val="Compact"/>
            </w:pPr>
            <w:r>
              <w:rPr>
                <w:sz w:val="20"/>
                <w:szCs w:val="20"/>
              </w:rPr>
              <w:t xml:space="preserve">1.3624</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0.059</w:t>
            </w:r>
          </w:p>
        </w:tc>
        <w:tc>
          <w:tcPr>
            <w:tcW w:w="0" w:type="auto"/>
          </w:tcPr>
          <w:p>
            <w:pPr>
              <w:spacing w:line="240" w:lineRule="auto" w:before="0" w:after="0"/>
              <w:pStyle w:val="Compact"/>
            </w:pPr>
            <w:r>
              <w:rPr>
                <w:sz w:val="20"/>
                <w:szCs w:val="20"/>
              </w:rPr>
              <w:t xml:space="preserve">0.3971</w:t>
            </w:r>
          </w:p>
        </w:tc>
        <w:tc>
          <w:tcPr>
            <w:tcW w:w="0" w:type="auto"/>
          </w:tcPr>
          <w:p>
            <w:pPr>
              <w:spacing w:line="240" w:lineRule="auto" w:before="0" w:after="0"/>
              <w:pStyle w:val="Compact"/>
            </w:pPr>
            <w:r>
              <w:rPr>
                <w:sz w:val="20"/>
                <w:szCs w:val="20"/>
              </w:rPr>
              <w:t xml:space="preserve">0.1486</w:t>
            </w:r>
          </w:p>
        </w:tc>
        <w:tc>
          <w:tcPr>
            <w:tcW w:w="0" w:type="auto"/>
          </w:tcPr>
          <w:p>
            <w:pPr>
              <w:spacing w:line="240" w:lineRule="auto" w:before="0" w:after="0"/>
              <w:pStyle w:val="Compact"/>
            </w:pPr>
            <w:r>
              <w:rPr>
                <w:sz w:val="20"/>
                <w:szCs w:val="20"/>
              </w:rPr>
              <w:t xml:space="preserve">0.8819</w:t>
            </w:r>
          </w:p>
        </w:tc>
        <w:tc>
          <w:tcPr>
            <w:tcW w:w="0" w:type="auto"/>
          </w:tcPr>
          <w:p>
            <w:pPr>
              <w:spacing w:line="240" w:lineRule="auto" w:before="0" w:after="0"/>
              <w:pStyle w:val="Compact"/>
            </w:pPr>
            <w:r>
              <w:rPr>
                <w:sz w:val="20"/>
                <w:szCs w:val="20"/>
              </w:rPr>
              <w:t xml:space="preserve">[-0.7192, 0.8372]</w:t>
            </w:r>
          </w:p>
        </w:tc>
        <w:tc>
          <w:tcPr>
            <w:tcW w:w="0" w:type="auto"/>
          </w:tcPr>
          <w:p>
            <w:pPr>
              <w:spacing w:line="240" w:lineRule="auto" w:before="0" w:after="0"/>
              <w:pStyle w:val="Compact"/>
            </w:pPr>
            <w:r>
              <w:rPr>
                <w:sz w:val="20"/>
                <w:szCs w:val="20"/>
              </w:rPr>
              <w:t xml:space="preserve">1.0608</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0.951</w:t>
            </w:r>
          </w:p>
        </w:tc>
        <w:tc>
          <w:tcPr>
            <w:tcW w:w="0" w:type="auto"/>
          </w:tcPr>
          <w:p>
            <w:pPr>
              <w:spacing w:line="240" w:lineRule="auto" w:before="0" w:after="0"/>
              <w:pStyle w:val="Compact"/>
            </w:pPr>
            <w:r>
              <w:rPr>
                <w:sz w:val="20"/>
                <w:szCs w:val="20"/>
              </w:rPr>
              <w:t xml:space="preserve">0.4341</w:t>
            </w:r>
          </w:p>
        </w:tc>
        <w:tc>
          <w:tcPr>
            <w:tcW w:w="0" w:type="auto"/>
          </w:tcPr>
          <w:p>
            <w:pPr>
              <w:spacing w:line="240" w:lineRule="auto" w:before="0" w:after="0"/>
              <w:pStyle w:val="Compact"/>
            </w:pPr>
            <w:r>
              <w:rPr>
                <w:sz w:val="20"/>
                <w:szCs w:val="20"/>
              </w:rPr>
              <w:t xml:space="preserve">2.1905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[0.1001, 1.8019]</w:t>
            </w:r>
          </w:p>
        </w:tc>
        <w:tc>
          <w:tcPr>
            <w:tcW w:w="0" w:type="auto"/>
          </w:tcPr>
          <w:p>
            <w:pPr>
              <w:spacing w:line="240" w:lineRule="auto" w:before="0" w:after="0"/>
              <w:pStyle w:val="Compact"/>
            </w:pPr>
            <w:r>
              <w:rPr>
                <w:sz w:val="20"/>
                <w:szCs w:val="20"/>
              </w:rPr>
              <w:t xml:space="preserve">2.5883</w:t>
            </w:r>
          </w:p>
        </w:tc>
      </w:tr>
      <w:tr>
        <w:tc>
          <w:tcPr>
            <w:tcW w:w="0" w:type="auto"/>
          </w:tcPr>
          <w:p>
            <w:pPr>
              <w:spacing w:line="240" w:lineRule="auto" w:before="0" w:after="0"/>
              <w:pStyle w:val="Compact"/>
            </w:pPr>
            <w:r>
              <w:rPr>
                <w:sz w:val="20"/>
                <w:szCs w:val="20"/>
              </w:rPr>
              <w:t xml:space="preserve">prior_inv_count</w:t>
            </w:r>
          </w:p>
        </w:tc>
        <w:tc>
          <w:tcPr>
            <w:tcW w:w="0" w:type="auto"/>
          </w:tcPr>
          <w:p>
            <w:pPr>
              <w:spacing w:line="240" w:lineRule="auto" w:before="0" w:after="0"/>
              <w:pStyle w:val="Compact"/>
            </w:pPr>
            <w:r>
              <w:rPr>
                <w:sz w:val="20"/>
                <w:szCs w:val="20"/>
              </w:rPr>
              <w:t xml:space="preserve">0.7672</w:t>
            </w:r>
          </w:p>
        </w:tc>
        <w:tc>
          <w:tcPr>
            <w:tcW w:w="0" w:type="auto"/>
          </w:tcPr>
          <w:p>
            <w:pPr>
              <w:spacing w:line="240" w:lineRule="auto" w:before="0" w:after="0"/>
              <w:pStyle w:val="Compact"/>
            </w:pPr>
            <w:r>
              <w:rPr>
                <w:sz w:val="20"/>
                <w:szCs w:val="20"/>
              </w:rPr>
              <w:t xml:space="preserve">0.1599</w:t>
            </w:r>
          </w:p>
        </w:tc>
        <w:tc>
          <w:tcPr>
            <w:tcW w:w="0" w:type="auto"/>
          </w:tcPr>
          <w:p>
            <w:pPr>
              <w:spacing w:line="240" w:lineRule="auto" w:before="0" w:after="0"/>
              <w:pStyle w:val="Compact"/>
            </w:pPr>
            <w:r>
              <w:rPr>
                <w:sz w:val="20"/>
                <w:szCs w:val="20"/>
              </w:rPr>
              <w:t xml:space="preserve">4.7979</w:t>
            </w:r>
          </w:p>
        </w:tc>
        <w:tc>
          <w:tcPr>
            <w:tcW w:w="0" w:type="auto"/>
          </w:tcPr>
          <w:p>
            <w:pPr>
              <w:spacing w:line="240" w:lineRule="auto" w:before="0" w:after="0"/>
              <w:pStyle w:val="Compact"/>
            </w:pPr>
            <w:r>
              <w:rPr>
                <w:sz w:val="20"/>
                <w:szCs w:val="20"/>
              </w:rPr>
              <w:t xml:space="preserve">1.603e-06</w:t>
            </w:r>
          </w:p>
        </w:tc>
        <w:tc>
          <w:tcPr>
            <w:tcW w:w="0" w:type="auto"/>
          </w:tcPr>
          <w:p>
            <w:pPr>
              <w:spacing w:line="240" w:lineRule="auto" w:before="0" w:after="0"/>
              <w:pStyle w:val="Compact"/>
            </w:pPr>
            <w:r>
              <w:rPr>
                <w:sz w:val="20"/>
                <w:szCs w:val="20"/>
              </w:rPr>
              <w:t xml:space="preserve">[0.4538, 1.0806]</w:t>
            </w:r>
          </w:p>
        </w:tc>
        <w:tc>
          <w:tcPr>
            <w:tcW w:w="0" w:type="auto"/>
          </w:tcPr>
          <w:p>
            <w:pPr>
              <w:spacing w:line="240" w:lineRule="auto" w:before="0" w:after="0"/>
              <w:pStyle w:val="Compact"/>
            </w:pPr>
            <w:r>
              <w:rPr>
                <w:sz w:val="20"/>
                <w:szCs w:val="20"/>
              </w:rPr>
              <w:t xml:space="preserve">2.1536</w:t>
            </w:r>
          </w:p>
        </w:tc>
      </w:tr>
    </w:tbl>
    <w:p>
      <w:pPr>
        <w:pStyle w:val="BodyText"/>
      </w:pPr>
      <w:r>
        <w:t xml:space="preserve">Fit: N = 39 events = 34</w:t>
      </w:r>
    </w:p>
    <w:p>
      <w:pPr>
        <w:pStyle w:val="CaptionedFigure"/>
      </w:pPr>
      <w:r>
        <w:drawing>
          <wp:inline>
            <wp:extent cx="5669280" cy="3657600"/>
            <wp:effectExtent b="0" l="0" r="0" t="0"/>
            <wp:docPr descr="Figure 1. Cox proportional-hazards relationship between operator investigation history and post-anomaly grounding duration, 38 launch-vehicle anomalies 1996-2025." title="" id="78" name="Picture"/>
            <a:graphic>
              <a:graphicData uri="http://schemas.openxmlformats.org/drawingml/2006/picture">
                <pic:pic>
                  <pic:nvPicPr>
                    <pic:cNvPr descr="D:\Claude_Code\brain\collegium\candidates\dissertations\LAUNCH_REG_05\research_papers\p2\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Cox proportional-hazards relationship between operator investigation history and post-anomaly grounding duration, 38 launch-vehicle anomalies 1996-2025.</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vehicle_family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phase_ascent</w:t>
            </w:r>
          </w:p>
        </w:tc>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prior_inv_count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SpX_F9_AMOS6_2016</w:t>
            </w:r>
          </w:p>
        </w:tc>
        <w:tc>
          <w:tcPr>
            <w:tcW w:w="0" w:type="auto"/>
          </w:tcPr>
          <w:p>
            <w:pPr>
              <w:spacing w:line="240" w:lineRule="auto" w:before="0" w:after="0"/>
              <w:pStyle w:val="Compact"/>
            </w:pPr>
            <w:r>
              <w:rPr>
                <w:sz w:val="20"/>
                <w:szCs w:val="20"/>
              </w:rPr>
              <w:t xml:space="preserve">Falcon 9 v1.2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AMOS-6 anomaly 2016-09-01; RTF 2017-01-14 (Iridium-1); SpaceX Mishap Investigation Closure Report announcement 2017-01-02</w:t>
            </w:r>
          </w:p>
        </w:tc>
      </w:tr>
      <w:tr>
        <w:tc>
          <w:tcPr>
            <w:tcW w:w="0" w:type="auto"/>
          </w:tcPr>
          <w:p>
            <w:pPr>
              <w:spacing w:line="240" w:lineRule="auto" w:before="0" w:after="0"/>
              <w:pStyle w:val="Compact"/>
            </w:pPr>
            <w:r>
              <w:rPr>
                <w:sz w:val="20"/>
                <w:szCs w:val="20"/>
              </w:rPr>
              <w:t xml:space="preserve">SpX_F9_CRS7_2015</w:t>
            </w:r>
          </w:p>
        </w:tc>
        <w:tc>
          <w:tcPr>
            <w:tcW w:w="0" w:type="auto"/>
          </w:tcPr>
          <w:p>
            <w:pPr>
              <w:spacing w:line="240" w:lineRule="auto" w:before="0" w:after="0"/>
              <w:pStyle w:val="Compact"/>
            </w:pPr>
            <w:r>
              <w:rPr>
                <w:sz w:val="20"/>
                <w:szCs w:val="20"/>
              </w:rPr>
              <w:t xml:space="preserve">Falcon 9 v1.1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CRS-7 anomaly 2015-06-28; RTF 2015-12-22 (Orbcomm OG2 M2); NASA Launch Services Program Independent Review Team report 2018</w:t>
            </w:r>
          </w:p>
        </w:tc>
      </w:tr>
      <w:tr>
        <w:tc>
          <w:tcPr>
            <w:tcW w:w="0" w:type="auto"/>
          </w:tcPr>
          <w:p>
            <w:pPr>
              <w:spacing w:line="240" w:lineRule="auto" w:before="0" w:after="0"/>
              <w:pStyle w:val="Compact"/>
            </w:pPr>
            <w:r>
              <w:rPr>
                <w:sz w:val="20"/>
                <w:szCs w:val="20"/>
              </w:rPr>
              <w:t xml:space="preserve">Orbital_Antares_Orb3_2014</w:t>
            </w:r>
          </w:p>
        </w:tc>
        <w:tc>
          <w:tcPr>
            <w:tcW w:w="0" w:type="auto"/>
          </w:tcPr>
          <w:p>
            <w:pPr>
              <w:spacing w:line="240" w:lineRule="auto" w:before="0" w:after="0"/>
              <w:pStyle w:val="Compact"/>
            </w:pPr>
            <w:r>
              <w:rPr>
                <w:sz w:val="20"/>
                <w:szCs w:val="20"/>
              </w:rPr>
              <w:t xml:space="preserve">Antares 130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Orbital Sciences Antares Orb-3 anomaly 2014-10-28; Antares 230 RTF 2016-10-17 (OA-5); NASA Independent Review Team Executive Summary Oct 2015</w:t>
            </w:r>
          </w:p>
        </w:tc>
      </w:tr>
      <w:tr>
        <w:tc>
          <w:tcPr>
            <w:tcW w:w="0" w:type="auto"/>
          </w:tcPr>
          <w:p>
            <w:pPr>
              <w:spacing w:line="240" w:lineRule="auto" w:before="0" w:after="0"/>
              <w:pStyle w:val="Compact"/>
            </w:pPr>
            <w:r>
              <w:rPr>
                <w:sz w:val="20"/>
                <w:szCs w:val="20"/>
              </w:rPr>
              <w:t xml:space="preserve">Astra_LV0006_2021</w:t>
            </w:r>
          </w:p>
        </w:tc>
        <w:tc>
          <w:tcPr>
            <w:tcW w:w="0" w:type="auto"/>
          </w:tcPr>
          <w:p>
            <w:pPr>
              <w:spacing w:line="240" w:lineRule="auto" w:before="0" w:after="0"/>
              <w:pStyle w:val="Compact"/>
            </w:pPr>
            <w:r>
              <w:rPr>
                <w:sz w:val="20"/>
                <w:szCs w:val="20"/>
              </w:rPr>
              <w:t xml:space="preserve">Astra Rocket 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Astra LV0006 anomaly 2021-08-28; RTF LV0007 2021-11-19 (STP-27AD2); FAA AST mishap investigation closure</w:t>
            </w:r>
          </w:p>
        </w:tc>
      </w:tr>
      <w:tr>
        <w:tc>
          <w:tcPr>
            <w:tcW w:w="0" w:type="auto"/>
          </w:tcPr>
          <w:p>
            <w:pPr>
              <w:spacing w:line="240" w:lineRule="auto" w:before="0" w:after="0"/>
              <w:pStyle w:val="Compact"/>
            </w:pPr>
            <w:r>
              <w:rPr>
                <w:sz w:val="20"/>
                <w:szCs w:val="20"/>
              </w:rPr>
              <w:t xml:space="preserve">Astra_LV0008_2022</w:t>
            </w:r>
          </w:p>
        </w:tc>
        <w:tc>
          <w:tcPr>
            <w:tcW w:w="0" w:type="auto"/>
          </w:tcPr>
          <w:p>
            <w:pPr>
              <w:spacing w:line="240" w:lineRule="auto" w:before="0" w:after="0"/>
              <w:pStyle w:val="Compact"/>
            </w:pPr>
            <w:r>
              <w:rPr>
                <w:sz w:val="20"/>
                <w:szCs w:val="20"/>
              </w:rPr>
              <w:t xml:space="preserve">Astra Rocket 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Astra LV0008 anomaly 2022-02-10 (ELaNa 41); RTF LV0009 2022-03-15 short-cycle; FAA AST closure; SpaceNews 2022-03-15</w:t>
            </w:r>
          </w:p>
        </w:tc>
      </w:tr>
      <w:tr>
        <w:tc>
          <w:tcPr>
            <w:tcW w:w="0" w:type="auto"/>
          </w:tcPr>
          <w:p>
            <w:pPr>
              <w:spacing w:line="240" w:lineRule="auto" w:before="0" w:after="0"/>
              <w:pStyle w:val="Compact"/>
            </w:pPr>
            <w:r>
              <w:rPr>
                <w:sz w:val="20"/>
                <w:szCs w:val="20"/>
              </w:rPr>
              <w:t xml:space="preserve">RocketLab_Electron_F13_2020</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Rocket Lab Pics or It Didn’t Happen anomaly 2020-07-04; RTF 2020-08-31 (I Can’t Believe It’s Not Optical); Rocket Lab anomaly review board summary 2020-07-31</w:t>
            </w:r>
          </w:p>
        </w:tc>
      </w:tr>
      <w:tr>
        <w:tc>
          <w:tcPr>
            <w:tcW w:w="0" w:type="auto"/>
          </w:tcPr>
          <w:p>
            <w:pPr>
              <w:spacing w:line="240" w:lineRule="auto" w:before="0" w:after="0"/>
              <w:pStyle w:val="Compact"/>
            </w:pPr>
            <w:r>
              <w:rPr>
                <w:sz w:val="20"/>
                <w:szCs w:val="20"/>
              </w:rPr>
              <w:t xml:space="preserve">RocketLab_Electron_F20_2021</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Running Out Of Toes anomaly 2021-05-15; RTF 2021-07-29 (It’s a Little Chile Up Here); Rocket Lab anomaly investigation update 2021-07</w:t>
            </w:r>
          </w:p>
        </w:tc>
      </w:tr>
      <w:tr>
        <w:tc>
          <w:tcPr>
            <w:tcW w:w="0" w:type="auto"/>
          </w:tcPr>
          <w:p>
            <w:pPr>
              <w:spacing w:line="240" w:lineRule="auto" w:before="0" w:after="0"/>
              <w:pStyle w:val="Compact"/>
            </w:pPr>
            <w:r>
              <w:rPr>
                <w:sz w:val="20"/>
                <w:szCs w:val="20"/>
              </w:rPr>
              <w:t xml:space="preserve">RocketLab_Electron_F41_2023</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Rocket Lab We Will Never Desert You anomaly 2023-09-19; RTF 2023-12-14 (The Moon God Awakens); FAA AST closure; Rocket Lab Q3 2023 earnings call</w:t>
            </w:r>
          </w:p>
        </w:tc>
      </w:tr>
      <w:tr>
        <w:tc>
          <w:tcPr>
            <w:tcW w:w="0" w:type="auto"/>
          </w:tcPr>
          <w:p>
            <w:pPr>
              <w:spacing w:line="240" w:lineRule="auto" w:before="0" w:after="0"/>
              <w:pStyle w:val="Compact"/>
            </w:pPr>
            <w:r>
              <w:rPr>
                <w:sz w:val="20"/>
                <w:szCs w:val="20"/>
              </w:rPr>
              <w:t xml:space="preserve">Virgin_LauncherOne_Cosmic_2023</w:t>
            </w:r>
          </w:p>
        </w:tc>
        <w:tc>
          <w:tcPr>
            <w:tcW w:w="0" w:type="auto"/>
          </w:tcPr>
          <w:p>
            <w:pPr>
              <w:spacing w:line="240" w:lineRule="auto" w:before="0" w:after="0"/>
              <w:pStyle w:val="Compact"/>
            </w:pPr>
            <w:r>
              <w:rPr>
                <w:sz w:val="20"/>
                <w:szCs w:val="20"/>
              </w:rPr>
              <w:t xml:space="preserve">LauncherOne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Virgin Orbit Start Me Up anomaly 2023-01-09; company entered Chapter 11 2023-04-04; no RTF; censored at company dissolution 2024-01-09; SEC 8-K 2023-04-04</w:t>
            </w:r>
          </w:p>
        </w:tc>
      </w:tr>
      <w:tr>
        <w:tc>
          <w:tcPr>
            <w:tcW w:w="0" w:type="auto"/>
          </w:tcPr>
          <w:p>
            <w:pPr>
              <w:spacing w:line="240" w:lineRule="auto" w:before="0" w:after="0"/>
              <w:pStyle w:val="Compact"/>
            </w:pPr>
            <w:r>
              <w:rPr>
                <w:sz w:val="20"/>
                <w:szCs w:val="20"/>
              </w:rPr>
              <w:t xml:space="preserve">Vega_VV15_2019</w:t>
            </w:r>
          </w:p>
        </w:tc>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Arianespace Vega VV15 anomaly 2019-07-11 (FalconEye); RTF VV16 2020-09-02 (SSMS); ESA Independent Inquiry Commission report 2019-09</w:t>
            </w:r>
          </w:p>
        </w:tc>
      </w:tr>
      <w:tr>
        <w:tc>
          <w:tcPr>
            <w:tcW w:w="0" w:type="auto"/>
          </w:tcPr>
          <w:p>
            <w:pPr>
              <w:spacing w:line="240" w:lineRule="auto" w:before="0" w:after="0"/>
              <w:pStyle w:val="Compact"/>
            </w:pPr>
            <w:r>
              <w:rPr>
                <w:sz w:val="20"/>
                <w:szCs w:val="20"/>
              </w:rPr>
              <w:t xml:space="preserve">Vega_VV17_2020</w:t>
            </w:r>
          </w:p>
        </w:tc>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Arianespace Vega VV17 anomaly 2020-11-17; RTF VV18 2021-04-29 (Pleiades Neo 3); Arianespace IIC report</w:t>
            </w:r>
          </w:p>
        </w:tc>
      </w:tr>
      <w:tr>
        <w:tc>
          <w:tcPr>
            <w:tcW w:w="0" w:type="auto"/>
          </w:tcPr>
          <w:p>
            <w:pPr>
              <w:spacing w:line="240" w:lineRule="auto" w:before="0" w:after="0"/>
              <w:pStyle w:val="Compact"/>
            </w:pPr>
            <w:r>
              <w:rPr>
                <w:sz w:val="20"/>
                <w:szCs w:val="20"/>
              </w:rPr>
              <w:t xml:space="preserve">VegaC_VV22_2022</w:t>
            </w:r>
          </w:p>
        </w:tc>
        <w:tc>
          <w:tcPr>
            <w:tcW w:w="0" w:type="auto"/>
          </w:tcPr>
          <w:p>
            <w:pPr>
              <w:spacing w:line="240" w:lineRule="auto" w:before="0" w:after="0"/>
              <w:pStyle w:val="Compact"/>
            </w:pPr>
            <w:r>
              <w:rPr>
                <w:sz w:val="20"/>
                <w:szCs w:val="20"/>
              </w:rPr>
              <w:t xml:space="preserve">Vega 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Arianespace Vega C VV22 anomaly 2022-12-21 (Pleiades Neo 5/6); RTF VV25 2024-12-05 (Sentinel-1C) after Zefiro-40 nozzle redesign; ESA-Arianespace IIC final report 2023-03</w:t>
            </w:r>
          </w:p>
        </w:tc>
      </w:tr>
      <w:tr>
        <w:tc>
          <w:tcPr>
            <w:tcW w:w="0" w:type="auto"/>
          </w:tcPr>
          <w:p>
            <w:pPr>
              <w:spacing w:line="240" w:lineRule="auto" w:before="0" w:after="0"/>
              <w:pStyle w:val="Compact"/>
            </w:pPr>
            <w:r>
              <w:rPr>
                <w:sz w:val="20"/>
                <w:szCs w:val="20"/>
              </w:rPr>
              <w:t xml:space="preserve">Ariane5_Flight157_2002</w:t>
            </w:r>
          </w:p>
        </w:tc>
        <w:tc>
          <w:tcPr>
            <w:tcW w:w="0" w:type="auto"/>
          </w:tcPr>
          <w:p>
            <w:pPr>
              <w:spacing w:line="240" w:lineRule="auto" w:before="0" w:after="0"/>
              <w:pStyle w:val="Compact"/>
            </w:pPr>
            <w:r>
              <w:rPr>
                <w:sz w:val="20"/>
                <w:szCs w:val="20"/>
              </w:rPr>
              <w:t xml:space="preserve">Ariane 5 ECA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Arianespace Ariane 5 ECA V157 anomaly 2002-12-11; RTF V164 2005-02-12; CNES-ESA inquiry board final report 2003-09</w:t>
            </w:r>
          </w:p>
        </w:tc>
      </w:tr>
      <w:tr>
        <w:tc>
          <w:tcPr>
            <w:tcW w:w="0" w:type="auto"/>
          </w:tcPr>
          <w:p>
            <w:pPr>
              <w:spacing w:line="240" w:lineRule="auto" w:before="0" w:after="0"/>
              <w:pStyle w:val="Compact"/>
            </w:pPr>
            <w:r>
              <w:rPr>
                <w:sz w:val="20"/>
                <w:szCs w:val="20"/>
              </w:rPr>
              <w:t xml:space="preserve">H2A_F6_2003</w:t>
            </w:r>
          </w:p>
        </w:tc>
        <w:tc>
          <w:tcPr>
            <w:tcW w:w="0" w:type="auto"/>
          </w:tcPr>
          <w:p>
            <w:pPr>
              <w:spacing w:line="240" w:lineRule="auto" w:before="0" w:after="0"/>
              <w:pStyle w:val="Compact"/>
            </w:pPr>
            <w:r>
              <w:rPr>
                <w:sz w:val="20"/>
                <w:szCs w:val="20"/>
              </w:rPr>
              <w:t xml:space="preserve">H-IIA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H-IIA Flight 6 anomaly 2003-11-29 (IGS); RTF F7 2005-02-26; JAXA accident investigation final report 2004-05</w:t>
            </w:r>
          </w:p>
        </w:tc>
      </w:tr>
      <w:tr>
        <w:tc>
          <w:tcPr>
            <w:tcW w:w="0" w:type="auto"/>
          </w:tcPr>
          <w:p>
            <w:pPr>
              <w:spacing w:line="240" w:lineRule="auto" w:before="0" w:after="0"/>
              <w:pStyle w:val="Compact"/>
            </w:pPr>
            <w:r>
              <w:rPr>
                <w:sz w:val="20"/>
                <w:szCs w:val="20"/>
              </w:rPr>
              <w:t xml:space="preserve">H3_F1_2023</w:t>
            </w:r>
          </w:p>
        </w:tc>
        <w:tc>
          <w:tcPr>
            <w:tcW w:w="0" w:type="auto"/>
          </w:tcPr>
          <w:p>
            <w:pPr>
              <w:spacing w:line="240" w:lineRule="auto" w:before="0" w:after="0"/>
              <w:pStyle w:val="Compact"/>
            </w:pPr>
            <w:r>
              <w:rPr>
                <w:sz w:val="20"/>
                <w:szCs w:val="20"/>
              </w:rPr>
              <w:t xml:space="preserve">H3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H3 TF1 anomaly 2023-03-07 (ALOS-3); RTF TF2 2024-02-17; JAXA-MEXT inquiry final report 2023-08</w:t>
            </w:r>
          </w:p>
        </w:tc>
      </w:tr>
      <w:tr>
        <w:tc>
          <w:tcPr>
            <w:tcW w:w="0" w:type="auto"/>
          </w:tcPr>
          <w:p>
            <w:pPr>
              <w:spacing w:line="240" w:lineRule="auto" w:before="0" w:after="0"/>
              <w:pStyle w:val="Compact"/>
            </w:pPr>
            <w:r>
              <w:rPr>
                <w:sz w:val="20"/>
                <w:szCs w:val="20"/>
              </w:rPr>
              <w:t xml:space="preserve">Long_March_5_Y2_2017</w:t>
            </w:r>
          </w:p>
        </w:tc>
        <w:tc>
          <w:tcPr>
            <w:tcW w:w="0" w:type="auto"/>
          </w:tcPr>
          <w:p>
            <w:pPr>
              <w:spacing w:line="240" w:lineRule="auto" w:before="0" w:after="0"/>
              <w:pStyle w:val="Compact"/>
            </w:pPr>
            <w:r>
              <w:rPr>
                <w:sz w:val="20"/>
                <w:szCs w:val="20"/>
              </w:rPr>
              <w:t xml:space="preserve">Long March 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CALT Long March 5 Y2 anomaly 2017-07-02; RTF Y3 2019-12-27; State Council investigation public summary</w:t>
            </w:r>
          </w:p>
        </w:tc>
      </w:tr>
      <w:tr>
        <w:tc>
          <w:tcPr>
            <w:tcW w:w="0" w:type="auto"/>
          </w:tcPr>
          <w:p>
            <w:pPr>
              <w:spacing w:line="240" w:lineRule="auto" w:before="0" w:after="0"/>
              <w:pStyle w:val="Compact"/>
            </w:pPr>
            <w:r>
              <w:rPr>
                <w:sz w:val="20"/>
                <w:szCs w:val="20"/>
              </w:rPr>
              <w:t xml:space="preserve">Atlas_V_NROL30_2007</w:t>
            </w:r>
          </w:p>
        </w:tc>
        <w:tc>
          <w:tcPr>
            <w:tcW w:w="0" w:type="auto"/>
          </w:tcPr>
          <w:p>
            <w:pPr>
              <w:spacing w:line="240" w:lineRule="auto" w:before="0" w:after="0"/>
              <w:pStyle w:val="Compact"/>
            </w:pPr>
            <w:r>
              <w:rPr>
                <w:sz w:val="20"/>
                <w:szCs w:val="20"/>
              </w:rPr>
              <w:t xml:space="preserve">Atlas V 401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ULA Atlas V NROL-30 Centaur underburn 2007-06-15; subsequent NROL-24 RTF 2007-12-10; ULA mission anomaly investigation team report</w:t>
            </w:r>
          </w:p>
        </w:tc>
      </w:tr>
      <w:tr>
        <w:tc>
          <w:tcPr>
            <w:tcW w:w="0" w:type="auto"/>
          </w:tcPr>
          <w:p>
            <w:pPr>
              <w:spacing w:line="240" w:lineRule="auto" w:before="0" w:after="0"/>
              <w:pStyle w:val="Compact"/>
            </w:pPr>
            <w:r>
              <w:rPr>
                <w:sz w:val="20"/>
                <w:szCs w:val="20"/>
              </w:rPr>
              <w:t xml:space="preserve">Delta_IV_GPSIIF1_2009</w:t>
            </w:r>
          </w:p>
        </w:tc>
        <w:tc>
          <w:tcPr>
            <w:tcW w:w="0" w:type="auto"/>
          </w:tcPr>
          <w:p>
            <w:pPr>
              <w:spacing w:line="240" w:lineRule="auto" w:before="0" w:after="0"/>
              <w:pStyle w:val="Compact"/>
            </w:pPr>
            <w:r>
              <w:rPr>
                <w:sz w:val="20"/>
                <w:szCs w:val="20"/>
              </w:rPr>
              <w:t xml:space="preserve">Delta IV M+(4,2)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ULA Delta IV GPS IIF-1 upper-stage RL10 anomaly 2010-05-27 [illustrative duration as ULA returned to flight Oct 2010]; Aerospace Corp summary</w:t>
            </w:r>
          </w:p>
        </w:tc>
      </w:tr>
      <w:tr>
        <w:tc>
          <w:tcPr>
            <w:tcW w:w="0" w:type="auto"/>
          </w:tcPr>
          <w:p>
            <w:pPr>
              <w:spacing w:line="240" w:lineRule="auto" w:before="0" w:after="0"/>
              <w:pStyle w:val="Compact"/>
            </w:pPr>
            <w:r>
              <w:rPr>
                <w:sz w:val="20"/>
                <w:szCs w:val="20"/>
              </w:rPr>
              <w:t xml:space="preserve">Proton_M_2013</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Khrunichev Proton-M Glonass anomaly 2013-07-02; RTF 2013-09-30 (Astra 2E); Roscosmos commission final report 2013-08</w:t>
            </w:r>
          </w:p>
        </w:tc>
      </w:tr>
      <w:tr>
        <w:tc>
          <w:tcPr>
            <w:tcW w:w="0" w:type="auto"/>
          </w:tcPr>
          <w:p>
            <w:pPr>
              <w:spacing w:line="240" w:lineRule="auto" w:before="0" w:after="0"/>
              <w:pStyle w:val="Compact"/>
            </w:pPr>
            <w:r>
              <w:rPr>
                <w:sz w:val="20"/>
                <w:szCs w:val="20"/>
              </w:rPr>
              <w:t xml:space="preserve">Proton_M_2014</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Khrunichev Proton-M Express-AM4R anomaly 2014-05-15; RTF 2014-09-28; Roscosmos commission report</w:t>
            </w:r>
          </w:p>
        </w:tc>
      </w:tr>
      <w:tr>
        <w:tc>
          <w:tcPr>
            <w:tcW w:w="0" w:type="auto"/>
          </w:tcPr>
          <w:p>
            <w:pPr>
              <w:spacing w:line="240" w:lineRule="auto" w:before="0" w:after="0"/>
              <w:pStyle w:val="Compact"/>
            </w:pPr>
            <w:r>
              <w:rPr>
                <w:sz w:val="20"/>
                <w:szCs w:val="20"/>
              </w:rPr>
              <w:t xml:space="preserve">Proton_M_2015</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Khrunichev Proton-M Centenario anomaly 2015-05-16; RTF 2015-08-28 (Inmarsat-5 F3); Roscosmos commission report</w:t>
            </w:r>
          </w:p>
        </w:tc>
      </w:tr>
      <w:tr>
        <w:tc>
          <w:tcPr>
            <w:tcW w:w="0" w:type="auto"/>
          </w:tcPr>
          <w:p>
            <w:pPr>
              <w:spacing w:line="240" w:lineRule="auto" w:before="0" w:after="0"/>
              <w:pStyle w:val="Compact"/>
            </w:pPr>
            <w:r>
              <w:rPr>
                <w:sz w:val="20"/>
                <w:szCs w:val="20"/>
              </w:rPr>
              <w:t xml:space="preserve">Soyuz_MS10_2018</w:t>
            </w:r>
          </w:p>
        </w:tc>
        <w:tc>
          <w:tcPr>
            <w:tcW w:w="0" w:type="auto"/>
          </w:tcPr>
          <w:p>
            <w:pPr>
              <w:spacing w:line="240" w:lineRule="auto" w:before="0" w:after="0"/>
              <w:pStyle w:val="Compact"/>
            </w:pPr>
            <w:r>
              <w:rPr>
                <w:sz w:val="20"/>
                <w:szCs w:val="20"/>
              </w:rPr>
              <w:t xml:space="preserve">Soyuz-FG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Roscosmos Soyuz MS-10 anomaly 2018-10-11; RTF 2018-12-03 (MS-11); Roscosmos commission final report 2018-11-01</w:t>
            </w:r>
          </w:p>
        </w:tc>
      </w:tr>
      <w:tr>
        <w:tc>
          <w:tcPr>
            <w:tcW w:w="0" w:type="auto"/>
          </w:tcPr>
          <w:p>
            <w:pPr>
              <w:spacing w:line="240" w:lineRule="auto" w:before="0" w:after="0"/>
              <w:pStyle w:val="Compact"/>
            </w:pPr>
            <w:r>
              <w:rPr>
                <w:sz w:val="20"/>
                <w:szCs w:val="20"/>
              </w:rPr>
              <w:t xml:space="preserve">Pegasus_HETE1_1996</w:t>
            </w:r>
          </w:p>
        </w:tc>
        <w:tc>
          <w:tcPr>
            <w:tcW w:w="0" w:type="auto"/>
          </w:tcPr>
          <w:p>
            <w:pPr>
              <w:spacing w:line="240" w:lineRule="auto" w:before="0" w:after="0"/>
              <w:pStyle w:val="Compact"/>
            </w:pPr>
            <w:r>
              <w:rPr>
                <w:sz w:val="20"/>
                <w:szCs w:val="20"/>
              </w:rPr>
              <w:t xml:space="preserve">Pegasus XL</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Orbital Sciences Pegasus XL HETE-1 anomaly 1996-11-04; RTF 1997-08-01 [illustrative duration]; NASA Class A mishap investigation report</w:t>
            </w:r>
          </w:p>
        </w:tc>
      </w:tr>
      <w:tr>
        <w:tc>
          <w:tcPr>
            <w:tcW w:w="0" w:type="auto"/>
          </w:tcPr>
          <w:p>
            <w:pPr>
              <w:spacing w:line="240" w:lineRule="auto" w:before="0" w:after="0"/>
              <w:pStyle w:val="Compact"/>
            </w:pPr>
            <w:r>
              <w:rPr>
                <w:sz w:val="20"/>
                <w:szCs w:val="20"/>
              </w:rPr>
              <w:t xml:space="preserve">Taurus_OCO_2009</w:t>
            </w:r>
          </w:p>
        </w:tc>
        <w:tc>
          <w:tcPr>
            <w:tcW w:w="0" w:type="auto"/>
          </w:tcPr>
          <w:p>
            <w:pPr>
              <w:spacing w:line="240" w:lineRule="auto" w:before="0" w:after="0"/>
              <w:pStyle w:val="Compact"/>
            </w:pPr>
            <w:r>
              <w:rPr>
                <w:sz w:val="20"/>
                <w:szCs w:val="20"/>
              </w:rPr>
              <w:t xml:space="preserve">Taurus XL 3110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Orbital Sciences Taurus XL OCO anomaly 2009-02-24; subsequent Glory anomaly 2011-03-04; NASA Independent Review Board report 2012-12</w:t>
            </w:r>
          </w:p>
        </w:tc>
      </w:tr>
      <w:tr>
        <w:tc>
          <w:tcPr>
            <w:tcW w:w="0" w:type="auto"/>
          </w:tcPr>
          <w:p>
            <w:pPr>
              <w:spacing w:line="240" w:lineRule="auto" w:before="0" w:after="0"/>
              <w:pStyle w:val="Compact"/>
            </w:pPr>
            <w:r>
              <w:rPr>
                <w:sz w:val="20"/>
                <w:szCs w:val="20"/>
              </w:rPr>
              <w:t xml:space="preserve">SpX_F9_Zuma_2018</w:t>
            </w:r>
          </w:p>
        </w:tc>
        <w:tc>
          <w:tcPr>
            <w:tcW w:w="0" w:type="auto"/>
          </w:tcPr>
          <w:p>
            <w:pPr>
              <w:spacing w:line="240" w:lineRule="auto" w:before="0" w:after="0"/>
              <w:pStyle w:val="Compact"/>
            </w:pPr>
            <w:r>
              <w:rPr>
                <w:sz w:val="20"/>
                <w:szCs w:val="20"/>
              </w:rPr>
              <w:t xml:space="preserve">Falcon 9 Block 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 Zuma 2018-01-07; no FAA mishap declared (payload-adapter issue), short operational pause; SpaceX RTF GovSat-1 2018-01-31; FAA AST status confirmed no investigation; censored event</w:t>
            </w:r>
          </w:p>
        </w:tc>
      </w:tr>
      <w:tr>
        <w:tc>
          <w:tcPr>
            <w:tcW w:w="0" w:type="auto"/>
          </w:tcPr>
          <w:p>
            <w:pPr>
              <w:spacing w:line="240" w:lineRule="auto" w:before="0" w:after="0"/>
              <w:pStyle w:val="Compact"/>
            </w:pPr>
            <w:r>
              <w:rPr>
                <w:sz w:val="20"/>
                <w:szCs w:val="20"/>
              </w:rPr>
              <w:t xml:space="preserve">SpX_F9_Starlink_2024</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 Falcon 9 Starlink Group 9-3 upper-stage anomaly 2024-07-11; RTF 2024-07-26 (Starlink 10-9); FAA AST mishap investigation closure 2024-07-25</w:t>
            </w:r>
          </w:p>
        </w:tc>
      </w:tr>
      <w:tr>
        <w:tc>
          <w:tcPr>
            <w:tcW w:w="0" w:type="auto"/>
          </w:tcPr>
          <w:p>
            <w:pPr>
              <w:spacing w:line="240" w:lineRule="auto" w:before="0" w:after="0"/>
              <w:pStyle w:val="Compact"/>
            </w:pPr>
            <w:r>
              <w:rPr>
                <w:sz w:val="20"/>
                <w:szCs w:val="20"/>
              </w:rPr>
              <w:t xml:space="preserve">SpX_F9_CRS24_2024</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SpaceX Falcon 9 first-stage landing anomaly 2024-08-28; RTF 2024-08-31 (Starlink 8-10); FAA AST limited-scope mishap closure 2024-08-30</w:t>
            </w:r>
          </w:p>
        </w:tc>
      </w:tr>
      <w:tr>
        <w:tc>
          <w:tcPr>
            <w:tcW w:w="0" w:type="auto"/>
          </w:tcPr>
          <w:p>
            <w:pPr>
              <w:spacing w:line="240" w:lineRule="auto" w:before="0" w:after="0"/>
              <w:pStyle w:val="Compact"/>
            </w:pPr>
            <w:r>
              <w:rPr>
                <w:sz w:val="20"/>
                <w:szCs w:val="20"/>
              </w:rPr>
              <w:t xml:space="preserve">SpX_F9_Crew9_2024</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SpaceX Falcon 9 upper-stage deorbit anomaly 2024-09-28 (Crew-9); RTF 2024-10-19 (Hera); FAA AST closure 2024-10-11</w:t>
            </w:r>
          </w:p>
        </w:tc>
      </w:tr>
      <w:tr>
        <w:tc>
          <w:tcPr>
            <w:tcW w:w="0" w:type="auto"/>
          </w:tcPr>
          <w:p>
            <w:pPr>
              <w:spacing w:line="240" w:lineRule="auto" w:before="0" w:after="0"/>
              <w:pStyle w:val="Compact"/>
            </w:pPr>
            <w:r>
              <w:rPr>
                <w:sz w:val="20"/>
                <w:szCs w:val="20"/>
              </w:rPr>
              <w:t xml:space="preserve">Firefly_Alpha_F1_2021</w:t>
            </w:r>
          </w:p>
        </w:tc>
        <w:tc>
          <w:tcPr>
            <w:tcW w:w="0" w:type="auto"/>
          </w:tcPr>
          <w:p>
            <w:pPr>
              <w:spacing w:line="240" w:lineRule="auto" w:before="0" w:after="0"/>
              <w:pStyle w:val="Compact"/>
            </w:pPr>
            <w:r>
              <w:rPr>
                <w:sz w:val="20"/>
                <w:szCs w:val="20"/>
              </w:rPr>
              <w:t xml:space="preserve">Alpha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Firefly Aerospace Alpha FLTA001 anomaly 2021-09-02; RTF FLTA002 2022-10-01 (To The Black); FAA AST closure; Firefly investigation summary</w:t>
            </w:r>
          </w:p>
        </w:tc>
      </w:tr>
      <w:tr>
        <w:tc>
          <w:tcPr>
            <w:tcW w:w="0" w:type="auto"/>
          </w:tcPr>
          <w:p>
            <w:pPr>
              <w:spacing w:line="240" w:lineRule="auto" w:before="0" w:after="0"/>
              <w:pStyle w:val="Compact"/>
            </w:pPr>
            <w:r>
              <w:rPr>
                <w:sz w:val="20"/>
                <w:szCs w:val="20"/>
              </w:rPr>
              <w:t xml:space="preserve">Firefly_Alpha_F3_2023</w:t>
            </w:r>
          </w:p>
        </w:tc>
        <w:tc>
          <w:tcPr>
            <w:tcW w:w="0" w:type="auto"/>
          </w:tcPr>
          <w:p>
            <w:pPr>
              <w:spacing w:line="240" w:lineRule="auto" w:before="0" w:after="0"/>
              <w:pStyle w:val="Compact"/>
            </w:pPr>
            <w:r>
              <w:rPr>
                <w:sz w:val="20"/>
                <w:szCs w:val="20"/>
              </w:rPr>
              <w:t xml:space="preserve">Alpha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Firefly Aerospace Alpha FLTA003 anomaly 2023-09-19 (Victus Nox apparent success but partial); RTF FLTA004 2024-03-26 [illustrative duration boundary]; Firefly statement</w:t>
            </w:r>
          </w:p>
        </w:tc>
      </w:tr>
      <w:tr>
        <w:tc>
          <w:tcPr>
            <w:tcW w:w="0" w:type="auto"/>
          </w:tcPr>
          <w:p>
            <w:pPr>
              <w:spacing w:line="240" w:lineRule="auto" w:before="0" w:after="0"/>
              <w:pStyle w:val="Compact"/>
            </w:pPr>
            <w:r>
              <w:rPr>
                <w:sz w:val="20"/>
                <w:szCs w:val="20"/>
              </w:rPr>
              <w:t xml:space="preserve">ABL_RS1_2023</w:t>
            </w:r>
          </w:p>
        </w:tc>
        <w:tc>
          <w:tcPr>
            <w:tcW w:w="0" w:type="auto"/>
          </w:tcPr>
          <w:p>
            <w:pPr>
              <w:spacing w:line="240" w:lineRule="auto" w:before="0" w:after="0"/>
              <w:pStyle w:val="Compact"/>
            </w:pPr>
            <w:r>
              <w:rPr>
                <w:sz w:val="20"/>
                <w:szCs w:val="20"/>
              </w:rPr>
              <w:t xml:space="preserve">RS1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ABL Space Systems RS1 anomaly 2023-01-10; no FAA mishap closure within window; company exit launch 2024-08; censored at exit; ABL public statement 2024-08-07</w:t>
            </w:r>
          </w:p>
        </w:tc>
      </w:tr>
      <w:tr>
        <w:tc>
          <w:tcPr>
            <w:tcW w:w="0" w:type="auto"/>
          </w:tcPr>
          <w:p>
            <w:pPr>
              <w:spacing w:line="240" w:lineRule="auto" w:before="0" w:after="0"/>
              <w:pStyle w:val="Compact"/>
            </w:pPr>
            <w:r>
              <w:rPr>
                <w:sz w:val="20"/>
                <w:szCs w:val="20"/>
              </w:rPr>
              <w:t xml:space="preserve">Relativity_Terran1_2023</w:t>
            </w:r>
          </w:p>
        </w:tc>
        <w:tc>
          <w:tcPr>
            <w:tcW w:w="0" w:type="auto"/>
          </w:tcPr>
          <w:p>
            <w:pPr>
              <w:spacing w:line="240" w:lineRule="auto" w:before="0" w:after="0"/>
              <w:pStyle w:val="Compact"/>
            </w:pPr>
            <w:r>
              <w:rPr>
                <w:sz w:val="20"/>
                <w:szCs w:val="20"/>
              </w:rPr>
              <w:t xml:space="preserve">Terran 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Relativity Space Terran 1 Good Luck Have Fun anomaly 2023-03-22; vehicle retired in favor of Terran R; no RTF for Terran 1; censored at program closure; Relativity announcement 2023-04-12</w:t>
            </w:r>
          </w:p>
        </w:tc>
      </w:tr>
      <w:tr>
        <w:tc>
          <w:tcPr>
            <w:tcW w:w="0" w:type="auto"/>
          </w:tcPr>
          <w:p>
            <w:pPr>
              <w:spacing w:line="240" w:lineRule="auto" w:before="0" w:after="0"/>
              <w:pStyle w:val="Compact"/>
            </w:pPr>
            <w:r>
              <w:rPr>
                <w:sz w:val="20"/>
                <w:szCs w:val="20"/>
              </w:rPr>
              <w:t xml:space="preserve">Blue_Origin_NS23_2022</w:t>
            </w:r>
          </w:p>
        </w:tc>
        <w:tc>
          <w:tcPr>
            <w:tcW w:w="0" w:type="auto"/>
          </w:tcPr>
          <w:p>
            <w:pPr>
              <w:spacing w:line="240" w:lineRule="auto" w:before="0" w:after="0"/>
              <w:pStyle w:val="Compact"/>
            </w:pPr>
            <w:r>
              <w:rPr>
                <w:sz w:val="20"/>
                <w:szCs w:val="20"/>
              </w:rPr>
              <w:t xml:space="preserve">New Shepard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Blue Origin New Shepard NS-23 anomaly 2022-09-12; RTF NS-24 (uncrewed payload) 2023-12-19; FAA AST mishap closure 2023-09-27</w:t>
            </w:r>
          </w:p>
        </w:tc>
      </w:tr>
      <w:tr>
        <w:tc>
          <w:tcPr>
            <w:tcW w:w="0" w:type="auto"/>
          </w:tcPr>
          <w:p>
            <w:pPr>
              <w:spacing w:line="240" w:lineRule="auto" w:before="0" w:after="0"/>
              <w:pStyle w:val="Compact"/>
            </w:pPr>
            <w:r>
              <w:rPr>
                <w:sz w:val="20"/>
                <w:szCs w:val="20"/>
              </w:rPr>
              <w:t xml:space="preserve">Starliner_OFT_2019</w:t>
            </w:r>
          </w:p>
        </w:tc>
        <w:tc>
          <w:tcPr>
            <w:tcW w:w="0" w:type="auto"/>
          </w:tcPr>
          <w:p>
            <w:pPr>
              <w:spacing w:line="240" w:lineRule="auto" w:before="0" w:after="0"/>
              <w:pStyle w:val="Compact"/>
            </w:pPr>
            <w:r>
              <w:rPr>
                <w:sz w:val="20"/>
                <w:szCs w:val="20"/>
              </w:rPr>
              <w:t xml:space="preserve">Atlas V N22 (Starliner)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Boeing Starliner OFT anomaly 2019-12-20; OFT-2 RTF 2022-05-19; NASA-Boeing Independent Review Team final report 2020-03-06; NASA OIG report IG-20-005</w:t>
            </w:r>
          </w:p>
        </w:tc>
      </w:tr>
      <w:tr>
        <w:tc>
          <w:tcPr>
            <w:tcW w:w="0" w:type="auto"/>
          </w:tcPr>
          <w:p>
            <w:pPr>
              <w:spacing w:line="240" w:lineRule="auto" w:before="0" w:after="0"/>
              <w:pStyle w:val="Compact"/>
            </w:pPr>
            <w:r>
              <w:rPr>
                <w:sz w:val="20"/>
                <w:szCs w:val="20"/>
              </w:rPr>
              <w:t xml:space="preserve">Starship_IFT1_2023</w:t>
            </w:r>
          </w:p>
        </w:tc>
        <w:tc>
          <w:tcPr>
            <w:tcW w:w="0" w:type="auto"/>
          </w:tcPr>
          <w:p>
            <w:pPr>
              <w:spacing w:line="240" w:lineRule="auto" w:before="0" w:after="0"/>
              <w:pStyle w:val="Compact"/>
            </w:pPr>
            <w:r>
              <w:rPr>
                <w:sz w:val="20"/>
                <w:szCs w:val="20"/>
              </w:rPr>
              <w:t xml:space="preserve">Starship</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Starship IFT-1 anomaly 2023-04-20; FAA Written Reevaluation closure 2023-09-08; IFT-2 RTF 2023-11-18; FAA AST mishap closure letter 2023-09-08</w:t>
            </w:r>
          </w:p>
        </w:tc>
      </w:tr>
      <w:tr>
        <w:tc>
          <w:tcPr>
            <w:tcW w:w="0" w:type="auto"/>
          </w:tcPr>
          <w:p>
            <w:pPr>
              <w:spacing w:line="240" w:lineRule="auto" w:before="0" w:after="0"/>
              <w:pStyle w:val="Compact"/>
            </w:pPr>
            <w:r>
              <w:rPr>
                <w:sz w:val="20"/>
                <w:szCs w:val="20"/>
              </w:rPr>
              <w:t xml:space="preserve">Starship_IFT2_2023</w:t>
            </w:r>
          </w:p>
        </w:tc>
        <w:tc>
          <w:tcPr>
            <w:tcW w:w="0" w:type="auto"/>
          </w:tcPr>
          <w:p>
            <w:pPr>
              <w:spacing w:line="240" w:lineRule="auto" w:before="0" w:after="0"/>
              <w:pStyle w:val="Compact"/>
            </w:pPr>
            <w:r>
              <w:rPr>
                <w:sz w:val="20"/>
                <w:szCs w:val="20"/>
              </w:rPr>
              <w:t xml:space="preserve">Starship</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Starship IFT-2 anomaly 2023-11-18; IFT-3 RTF 2024-03-14; FAA AST mishap closure 2024-02-26</w:t>
            </w:r>
          </w:p>
        </w:tc>
      </w:tr>
      <w:tr>
        <w:tc>
          <w:tcPr>
            <w:tcW w:w="0" w:type="auto"/>
          </w:tcPr>
          <w:p>
            <w:pPr>
              <w:spacing w:line="240" w:lineRule="auto" w:before="0" w:after="0"/>
              <w:pStyle w:val="Compact"/>
            </w:pPr>
            <w:r>
              <w:rPr>
                <w:sz w:val="20"/>
                <w:szCs w:val="20"/>
              </w:rPr>
              <w:t xml:space="preserve">Starship_IFT7_2025</w:t>
            </w:r>
          </w:p>
        </w:tc>
        <w:tc>
          <w:tcPr>
            <w:tcW w:w="0" w:type="auto"/>
          </w:tcPr>
          <w:p>
            <w:pPr>
              <w:spacing w:line="240" w:lineRule="auto" w:before="0" w:after="0"/>
              <w:pStyle w:val="Compact"/>
            </w:pPr>
            <w:r>
              <w:rPr>
                <w:sz w:val="20"/>
                <w:szCs w:val="20"/>
              </w:rPr>
              <w:t xml:space="preserve">Starship</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 Starship IFT-7 anomaly 2025-01-16 (Block 2 upper-stage); IFT-8 RTF 2025-03-06; FAA AST closure 2025-02-28</w:t>
            </w:r>
          </w:p>
        </w:tc>
      </w:tr>
      <w:tr>
        <w:tc>
          <w:tcPr>
            <w:tcW w:w="0" w:type="auto"/>
          </w:tcPr>
          <w:p>
            <w:pPr>
              <w:spacing w:line="240" w:lineRule="auto" w:before="0" w:after="0"/>
              <w:pStyle w:val="Compact"/>
            </w:pPr>
            <w:r>
              <w:rPr>
                <w:sz w:val="20"/>
                <w:szCs w:val="20"/>
              </w:rPr>
              <w:t xml:space="preserve">Starship_IFT8_2025</w:t>
            </w:r>
          </w:p>
        </w:tc>
        <w:tc>
          <w:tcPr>
            <w:tcW w:w="0" w:type="auto"/>
          </w:tcPr>
          <w:p>
            <w:pPr>
              <w:spacing w:line="240" w:lineRule="auto" w:before="0" w:after="0"/>
              <w:pStyle w:val="Compact"/>
            </w:pPr>
            <w:r>
              <w:rPr>
                <w:sz w:val="20"/>
                <w:szCs w:val="20"/>
              </w:rPr>
              <w:t xml:space="preserve">Starship</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 Starship IFT-8 anomaly 2025-03-06; IFT-9 RTF 2025-05-27 [based on FAA reauthorization 2025-05-22 and SpaceX manifest]; FAA AST closure 2025-05-22</w:t>
            </w:r>
          </w:p>
        </w:tc>
      </w:tr>
      <w:tr>
        <w:tc>
          <w:tcPr>
            <w:tcW w:w="0" w:type="auto"/>
          </w:tcPr>
          <w:p>
            <w:pPr>
              <w:spacing w:line="240" w:lineRule="auto" w:before="0" w:after="0"/>
              <w:pStyle w:val="Compact"/>
            </w:pPr>
            <w:r>
              <w:rPr>
                <w:sz w:val="20"/>
                <w:szCs w:val="20"/>
              </w:rPr>
              <w:t xml:space="preserve">GS_Daytona_2024</w:t>
            </w:r>
          </w:p>
        </w:tc>
        <w:tc>
          <w:tcPr>
            <w:tcW w:w="0" w:type="auto"/>
          </w:tcPr>
          <w:p>
            <w:pPr>
              <w:spacing w:line="240" w:lineRule="auto" w:before="0" w:after="0"/>
              <w:pStyle w:val="Compact"/>
            </w:pPr>
            <w:r>
              <w:rPr>
                <w:sz w:val="20"/>
                <w:szCs w:val="20"/>
              </w:rPr>
              <w:t xml:space="preserve">New Glenn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Blue Origin New Glenn NG-1 partial anomaly 2025-01-16 (booster lost in landing, primary mission success); FAA AST mishap investigation opened; closure outstanding at study horizon 2025-04-15; censored</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Calendar days from anomaly occurrence to FAA AST regulatory clearance for return-to-flight (or censoring date)</w:t>
            </w:r>
          </w:p>
        </w:tc>
        <w:tc>
          <w:tcPr>
            <w:tcW w:w="0" w:type="auto"/>
          </w:tcPr>
          <w:p>
            <w:pPr>
              <w:spacing w:line="240" w:lineRule="auto" w:before="0" w:after="0"/>
              <w:pStyle w:val="Compact"/>
            </w:pPr>
            <w:r>
              <w:rPr>
                <w:sz w:val="20"/>
                <w:szCs w:val="20"/>
              </w:rPr>
              <w:t xml:space="preserve">Operator press releases, FAA AST mishap closure letters, NASA Independent Review Board reports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return-to-flight observed within study window (closure 2025-04-15); 0 if right-censored (program closure, company exit, ongoing investigation)</w:t>
            </w:r>
          </w:p>
        </w:tc>
        <w:tc>
          <w:tcPr>
            <w:tcW w:w="0" w:type="auto"/>
          </w:tcPr>
          <w:p>
            <w:pPr>
              <w:spacing w:line="240" w:lineRule="auto" w:before="0" w:after="0"/>
              <w:pStyle w:val="Compact"/>
            </w:pPr>
            <w:r>
              <w:rPr>
                <w:sz w:val="20"/>
                <w:szCs w:val="20"/>
              </w:rPr>
              <w:t xml:space="preserve">FAA AST docket and operator filings</w:t>
            </w:r>
          </w:p>
        </w:tc>
      </w:tr>
      <w:tr>
        <w:tc>
          <w:tcPr>
            <w:tcW w:w="0" w:type="auto"/>
          </w:tcPr>
          <w:p>
            <w:pPr>
              <w:spacing w:line="240" w:lineRule="auto" w:before="0" w:after="0"/>
              <w:pStyle w:val="Compact"/>
            </w:pPr>
            <w:r>
              <w:rPr>
                <w:sz w:val="20"/>
                <w:szCs w:val="20"/>
              </w:rPr>
              <w:t xml:space="preserve">phase_ascent</w:t>
            </w:r>
          </w:p>
        </w:tc>
        <w:tc>
          <w:tcPr>
            <w:tcW w:w="0" w:type="auto"/>
          </w:tcPr>
          <w:p>
            <w:pPr>
              <w:spacing w:line="240" w:lineRule="auto" w:before="0" w:after="0"/>
              <w:pStyle w:val="Compact"/>
            </w:pPr>
            <w:r>
              <w:rPr>
                <w:sz w:val="20"/>
                <w:szCs w:val="20"/>
              </w:rPr>
              <w:t xml:space="preserve">Indicator equal to 1 if anomaly occurred during powered-ascent first stage; 0 if stage separation, upper stage, or post-deployment</w:t>
            </w:r>
          </w:p>
        </w:tc>
        <w:tc>
          <w:tcPr>
            <w:tcW w:w="0" w:type="auto"/>
          </w:tcPr>
          <w:p>
            <w:pPr>
              <w:spacing w:line="240" w:lineRule="auto" w:before="0" w:after="0"/>
              <w:pStyle w:val="Compact"/>
            </w:pPr>
            <w:r>
              <w:rPr>
                <w:sz w:val="20"/>
                <w:szCs w:val="20"/>
              </w:rPr>
              <w:t xml:space="preserve">Independent Review Team and Accident Investigation Board reports cited per row</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Indicator equal to 1 for commercial broadband/communications/rideshare payloads; 0 for science, national security, or human spaceflight</w:t>
            </w:r>
          </w:p>
        </w:tc>
        <w:tc>
          <w:tcPr>
            <w:tcW w:w="0" w:type="auto"/>
          </w:tcPr>
          <w:p>
            <w:pPr>
              <w:spacing w:line="240" w:lineRule="auto" w:before="0" w:after="0"/>
              <w:pStyle w:val="Compact"/>
            </w:pPr>
            <w:r>
              <w:rPr>
                <w:sz w:val="20"/>
                <w:szCs w:val="20"/>
              </w:rPr>
              <w:t xml:space="preserve">Operator manifests and FAA AST license records</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Indicator equal to 1 if operator anomaly-response disclosure references AI-assisted or ML-assisted decision support of the kind documented at AMOS 2025 [1]; 0 otherwise</w:t>
            </w:r>
          </w:p>
        </w:tc>
        <w:tc>
          <w:tcPr>
            <w:tcW w:w="0" w:type="auto"/>
          </w:tcPr>
          <w:p>
            <w:pPr>
              <w:spacing w:line="240" w:lineRule="auto" w:before="0" w:after="0"/>
              <w:pStyle w:val="Compact"/>
            </w:pPr>
            <w:r>
              <w:rPr>
                <w:sz w:val="20"/>
                <w:szCs w:val="20"/>
              </w:rPr>
              <w:t xml:space="preserve">Operator earnings calls, FAA AST mishap closure narratives, anomaly-response documentation cross-referenced to [1]</w:t>
            </w:r>
          </w:p>
        </w:tc>
      </w:tr>
      <w:tr>
        <w:tc>
          <w:tcPr>
            <w:tcW w:w="0" w:type="auto"/>
          </w:tcPr>
          <w:p>
            <w:pPr>
              <w:spacing w:line="240" w:lineRule="auto" w:before="0" w:after="0"/>
              <w:pStyle w:val="Compact"/>
            </w:pPr>
            <w:r>
              <w:rPr>
                <w:sz w:val="20"/>
                <w:szCs w:val="20"/>
              </w:rPr>
              <w:t xml:space="preserve">prior_inv_count</w:t>
            </w:r>
          </w:p>
        </w:tc>
        <w:tc>
          <w:tcPr>
            <w:tcW w:w="0" w:type="auto"/>
          </w:tcPr>
          <w:p>
            <w:pPr>
              <w:spacing w:line="240" w:lineRule="auto" w:before="0" w:after="0"/>
              <w:pStyle w:val="Compact"/>
            </w:pPr>
            <w:r>
              <w:rPr>
                <w:sz w:val="20"/>
                <w:szCs w:val="20"/>
              </w:rPr>
              <w:t xml:space="preserve">Operator count of prior FAA AST mishap investigations for this vehicle family in the preceding 60 months</w:t>
            </w:r>
          </w:p>
        </w:tc>
        <w:tc>
          <w:tcPr>
            <w:tcW w:w="0" w:type="auto"/>
          </w:tcPr>
          <w:p>
            <w:pPr>
              <w:spacing w:line="240" w:lineRule="auto" w:before="0" w:after="0"/>
              <w:pStyle w:val="Compact"/>
            </w:pPr>
            <w:r>
              <w:rPr>
                <w:sz w:val="20"/>
                <w:szCs w:val="20"/>
              </w:rPr>
              <w:t xml:space="preserve">FAA AST docket</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Row-level source citation; every observation carries a documented primary reference</w:t>
            </w:r>
          </w:p>
        </w:tc>
        <w:tc>
          <w:tcPr>
            <w:tcW w:w="0" w:type="auto"/>
          </w:tcPr>
          <w:p>
            <w:pPr>
              <w:spacing w:line="240" w:lineRule="auto" w:before="0" w:after="0"/>
              <w:pStyle w:val="Compact"/>
            </w:pPr>
            <w:r>
              <w:rPr>
                <w:sz w:val="20"/>
                <w:szCs w:val="20"/>
              </w:rPr>
              <w:t xml:space="preserve">row-attached</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phase_ascent</w:t>
            </w:r>
          </w:p>
        </w:tc>
        <w:tc>
          <w:tcPr>
            <w:tcW w:w="0" w:type="auto"/>
          </w:tcPr>
          <w:p>
            <w:pPr>
              <w:spacing w:line="240" w:lineRule="auto" w:before="0" w:after="0"/>
              <w:pStyle w:val="Compact"/>
            </w:pPr>
            <w:r>
              <w:rPr>
                <w:sz w:val="20"/>
                <w:szCs w:val="20"/>
              </w:rPr>
              <w:t xml:space="preserve">0.3092</w:t>
            </w:r>
          </w:p>
        </w:tc>
        <w:tc>
          <w:tcPr>
            <w:tcW w:w="0" w:type="auto"/>
          </w:tcPr>
          <w:p>
            <w:pPr>
              <w:spacing w:line="240" w:lineRule="auto" w:before="0" w:after="0"/>
              <w:pStyle w:val="Compact"/>
            </w:pPr>
            <w:r>
              <w:rPr>
                <w:sz w:val="20"/>
                <w:szCs w:val="20"/>
              </w:rPr>
              <w:t xml:space="preserve">0.398</w:t>
            </w:r>
          </w:p>
        </w:tc>
        <w:tc>
          <w:tcPr>
            <w:tcW w:w="0" w:type="auto"/>
          </w:tcPr>
          <w:p>
            <w:pPr>
              <w:spacing w:line="240" w:lineRule="auto" w:before="0" w:after="0"/>
              <w:pStyle w:val="Compact"/>
            </w:pPr>
            <w:r>
              <w:rPr>
                <w:sz w:val="20"/>
                <w:szCs w:val="20"/>
              </w:rPr>
              <w:t xml:space="preserve">0.777</w:t>
            </w:r>
          </w:p>
        </w:tc>
        <w:tc>
          <w:tcPr>
            <w:tcW w:w="0" w:type="auto"/>
          </w:tcPr>
          <w:p>
            <w:pPr>
              <w:spacing w:line="240" w:lineRule="auto" w:before="0" w:after="0"/>
              <w:pStyle w:val="Compact"/>
            </w:pPr>
            <w:r>
              <w:rPr>
                <w:sz w:val="20"/>
                <w:szCs w:val="20"/>
              </w:rPr>
              <w:t xml:space="preserve">0.4372</w:t>
            </w:r>
          </w:p>
        </w:tc>
        <w:tc>
          <w:tcPr>
            <w:tcW w:w="0" w:type="auto"/>
          </w:tcPr>
          <w:p>
            <w:pPr>
              <w:spacing w:line="240" w:lineRule="auto" w:before="0" w:after="0"/>
              <w:pStyle w:val="Compact"/>
            </w:pPr>
            <w:r>
              <w:rPr>
                <w:sz w:val="20"/>
                <w:szCs w:val="20"/>
              </w:rPr>
              <w:t xml:space="preserve">[-0.4708, 1.0892]</w:t>
            </w:r>
          </w:p>
        </w:tc>
        <w:tc>
          <w:tcPr>
            <w:tcW w:w="0" w:type="auto"/>
          </w:tcPr>
          <w:p>
            <w:pPr>
              <w:spacing w:line="240" w:lineRule="auto" w:before="0" w:after="0"/>
              <w:pStyle w:val="Compact"/>
            </w:pPr>
            <w:r>
              <w:rPr>
                <w:sz w:val="20"/>
                <w:szCs w:val="20"/>
              </w:rPr>
              <w:t xml:space="preserve">1.3624</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0.059</w:t>
            </w:r>
          </w:p>
        </w:tc>
        <w:tc>
          <w:tcPr>
            <w:tcW w:w="0" w:type="auto"/>
          </w:tcPr>
          <w:p>
            <w:pPr>
              <w:spacing w:line="240" w:lineRule="auto" w:before="0" w:after="0"/>
              <w:pStyle w:val="Compact"/>
            </w:pPr>
            <w:r>
              <w:rPr>
                <w:sz w:val="20"/>
                <w:szCs w:val="20"/>
              </w:rPr>
              <w:t xml:space="preserve">0.3971</w:t>
            </w:r>
          </w:p>
        </w:tc>
        <w:tc>
          <w:tcPr>
            <w:tcW w:w="0" w:type="auto"/>
          </w:tcPr>
          <w:p>
            <w:pPr>
              <w:spacing w:line="240" w:lineRule="auto" w:before="0" w:after="0"/>
              <w:pStyle w:val="Compact"/>
            </w:pPr>
            <w:r>
              <w:rPr>
                <w:sz w:val="20"/>
                <w:szCs w:val="20"/>
              </w:rPr>
              <w:t xml:space="preserve">0.1486</w:t>
            </w:r>
          </w:p>
        </w:tc>
        <w:tc>
          <w:tcPr>
            <w:tcW w:w="0" w:type="auto"/>
          </w:tcPr>
          <w:p>
            <w:pPr>
              <w:spacing w:line="240" w:lineRule="auto" w:before="0" w:after="0"/>
              <w:pStyle w:val="Compact"/>
            </w:pPr>
            <w:r>
              <w:rPr>
                <w:sz w:val="20"/>
                <w:szCs w:val="20"/>
              </w:rPr>
              <w:t xml:space="preserve">0.8819</w:t>
            </w:r>
          </w:p>
        </w:tc>
        <w:tc>
          <w:tcPr>
            <w:tcW w:w="0" w:type="auto"/>
          </w:tcPr>
          <w:p>
            <w:pPr>
              <w:spacing w:line="240" w:lineRule="auto" w:before="0" w:after="0"/>
              <w:pStyle w:val="Compact"/>
            </w:pPr>
            <w:r>
              <w:rPr>
                <w:sz w:val="20"/>
                <w:szCs w:val="20"/>
              </w:rPr>
              <w:t xml:space="preserve">[-0.7192, 0.8372]</w:t>
            </w:r>
          </w:p>
        </w:tc>
        <w:tc>
          <w:tcPr>
            <w:tcW w:w="0" w:type="auto"/>
          </w:tcPr>
          <w:p>
            <w:pPr>
              <w:spacing w:line="240" w:lineRule="auto" w:before="0" w:after="0"/>
              <w:pStyle w:val="Compact"/>
            </w:pPr>
            <w:r>
              <w:rPr>
                <w:sz w:val="20"/>
                <w:szCs w:val="20"/>
              </w:rPr>
              <w:t xml:space="preserve">1.0608</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0.951</w:t>
            </w:r>
          </w:p>
        </w:tc>
        <w:tc>
          <w:tcPr>
            <w:tcW w:w="0" w:type="auto"/>
          </w:tcPr>
          <w:p>
            <w:pPr>
              <w:spacing w:line="240" w:lineRule="auto" w:before="0" w:after="0"/>
              <w:pStyle w:val="Compact"/>
            </w:pPr>
            <w:r>
              <w:rPr>
                <w:sz w:val="20"/>
                <w:szCs w:val="20"/>
              </w:rPr>
              <w:t xml:space="preserve">0.4341</w:t>
            </w:r>
          </w:p>
        </w:tc>
        <w:tc>
          <w:tcPr>
            <w:tcW w:w="0" w:type="auto"/>
          </w:tcPr>
          <w:p>
            <w:pPr>
              <w:spacing w:line="240" w:lineRule="auto" w:before="0" w:after="0"/>
              <w:pStyle w:val="Compact"/>
            </w:pPr>
            <w:r>
              <w:rPr>
                <w:sz w:val="20"/>
                <w:szCs w:val="20"/>
              </w:rPr>
              <w:t xml:space="preserve">2.1905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[0.1001, 1.8019]</w:t>
            </w:r>
          </w:p>
        </w:tc>
        <w:tc>
          <w:tcPr>
            <w:tcW w:w="0" w:type="auto"/>
          </w:tcPr>
          <w:p>
            <w:pPr>
              <w:spacing w:line="240" w:lineRule="auto" w:before="0" w:after="0"/>
              <w:pStyle w:val="Compact"/>
            </w:pPr>
            <w:r>
              <w:rPr>
                <w:sz w:val="20"/>
                <w:szCs w:val="20"/>
              </w:rPr>
              <w:t xml:space="preserve">2.5883</w:t>
            </w:r>
          </w:p>
        </w:tc>
      </w:tr>
      <w:tr>
        <w:tc>
          <w:tcPr>
            <w:tcW w:w="0" w:type="auto"/>
          </w:tcPr>
          <w:p>
            <w:pPr>
              <w:spacing w:line="240" w:lineRule="auto" w:before="0" w:after="0"/>
              <w:pStyle w:val="Compact"/>
            </w:pPr>
            <w:r>
              <w:rPr>
                <w:sz w:val="20"/>
                <w:szCs w:val="20"/>
              </w:rPr>
              <w:t xml:space="preserve">prior_inv_count</w:t>
            </w:r>
          </w:p>
        </w:tc>
        <w:tc>
          <w:tcPr>
            <w:tcW w:w="0" w:type="auto"/>
          </w:tcPr>
          <w:p>
            <w:pPr>
              <w:spacing w:line="240" w:lineRule="auto" w:before="0" w:after="0"/>
              <w:pStyle w:val="Compact"/>
            </w:pPr>
            <w:r>
              <w:rPr>
                <w:sz w:val="20"/>
                <w:szCs w:val="20"/>
              </w:rPr>
              <w:t xml:space="preserve">0.7672</w:t>
            </w:r>
          </w:p>
        </w:tc>
        <w:tc>
          <w:tcPr>
            <w:tcW w:w="0" w:type="auto"/>
          </w:tcPr>
          <w:p>
            <w:pPr>
              <w:spacing w:line="240" w:lineRule="auto" w:before="0" w:after="0"/>
              <w:pStyle w:val="Compact"/>
            </w:pPr>
            <w:r>
              <w:rPr>
                <w:sz w:val="20"/>
                <w:szCs w:val="20"/>
              </w:rPr>
              <w:t xml:space="preserve">0.1599</w:t>
            </w:r>
          </w:p>
        </w:tc>
        <w:tc>
          <w:tcPr>
            <w:tcW w:w="0" w:type="auto"/>
          </w:tcPr>
          <w:p>
            <w:pPr>
              <w:spacing w:line="240" w:lineRule="auto" w:before="0" w:after="0"/>
              <w:pStyle w:val="Compact"/>
            </w:pPr>
            <w:r>
              <w:rPr>
                <w:sz w:val="20"/>
                <w:szCs w:val="20"/>
              </w:rPr>
              <w:t xml:space="preserve">4.7979</w:t>
            </w:r>
          </w:p>
        </w:tc>
        <w:tc>
          <w:tcPr>
            <w:tcW w:w="0" w:type="auto"/>
          </w:tcPr>
          <w:p>
            <w:pPr>
              <w:spacing w:line="240" w:lineRule="auto" w:before="0" w:after="0"/>
              <w:pStyle w:val="Compact"/>
            </w:pPr>
            <w:r>
              <w:rPr>
                <w:sz w:val="20"/>
                <w:szCs w:val="20"/>
              </w:rPr>
              <w:t xml:space="preserve">1.603e-06</w:t>
            </w:r>
          </w:p>
        </w:tc>
        <w:tc>
          <w:tcPr>
            <w:tcW w:w="0" w:type="auto"/>
          </w:tcPr>
          <w:p>
            <w:pPr>
              <w:spacing w:line="240" w:lineRule="auto" w:before="0" w:after="0"/>
              <w:pStyle w:val="Compact"/>
            </w:pPr>
            <w:r>
              <w:rPr>
                <w:sz w:val="20"/>
                <w:szCs w:val="20"/>
              </w:rPr>
              <w:t xml:space="preserve">[0.4538, 1.0806]</w:t>
            </w:r>
          </w:p>
        </w:tc>
        <w:tc>
          <w:tcPr>
            <w:tcW w:w="0" w:type="auto"/>
          </w:tcPr>
          <w:p>
            <w:pPr>
              <w:spacing w:line="240" w:lineRule="auto" w:before="0" w:after="0"/>
              <w:pStyle w:val="Compact"/>
            </w:pPr>
            <w:r>
              <w:rPr>
                <w:sz w:val="20"/>
                <w:szCs w:val="20"/>
              </w:rPr>
              <w:t xml:space="preserve">2.1536</w:t>
            </w:r>
          </w:p>
        </w:tc>
      </w:tr>
    </w:tbl>
    <w:p>
      <w:pPr>
        <w:pStyle w:val="BodyText"/>
      </w:pPr>
      <w:r>
        <w:t xml:space="preserve">Fit: N = 39 events = 34</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2026-06-27T13:10:11Z</dcterms:created>
  <dcterms:modified xsi:type="dcterms:W3CDTF">2026-06-27T13:10:11Z</dcterms:modified>
</cp:coreProperties>
</file>

<file path=docProps/custom.xml><?xml version="1.0" encoding="utf-8"?>
<Properties xmlns="http://schemas.openxmlformats.org/officeDocument/2006/custom-properties" xmlns:vt="http://schemas.openxmlformats.org/officeDocument/2006/docPropsVTypes"/>
</file>