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2773118cf7c1ca1fcae1b7a00c270a851d76c6d"/>
    <w:p>
      <w:pPr>
        <w:pStyle w:val="Heading1"/>
      </w:pPr>
      <w:r>
        <w:t xml:space="preserve">Mishap Investigation Duration and the Cost of Grounding: A Cox Proportional-Hazards Estimate of Return-to-Flight Intervals, 2003-2025</w:t>
      </w:r>
    </w:p>
    <w:bookmarkStart w:id="61" w:name="introduction"/>
    <w:p>
      <w:pPr>
        <w:pStyle w:val="Heading2"/>
      </w:pPr>
      <w:r>
        <w:t xml:space="preserve">1. Introduction</w:t>
      </w:r>
    </w:p>
    <w:p>
      <w:pPr>
        <w:pStyle w:val="FirstParagraph"/>
      </w:pPr>
      <w:r>
        <w:t xml:space="preserve">When a licensed launch vehicle experiences an in-flight anomaly, the regulatory response is a grounding of the vehicle family pending the completion of a mishap investigation. The duration of that grounding is the load-bearing variable in the post-anomaly economics of launch services. It determines manifest slip, the propagation of delay across customer constellations, and the implicit cost imposed on downstream operators whose payloads queue behind the affected vehicle. The space-economics literature recognizes the disruption channel in qualitative terms [3, 4, 5] and treats launch services as the structural bottleneck of the broader space economy [2, 6]. The literature does not, however, supply a measurement of how the duration of regulatory grounding varies with the observable features of the underlying anomaly or with the operator’s diagnostic apparatus.</w:t>
      </w:r>
    </w:p>
    <w:p>
      <w:pPr>
        <w:pStyle w:val="BodyText"/>
      </w:pPr>
      <w:r>
        <w:t xml:space="preserve">This paper supplies that measurement. It estimates a Cox proportional-hazards model of return-to-flight (RTF) duration on a hand-compiled record of 28 launch-vehicle mishaps spanning 2003 to 2025. The model conditions the hazard of RTF on anomaly severity, operator prior-investigation count, payload commerciality, and an indicator for the presence of AI-assisted anomaly identification in the operator’s diagnostic workflow as described in the AMOS 2025 prototype literature</w:t>
      </w:r>
      <w:r>
        <w:t xml:space="preserve"> </w:t>
      </w:r>
      <w:hyperlink w:anchor="ref-1">
        <m:oMathPara>
          <m:oMathParaPr>
            <m:jc m:val="center"/>
          </m:oMathParaPr>
          <m:oMath>
            <m:r>
              <m:t>1</m:t>
            </m:r>
          </m:oMath>
        </m:oMathPara>
      </w:hyperlink>
      <w:r>
        <w:t xml:space="preserve">. The result is the first published quantitative estimate of the regulatory-clock effect of each of those covariates in a single specification.</w:t>
      </w:r>
    </w:p>
    <w:bookmarkEnd w:id="61"/>
    <w:bookmarkStart w:id="62" w:name="theory-and-hypotheses"/>
    <w:p>
      <w:pPr>
        <w:pStyle w:val="Heading2"/>
      </w:pPr>
      <w:r>
        <w:t xml:space="preserve">2. Theory and Hypotheses</w:t>
      </w:r>
    </w:p>
    <w:p>
      <w:pPr>
        <w:pStyle w:val="FirstParagraph"/>
      </w:pPr>
      <w:r>
        <w:t xml:space="preserve">The hazard of return-to-flight at calendar time t after an anomaly is a function of the regulator’s information set and of the operator’s capacity to deliver that information. Two channels are theoretically distinct. The first is severity. A catastrophic loss-of-mission anomaly presents a regulator with a larger root-cause space and, by hypothesis, a longer expected investigation</w:t>
      </w:r>
      <w:r>
        <w:t xml:space="preserve"> </w:t>
      </w:r>
      <w:hyperlink w:anchor="ref-4">
        <m:oMathPara>
          <m:oMathParaPr>
            <m:jc m:val="center"/>
          </m:oMathParaPr>
          <m:oMath>
            <m:r>
              <m:t>4</m:t>
            </m:r>
          </m:oMath>
        </m:oMathPara>
      </w:hyperlink>
      <w:r>
        <w:t xml:space="preserve">. The second is the operator’s diagnostic infrastructure. The AMOS 2025 anomaly-identification literature describes AI-assisted decision-support systems that compress the diagnostic interval at the operator</w:t>
      </w:r>
      <w:r>
        <w:t xml:space="preserve"> </w:t>
      </w:r>
      <w:hyperlink w:anchor="ref-1">
        <m:oMathPara>
          <m:oMathParaPr>
            <m:jc m:val="center"/>
          </m:oMathParaPr>
          <m:oMath>
            <m:r>
              <m:t>1</m:t>
            </m:r>
          </m:oMath>
        </m:oMathPara>
      </w:hyperlink>
      <w:r>
        <w:t xml:space="preserve">, and a recent neuro-symbolic architecture extends the same logic to autonomous spacecraft anomaly detection</w:t>
      </w:r>
      <w:r>
        <w:t xml:space="preserve"> </w:t>
      </w:r>
      <w:hyperlink w:anchor="ref-1">
        <m:oMathPara>
          <m:oMathParaPr>
            <m:jc m:val="center"/>
          </m:oMathParaPr>
          <m:oMath>
            <m:r>
              <m:t>1</m:t>
            </m:r>
          </m:oMath>
        </m:oMathPara>
      </w:hyperlink>
      <w:r>
        <w:t xml:space="preserve">. If the operator-side compression translates to the regulator-side clock, the AI-tooling indicator should raise the hazard of RTF.</w:t>
      </w:r>
    </w:p>
    <w:p>
      <w:pPr>
        <w:pStyle w:val="FirstParagraph"/>
      </w:pPr>
      <w:r>
        <w:t xml:space="preserve">The space-economics framing supplies two further covariates. Commercial payload classes are exposed to a denser downstream queue [3, 5], which may exert market pressure on the regulator and the operator to accelerate the clock. Operators with a longer history of prior investigations face a regulator with a richer prior over the operator’s failure modes [4, 6]; the direction of that effect is theoretically ambiguous.</w:t>
      </w:r>
    </w:p>
    <w:p>
      <w:pPr>
        <w:pStyle w:val="BodyText"/>
      </w:pPr>
      <w:r>
        <w:t xml:space="preserve">The single falsifiable hypothesis tested here is the AI-tooling hypothesis from the prospectus.</w:t>
      </w:r>
    </w:p>
    <w:p>
      <w:pPr>
        <w:pStyle w:val="BodyText"/>
      </w:pPr>
      <w:r>
        <w:t xml:space="preserve">H0: conditional on severity, prior-investigation count, and payload commerciality, the coefficient on the AI-tooling indicator in a Cox proportional-hazards specification of RTF is statistically indistinguishable from zero.</w:t>
      </w:r>
    </w:p>
    <w:p>
      <w:pPr>
        <w:pStyle w:val="BodyText"/>
      </w:pPr>
      <w:r>
        <w:t xml:space="preserve">H1: conditional on the same covariates, the coefficient on AI-tooling is positive and statistically distinguishable from zero.</w:t>
      </w:r>
    </w:p>
    <w:bookmarkEnd w:id="62"/>
    <w:bookmarkStart w:id="63" w:name="data"/>
    <w:p>
      <w:pPr>
        <w:pStyle w:val="Heading2"/>
      </w:pPr>
      <w:r>
        <w:t xml:space="preserve">3. Data</w:t>
      </w:r>
    </w:p>
    <w:p>
      <w:pPr>
        <w:pStyle w:val="FirstParagraph"/>
      </w:pPr>
      <w:r>
        <w:t xml:space="preserve">The estimation sample is a panel of 28 post-anomaly grounding events between 2003 and 2025, hand-compiled from FAA Office of Commercial Space Transportation mishap dockets, operator press releases announcing return-to-flight, and national-regulator commission reports for non-US vehicles (Roscosmos, ESA, JAXA, CASC). The unit of analysis is a single mishap-RTF pair. Vehicles include Falcon 9 (across the v1.1 and Block 5 generations), Falcon 1, Antares, Electron, Astra Rocket 3.3, Vega, Vega C, Proton-M, Ariane 5, Soyuz-FG, Long March 5, H-IIA, H3, Firefly Alpha, ABL RS1, Terran 1, LauncherOne, Atlas V, and one Delta IV Heavy approximation.</w:t>
      </w:r>
    </w:p>
    <w:p>
      <w:pPr>
        <w:pStyle w:val="BodyText"/>
      </w:pPr>
      <w:r>
        <w:t xml:space="preserve">Three covariates are coded from primary documents. Severity is the regulator-recognized mishap classification on a three-point ordinal scale. AI-tooling is an indicator constructed from the operator’s anomaly-response disclosure cross-referenced to the AMOS 2025 prototype timeline</w:t>
      </w:r>
      <w:r>
        <w:t xml:space="preserve"> </w:t>
      </w:r>
      <w:hyperlink w:anchor="ref-1">
        <m:oMathPara>
          <m:oMathParaPr>
            <m:jc m:val="center"/>
          </m:oMathParaPr>
          <m:oMath>
            <m:r>
              <m:t>1</m:t>
            </m:r>
          </m:oMath>
        </m:oMathPara>
      </w:hyperlink>
      <w:r>
        <w:t xml:space="preserve">. Prior-investigations is a running count of the operator’s previous mishap investigations at the focal event. Payload-commercial is a binary indicator drawn from FCC and equivalent licensing filings. The full source attribution for every row is recorded in the data file’s source column. Three of 28 rows (11 percent) carry illustrative values where a documented duration was not obtainable; those rows are flagged in-line.</w:t>
      </w:r>
    </w:p>
    <w:p>
      <w:pPr>
        <w:pStyle w:val="FirstParagraph"/>
      </w:pPr>
      <w:r>
        <w:t xml:space="preserve">Three observations are right-censored: ABL RS1, Relativity Terran 1, and Virgin Orbit LauncherOne, in each case because the operator ceased flight operations or entered bankruptcy without achieving regulatory return-to-flight. The remaining 25 observations are events.</w:t>
      </w:r>
    </w:p>
    <w:bookmarkEnd w:id="63"/>
    <w:bookmarkStart w:id="64" w:name="method"/>
    <w:p>
      <w:pPr>
        <w:pStyle w:val="Heading2"/>
      </w:pPr>
      <w:r>
        <w:t xml:space="preserve">4. Method</w:t>
      </w:r>
    </w:p>
    <w:p>
      <w:pPr>
        <w:pStyle w:val="FirstParagraph"/>
      </w:pPr>
      <w:r>
        <w:t xml:space="preserve">The estimation is a Cox proportional-hazards specification. The hazard of RTF at time t conditional on covariate vector X is the product of an unspecified baseline hazard and an exponentiated linear index of the covariates. Estimation is by partial likelihood. The four covariates entered in the linear index are severity, AI-tooling, prior-investigations, and payload-commercial. Standard errors are the partial-likelihood asymptotic standard errors reported by the estimator. With 25 events the partial-likelihood inference is small-sample; the discussion treats the p-values as indicative rather than definitive.</w:t>
      </w:r>
    </w:p>
    <w:bookmarkEnd w:id="64"/>
    <w:bookmarkStart w:id="65" w:name="findings"/>
    <w:p>
      <w:pPr>
        <w:pStyle w:val="Heading2"/>
      </w:pPr>
      <w:r>
        <w:t xml:space="preserve">5. Findings</w:t>
      </w:r>
    </w:p>
    <w:p>
      <w:pPr>
        <w:pStyle w:val="FirstParagraph"/>
      </w:pPr>
      <w:r>
        <w:t xml:space="preserve">The fitted model returns 28 observations with 25 events. The four estimated coefficients are as follows.</w:t>
      </w:r>
    </w:p>
    <w:p>
      <w:pPr>
        <w:pStyle w:val="BodyText"/>
      </w:pPr>
      <w:r>
        <w:t xml:space="preserve">Severity is estimated at minus 1.2352 with a p-value of 0.0038. The negative sign on severity in a Cox specification of RTF means that more severe anomalies lower the hazard of return-to-flight, that is, lengthen the expected grounding. The effect is statistically distinguishable from zero at the one-percent level. A one-step increase on the three-point severity scale shifts the hazard ratio by a factor of approximately 0.29, that is, cuts the instantaneous probability of RTF clearance by roughly seventy-one percent at any given moment in the post-anomaly interval. This is the most stable finding in the specification and confirms the theoretical prior in section 2.</w:t>
      </w:r>
    </w:p>
    <w:p>
      <w:pPr>
        <w:pStyle w:val="BodyText"/>
      </w:pPr>
      <w:r>
        <w:t xml:space="preserve">The AI-tooling indicator is estimated at minus 0.18 with a p-value of 0.7733. The point estimate is essentially zero and the null of no effect cannot be rejected at any conventional level. The H0 of the AI-tooling hypothesis is not rejected. The 28-observation sample with 25 events does not provide statistical power to detect the operator-to-regulator compression mechanism described in section 2. This is consistent with two distinct interpretations. The first is that the mechanism is real but small relative to the sampling variability available in the public-record sample. The second is that the operator-side diagnostic compression documented in the AMOS literature</w:t>
      </w:r>
      <w:r>
        <w:t xml:space="preserve"> </w:t>
      </w:r>
      <w:hyperlink w:anchor="ref-1">
        <m:oMathPara>
          <m:oMathParaPr>
            <m:jc m:val="center"/>
          </m:oMathParaPr>
          <m:oMath>
            <m:r>
              <m:t>1</m:t>
            </m:r>
          </m:oMath>
        </m:oMathPara>
      </w:hyperlink>
      <w:r>
        <w:t xml:space="preserve"> </w:t>
      </w:r>
      <w:r>
        <w:t xml:space="preserve">does not in fact translate into a shortened regulatory clock, because the regulator’s information set is not bound by the operator’s diagnostic interval. The data do not adjudicate between these two readings.</w:t>
      </w:r>
    </w:p>
    <w:p>
      <w:pPr>
        <w:pStyle w:val="FirstParagraph"/>
      </w:pPr>
      <w:r>
        <w:t xml:space="preserve">Prior-investigations is estimated at 0.7376 with a p-value of 0.0008. The positive sign and the one-tenth-of-one-percent significance indicate that operators with a deeper history of prior mishap investigations face a higher hazard of RTF after a new anomaly, that is, a shorter expected grounding. Each additional prior investigation multiplies the hazard by a factor of approximately 2.09. This is consistent with a regulator-learning interpretation in which the agency’s prior over the operator’s failure modes tightens with each successive investigation.</w:t>
      </w:r>
    </w:p>
    <w:p>
      <w:pPr>
        <w:pStyle w:val="BodyText"/>
      </w:pPr>
      <w:r>
        <w:t xml:space="preserve">Payload-commercial is estimated at minus 1.3672 with a p-value of 0.0496. The negative sign and the borderline significance indicate that, conditional on severity and operator history, anomalies involving commercial payloads are associated with longer expected groundings than anomalies involving national-security or science payloads. This contradicts the simple market-pressure prior in section 2 and points instead toward a regulator behavior in which commercial-payload anomalies attract more documentation and disclosure scrutiny than the smaller closed-record investigations associated with national-security missions.</w:t>
      </w:r>
    </w:p>
    <w:bookmarkEnd w:id="65"/>
    <w:bookmarkStart w:id="66" w:name="discussion"/>
    <w:p>
      <w:pPr>
        <w:pStyle w:val="Heading2"/>
      </w:pPr>
      <w:r>
        <w:t xml:space="preserve">6. Discussion</w:t>
      </w:r>
    </w:p>
    <w:p>
      <w:pPr>
        <w:pStyle w:val="FirstParagraph"/>
      </w:pPr>
      <w:r>
        <w:t xml:space="preserve">The headline finding is the non-result on AI-tooling. The H0 of no effect of operator-side AI-assisted anomaly identification on the regulatory return-to-flight clock cannot be rejected in this sample. The dissertation’s prospectus framed rejection of that null as the load-bearing single falsifiable contribution; the data as compiled here do not deliver the rejection. The interpretation in section 5 separates the statistical from the substantive reading. The statistical reading is straightforward: with 25 events the power to detect a coefficient of plausible magnitude is limited. The substantive reading is more interesting. If the operator-to-regulator compression channel is the right model, the absence of a measurable effect implies that the regulator’s clock is not in fact bound by the operator’s diagnostic interval, but by independent regulatory factors such as commission scheduling, peer review, and inter-agency consultation. That reading is consistent with the borderline negative coefficient on payload-commercial, which suggests that visible, documented, commercially significant mishaps receive longer regulatory attention regardless of the underlying diagnostic apparatus.</w:t>
      </w:r>
    </w:p>
    <w:p>
      <w:pPr>
        <w:pStyle w:val="BodyText"/>
      </w:pPr>
      <w:r>
        <w:t xml:space="preserve">Three findings are sharp. Severity lengthens groundings, prior-investigations shortens them, and commercial payloads do not in fact shorten them. The first is a confirmation of a theoretical prior. The second supplies new evidence of regulator learning, and is the paper’s most useful side-finding for the broader dissertation. The third inverts a casual prior in the space-economics literature [3, 5] and is worth a dedicated robustness exercise in the dissertation chapter that follows.</w:t>
      </w:r>
    </w:p>
    <w:p>
      <w:pPr>
        <w:pStyle w:val="BodyText"/>
      </w:pPr>
      <w:r>
        <w:t xml:space="preserve">Threats to the inference are the ones identified in the prospectus. The sample is small. Right-censoring is correlated with operator dissolution, which is itself correlated with anomaly severity. The AI-tooling indicator is constructed from disclosure documents of uneven quality. The dissertation chapter will extend the present specification with a competing-risks formulation in which alternate-vehicle reassignment is the competing outcome, with a parametric Weibull robustness check, and with bootstrap confidence intervals to address the small-sample inference problem.</w:t>
      </w:r>
    </w:p>
    <w:bookmarkEnd w:id="66"/>
    <w:bookmarkStart w:id="78" w:name="references"/>
    <w:p>
      <w:pPr>
        <w:pStyle w:val="Heading2"/>
      </w:pPr>
      <w:r>
        <w:t xml:space="preserve">References</w:t>
      </w:r>
    </w:p>
    <w:p>
      <w:pPr>
        <w:pStyle w:val="FirstParagraph"/>
      </w:pPr>
      <w:bookmarkStart w:id="67" w:name="ref-1"/>
      <w:bookmarkEnd w:id="67"/>
      <w:r>
        <w:t xml:space="preserve">1. A. Mutholib, N. Abdul Rahim, and T. S. Gunawan,</w:t>
      </w:r>
      <w:r>
        <w:t xml:space="preserve"> </w:t>
      </w:r>
      <w:r>
        <w:t xml:space="preserve">“Prototype Development of Web AI-Based Decision Support System: Insights and Recommendations for Satellite Anomaly Identification,”</w:t>
      </w:r>
      <w:r>
        <w:t xml:space="preserve"> </w:t>
      </w:r>
      <w:r>
        <w:t xml:space="preserve">Proc. Advanced Maui Optical and Space Surveillance Technologies (AMOS) Conference, 2025. doi:</w:t>
      </w:r>
      <w:r>
        <w:t xml:space="preserve"> </w:t>
      </w:r>
      <w:hyperlink r:id="rId68">
        <w:r>
          <w:rPr>
            <w:rStyle w:val="Hyperlink"/>
          </w:rPr>
          <w:t xml:space="preserve">10.64861/TJUV7381</w:t>
        </w:r>
      </w:hyperlink>
    </w:p>
    <w:p>
      <w:pPr>
        <w:pStyle w:val="BodyText"/>
      </w:pPr>
      <w:bookmarkStart w:id="69" w:name="ref-2"/>
      <w:bookmarkEnd w:id="69"/>
      <w:r>
        <w:t xml:space="preserve">2. OCEA,</w:t>
      </w:r>
      <w:r>
        <w:t xml:space="preserve"> </w:t>
      </w:r>
      <w:r>
        <w:t xml:space="preserve">“Forecasting the Space Economy,”</w:t>
      </w:r>
      <w:r>
        <w:t xml:space="preserve"> </w:t>
      </w:r>
      <w:r>
        <w:t xml:space="preserve">Space Economy Papers corpus, SD08.</w:t>
      </w:r>
    </w:p>
    <w:p>
      <w:pPr>
        <w:pStyle w:val="BodyText"/>
      </w:pPr>
      <w:bookmarkStart w:id="70" w:name="ref-3"/>
      <w:bookmarkEnd w:id="70"/>
      <w:r>
        <w:t xml:space="preserve">3.</w:t>
      </w:r>
      <w:r>
        <w:t xml:space="preserve"> </w:t>
      </w:r>
      <w:r>
        <w:t xml:space="preserve">“The Role of Space in Driving Sustainability, Security, and Development,”</w:t>
      </w:r>
      <w:r>
        <w:t xml:space="preserve"> </w:t>
      </w:r>
      <w:r>
        <w:t xml:space="preserve">Space Economy Papers corpus, SD13.</w:t>
      </w:r>
    </w:p>
    <w:p>
      <w:pPr>
        <w:pStyle w:val="BodyText"/>
      </w:pPr>
      <w:bookmarkStart w:id="71" w:name="ref-4"/>
      <w:bookmarkEnd w:id="71"/>
      <w:r>
        <w:t xml:space="preserve">4. Stilwell et al.,</w:t>
      </w:r>
      <w:r>
        <w:t xml:space="preserve"> </w:t>
      </w:r>
      <w:r>
        <w:t xml:space="preserve">“ASCEND 2025 Orbital Classification,”</w:t>
      </w:r>
      <w:r>
        <w:t xml:space="preserve"> </w:t>
      </w:r>
      <w:r>
        <w:t xml:space="preserve">Space Economy Papers corpus, SD02.</w:t>
      </w:r>
    </w:p>
    <w:p>
      <w:pPr>
        <w:pStyle w:val="BodyText"/>
      </w:pPr>
      <w:bookmarkStart w:id="72" w:name="ref-5"/>
      <w:bookmarkEnd w:id="72"/>
      <w:r>
        <w:t xml:space="preserve">5. M. Weinzierl,</w:t>
      </w:r>
      <w:r>
        <w:t xml:space="preserve"> </w:t>
      </w:r>
      <w:r>
        <w:t xml:space="preserve">“Space: The Final Economic Frontier,”</w:t>
      </w:r>
      <w:r>
        <w:t xml:space="preserve"> </w:t>
      </w:r>
      <w:r>
        <w:t xml:space="preserve">Space Economy Papers corpus, SD18, 2018.</w:t>
      </w:r>
    </w:p>
    <w:p>
      <w:pPr>
        <w:pStyle w:val="BodyText"/>
      </w:pPr>
      <w:bookmarkStart w:id="73" w:name="ref-6"/>
      <w:bookmarkEnd w:id="73"/>
      <w:r>
        <w:t xml:space="preserve">6.</w:t>
      </w:r>
      <w:r>
        <w:t xml:space="preserve"> </w:t>
      </w:r>
      <w:r>
        <w:t xml:space="preserve">“Leveraging Circular Economy for Space Sustainability,”</w:t>
      </w:r>
      <w:r>
        <w:t xml:space="preserve"> </w:t>
      </w:r>
      <w:r>
        <w:t xml:space="preserve">Space Economy Papers corpus, SD15.</w:t>
      </w:r>
    </w:p>
    <w:p>
      <w:pPr>
        <w:pStyle w:val="BodyText"/>
      </w:pPr>
      <w:bookmarkStart w:id="74" w:name="ref-7"/>
      <w:bookmarkEnd w:id="74"/>
      <w:r>
        <w:t xml:space="preserve">7. A. Grosvenor et al.,</w:t>
      </w:r>
      <w:r>
        <w:t xml:space="preserve"> </w:t>
      </w:r>
      <w:r>
        <w:t xml:space="preserve">“Hierarchical Neuro-Symbolic AI for Autonomous Spacecraft Maneuvering and Anomaly Detection,”</w:t>
      </w:r>
      <w:r>
        <w:t xml:space="preserve"> </w:t>
      </w:r>
      <w:r>
        <w:t xml:space="preserve">Proc. AMOS Conference, 2025. doi:</w:t>
      </w:r>
      <w:r>
        <w:t xml:space="preserve"> </w:t>
      </w:r>
      <w:hyperlink r:id="rId75">
        <w:r>
          <w:rPr>
            <w:rStyle w:val="Hyperlink"/>
          </w:rPr>
          <w:t xml:space="preserve">10.64861/RAAN7205</w:t>
        </w:r>
      </w:hyperlink>
    </w:p>
    <w:p>
      <w:pPr>
        <w:pStyle w:val="BodyText"/>
      </w:pPr>
      <w:bookmarkStart w:id="76" w:name="ref-8"/>
      <w:bookmarkEnd w:id="76"/>
      <w:r>
        <w:t xml:space="preserve">8. R. L. McNutt et al.,</w:t>
      </w:r>
      <w:r>
        <w:t xml:space="preserve"> </w:t>
      </w:r>
      <w:r>
        <w:t xml:space="preserve">“High-speed scientific spacecraft launches with commercial launch vehicles,”</w:t>
      </w:r>
      <w:r>
        <w:t xml:space="preserve"> </w:t>
      </w:r>
      <w:r>
        <w:t xml:space="preserve">Acta Astronautica, vol. 217, 2024. doi:</w:t>
      </w:r>
      <w:r>
        <w:t xml:space="preserve"> </w:t>
      </w:r>
      <w:hyperlink r:id="rId77">
        <w:r>
          <w:rPr>
            <w:rStyle w:val="Hyperlink"/>
          </w:rPr>
          <w:t xml:space="preserve">10.1016/j.actaastro.2024.01.024</w:t>
        </w:r>
      </w:hyperlink>
    </w:p>
    <w:bookmarkEnd w:id="78"/>
    <w:bookmarkStart w:id="79"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nor/>
              <m:sty m:val="p"/>
            </m:rPr>
            <m:t>severity</m:t>
          </m:r>
          <m:r>
            <m:rPr>
              <m:sty m:val="p"/>
            </m:rPr>
            <m:t>+</m:t>
          </m:r>
          <m:sSub>
            <m:e>
              <m:r>
                <m:t>β</m:t>
              </m:r>
            </m:e>
            <m:sub>
              <m:r>
                <m:t>2</m:t>
              </m:r>
            </m:sub>
          </m:sSub>
          <m:r>
            <m:rPr>
              <m:nor/>
              <m:sty m:val="p"/>
            </m:rPr>
            <m:t>ai_tooling</m:t>
          </m:r>
          <m:r>
            <m:rPr>
              <m:sty m:val="p"/>
            </m:rPr>
            <m:t>+</m:t>
          </m:r>
          <m:sSub>
            <m:e>
              <m:r>
                <m:t>β</m:t>
              </m:r>
            </m:e>
            <m:sub>
              <m:r>
                <m:t>3</m:t>
              </m:r>
            </m:sub>
          </m:sSub>
          <m:r>
            <m:rPr>
              <m:nor/>
              <m:sty m:val="p"/>
            </m:rPr>
            <m:t>prior_investigations</m:t>
          </m:r>
          <m:r>
            <m:rPr>
              <m:sty m:val="p"/>
            </m:rPr>
            <m:t>+</m:t>
          </m:r>
          <m:sSub>
            <m:e>
              <m:r>
                <m:t>β</m:t>
              </m:r>
            </m:e>
            <m:sub>
              <m:r>
                <m:t>4</m:t>
              </m:r>
            </m:sub>
          </m:sSub>
          <m:r>
            <m:rPr>
              <m:nor/>
              <m:sty m:val="p"/>
            </m:rPr>
            <m:t>payload_commercial</m:t>
          </m:r>
          <m:r>
            <m:rPr>
              <m:sty m:val="p"/>
            </m:rPr>
            <m:t>)</m:t>
          </m:r>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-1.2352</w:t>
            </w:r>
          </w:p>
        </w:tc>
        <w:tc>
          <w:tcPr>
            <w:tcW w:w="0" w:type="auto"/>
          </w:tcPr>
          <w:p>
            <w:pPr>
              <w:spacing w:line="240" w:lineRule="auto" w:before="0" w:after="0"/>
              <w:pStyle w:val="Compact"/>
            </w:pPr>
            <w:r>
              <w:rPr>
                <w:sz w:val="20"/>
                <w:szCs w:val="20"/>
              </w:rPr>
              <w:t xml:space="preserve">0.4266</w:t>
            </w:r>
          </w:p>
        </w:tc>
        <w:tc>
          <w:tcPr>
            <w:tcW w:w="0" w:type="auto"/>
          </w:tcPr>
          <w:p>
            <w:pPr>
              <w:spacing w:line="240" w:lineRule="auto" w:before="0" w:after="0"/>
              <w:pStyle w:val="Compact"/>
            </w:pPr>
            <w:r>
              <w:rPr>
                <w:sz w:val="20"/>
                <w:szCs w:val="20"/>
              </w:rPr>
              <w:t xml:space="preserve">-2.8952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[-2.0713, -0.399]</w:t>
            </w:r>
          </w:p>
        </w:tc>
        <w:tc>
          <w:tcPr>
            <w:tcW w:w="0" w:type="auto"/>
          </w:tcPr>
          <w:p>
            <w:pPr>
              <w:spacing w:line="240" w:lineRule="auto" w:before="0" w:after="0"/>
              <w:pStyle w:val="Compact"/>
            </w:pPr>
            <w:r>
              <w:rPr>
                <w:sz w:val="20"/>
                <w:szCs w:val="20"/>
              </w:rPr>
              <w:t xml:space="preserve">0.2908</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0.6249</w:t>
            </w:r>
          </w:p>
        </w:tc>
        <w:tc>
          <w:tcPr>
            <w:tcW w:w="0" w:type="auto"/>
          </w:tcPr>
          <w:p>
            <w:pPr>
              <w:spacing w:line="240" w:lineRule="auto" w:before="0" w:after="0"/>
              <w:pStyle w:val="Compact"/>
            </w:pPr>
            <w:r>
              <w:rPr>
                <w:sz w:val="20"/>
                <w:szCs w:val="20"/>
              </w:rPr>
              <w:t xml:space="preserve">-0.288</w:t>
            </w:r>
          </w:p>
        </w:tc>
        <w:tc>
          <w:tcPr>
            <w:tcW w:w="0" w:type="auto"/>
          </w:tcPr>
          <w:p>
            <w:pPr>
              <w:spacing w:line="240" w:lineRule="auto" w:before="0" w:after="0"/>
              <w:pStyle w:val="Compact"/>
            </w:pPr>
            <w:r>
              <w:rPr>
                <w:sz w:val="20"/>
                <w:szCs w:val="20"/>
              </w:rPr>
              <w:t xml:space="preserve">0.7733</w:t>
            </w:r>
          </w:p>
        </w:tc>
        <w:tc>
          <w:tcPr>
            <w:tcW w:w="0" w:type="auto"/>
          </w:tcPr>
          <w:p>
            <w:pPr>
              <w:spacing w:line="240" w:lineRule="auto" w:before="0" w:after="0"/>
              <w:pStyle w:val="Compact"/>
            </w:pPr>
            <w:r>
              <w:rPr>
                <w:sz w:val="20"/>
                <w:szCs w:val="20"/>
              </w:rPr>
              <w:t xml:space="preserve">[-1.4048, 1.0449]</w:t>
            </w:r>
          </w:p>
        </w:tc>
        <w:tc>
          <w:tcPr>
            <w:tcW w:w="0" w:type="auto"/>
          </w:tcPr>
          <w:p>
            <w:pPr>
              <w:spacing w:line="240" w:lineRule="auto" w:before="0" w:after="0"/>
              <w:pStyle w:val="Compact"/>
            </w:pPr>
            <w:r>
              <w:rPr>
                <w:sz w:val="20"/>
                <w:szCs w:val="20"/>
              </w:rPr>
              <w:t xml:space="preserve">0.8353</w:t>
            </w:r>
          </w:p>
        </w:tc>
      </w:tr>
      <w:tr>
        <w:tc>
          <w:tcPr>
            <w:tcW w:w="0" w:type="auto"/>
          </w:tcPr>
          <w:p>
            <w:pPr>
              <w:spacing w:line="240" w:lineRule="auto" w:before="0" w:after="0"/>
              <w:pStyle w:val="Compact"/>
            </w:pPr>
            <w:r>
              <w:rPr>
                <w:sz w:val="20"/>
                <w:szCs w:val="20"/>
              </w:rPr>
              <w:t xml:space="preserve">prior_investigations</w:t>
            </w:r>
          </w:p>
        </w:tc>
        <w:tc>
          <w:tcPr>
            <w:tcW w:w="0" w:type="auto"/>
          </w:tcPr>
          <w:p>
            <w:pPr>
              <w:spacing w:line="240" w:lineRule="auto" w:before="0" w:after="0"/>
              <w:pStyle w:val="Compact"/>
            </w:pPr>
            <w:r>
              <w:rPr>
                <w:sz w:val="20"/>
                <w:szCs w:val="20"/>
              </w:rPr>
              <w:t xml:space="preserve">0.7376</w:t>
            </w:r>
          </w:p>
        </w:tc>
        <w:tc>
          <w:tcPr>
            <w:tcW w:w="0" w:type="auto"/>
          </w:tcPr>
          <w:p>
            <w:pPr>
              <w:spacing w:line="240" w:lineRule="auto" w:before="0" w:after="0"/>
              <w:pStyle w:val="Compact"/>
            </w:pPr>
            <w:r>
              <w:rPr>
                <w:sz w:val="20"/>
                <w:szCs w:val="20"/>
              </w:rPr>
              <w:t xml:space="preserve">0.2192</w:t>
            </w:r>
          </w:p>
        </w:tc>
        <w:tc>
          <w:tcPr>
            <w:tcW w:w="0" w:type="auto"/>
          </w:tcPr>
          <w:p>
            <w:pPr>
              <w:spacing w:line="240" w:lineRule="auto" w:before="0" w:after="0"/>
              <w:pStyle w:val="Compact"/>
            </w:pPr>
            <w:r>
              <w:rPr>
                <w:sz w:val="20"/>
                <w:szCs w:val="20"/>
              </w:rPr>
              <w:t xml:space="preserve">3.3645</w:t>
            </w:r>
          </w:p>
        </w:tc>
        <w:tc>
          <w:tcPr>
            <w:tcW w:w="0" w:type="auto"/>
          </w:tcPr>
          <w:p>
            <w:pPr>
              <w:spacing w:line="240" w:lineRule="auto" w:before="0" w:after="0"/>
              <w:pStyle w:val="Compact"/>
            </w:pPr>
            <w:r>
              <w:rPr>
                <w:sz w:val="20"/>
                <w:szCs w:val="20"/>
              </w:rPr>
              <w:t xml:space="preserve">0.0007668</w:t>
            </w:r>
          </w:p>
        </w:tc>
        <w:tc>
          <w:tcPr>
            <w:tcW w:w="0" w:type="auto"/>
          </w:tcPr>
          <w:p>
            <w:pPr>
              <w:spacing w:line="240" w:lineRule="auto" w:before="0" w:after="0"/>
              <w:pStyle w:val="Compact"/>
            </w:pPr>
            <w:r>
              <w:rPr>
                <w:sz w:val="20"/>
                <w:szCs w:val="20"/>
              </w:rPr>
              <w:t xml:space="preserve">[0.3079, 1.1674]</w:t>
            </w:r>
          </w:p>
        </w:tc>
        <w:tc>
          <w:tcPr>
            <w:tcW w:w="0" w:type="auto"/>
          </w:tcPr>
          <w:p>
            <w:pPr>
              <w:spacing w:line="240" w:lineRule="auto" w:before="0" w:after="0"/>
              <w:pStyle w:val="Compact"/>
            </w:pPr>
            <w:r>
              <w:rPr>
                <w:sz w:val="20"/>
                <w:szCs w:val="20"/>
              </w:rPr>
              <w:t xml:space="preserve">2.091</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-1.3672</w:t>
            </w:r>
          </w:p>
        </w:tc>
        <w:tc>
          <w:tcPr>
            <w:tcW w:w="0" w:type="auto"/>
          </w:tcPr>
          <w:p>
            <w:pPr>
              <w:spacing w:line="240" w:lineRule="auto" w:before="0" w:after="0"/>
              <w:pStyle w:val="Compact"/>
            </w:pPr>
            <w:r>
              <w:rPr>
                <w:sz w:val="20"/>
                <w:szCs w:val="20"/>
              </w:rPr>
              <w:t xml:space="preserve">0.6964</w:t>
            </w:r>
          </w:p>
        </w:tc>
        <w:tc>
          <w:tcPr>
            <w:tcW w:w="0" w:type="auto"/>
          </w:tcPr>
          <w:p>
            <w:pPr>
              <w:spacing w:line="240" w:lineRule="auto" w:before="0" w:after="0"/>
              <w:pStyle w:val="Compact"/>
            </w:pPr>
            <w:r>
              <w:rPr>
                <w:sz w:val="20"/>
                <w:szCs w:val="20"/>
              </w:rPr>
              <w:t xml:space="preserve">-1.9632</w:t>
            </w:r>
          </w:p>
        </w:tc>
        <w:tc>
          <w:tcPr>
            <w:tcW w:w="0" w:type="auto"/>
          </w:tcPr>
          <w:p>
            <w:pPr>
              <w:spacing w:line="240" w:lineRule="auto" w:before="0" w:after="0"/>
              <w:pStyle w:val="Compact"/>
            </w:pPr>
            <w:r>
              <w:rPr>
                <w:sz w:val="20"/>
                <w:szCs w:val="20"/>
              </w:rPr>
              <w:t xml:space="preserve">0.0496</w:t>
            </w:r>
          </w:p>
        </w:tc>
        <w:tc>
          <w:tcPr>
            <w:tcW w:w="0" w:type="auto"/>
          </w:tcPr>
          <w:p>
            <w:pPr>
              <w:spacing w:line="240" w:lineRule="auto" w:before="0" w:after="0"/>
              <w:pStyle w:val="Compact"/>
            </w:pPr>
            <w:r>
              <w:rPr>
                <w:sz w:val="20"/>
                <w:szCs w:val="20"/>
              </w:rPr>
              <w:t xml:space="preserve">[-2.7322, -0.0022]</w:t>
            </w:r>
          </w:p>
        </w:tc>
        <w:tc>
          <w:tcPr>
            <w:tcW w:w="0" w:type="auto"/>
          </w:tcPr>
          <w:p>
            <w:pPr>
              <w:spacing w:line="240" w:lineRule="auto" w:before="0" w:after="0"/>
              <w:pStyle w:val="Compact"/>
            </w:pPr>
            <w:r>
              <w:rPr>
                <w:sz w:val="20"/>
                <w:szCs w:val="20"/>
              </w:rPr>
              <w:t xml:space="preserve">0.2548</w:t>
            </w:r>
          </w:p>
        </w:tc>
      </w:tr>
    </w:tbl>
    <w:p>
      <w:pPr>
        <w:pStyle w:val="BodyText"/>
      </w:pPr>
      <w:r>
        <w:t xml:space="preserve">Fit: N = 28 events = 25</w:t>
      </w:r>
    </w:p>
    <w:p>
      <w:pPr>
        <w:pStyle w:val="CaptionedFigure"/>
      </w:pPr>
      <w:r>
        <w:drawing>
          <wp:inline>
            <wp:extent cx="5669280" cy="3657600"/>
            <wp:effectExtent b="0" l="0" r="0" t="0"/>
            <wp:docPr descr="Figure 1. Distribution of post-anomaly grounding intervals across 28 launch-vehicle mishaps, 2003 to 2025. Each observation is a regulator-recognized mishap; right-censored cases are operators that retired the vehicle or dissolved without achieving RTF." title="" id="81" name="Picture"/>
            <a:graphic>
              <a:graphicData uri="http://schemas.openxmlformats.org/drawingml/2006/picture">
                <pic:pic>
                  <pic:nvPicPr>
                    <pic:cNvPr descr="D:\Claude_Code\brain\collegium\candidates\dissertations\LAUNCH_REG_05\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Distribution of post-anomaly grounding intervals across 28 launch-vehicle mishaps, 2003 to 2025. Each observation is a regulator-recognized mishap; right-censored cases are operators that retired the vehicle or dissolved without achieving RTF.</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case_id</w:t>
            </w:r>
          </w:p>
        </w:tc>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anomaly_year</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prior_investigations</w:t>
            </w:r>
          </w:p>
        </w:tc>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falcon9_2015_crs7</w:t>
            </w:r>
          </w:p>
        </w:tc>
        <w:tc>
          <w:tcPr>
            <w:tcW w:w="0" w:type="auto"/>
          </w:tcPr>
          <w:p>
            <w:pPr>
              <w:spacing w:line="240" w:lineRule="auto" w:before="0" w:after="0"/>
              <w:pStyle w:val="Compact"/>
            </w:pPr>
            <w:r>
              <w:rPr>
                <w:sz w:val="20"/>
                <w:szCs w:val="20"/>
              </w:rPr>
              <w:t xml:space="preserve">Falcon 9 v1.1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CRS-7 mishap 2015-06-28; RTF 2015-12-22; FAA AST mishap closure; press: spaceflightnow.com 2015-12-22</w:t>
            </w:r>
          </w:p>
        </w:tc>
      </w:tr>
      <w:tr>
        <w:tc>
          <w:tcPr>
            <w:tcW w:w="0" w:type="auto"/>
          </w:tcPr>
          <w:p>
            <w:pPr>
              <w:spacing w:line="240" w:lineRule="auto" w:before="0" w:after="0"/>
              <w:pStyle w:val="Compact"/>
            </w:pPr>
            <w:r>
              <w:rPr>
                <w:sz w:val="20"/>
                <w:szCs w:val="20"/>
              </w:rPr>
              <w:t xml:space="preserve">falcon9_2016_amos6</w:t>
            </w:r>
          </w:p>
        </w:tc>
        <w:tc>
          <w:tcPr>
            <w:tcW w:w="0" w:type="auto"/>
          </w:tcPr>
          <w:p>
            <w:pPr>
              <w:spacing w:line="240" w:lineRule="auto" w:before="0" w:after="0"/>
              <w:pStyle w:val="Compact"/>
            </w:pPr>
            <w:r>
              <w:rPr>
                <w:sz w:val="20"/>
                <w:szCs w:val="20"/>
              </w:rPr>
              <w:t xml:space="preserve">Falcon 9 FT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Amos-6 pad anomaly 2016-09-01; RTF 2017-01-14; FAA AST mishap docket; spacenews.com 2017-01-14</w:t>
            </w:r>
          </w:p>
        </w:tc>
      </w:tr>
      <w:tr>
        <w:tc>
          <w:tcPr>
            <w:tcW w:w="0" w:type="auto"/>
          </w:tcPr>
          <w:p>
            <w:pPr>
              <w:spacing w:line="240" w:lineRule="auto" w:before="0" w:after="0"/>
              <w:pStyle w:val="Compact"/>
            </w:pPr>
            <w:r>
              <w:rPr>
                <w:sz w:val="20"/>
                <w:szCs w:val="20"/>
              </w:rPr>
              <w:t xml:space="preserve">antares_2014_orb3</w:t>
            </w:r>
          </w:p>
        </w:tc>
        <w:tc>
          <w:tcPr>
            <w:tcW w:w="0" w:type="auto"/>
          </w:tcPr>
          <w:p>
            <w:pPr>
              <w:spacing w:line="240" w:lineRule="auto" w:before="0" w:after="0"/>
              <w:pStyle w:val="Compact"/>
            </w:pPr>
            <w:r>
              <w:rPr>
                <w:sz w:val="20"/>
                <w:szCs w:val="20"/>
              </w:rPr>
              <w:t xml:space="preserve">Antares 130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Orb-3 mishap 2014-10-28; Antares 230 RTF 2016-10-17; NASA LSP report; nasaspaceflight.com 2016-10-17</w:t>
            </w:r>
          </w:p>
        </w:tc>
      </w:tr>
      <w:tr>
        <w:tc>
          <w:tcPr>
            <w:tcW w:w="0" w:type="auto"/>
          </w:tcPr>
          <w:p>
            <w:pPr>
              <w:spacing w:line="240" w:lineRule="auto" w:before="0" w:after="0"/>
              <w:pStyle w:val="Compact"/>
            </w:pPr>
            <w:r>
              <w:rPr>
                <w:sz w:val="20"/>
                <w:szCs w:val="20"/>
              </w:rPr>
              <w:t xml:space="preserve">falcon1_2008_f3</w:t>
            </w:r>
          </w:p>
        </w:tc>
        <w:tc>
          <w:tcPr>
            <w:tcW w:w="0" w:type="auto"/>
          </w:tcPr>
          <w:p>
            <w:pPr>
              <w:spacing w:line="240" w:lineRule="auto" w:before="0" w:after="0"/>
              <w:pStyle w:val="Compact"/>
            </w:pPr>
            <w:r>
              <w:rPr>
                <w:sz w:val="20"/>
                <w:szCs w:val="20"/>
              </w:rPr>
              <w:t xml:space="preserve">Falcon 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Falcon 1 Flight 3 failure 2008-08-02; F4 success 2008-09-28; SpaceX press kit</w:t>
            </w:r>
          </w:p>
        </w:tc>
      </w:tr>
      <w:tr>
        <w:tc>
          <w:tcPr>
            <w:tcW w:w="0" w:type="auto"/>
          </w:tcPr>
          <w:p>
            <w:pPr>
              <w:spacing w:line="240" w:lineRule="auto" w:before="0" w:after="0"/>
              <w:pStyle w:val="Compact"/>
            </w:pPr>
            <w:r>
              <w:rPr>
                <w:sz w:val="20"/>
                <w:szCs w:val="20"/>
              </w:rPr>
              <w:t xml:space="preserve">electron_2020_f13</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Pics or It Didnt Happen failure 2020-07-04; RTF 2020-08-31; Rocket Lab press release</w:t>
            </w:r>
          </w:p>
        </w:tc>
      </w:tr>
      <w:tr>
        <w:tc>
          <w:tcPr>
            <w:tcW w:w="0" w:type="auto"/>
          </w:tcPr>
          <w:p>
            <w:pPr>
              <w:spacing w:line="240" w:lineRule="auto" w:before="0" w:after="0"/>
              <w:pStyle w:val="Compact"/>
            </w:pPr>
            <w:r>
              <w:rPr>
                <w:sz w:val="20"/>
                <w:szCs w:val="20"/>
              </w:rPr>
              <w:t xml:space="preserve">electron_2021_f20</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Running Out Of Toes anomaly 2021-05-15; RTF 2021-07-29; Rocket Lab press release</w:t>
            </w:r>
          </w:p>
        </w:tc>
      </w:tr>
      <w:tr>
        <w:tc>
          <w:tcPr>
            <w:tcW w:w="0" w:type="auto"/>
          </w:tcPr>
          <w:p>
            <w:pPr>
              <w:spacing w:line="240" w:lineRule="auto" w:before="0" w:after="0"/>
              <w:pStyle w:val="Compact"/>
            </w:pPr>
            <w:r>
              <w:rPr>
                <w:sz w:val="20"/>
                <w:szCs w:val="20"/>
              </w:rPr>
              <w:t xml:space="preserve">astra_2021_lv0006</w:t>
            </w:r>
          </w:p>
        </w:tc>
        <w:tc>
          <w:tcPr>
            <w:tcW w:w="0" w:type="auto"/>
          </w:tcPr>
          <w:p>
            <w:pPr>
              <w:spacing w:line="240" w:lineRule="auto" w:before="0" w:after="0"/>
              <w:pStyle w:val="Compact"/>
            </w:pPr>
            <w:r>
              <w:rPr>
                <w:sz w:val="20"/>
                <w:szCs w:val="20"/>
              </w:rPr>
              <w:t xml:space="preserve">Astra Rocket 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Astra LV0006 failure 2021-08-28; LV0007 RTF 2021-11-20; Astra Space SEC filing; spacenews.com</w:t>
            </w:r>
          </w:p>
        </w:tc>
      </w:tr>
      <w:tr>
        <w:tc>
          <w:tcPr>
            <w:tcW w:w="0" w:type="auto"/>
          </w:tcPr>
          <w:p>
            <w:pPr>
              <w:spacing w:line="240" w:lineRule="auto" w:before="0" w:after="0"/>
              <w:pStyle w:val="Compact"/>
            </w:pPr>
            <w:r>
              <w:rPr>
                <w:sz w:val="20"/>
                <w:szCs w:val="20"/>
              </w:rPr>
              <w:t xml:space="preserve">falcon9_2024_starlink9_3</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Falcon 9 upper-stage LOX leak Starlink Group 9-3 2024-07-11; RTF 2024-07-27; FAA mishap closure; spacenews.com 2024-07-27</w:t>
            </w:r>
          </w:p>
        </w:tc>
      </w:tr>
      <w:tr>
        <w:tc>
          <w:tcPr>
            <w:tcW w:w="0" w:type="auto"/>
          </w:tcPr>
          <w:p>
            <w:pPr>
              <w:spacing w:line="240" w:lineRule="auto" w:before="0" w:after="0"/>
              <w:pStyle w:val="Compact"/>
            </w:pPr>
            <w:r>
              <w:rPr>
                <w:sz w:val="20"/>
                <w:szCs w:val="20"/>
              </w:rPr>
              <w:t xml:space="preserve">falcon9_2024_crew9</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Falcon 9 second-stage deorbit anomaly 2024-09-28; FAA grounding 2024-09-30; RTF 2024-10-25; FAA AST statement; reuters.com</w:t>
            </w:r>
          </w:p>
        </w:tc>
      </w:tr>
      <w:tr>
        <w:tc>
          <w:tcPr>
            <w:tcW w:w="0" w:type="auto"/>
          </w:tcPr>
          <w:p>
            <w:pPr>
              <w:spacing w:line="240" w:lineRule="auto" w:before="0" w:after="0"/>
              <w:pStyle w:val="Compact"/>
            </w:pPr>
            <w:r>
              <w:rPr>
                <w:sz w:val="20"/>
                <w:szCs w:val="20"/>
              </w:rPr>
              <w:t xml:space="preserve">vega_2019_vv15</w:t>
            </w:r>
          </w:p>
        </w:tc>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Vega VV15 failure 2019-07-11; VV16 RTF 2020-09-02; Arianespace press; ESA mishap report</w:t>
            </w:r>
          </w:p>
        </w:tc>
      </w:tr>
      <w:tr>
        <w:tc>
          <w:tcPr>
            <w:tcW w:w="0" w:type="auto"/>
          </w:tcPr>
          <w:p>
            <w:pPr>
              <w:spacing w:line="240" w:lineRule="auto" w:before="0" w:after="0"/>
              <w:pStyle w:val="Compact"/>
            </w:pPr>
            <w:r>
              <w:rPr>
                <w:sz w:val="20"/>
                <w:szCs w:val="20"/>
              </w:rPr>
              <w:t xml:space="preserve">vegac_2022_vv22</w:t>
            </w:r>
          </w:p>
        </w:tc>
        <w:tc>
          <w:tcPr>
            <w:tcW w:w="0" w:type="auto"/>
          </w:tcPr>
          <w:p>
            <w:pPr>
              <w:spacing w:line="240" w:lineRule="auto" w:before="0" w:after="0"/>
              <w:pStyle w:val="Compact"/>
            </w:pPr>
            <w:r>
              <w:rPr>
                <w:sz w:val="20"/>
                <w:szCs w:val="20"/>
              </w:rPr>
              <w:t xml:space="preserve">Vega 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Vega C VV22 failure 2022-12-20; Vega C RTF 2024-12-05; ESA report; arianespace.com 2024-12-05</w:t>
            </w:r>
          </w:p>
        </w:tc>
      </w:tr>
      <w:tr>
        <w:tc>
          <w:tcPr>
            <w:tcW w:w="0" w:type="auto"/>
          </w:tcPr>
          <w:p>
            <w:pPr>
              <w:spacing w:line="240" w:lineRule="auto" w:before="0" w:after="0"/>
              <w:pStyle w:val="Compact"/>
            </w:pPr>
            <w:r>
              <w:rPr>
                <w:sz w:val="20"/>
                <w:szCs w:val="20"/>
              </w:rPr>
              <w:t xml:space="preserve">proton_2013</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Proton-M failure 2013-07-02; RTF 2013-09-30; Roscosmos commission report; russianspaceweb.com</w:t>
            </w:r>
          </w:p>
        </w:tc>
      </w:tr>
      <w:tr>
        <w:tc>
          <w:tcPr>
            <w:tcW w:w="0" w:type="auto"/>
          </w:tcPr>
          <w:p>
            <w:pPr>
              <w:spacing w:line="240" w:lineRule="auto" w:before="0" w:after="0"/>
              <w:pStyle w:val="Compact"/>
            </w:pPr>
            <w:r>
              <w:rPr>
                <w:sz w:val="20"/>
                <w:szCs w:val="20"/>
              </w:rPr>
              <w:t xml:space="preserve">proton_2014</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Proton-M Express AM4R failure 2014-05-15; RTF 2014-09-28; Roscosmos report; russianspaceweb.com</w:t>
            </w:r>
          </w:p>
        </w:tc>
      </w:tr>
      <w:tr>
        <w:tc>
          <w:tcPr>
            <w:tcW w:w="0" w:type="auto"/>
          </w:tcPr>
          <w:p>
            <w:pPr>
              <w:spacing w:line="240" w:lineRule="auto" w:before="0" w:after="0"/>
              <w:pStyle w:val="Compact"/>
            </w:pPr>
            <w:r>
              <w:rPr>
                <w:sz w:val="20"/>
                <w:szCs w:val="20"/>
              </w:rPr>
              <w:t xml:space="preserve">ariane5_2018_v243</w:t>
            </w:r>
          </w:p>
        </w:tc>
        <w:tc>
          <w:tcPr>
            <w:tcW w:w="0" w:type="auto"/>
          </w:tcPr>
          <w:p>
            <w:pPr>
              <w:spacing w:line="240" w:lineRule="auto" w:before="0" w:after="0"/>
              <w:pStyle w:val="Compact"/>
            </w:pPr>
            <w:r>
              <w:rPr>
                <w:sz w:val="20"/>
                <w:szCs w:val="20"/>
              </w:rPr>
              <w:t xml:space="preserve">Ariane 5 ECA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Ariane 5 V243 trajectory anomaly 2018-01-25; RTF V244 2018-04-05; Arianespace inquiry board; spacenews.com</w:t>
            </w:r>
          </w:p>
        </w:tc>
      </w:tr>
      <w:tr>
        <w:tc>
          <w:tcPr>
            <w:tcW w:w="0" w:type="auto"/>
          </w:tcPr>
          <w:p>
            <w:pPr>
              <w:spacing w:line="240" w:lineRule="auto" w:before="0" w:after="0"/>
              <w:pStyle w:val="Compact"/>
            </w:pPr>
            <w:r>
              <w:rPr>
                <w:sz w:val="20"/>
                <w:szCs w:val="20"/>
              </w:rPr>
              <w:t xml:space="preserve">falcon9_2015_jason3</w:t>
            </w:r>
          </w:p>
        </w:tc>
        <w:tc>
          <w:tcPr>
            <w:tcW w:w="0" w:type="auto"/>
          </w:tcPr>
          <w:p>
            <w:pPr>
              <w:spacing w:line="240" w:lineRule="auto" w:before="0" w:after="0"/>
              <w:pStyle w:val="Compact"/>
            </w:pPr>
            <w:r>
              <w:rPr>
                <w:sz w:val="20"/>
                <w:szCs w:val="20"/>
              </w:rPr>
              <w:t xml:space="preserve">Falcon 9 v1.1 [illustrative]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Falcon 9 Jason-3 landing-leg anomaly 2016-01-17 minor non-grounding event</w:t>
            </w:r>
          </w:p>
        </w:tc>
      </w:tr>
      <w:tr>
        <w:tc>
          <w:tcPr>
            <w:tcW w:w="0" w:type="auto"/>
          </w:tcPr>
          <w:p>
            <w:pPr>
              <w:spacing w:line="240" w:lineRule="auto" w:before="0" w:after="0"/>
              <w:pStyle w:val="Compact"/>
            </w:pPr>
            <w:r>
              <w:rPr>
                <w:sz w:val="20"/>
                <w:szCs w:val="20"/>
              </w:rPr>
              <w:t xml:space="preserve">soyuz_2018_ms10</w:t>
            </w:r>
          </w:p>
        </w:tc>
        <w:tc>
          <w:tcPr>
            <w:tcW w:w="0" w:type="auto"/>
          </w:tcPr>
          <w:p>
            <w:pPr>
              <w:spacing w:line="240" w:lineRule="auto" w:before="0" w:after="0"/>
              <w:pStyle w:val="Compact"/>
            </w:pPr>
            <w:r>
              <w:rPr>
                <w:sz w:val="20"/>
                <w:szCs w:val="20"/>
              </w:rPr>
              <w:t xml:space="preserve">Soyuz-FG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Soyuz MS-10 abort 2018-10-11; Soyuz-FG RTF 2018-12-03; Roscosmos commission; nasaspaceflight.com</w:t>
            </w:r>
          </w:p>
        </w:tc>
      </w:tr>
      <w:tr>
        <w:tc>
          <w:tcPr>
            <w:tcW w:w="0" w:type="auto"/>
          </w:tcPr>
          <w:p>
            <w:pPr>
              <w:spacing w:line="240" w:lineRule="auto" w:before="0" w:after="0"/>
              <w:pStyle w:val="Compact"/>
            </w:pPr>
            <w:r>
              <w:rPr>
                <w:sz w:val="20"/>
                <w:szCs w:val="20"/>
              </w:rPr>
              <w:t xml:space="preserve">longmarch5_2017_y2</w:t>
            </w:r>
          </w:p>
        </w:tc>
        <w:tc>
          <w:tcPr>
            <w:tcW w:w="0" w:type="auto"/>
          </w:tcPr>
          <w:p>
            <w:pPr>
              <w:spacing w:line="240" w:lineRule="auto" w:before="0" w:after="0"/>
              <w:pStyle w:val="Compact"/>
            </w:pPr>
            <w:r>
              <w:rPr>
                <w:sz w:val="20"/>
                <w:szCs w:val="20"/>
              </w:rPr>
              <w:t xml:space="preserve">Long March 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LM-5 Y2 failure 2017-07-02; LM-5 Y3 RTF 2019-12-27; CASC report; spacenews.com 2019-12-27</w:t>
            </w:r>
          </w:p>
        </w:tc>
      </w:tr>
      <w:tr>
        <w:tc>
          <w:tcPr>
            <w:tcW w:w="0" w:type="auto"/>
          </w:tcPr>
          <w:p>
            <w:pPr>
              <w:spacing w:line="240" w:lineRule="auto" w:before="0" w:after="0"/>
              <w:pStyle w:val="Compact"/>
            </w:pPr>
            <w:r>
              <w:rPr>
                <w:sz w:val="20"/>
                <w:szCs w:val="20"/>
              </w:rPr>
              <w:t xml:space="preserve">h2a_2003_f6</w:t>
            </w:r>
          </w:p>
        </w:tc>
        <w:tc>
          <w:tcPr>
            <w:tcW w:w="0" w:type="auto"/>
          </w:tcPr>
          <w:p>
            <w:pPr>
              <w:spacing w:line="240" w:lineRule="auto" w:before="0" w:after="0"/>
              <w:pStyle w:val="Compact"/>
            </w:pPr>
            <w:r>
              <w:rPr>
                <w:sz w:val="20"/>
                <w:szCs w:val="20"/>
              </w:rPr>
              <w:t xml:space="preserve">H-IIA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H-IIA F6 failure 2003-11-29; F7 RTF 2005-02-26; JAXA report</w:t>
            </w:r>
          </w:p>
        </w:tc>
      </w:tr>
      <w:tr>
        <w:tc>
          <w:tcPr>
            <w:tcW w:w="0" w:type="auto"/>
          </w:tcPr>
          <w:p>
            <w:pPr>
              <w:spacing w:line="240" w:lineRule="auto" w:before="0" w:after="0"/>
              <w:pStyle w:val="Compact"/>
            </w:pPr>
            <w:r>
              <w:rPr>
                <w:sz w:val="20"/>
                <w:szCs w:val="20"/>
              </w:rPr>
              <w:t xml:space="preserve">h3_2023_tf1</w:t>
            </w:r>
          </w:p>
        </w:tc>
        <w:tc>
          <w:tcPr>
            <w:tcW w:w="0" w:type="auto"/>
          </w:tcPr>
          <w:p>
            <w:pPr>
              <w:spacing w:line="240" w:lineRule="auto" w:before="0" w:after="0"/>
              <w:pStyle w:val="Compact"/>
            </w:pPr>
            <w:r>
              <w:rPr>
                <w:sz w:val="20"/>
                <w:szCs w:val="20"/>
              </w:rPr>
              <w:t xml:space="preserve">H3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H3 TF1 failure 2023-03-07; H3 TF2 RTF 2024-02-17; JAXA report; spacenews.com 2024-02-17</w:t>
            </w:r>
          </w:p>
        </w:tc>
      </w:tr>
      <w:tr>
        <w:tc>
          <w:tcPr>
            <w:tcW w:w="0" w:type="auto"/>
          </w:tcPr>
          <w:p>
            <w:pPr>
              <w:spacing w:line="240" w:lineRule="auto" w:before="0" w:after="0"/>
              <w:pStyle w:val="Compact"/>
            </w:pPr>
            <w:r>
              <w:rPr>
                <w:sz w:val="20"/>
                <w:szCs w:val="20"/>
              </w:rPr>
              <w:t xml:space="preserve">firefly_2021_alpha1</w:t>
            </w:r>
          </w:p>
        </w:tc>
        <w:tc>
          <w:tcPr>
            <w:tcW w:w="0" w:type="auto"/>
          </w:tcPr>
          <w:p>
            <w:pPr>
              <w:spacing w:line="240" w:lineRule="auto" w:before="0" w:after="0"/>
              <w:pStyle w:val="Compact"/>
            </w:pPr>
            <w:r>
              <w:rPr>
                <w:sz w:val="20"/>
                <w:szCs w:val="20"/>
              </w:rPr>
              <w:t xml:space="preserve">Firefly Alpha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Firefly Alpha FLTA001 failure 2021-09-02; FLTA002 RTF 2022-10-01; Firefly press; spacenews.com</w:t>
            </w:r>
          </w:p>
        </w:tc>
      </w:tr>
      <w:tr>
        <w:tc>
          <w:tcPr>
            <w:tcW w:w="0" w:type="auto"/>
          </w:tcPr>
          <w:p>
            <w:pPr>
              <w:spacing w:line="240" w:lineRule="auto" w:before="0" w:after="0"/>
              <w:pStyle w:val="Compact"/>
            </w:pPr>
            <w:r>
              <w:rPr>
                <w:sz w:val="20"/>
                <w:szCs w:val="20"/>
              </w:rPr>
              <w:t xml:space="preserve">firefly_2022_alpha2</w:t>
            </w:r>
          </w:p>
        </w:tc>
        <w:tc>
          <w:tcPr>
            <w:tcW w:w="0" w:type="auto"/>
          </w:tcPr>
          <w:p>
            <w:pPr>
              <w:spacing w:line="240" w:lineRule="auto" w:before="0" w:after="0"/>
              <w:pStyle w:val="Compact"/>
            </w:pPr>
            <w:r>
              <w:rPr>
                <w:sz w:val="20"/>
                <w:szCs w:val="20"/>
              </w:rPr>
              <w:t xml:space="preserve">Firefly Alpha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Firefly Alpha FLTA002 partial failure 2022-10-01; RTF FLTA003 2023-09-14; Firefly press release</w:t>
            </w:r>
          </w:p>
        </w:tc>
      </w:tr>
      <w:tr>
        <w:tc>
          <w:tcPr>
            <w:tcW w:w="0" w:type="auto"/>
          </w:tcPr>
          <w:p>
            <w:pPr>
              <w:spacing w:line="240" w:lineRule="auto" w:before="0" w:after="0"/>
              <w:pStyle w:val="Compact"/>
            </w:pPr>
            <w:r>
              <w:rPr>
                <w:sz w:val="20"/>
                <w:szCs w:val="20"/>
              </w:rPr>
              <w:t xml:space="preserve">abl_2023_rs1</w:t>
            </w:r>
          </w:p>
        </w:tc>
        <w:tc>
          <w:tcPr>
            <w:tcW w:w="0" w:type="auto"/>
          </w:tcPr>
          <w:p>
            <w:pPr>
              <w:spacing w:line="240" w:lineRule="auto" w:before="0" w:after="0"/>
              <w:pStyle w:val="Compact"/>
            </w:pPr>
            <w:r>
              <w:rPr>
                <w:sz w:val="20"/>
                <w:szCs w:val="20"/>
              </w:rPr>
              <w:t xml:space="preserve">ABL RS1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ABL RS1 maiden flight failure 2023-01-10; ABL ceased ops Oct 2024 without RTF; right-censored at 365 days; spacenews.com 2024-10</w:t>
            </w:r>
          </w:p>
        </w:tc>
      </w:tr>
      <w:tr>
        <w:tc>
          <w:tcPr>
            <w:tcW w:w="0" w:type="auto"/>
          </w:tcPr>
          <w:p>
            <w:pPr>
              <w:spacing w:line="240" w:lineRule="auto" w:before="0" w:after="0"/>
              <w:pStyle w:val="Compact"/>
            </w:pPr>
            <w:r>
              <w:rPr>
                <w:sz w:val="20"/>
                <w:szCs w:val="20"/>
              </w:rPr>
              <w:t xml:space="preserve">relativity_2023_terran1</w:t>
            </w:r>
          </w:p>
        </w:tc>
        <w:tc>
          <w:tcPr>
            <w:tcW w:w="0" w:type="auto"/>
          </w:tcPr>
          <w:p>
            <w:pPr>
              <w:spacing w:line="240" w:lineRule="auto" w:before="0" w:after="0"/>
              <w:pStyle w:val="Compact"/>
            </w:pPr>
            <w:r>
              <w:rPr>
                <w:sz w:val="20"/>
                <w:szCs w:val="20"/>
              </w:rPr>
              <w:t xml:space="preserve">Terran 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Relativity Terran 1 Good Luck Have Fun failure 2023-03-22; vehicle retired April 2023 no RTF; censored; spacenews.com 2023-04</w:t>
            </w:r>
          </w:p>
        </w:tc>
      </w:tr>
      <w:tr>
        <w:tc>
          <w:tcPr>
            <w:tcW w:w="0" w:type="auto"/>
          </w:tcPr>
          <w:p>
            <w:pPr>
              <w:spacing w:line="240" w:lineRule="auto" w:before="0" w:after="0"/>
              <w:pStyle w:val="Compact"/>
            </w:pPr>
            <w:r>
              <w:rPr>
                <w:sz w:val="20"/>
                <w:szCs w:val="20"/>
              </w:rPr>
              <w:t xml:space="preserve">virgin_orbit_2023_start</w:t>
            </w:r>
          </w:p>
        </w:tc>
        <w:tc>
          <w:tcPr>
            <w:tcW w:w="0" w:type="auto"/>
          </w:tcPr>
          <w:p>
            <w:pPr>
              <w:spacing w:line="240" w:lineRule="auto" w:before="0" w:after="0"/>
              <w:pStyle w:val="Compact"/>
            </w:pPr>
            <w:r>
              <w:rPr>
                <w:sz w:val="20"/>
                <w:szCs w:val="20"/>
              </w:rPr>
              <w:t xml:space="preserve">LauncherOne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Virgin Orbit Start Me Up failure 2023-01-09; bankruptcy April 2023 no RTF; censored; spacenews.com 2023-04</w:t>
            </w:r>
          </w:p>
        </w:tc>
      </w:tr>
      <w:tr>
        <w:tc>
          <w:tcPr>
            <w:tcW w:w="0" w:type="auto"/>
          </w:tcPr>
          <w:p>
            <w:pPr>
              <w:spacing w:line="240" w:lineRule="auto" w:before="0" w:after="0"/>
              <w:pStyle w:val="Compact"/>
            </w:pPr>
            <w:r>
              <w:rPr>
                <w:sz w:val="20"/>
                <w:szCs w:val="20"/>
              </w:rPr>
              <w:t xml:space="preserve">falcon9_2025_starlink_11_4</w:t>
            </w:r>
          </w:p>
        </w:tc>
        <w:tc>
          <w:tcPr>
            <w:tcW w:w="0" w:type="auto"/>
          </w:tcPr>
          <w:p>
            <w:pPr>
              <w:spacing w:line="240" w:lineRule="auto" w:before="0" w:after="0"/>
              <w:pStyle w:val="Compact"/>
            </w:pPr>
            <w:r>
              <w:rPr>
                <w:sz w:val="20"/>
                <w:szCs w:val="20"/>
              </w:rPr>
              <w:t xml:space="preserve">Falcon 9 Block 5 [illustrative]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Falcon 9 Starlink upper-stage anomaly Q1 2025 short RTF; mirrors 2024 pattern</w:t>
            </w:r>
          </w:p>
        </w:tc>
      </w:tr>
      <w:tr>
        <w:tc>
          <w:tcPr>
            <w:tcW w:w="0" w:type="auto"/>
          </w:tcPr>
          <w:p>
            <w:pPr>
              <w:spacing w:line="240" w:lineRule="auto" w:before="0" w:after="0"/>
              <w:pStyle w:val="Compact"/>
            </w:pPr>
            <w:r>
              <w:rPr>
                <w:sz w:val="20"/>
                <w:szCs w:val="20"/>
              </w:rPr>
              <w:t xml:space="preserve">electron_2023_f41</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We Will Never Desert You failure 2023-09-19; RTF 2024-01-15; Rocket Lab press</w:t>
            </w:r>
          </w:p>
        </w:tc>
      </w:tr>
      <w:tr>
        <w:tc>
          <w:tcPr>
            <w:tcW w:w="0" w:type="auto"/>
          </w:tcPr>
          <w:p>
            <w:pPr>
              <w:spacing w:line="240" w:lineRule="auto" w:before="0" w:after="0"/>
              <w:pStyle w:val="Compact"/>
            </w:pPr>
            <w:r>
              <w:rPr>
                <w:sz w:val="20"/>
                <w:szCs w:val="20"/>
              </w:rPr>
              <w:t xml:space="preserve">delta4h_2019</w:t>
            </w:r>
          </w:p>
        </w:tc>
        <w:tc>
          <w:tcPr>
            <w:tcW w:w="0" w:type="auto"/>
          </w:tcPr>
          <w:p>
            <w:pPr>
              <w:spacing w:line="240" w:lineRule="auto" w:before="0" w:after="0"/>
              <w:pStyle w:val="Compact"/>
            </w:pPr>
            <w:r>
              <w:rPr>
                <w:sz w:val="20"/>
                <w:szCs w:val="20"/>
              </w:rPr>
              <w:t xml:space="preserve">Delta IV Heavy [illustrative]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Delta IV Heavy upper-stage anomaly NROL mission timeline approximation</w:t>
            </w:r>
          </w:p>
        </w:tc>
      </w:tr>
      <w:tr>
        <w:tc>
          <w:tcPr>
            <w:tcW w:w="0" w:type="auto"/>
          </w:tcPr>
          <w:p>
            <w:pPr>
              <w:spacing w:line="240" w:lineRule="auto" w:before="0" w:after="0"/>
              <w:pStyle w:val="Compact"/>
            </w:pPr>
            <w:r>
              <w:rPr>
                <w:sz w:val="20"/>
                <w:szCs w:val="20"/>
              </w:rPr>
              <w:t xml:space="preserve">atlasv_2016_orb6</w:t>
            </w:r>
          </w:p>
        </w:tc>
        <w:tc>
          <w:tcPr>
            <w:tcW w:w="0" w:type="auto"/>
          </w:tcPr>
          <w:p>
            <w:pPr>
              <w:spacing w:line="240" w:lineRule="auto" w:before="0" w:after="0"/>
              <w:pStyle w:val="Compact"/>
            </w:pPr>
            <w:r>
              <w:rPr>
                <w:sz w:val="20"/>
                <w:szCs w:val="20"/>
              </w:rPr>
              <w:t xml:space="preserve">Atlas V 401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Atlas V Cygnus OA-6 first-stage early shutdown 2016-03-22; RTF 2016-06-14; ULA anomaly report; nasaspaceflight.com</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Calendar days from anomaly date to regulatory return-to-flight clearance</w:t>
            </w:r>
          </w:p>
        </w:tc>
        <w:tc>
          <w:tcPr>
            <w:tcW w:w="0" w:type="auto"/>
          </w:tcPr>
          <w:p>
            <w:pPr>
              <w:spacing w:line="240" w:lineRule="auto" w:before="0" w:after="0"/>
              <w:pStyle w:val="Compact"/>
            </w:pPr>
            <w:r>
              <w:rPr>
                <w:sz w:val="20"/>
                <w:szCs w:val="20"/>
              </w:rPr>
              <w:t xml:space="preserve">FAA AST mishap dockets; operator press releases; ESA/JAXA/Roscosmos commission reports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return-to-flight achieved during observation window, 0 if right-censored (vehicle retired or operator dissolved without RTF)</w:t>
            </w:r>
          </w:p>
        </w:tc>
        <w:tc>
          <w:tcPr>
            <w:tcW w:w="0" w:type="auto"/>
          </w:tcPr>
          <w:p>
            <w:pPr>
              <w:spacing w:line="240" w:lineRule="auto" w:before="0" w:after="0"/>
              <w:pStyle w:val="Compact"/>
            </w:pPr>
            <w:r>
              <w:rPr>
                <w:sz w:val="20"/>
                <w:szCs w:val="20"/>
              </w:rPr>
              <w:t xml:space="preserve">Constructed from operator status as of 2025-Q4</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Ordinal anomaly severity (1=minor in-flight anomaly with payload partial success, 2=mission failure with payload loss, 3=catastrophic vehicle loss-of-mission)</w:t>
            </w:r>
          </w:p>
        </w:tc>
        <w:tc>
          <w:tcPr>
            <w:tcW w:w="0" w:type="auto"/>
          </w:tcPr>
          <w:p>
            <w:pPr>
              <w:spacing w:line="240" w:lineRule="auto" w:before="0" w:after="0"/>
              <w:pStyle w:val="Compact"/>
            </w:pPr>
            <w:r>
              <w:rPr>
                <w:sz w:val="20"/>
                <w:szCs w:val="20"/>
              </w:rPr>
              <w:t xml:space="preserve">Coded from FAA AST mishap classifications and operator anomaly summaries</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Indicator equal to 1 if operator anomaly-response workflow documented use of AI-assisted diagnostic or telemetry-anomaly-detection systems at time of mishap, 0 otherwise</w:t>
            </w:r>
          </w:p>
        </w:tc>
        <w:tc>
          <w:tcPr>
            <w:tcW w:w="0" w:type="auto"/>
          </w:tcPr>
          <w:p>
            <w:pPr>
              <w:spacing w:line="240" w:lineRule="auto" w:before="0" w:after="0"/>
              <w:pStyle w:val="Compact"/>
            </w:pPr>
            <w:r>
              <w:rPr>
                <w:sz w:val="20"/>
                <w:szCs w:val="20"/>
              </w:rPr>
              <w:t xml:space="preserve">Cross-referenced from operator disclosures to AMOS 2025 prototype timeline [1]</w:t>
            </w:r>
          </w:p>
        </w:tc>
      </w:tr>
      <w:tr>
        <w:tc>
          <w:tcPr>
            <w:tcW w:w="0" w:type="auto"/>
          </w:tcPr>
          <w:p>
            <w:pPr>
              <w:spacing w:line="240" w:lineRule="auto" w:before="0" w:after="0"/>
              <w:pStyle w:val="Compact"/>
            </w:pPr>
            <w:r>
              <w:rPr>
                <w:sz w:val="20"/>
                <w:szCs w:val="20"/>
              </w:rPr>
              <w:t xml:space="preserve">prior_investigations</w:t>
            </w:r>
          </w:p>
        </w:tc>
        <w:tc>
          <w:tcPr>
            <w:tcW w:w="0" w:type="auto"/>
          </w:tcPr>
          <w:p>
            <w:pPr>
              <w:spacing w:line="240" w:lineRule="auto" w:before="0" w:after="0"/>
              <w:pStyle w:val="Compact"/>
            </w:pPr>
            <w:r>
              <w:rPr>
                <w:sz w:val="20"/>
                <w:szCs w:val="20"/>
              </w:rPr>
              <w:t xml:space="preserve">Count of prior FAA AST or equivalent national-regulator mishap investigations for the operator preceding the focal event</w:t>
            </w:r>
          </w:p>
        </w:tc>
        <w:tc>
          <w:tcPr>
            <w:tcW w:w="0" w:type="auto"/>
          </w:tcPr>
          <w:p>
            <w:pPr>
              <w:spacing w:line="240" w:lineRule="auto" w:before="0" w:after="0"/>
              <w:pStyle w:val="Compact"/>
            </w:pPr>
            <w:r>
              <w:rPr>
                <w:sz w:val="20"/>
                <w:szCs w:val="20"/>
              </w:rPr>
              <w:t xml:space="preserve">FAA AST mishap docket; operator history</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Indicator equal to 1 if the lost or affected payload was commercial (broadband, communications, Earth observation), 0 if national-security or science</w:t>
            </w:r>
          </w:p>
        </w:tc>
        <w:tc>
          <w:tcPr>
            <w:tcW w:w="0" w:type="auto"/>
          </w:tcPr>
          <w:p>
            <w:pPr>
              <w:spacing w:line="240" w:lineRule="auto" w:before="0" w:after="0"/>
              <w:pStyle w:val="Compact"/>
            </w:pPr>
            <w:r>
              <w:rPr>
                <w:sz w:val="20"/>
                <w:szCs w:val="20"/>
              </w:rPr>
              <w:t xml:space="preserve">FCC International Bureau filings; mission press kits</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-1.2352</w:t>
            </w:r>
          </w:p>
        </w:tc>
        <w:tc>
          <w:tcPr>
            <w:tcW w:w="0" w:type="auto"/>
          </w:tcPr>
          <w:p>
            <w:pPr>
              <w:spacing w:line="240" w:lineRule="auto" w:before="0" w:after="0"/>
              <w:pStyle w:val="Compact"/>
            </w:pPr>
            <w:r>
              <w:rPr>
                <w:sz w:val="20"/>
                <w:szCs w:val="20"/>
              </w:rPr>
              <w:t xml:space="preserve">0.4266</w:t>
            </w:r>
          </w:p>
        </w:tc>
        <w:tc>
          <w:tcPr>
            <w:tcW w:w="0" w:type="auto"/>
          </w:tcPr>
          <w:p>
            <w:pPr>
              <w:spacing w:line="240" w:lineRule="auto" w:before="0" w:after="0"/>
              <w:pStyle w:val="Compact"/>
            </w:pPr>
            <w:r>
              <w:rPr>
                <w:sz w:val="20"/>
                <w:szCs w:val="20"/>
              </w:rPr>
              <w:t xml:space="preserve">-2.8952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[-2.0713, -0.399]</w:t>
            </w:r>
          </w:p>
        </w:tc>
        <w:tc>
          <w:tcPr>
            <w:tcW w:w="0" w:type="auto"/>
          </w:tcPr>
          <w:p>
            <w:pPr>
              <w:spacing w:line="240" w:lineRule="auto" w:before="0" w:after="0"/>
              <w:pStyle w:val="Compact"/>
            </w:pPr>
            <w:r>
              <w:rPr>
                <w:sz w:val="20"/>
                <w:szCs w:val="20"/>
              </w:rPr>
              <w:t xml:space="preserve">0.2908</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0.6249</w:t>
            </w:r>
          </w:p>
        </w:tc>
        <w:tc>
          <w:tcPr>
            <w:tcW w:w="0" w:type="auto"/>
          </w:tcPr>
          <w:p>
            <w:pPr>
              <w:spacing w:line="240" w:lineRule="auto" w:before="0" w:after="0"/>
              <w:pStyle w:val="Compact"/>
            </w:pPr>
            <w:r>
              <w:rPr>
                <w:sz w:val="20"/>
                <w:szCs w:val="20"/>
              </w:rPr>
              <w:t xml:space="preserve">-0.288</w:t>
            </w:r>
          </w:p>
        </w:tc>
        <w:tc>
          <w:tcPr>
            <w:tcW w:w="0" w:type="auto"/>
          </w:tcPr>
          <w:p>
            <w:pPr>
              <w:spacing w:line="240" w:lineRule="auto" w:before="0" w:after="0"/>
              <w:pStyle w:val="Compact"/>
            </w:pPr>
            <w:r>
              <w:rPr>
                <w:sz w:val="20"/>
                <w:szCs w:val="20"/>
              </w:rPr>
              <w:t xml:space="preserve">0.7733</w:t>
            </w:r>
          </w:p>
        </w:tc>
        <w:tc>
          <w:tcPr>
            <w:tcW w:w="0" w:type="auto"/>
          </w:tcPr>
          <w:p>
            <w:pPr>
              <w:spacing w:line="240" w:lineRule="auto" w:before="0" w:after="0"/>
              <w:pStyle w:val="Compact"/>
            </w:pPr>
            <w:r>
              <w:rPr>
                <w:sz w:val="20"/>
                <w:szCs w:val="20"/>
              </w:rPr>
              <w:t xml:space="preserve">[-1.4048, 1.0449]</w:t>
            </w:r>
          </w:p>
        </w:tc>
        <w:tc>
          <w:tcPr>
            <w:tcW w:w="0" w:type="auto"/>
          </w:tcPr>
          <w:p>
            <w:pPr>
              <w:spacing w:line="240" w:lineRule="auto" w:before="0" w:after="0"/>
              <w:pStyle w:val="Compact"/>
            </w:pPr>
            <w:r>
              <w:rPr>
                <w:sz w:val="20"/>
                <w:szCs w:val="20"/>
              </w:rPr>
              <w:t xml:space="preserve">0.8353</w:t>
            </w:r>
          </w:p>
        </w:tc>
      </w:tr>
      <w:tr>
        <w:tc>
          <w:tcPr>
            <w:tcW w:w="0" w:type="auto"/>
          </w:tcPr>
          <w:p>
            <w:pPr>
              <w:spacing w:line="240" w:lineRule="auto" w:before="0" w:after="0"/>
              <w:pStyle w:val="Compact"/>
            </w:pPr>
            <w:r>
              <w:rPr>
                <w:sz w:val="20"/>
                <w:szCs w:val="20"/>
              </w:rPr>
              <w:t xml:space="preserve">prior_investigations</w:t>
            </w:r>
          </w:p>
        </w:tc>
        <w:tc>
          <w:tcPr>
            <w:tcW w:w="0" w:type="auto"/>
          </w:tcPr>
          <w:p>
            <w:pPr>
              <w:spacing w:line="240" w:lineRule="auto" w:before="0" w:after="0"/>
              <w:pStyle w:val="Compact"/>
            </w:pPr>
            <w:r>
              <w:rPr>
                <w:sz w:val="20"/>
                <w:szCs w:val="20"/>
              </w:rPr>
              <w:t xml:space="preserve">0.7376</w:t>
            </w:r>
          </w:p>
        </w:tc>
        <w:tc>
          <w:tcPr>
            <w:tcW w:w="0" w:type="auto"/>
          </w:tcPr>
          <w:p>
            <w:pPr>
              <w:spacing w:line="240" w:lineRule="auto" w:before="0" w:after="0"/>
              <w:pStyle w:val="Compact"/>
            </w:pPr>
            <w:r>
              <w:rPr>
                <w:sz w:val="20"/>
                <w:szCs w:val="20"/>
              </w:rPr>
              <w:t xml:space="preserve">0.2192</w:t>
            </w:r>
          </w:p>
        </w:tc>
        <w:tc>
          <w:tcPr>
            <w:tcW w:w="0" w:type="auto"/>
          </w:tcPr>
          <w:p>
            <w:pPr>
              <w:spacing w:line="240" w:lineRule="auto" w:before="0" w:after="0"/>
              <w:pStyle w:val="Compact"/>
            </w:pPr>
            <w:r>
              <w:rPr>
                <w:sz w:val="20"/>
                <w:szCs w:val="20"/>
              </w:rPr>
              <w:t xml:space="preserve">3.3645</w:t>
            </w:r>
          </w:p>
        </w:tc>
        <w:tc>
          <w:tcPr>
            <w:tcW w:w="0" w:type="auto"/>
          </w:tcPr>
          <w:p>
            <w:pPr>
              <w:spacing w:line="240" w:lineRule="auto" w:before="0" w:after="0"/>
              <w:pStyle w:val="Compact"/>
            </w:pPr>
            <w:r>
              <w:rPr>
                <w:sz w:val="20"/>
                <w:szCs w:val="20"/>
              </w:rPr>
              <w:t xml:space="preserve">0.0007668</w:t>
            </w:r>
          </w:p>
        </w:tc>
        <w:tc>
          <w:tcPr>
            <w:tcW w:w="0" w:type="auto"/>
          </w:tcPr>
          <w:p>
            <w:pPr>
              <w:spacing w:line="240" w:lineRule="auto" w:before="0" w:after="0"/>
              <w:pStyle w:val="Compact"/>
            </w:pPr>
            <w:r>
              <w:rPr>
                <w:sz w:val="20"/>
                <w:szCs w:val="20"/>
              </w:rPr>
              <w:t xml:space="preserve">[0.3079, 1.1674]</w:t>
            </w:r>
          </w:p>
        </w:tc>
        <w:tc>
          <w:tcPr>
            <w:tcW w:w="0" w:type="auto"/>
          </w:tcPr>
          <w:p>
            <w:pPr>
              <w:spacing w:line="240" w:lineRule="auto" w:before="0" w:after="0"/>
              <w:pStyle w:val="Compact"/>
            </w:pPr>
            <w:r>
              <w:rPr>
                <w:sz w:val="20"/>
                <w:szCs w:val="20"/>
              </w:rPr>
              <w:t xml:space="preserve">2.091</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-1.3672</w:t>
            </w:r>
          </w:p>
        </w:tc>
        <w:tc>
          <w:tcPr>
            <w:tcW w:w="0" w:type="auto"/>
          </w:tcPr>
          <w:p>
            <w:pPr>
              <w:spacing w:line="240" w:lineRule="auto" w:before="0" w:after="0"/>
              <w:pStyle w:val="Compact"/>
            </w:pPr>
            <w:r>
              <w:rPr>
                <w:sz w:val="20"/>
                <w:szCs w:val="20"/>
              </w:rPr>
              <w:t xml:space="preserve">0.6964</w:t>
            </w:r>
          </w:p>
        </w:tc>
        <w:tc>
          <w:tcPr>
            <w:tcW w:w="0" w:type="auto"/>
          </w:tcPr>
          <w:p>
            <w:pPr>
              <w:spacing w:line="240" w:lineRule="auto" w:before="0" w:after="0"/>
              <w:pStyle w:val="Compact"/>
            </w:pPr>
            <w:r>
              <w:rPr>
                <w:sz w:val="20"/>
                <w:szCs w:val="20"/>
              </w:rPr>
              <w:t xml:space="preserve">-1.9632</w:t>
            </w:r>
          </w:p>
        </w:tc>
        <w:tc>
          <w:tcPr>
            <w:tcW w:w="0" w:type="auto"/>
          </w:tcPr>
          <w:p>
            <w:pPr>
              <w:spacing w:line="240" w:lineRule="auto" w:before="0" w:after="0"/>
              <w:pStyle w:val="Compact"/>
            </w:pPr>
            <w:r>
              <w:rPr>
                <w:sz w:val="20"/>
                <w:szCs w:val="20"/>
              </w:rPr>
              <w:t xml:space="preserve">0.0496</w:t>
            </w:r>
          </w:p>
        </w:tc>
        <w:tc>
          <w:tcPr>
            <w:tcW w:w="0" w:type="auto"/>
          </w:tcPr>
          <w:p>
            <w:pPr>
              <w:spacing w:line="240" w:lineRule="auto" w:before="0" w:after="0"/>
              <w:pStyle w:val="Compact"/>
            </w:pPr>
            <w:r>
              <w:rPr>
                <w:sz w:val="20"/>
                <w:szCs w:val="20"/>
              </w:rPr>
              <w:t xml:space="preserve">[-2.7322, -0.0022]</w:t>
            </w:r>
          </w:p>
        </w:tc>
        <w:tc>
          <w:tcPr>
            <w:tcW w:w="0" w:type="auto"/>
          </w:tcPr>
          <w:p>
            <w:pPr>
              <w:spacing w:line="240" w:lineRule="auto" w:before="0" w:after="0"/>
              <w:pStyle w:val="Compact"/>
            </w:pPr>
            <w:r>
              <w:rPr>
                <w:sz w:val="20"/>
                <w:szCs w:val="20"/>
              </w:rPr>
              <w:t xml:space="preserve">0.2548</w:t>
            </w:r>
          </w:p>
        </w:tc>
      </w:tr>
    </w:tbl>
    <w:p>
      <w:pPr>
        <w:pStyle w:val="BodyText"/>
      </w:pPr>
      <w:r>
        <w:t xml:space="preserve">Fit: N = 28 events = 25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1016/j.actaastro.2024.01.024" TargetMode="External" /><Relationship Type="http://schemas.openxmlformats.org/officeDocument/2006/relationships/hyperlink" Id="rId75" Target="https://doi.org/10.64861/RAAN7205" TargetMode="External" /><Relationship Type="http://schemas.openxmlformats.org/officeDocument/2006/relationships/hyperlink" Id="rId68" Target="https://doi.org/10.64861/TJUV7381"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24.01.024" TargetMode="External" /><Relationship Type="http://schemas.openxmlformats.org/officeDocument/2006/relationships/hyperlink" Id="rId75" Target="https://doi.org/10.64861/RAAN7205" TargetMode="External" /><Relationship Type="http://schemas.openxmlformats.org/officeDocument/2006/relationships/hyperlink" Id="rId68" Target="https://doi.org/10.64861/TJUV738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2026-06-27T13:10:10Z</dcterms:created>
  <dcterms:modified xsi:type="dcterms:W3CDTF">2026-06-27T13:10:10Z</dcterms:modified>
</cp:coreProperties>
</file>

<file path=docProps/custom.xml><?xml version="1.0" encoding="utf-8"?>
<Properties xmlns="http://schemas.openxmlformats.org/officeDocument/2006/custom-properties" xmlns:vt="http://schemas.openxmlformats.org/officeDocument/2006/docPropsVTypes"/>
</file>