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MISHAP INVESTIGATION DURATION AND THE COST OF GROUNDING: AN ECONOMETRIC HAZARD MODEL OF POST-ANOMALY RETURN-TO-FLIGHT INTERVALS</w:t>
      </w:r>
    </w:p>
    <w:p>
      <w:pPr>
        <w:jc w:val="center"/>
      </w:pPr>
    </w:p>
    <w:p>
      <w:pPr>
        <w:jc w:val="center"/>
      </w:pPr>
      <w:r>
        <w:rPr>
          <w:rFonts w:ascii="Times New Roman" w:hAnsi="Times New Roman"/>
          <w:sz w:val="24"/>
        </w:rPr>
        <w:t>by</w:t>
      </w:r>
    </w:p>
    <w:p>
      <w:pPr>
        <w:jc w:val="center"/>
      </w:pPr>
      <w:r>
        <w:rPr>
          <w:rFonts w:ascii="Times New Roman" w:hAnsi="Times New Roman"/>
          <w:b/>
          <w:sz w:val="28"/>
        </w:rPr>
        <w:t>Amara Bianchi</w:t>
      </w:r>
    </w:p>
    <w:p>
      <w:pPr>
        <w:jc w:val="center"/>
      </w:pPr>
      <w:r>
        <w:rPr>
          <w:rFonts w:ascii="Times New Roman" w:hAnsi="Times New Roman"/>
          <w:sz w:val="24"/>
        </w:rPr>
        <w:t>1B-INF-118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When a licensed launch vehicle experiences an in-flight anomaly, the regulatory consequence in the United States, and in most peer jurisdictions, is a grounding of the affected vehicle family pending the completion of a mishap investigation. The duration of that grounding, measured from the moment the anomaly occurs to the moment the responsible regulator certifies the vehicle for return-to-flight (RTF), is the load-bearing variable in the post-anomaly economics of launch services. It sets the calendar against which manifest slip propagates to customer constellations. It sets the interval over which insurance and financing costs accrue against payloads already capitalized but not yet on orbit. It sets the window within which competing operators reprice access slots and within which customers reassign payloads to alternate vehicles, abandoning sunk integration costs at the original provider. Yet the literature has treated this interval as an administrative footnote rather than as a quantifiable hazard process with measurable covariates</w:t>
      </w:r>
      <w:r>
        <w:t xml:space="preserve"> </w:t>
      </w:r>
      <w:hyperlink w:anchor="ref-9">
        <w:r>
          <w:rPr>
            <w:rStyle w:val="Hyperlink"/>
          </w:rPr>
          <w:t xml:space="preserve">[9]</w:t>
        </w:r>
      </w:hyperlink>
      <w:r>
        <w:t xml:space="preserve">.</w:t>
      </w:r>
    </w:p>
    <w:p>
      <w:pPr>
        <w:pStyle w:val="BodyText"/>
        <w:spacing w:line="480" w:lineRule="auto"/>
        <w:ind w:firstLine="720"/>
      </w:pPr>
      <w:r>
        <w:t xml:space="preserve">This dissertation reconceptualizes the post-anomaly grounding interval as a survival outcome. It asks a single, falsifiable question: conditional on the observable features of an anomaly and on the operator’s diagnostic apparatus, does the deployment of AI-assisted anomaly-identification tooling of the kind documented in the recent operational-tooling literature [1, 7, 10] shorten the expected time to regulatory clearance, The question is narrow by design. It is narrow because the prospectus that grounds this work commits the candidate to a single load-bearing claim about a single coefficient in a single specification</w:t>
      </w:r>
      <w:r>
        <w:t xml:space="preserve"> </w:t>
      </w:r>
      <w:hyperlink w:anchor="ref-9">
        <w:r>
          <w:rPr>
            <w:rStyle w:val="Hyperlink"/>
          </w:rPr>
          <w:t xml:space="preserve">[9]</w:t>
        </w:r>
      </w:hyperlink>
      <w:r>
        <w:t xml:space="preserve">. It is narrow because narrowness is what permits falsification. And it is narrow because the existing scholarly apparatus, distributed across two adjacent but disconnected literatures, supplies neither the conditional measurement nor the identification strategy that would answer it.</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The stakes are not abstract. NASA’s science directorate has, since the 2020 reorganization of its launch-services portfolio, become structurally dependent on a small number of commercial launch-vehicle families. The class of vehicles that carry the agency’s interplanetary and high-energy missions is narrower still: the McNutt et al. analysis of high-speed scientific spacecraft launches with commercial launch vehicles documents the degree to which mission-design choices, propulsion strategies, and trajectory architectures are constrained by the available commercial-vehicle catalogue</w:t>
      </w:r>
      <w:r>
        <w:t xml:space="preserve"> </w:t>
      </w:r>
      <w:hyperlink w:anchor="ref-8">
        <w:r>
          <w:rPr>
            <w:rStyle w:val="Hyperlink"/>
          </w:rPr>
          <w:t xml:space="preserve">[8]</w:t>
        </w:r>
      </w:hyperlink>
      <w:r>
        <w:t xml:space="preserve">. When one of those vehicles is grounded after an anomaly, the consequence is not a procurement inconvenience. The consequence is the displacement of a planetary-launch window measured in months or, in the case of outer-planet trajectories, in years. The mission-design literature emphasizes that windows for high-speed scientific spacecraft launches are not renegotiable on regulatory timescales: a slip of nine months on a Jovian trajectory may add eighteen months of cruise</w:t>
      </w:r>
      <w:r>
        <w:t xml:space="preserve"> </w:t>
      </w:r>
      <w:hyperlink w:anchor="ref-8">
        <w:r>
          <w:rPr>
            <w:rStyle w:val="Hyperlink"/>
          </w:rPr>
          <w:t xml:space="preserve">[8]</w:t>
        </w:r>
      </w:hyperlink>
      <w:r>
        <w:t xml:space="preserve">.</w:t>
      </w:r>
    </w:p>
    <w:p>
      <w:pPr>
        <w:pStyle w:val="BodyText"/>
        <w:spacing w:line="480" w:lineRule="auto"/>
        <w:ind w:firstLine="720"/>
      </w:pPr>
      <w:r>
        <w:t xml:space="preserve">For the Jet Propulsion Laboratory the dependency is sharper. JPL’s flagship and competed missions, from outer-planet science to Mars sample-return architectures, are designed against vehicle catalogues whose grounding probabilities and grounding durations are taken as exogenous. The mission planning office can calculate the probability that a vehicle will be available within a launch window, but the available risk products do not condition the duration of any grounding on the operator’s diagnostic apparatus or on the regulator’s prior over the operator’s failure modes. That gap matters because the difference between a six-month grounding and a twelve-month grounding is, for a JPL mission with a narrow planetary window, the difference between launching and replanning. The cost of replanning, expressed in the carrying cost of a flight-ready spacecraft awaiting an open window, is a first-order entry in the laboratory’s commitment portfolio.</w:t>
      </w:r>
    </w:p>
    <w:p>
      <w:pPr>
        <w:pStyle w:val="BodyText"/>
        <w:spacing w:line="480" w:lineRule="auto"/>
        <w:ind w:firstLine="720"/>
      </w:pPr>
      <w:r>
        <w:t xml:space="preserve">The space-economics literature has identified the disruption channel in qualitative terms. The Weinzierl framing treats launch services as the structural bottleneck of the broader space economy, observing that a constraint on launch capacity reverberates through every downstream segment of the value chain [5, 12]. The OCEA forecasting work characterizes the launch segment’s role in driving the broader space-economy trajectory</w:t>
      </w:r>
      <w:r>
        <w:t xml:space="preserve"> </w:t>
      </w:r>
      <w:hyperlink w:anchor="ref-3">
        <w:r>
          <w:rPr>
            <w:rStyle w:val="Hyperlink"/>
          </w:rPr>
          <w:t xml:space="preserve">[3]</w:t>
        </w:r>
      </w:hyperlink>
      <w:r>
        <w:t xml:space="preserve">. The ASCEND 2025 orbital-classification work documents the disruption that policy interventions and reliability events can trigger across operator constellations [4, 13]. The role-of-space framing connects the launch bottleneck to sustainability, security, and development outcomes</w:t>
      </w:r>
      <w:r>
        <w:t xml:space="preserve"> </w:t>
      </w:r>
      <w:hyperlink w:anchor="ref-2">
        <w:r>
          <w:rPr>
            <w:rStyle w:val="Hyperlink"/>
          </w:rPr>
          <w:t xml:space="preserve">[2]</w:t>
        </w:r>
      </w:hyperlink>
      <w:r>
        <w:t xml:space="preserve">. The circular-economy literature extends the same logic to in-orbit servicing and end-of-life economics</w:t>
      </w:r>
      <w:r>
        <w:t xml:space="preserve"> </w:t>
      </w:r>
      <w:hyperlink w:anchor="ref-6">
        <w:r>
          <w:rPr>
            <w:rStyle w:val="Hyperlink"/>
          </w:rPr>
          <w:t xml:space="preserve">[6]</w:t>
        </w:r>
      </w:hyperlink>
      <w:r>
        <w:t xml:space="preserve">. Across this body of work the grounding interval is treated as an exogenous shock. The literature does not model it. The literature cannot price it.</w:t>
      </w:r>
    </w:p>
    <w:p>
      <w:pPr>
        <w:pStyle w:val="BodyText"/>
        <w:spacing w:line="480" w:lineRule="auto"/>
        <w:ind w:firstLine="720"/>
      </w:pPr>
      <w:r>
        <w:t xml:space="preserve">The cost to NASA and JPL of that absence is concrete. Without a duration model, the agency cannot calculate the conditional expected cost of an anomaly in its prime contractor’s manifest. The acquisition office must instead price the grounding risk through unconditional historical averages, which conflate operators with mature diagnostic apparatus and operators without, and which conflate easy anomalies with hard ones. The result is a mispricing of the risk premium attached to vehicle selection and, downstream of that, a mispricing of mission cost reserves. The dissertation’s principal contribution to NASA and JPL acquisition practice is to supply the conditional duration model that would let the agency price grounding risk on the observable features of an anomaly and on the observable features of an operator’s diagnostic toolchain.</w:t>
      </w:r>
    </w:p>
    <w:bookmarkEnd w:id="62"/>
    <w:bookmarkStart w:id="63" w:name="the-disciplinary-gap"/>
    <w:p>
      <w:pPr>
        <w:pStyle w:val="Heading2"/>
        <w:spacing w:line="480" w:lineRule="auto"/>
      </w:pPr>
      <w:r>
        <w:t xml:space="preserve">1.3 The Disciplinary Gap</w:t>
      </w:r>
    </w:p>
    <w:p>
      <w:pPr>
        <w:pStyle w:val="FirstParagraph"/>
        <w:spacing w:line="480" w:lineRule="auto"/>
      </w:pPr>
      <w:r>
        <w:t xml:space="preserve">The disciplinary gap that the dissertation occupies has a specific structure. Two literatures exist. They are adjacent. They do not connect.</w:t>
      </w:r>
    </w:p>
    <w:p>
      <w:pPr>
        <w:pStyle w:val="BodyText"/>
        <w:spacing w:line="480" w:lineRule="auto"/>
        <w:ind w:firstLine="720"/>
      </w:pPr>
      <w:r>
        <w:t xml:space="preserve">The first is the operational anomaly-identification literature. This is a body of work, much of it in the AMOS proceedings, that develops AI-assisted and machine-learning-assisted decision-support tooling for post-event diagnosis at the operator and at the space-domain-awareness community. The Mutholib et al. prototype of a web-based AI decision-support system for satellite anomaly identification is the canonical recent example [1, 10]. The Grosvenor et al. hierarchical neuro-symbolic architecture for autonomous spacecraft maneuvering and anomaly detection extends the same logic to onboard autonomy</w:t>
      </w:r>
      <w:r>
        <w:t xml:space="preserve"> </w:t>
      </w:r>
      <w:hyperlink w:anchor="ref-7">
        <w:r>
          <w:rPr>
            <w:rStyle w:val="Hyperlink"/>
          </w:rPr>
          <w:t xml:space="preserve">[7]</w:t>
        </w:r>
      </w:hyperlink>
      <w:r>
        <w:t xml:space="preserve">. The Putman et al. multi-phenomenology fusion work supplies the sensing substrate on which much of the operator-side identification logic depends</w:t>
      </w:r>
      <w:r>
        <w:t xml:space="preserve"> </w:t>
      </w:r>
      <w:hyperlink w:anchor="ref-11">
        <w:r>
          <w:rPr>
            <w:rStyle w:val="Hyperlink"/>
          </w:rPr>
          <w:t xml:space="preserve">[11]</w:t>
        </w:r>
      </w:hyperlink>
      <w:r>
        <w:t xml:space="preserve">. Adjacent SDA work documents the toolkit infrastructure that supports the operator’s diagnostic interface to the SSA community [17, 21]. The intrinsic-fault-resistance literature treats anomaly identification as a filtering problem with state-dependent detection probability</w:t>
      </w:r>
      <w:r>
        <w:t xml:space="preserve"> </w:t>
      </w:r>
      <w:hyperlink w:anchor="ref-18">
        <w:r>
          <w:rPr>
            <w:rStyle w:val="Hyperlink"/>
          </w:rPr>
          <w:t xml:space="preserve">[18]</w:t>
        </w:r>
      </w:hyperlink>
      <w:r>
        <w:t xml:space="preserve">. Crew-resource-management work in space-domain operations supplies the procedural overlay on top of the technical toolchain</w:t>
      </w:r>
      <w:r>
        <w:t xml:space="preserve"> </w:t>
      </w:r>
      <w:hyperlink w:anchor="ref-20">
        <w:r>
          <w:rPr>
            <w:rStyle w:val="Hyperlink"/>
          </w:rPr>
          <w:t xml:space="preserve">[20]</w:t>
        </w:r>
      </w:hyperlink>
      <w:r>
        <w:t xml:space="preserve">. The literature is technical, vehicle-side, and increasingly mature. It does not, however, connect to the regulatory return-to-flight clock. It treats the diagnostic interval as the relevant dependent variable and treats the regulator’s clearance interval as outside its scope.</w:t>
      </w:r>
    </w:p>
    <w:p>
      <w:pPr>
        <w:pStyle w:val="BodyText"/>
        <w:spacing w:line="480" w:lineRule="auto"/>
        <w:ind w:firstLine="720"/>
      </w:pPr>
      <w:r>
        <w:t xml:space="preserve">The second is the space-economics literature. The Weinzierl framing supplies the structural treatment of launch as bottleneck input [5, 12]. The OCEA forecasting work supplies the segment-level trajectory</w:t>
      </w:r>
      <w:r>
        <w:t xml:space="preserve"> </w:t>
      </w:r>
      <w:hyperlink w:anchor="ref-3">
        <w:r>
          <w:rPr>
            <w:rStyle w:val="Hyperlink"/>
          </w:rPr>
          <w:t xml:space="preserve">[3]</w:t>
        </w:r>
      </w:hyperlink>
      <w:r>
        <w:t xml:space="preserve">. The ASCEND 2025 classification work supplies the orbital-segment disruption framing [4, 13]. The role-of-space corpus supplies the macroeconomic externality argument</w:t>
      </w:r>
      <w:r>
        <w:t xml:space="preserve"> </w:t>
      </w:r>
      <w:hyperlink w:anchor="ref-2">
        <w:r>
          <w:rPr>
            <w:rStyle w:val="Hyperlink"/>
          </w:rPr>
          <w:t xml:space="preserve">[2]</w:t>
        </w:r>
      </w:hyperlink>
      <w:r>
        <w:t xml:space="preserve">. The circular-economy work supplies the lifecycle framing</w:t>
      </w:r>
      <w:r>
        <w:t xml:space="preserve"> </w:t>
      </w:r>
      <w:hyperlink w:anchor="ref-6">
        <w:r>
          <w:rPr>
            <w:rStyle w:val="Hyperlink"/>
          </w:rPr>
          <w:t xml:space="preserve">[6]</w:t>
        </w:r>
      </w:hyperlink>
      <w:r>
        <w:t xml:space="preserve">. The Retagne and Colombo launch-traffic forecast supplies the demand-side calibration on which any market-disruption argument rests</w:t>
      </w:r>
      <w:r>
        <w:t xml:space="preserve"> </w:t>
      </w:r>
      <w:hyperlink w:anchor="ref-25">
        <w:r>
          <w:rPr>
            <w:rStyle w:val="Hyperlink"/>
          </w:rPr>
          <w:t xml:space="preserve">[25]</w:t>
        </w:r>
      </w:hyperlink>
      <w:r>
        <w:t xml:space="preserve">. The in-orbit servicing literature supplies the downstream context within which grounded vehicles displace serviced and to-be-serviced assets</w:t>
      </w:r>
      <w:r>
        <w:t xml:space="preserve"> </w:t>
      </w:r>
      <w:hyperlink w:anchor="ref-23">
        <w:r>
          <w:rPr>
            <w:rStyle w:val="Hyperlink"/>
          </w:rPr>
          <w:t xml:space="preserve">[23]</w:t>
        </w:r>
      </w:hyperlink>
      <w:r>
        <w:t xml:space="preserve">. This literature treats the duration of grounding as either an exogenous shock or as an unmodeled administrative process. It identifies the disruption channel and it identifies the downstream cost, but it does not estimate the conditional duration that drives the cost.</w:t>
      </w:r>
    </w:p>
    <w:p>
      <w:pPr>
        <w:pStyle w:val="BodyText"/>
        <w:spacing w:line="480" w:lineRule="auto"/>
        <w:ind w:firstLine="720"/>
      </w:pPr>
      <w:r>
        <w:t xml:space="preserve">Between these two literatures sits the regulatory return-to-flight clock. The operational literature treats it as outside its scope. The economic literature treats it as exogenous. Neither literature supplies a duration model. Neither literature supplies a covariate-conditional hazard. Neither literature connects the operator’s diagnostic toolchain, which the operational literature documents in increasing detail, to the regulator’s clearance interval, which the economic literature treats as the relevant downstream margin. The gap is therefore not an absence of attention in either literature taken alone. The gap is an absence of connection between them.</w:t>
      </w:r>
    </w:p>
    <w:p>
      <w:pPr>
        <w:pStyle w:val="BodyText"/>
        <w:spacing w:line="480" w:lineRule="auto"/>
        <w:ind w:firstLine="720"/>
      </w:pPr>
      <w:r>
        <w:t xml:space="preserve">The methodological literature on duration analysis supplies the toolkit that would close the gap. The Cox proportional-hazards specification, with its non-parametric baseline and its exponentiated linear index of covariates, is the natural estimator for a clearance interval with a small number of events and a moderate number of covariates. The estimator’s small-sample behavior is well understood, its partial-likelihood inference is well documented, and its competing-risks extensions accommodate the program-closure censoring that the public-record sample of launch-vehicle mishaps inevitably contains. Yet the duration toolkit has not been brought to bear on the return-to-flight interval. The methodological apparatus is mature. The substantive application is absent.</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states one falsifiable claim. Conditional on anomaly severity, payload commerciality, vehicle generation, and the operator’s prior-investigation count, the coefficient on an indicator for the operator’s deployment of AI-assisted anomaly-identification tooling in a Cox proportional-hazards specification of return-to-flight duration is positive and statistically distinguishable from zero. The null is no effect. The alternative is a positive coefficient. Rejection of the null in favor of the alternative establishes a measurable, regulator-relevant return on the operator’s diagnostic toolchain. Failure to reject the null establishes that the operational tooling does not translate into a shortened regulatory clock.</w:t>
      </w:r>
    </w:p>
    <w:p>
      <w:pPr>
        <w:pStyle w:val="BodyText"/>
        <w:spacing w:line="480" w:lineRule="auto"/>
        <w:ind w:firstLine="720"/>
      </w:pPr>
      <w:r>
        <w:t xml:space="preserve">The claim is precise in three respects. It is precise about the specification: a stratified Cox proportional-hazards model with operator fixed effects via stratification, estimated by partial likelihood on the public-record sample of post-anomaly grounding events. It is precise about the coefficient under test: the linear-index coefficient on a binary indicator constructed from the operator’s anomaly-response disclosures, cross-referenced to the AMOS prototype timeline [1, 10]. It is precise about the rejection criterion: a two-sided test at conventional levels, with bootstrap confidence intervals as a small-sample robustness check.</w:t>
      </w:r>
    </w:p>
    <w:p>
      <w:pPr>
        <w:pStyle w:val="BodyText"/>
        <w:spacing w:line="480" w:lineRule="auto"/>
        <w:ind w:firstLine="720"/>
      </w:pPr>
      <w:r>
        <w:t xml:space="preserve">The two empirical papers that precede this chapter, P1 and P2, instantiate the claim on overlapping but distinct samples. P1 estimates the specification on a panel of 28 post-anomaly grounding events between 2003 and 2025 and reports a coefficient on the AI-tooling indicator of minus 0.18 with a p-value of 0.7733, a non-rejection of the null. P2 estimates the specification on an expanded panel of 39 events between 1996 and 2025 and reports a coefficient of 0.951 with a p-value of 0.0285, a rejection of the null at the 5 percent level in favor of the directional alternative. The two estimates are not contradictory: they differ in sample composition, in coding of the AI-tooling indicator, and in covariate set. The dissertation chapters that follow this introduction will reconcile the two estimates, will establish the conditions under which the null can be rejected, and will quantify the sensitivity of the rejection to the construction of the treatment indicator.</w:t>
      </w:r>
    </w:p>
    <w:p>
      <w:pPr>
        <w:pStyle w:val="BodyText"/>
        <w:spacing w:line="480" w:lineRule="auto"/>
        <w:ind w:firstLine="720"/>
      </w:pPr>
      <w:r>
        <w:t xml:space="preserve">The contribution to the disciplinary literature is therefore not a single coefficient. The contribution is the specification itself: the demonstration that the return-to-flight interval is an estimable duration outcome, that the operator’s diagnostic apparatus is an admissible covariate within that duration model, and that the conditional hazard varies measurably and interpretably with covariates that the operational literature and the economic literature both observe but neither has linked. The single falsifiable claim about the AI-tooling coefficient is the load-bearing claim. The broader contribution is the bridge.</w:t>
      </w:r>
    </w:p>
    <w:p>
      <w:pPr>
        <w:pStyle w:val="BodyText"/>
        <w:spacing w:line="480" w:lineRule="auto"/>
        <w:ind w:firstLine="720"/>
      </w:pPr>
      <w:r>
        <w:t xml:space="preserve">The contribution to NASA and JPL acquisition practice is the conditional cost calculation that the duration model permits. With a fitted hazard model in hand, the NASA Launch Services Program and the JPL mission-planning office can replace unconditional historical averages with covariate-conditional expected durations. The conditional expectation can be propagated into mission cost reserves, into launch-window risk assessments, and into the agency’s negotiated reserve against vehicle selection. The contribution is not the model in isolation. The contribution is the model in the agency’s hands.</w:t>
      </w:r>
    </w:p>
    <w:bookmarkEnd w:id="64"/>
    <w:bookmarkStart w:id="65" w:name="scope-method-and-identification"/>
    <w:p>
      <w:pPr>
        <w:pStyle w:val="Heading2"/>
        <w:spacing w:line="480" w:lineRule="auto"/>
      </w:pPr>
      <w:r>
        <w:t xml:space="preserve">1.5 Scope, Method, and Identification</w:t>
      </w:r>
    </w:p>
    <w:p>
      <w:pPr>
        <w:pStyle w:val="FirstParagraph"/>
        <w:spacing w:line="480" w:lineRule="auto"/>
      </w:pPr>
      <w:r>
        <w:t xml:space="preserve">The dissertation’s empirical scope is the global licensed-launch record from 1996 to 2025. The unit of analysis is a single post-anomaly grounding event for a single vehicle family. The duration variable is the number of calendar days from anomaly occurrence to the operator’s first subsequent successful flight of the affected vehicle family, with regulatory clearance documented from FAA AST mishap closure records, NASA Independent Review Board reports, ESA-Arianespace inquiry commission reports, JAXA-MEXT inquiry reports, Roscosmos commission reports, and operator filings. Right-censoring occurs for company exit, program closure, and unresolved investigations at the study horizon.</w:t>
      </w:r>
    </w:p>
    <w:p>
      <w:pPr>
        <w:pStyle w:val="BodyText"/>
        <w:spacing w:line="480" w:lineRule="auto"/>
        <w:ind w:firstLine="720"/>
      </w:pPr>
      <w:r>
        <w:t xml:space="preserve">The covariate set is small and disciplined. Severity is coded on a regulator-recognized ordinal scale. AI-tooling is a binary indicator constructed from the operator’s disclosure cross-referenced to the AMOS prototype timeline [1, 10] and the adjacent operational-toolchain literature [7, 11]. Prior-investigation count captures regulatory familiarity and operator procedural learning. Payload commerciality captures the documentation and disclosure regime under which the investigation proceeds. Vehicle generation captures within-family variation in the regulator’s prior over the failure modes of a specific airframe.</w:t>
      </w:r>
    </w:p>
    <w:p>
      <w:pPr>
        <w:pStyle w:val="BodyText"/>
        <w:spacing w:line="480" w:lineRule="auto"/>
        <w:ind w:firstLine="720"/>
      </w:pPr>
      <w:r>
        <w:t xml:space="preserve">Identification of the AI-tooling coefficient rests on three margins. The first is within-operator variation across successive anomalies, which the stratified Cox specification exploits through operator fixed effects. The second is the staggered adoption of decision-support systems across operators over the sample window, which generates between-operator variation in treatment timing. The third is the explicit cross-reference of the operator’s disclosure to a documented operational-tooling timeline [1, 10], which disciplines the construction of the treatment indicator against a fixed external reference rather than against the operator’s self-reported maturity.</w:t>
      </w:r>
    </w:p>
    <w:p>
      <w:pPr>
        <w:pStyle w:val="BodyText"/>
        <w:spacing w:line="480" w:lineRule="auto"/>
        <w:ind w:firstLine="720"/>
      </w:pPr>
      <w:r>
        <w:t xml:space="preserve">The estimator is the Cox proportional-hazards model with partial-likelihood inference, supplemented by Weibull and log-logistic parametric robustness checks, a competing-risks formulation in which alternate-vehicle reassignment is the competing outcome, and bootstrap confidence intervals to address the small-sample inference problem. The two empirical papers that precede this chapter establish the baseline specification; the chapters that follow this introduction extend it.</w:t>
      </w:r>
    </w:p>
    <w:bookmarkEnd w:id="65"/>
    <w:bookmarkStart w:id="66" w:name="threats-to-validity"/>
    <w:p>
      <w:pPr>
        <w:pStyle w:val="Heading2"/>
        <w:spacing w:line="480" w:lineRule="auto"/>
      </w:pPr>
      <w:r>
        <w:t xml:space="preserve">1.6 Threats to Validity</w:t>
      </w:r>
    </w:p>
    <w:p>
      <w:pPr>
        <w:pStyle w:val="FirstParagraph"/>
        <w:spacing w:line="480" w:lineRule="auto"/>
      </w:pPr>
      <w:r>
        <w:t xml:space="preserve">Four threats to validity structure the empirical work. First, selection on anomaly severity: more severe anomalies may receive both more intensive AI-assisted diagnosis and longer regulatory scrutiny. The stratified Cox specification with severity controls is the primary mitigation. Second, measurement of the AI-tooling indicator: operators disclose anomaly-response practices unevenly, and the indicator is measured with error. Sensitivity analysis with alternate codings is the mitigation. Third, regulatory regime change: the AST mishap process has evolved over the sample window, and a regime shift could be misattributed to the tooling indicator. Calendar-time controls and a regime-shift placebo are the mitigation. Fourth, small-sample inference: the count of post-anomaly groundings in the licensed-launch record is modest. Bootstrap confidence intervals and exact partial-likelihood inference are the mitigation. These threats are revisited in the chapter on identification and again in the chapter that reports the principal estimates.</w:t>
      </w:r>
    </w:p>
    <w:bookmarkEnd w:id="66"/>
    <w:bookmarkStart w:id="67" w:name="roadmap"/>
    <w:p>
      <w:pPr>
        <w:pStyle w:val="Heading2"/>
        <w:spacing w:line="480" w:lineRule="auto"/>
      </w:pPr>
      <w:r>
        <w:t xml:space="preserve">1.7 Roadmap</w:t>
      </w:r>
    </w:p>
    <w:p>
      <w:pPr>
        <w:pStyle w:val="FirstParagraph"/>
        <w:spacing w:line="480" w:lineRule="auto"/>
      </w:pPr>
      <w:r>
        <w:t xml:space="preserve">The dissertation proceeds in seven further chapters. Chapter 2 develops the literature review across the two disconnected bodies of work introduced here: the operational anomaly-identification literature, with its grounding in the AMOS proceedings and the adjacent SSA toolchain [1, 7, 10, 11, 17, 18, 20, 21]; and the space-economics literature, with its treatment of launch as a bottleneck input [2, 3, 4, 5, 6, 12, 13] and its forecasting and traffic-projection apparatus</w:t>
      </w:r>
      <w:r>
        <w:t xml:space="preserve"> </w:t>
      </w:r>
      <w:hyperlink w:anchor="ref-25">
        <w:r>
          <w:rPr>
            <w:rStyle w:val="Hyperlink"/>
          </w:rPr>
          <w:t xml:space="preserve">[25]</w:t>
        </w:r>
      </w:hyperlink>
      <w:r>
        <w:t xml:space="preserve">. The chapter establishes that the gap between the two literatures is structural rather than incidental.</w:t>
      </w:r>
    </w:p>
    <w:p>
      <w:pPr>
        <w:pStyle w:val="BodyText"/>
        <w:spacing w:line="480" w:lineRule="auto"/>
        <w:ind w:firstLine="720"/>
      </w:pPr>
      <w:r>
        <w:t xml:space="preserve">Chapter 3 develops the theoretical framework. It models the regulator’s clearance interval as a function of the information set the operator delivers and of the information set the regulator independently demands. It derives the conditions under which the operator’s diagnostic apparatus translates into a shortened regulatory clock and the conditions under which the regulator’s process imposes a floor insensitive to the operator’s diagnostic speed. The chapter establishes the conditions under which the AI-tooling coefficient is identified and the conditions under which it is not.</w:t>
      </w:r>
    </w:p>
    <w:p>
      <w:pPr>
        <w:pStyle w:val="BodyText"/>
        <w:spacing w:line="480" w:lineRule="auto"/>
        <w:ind w:firstLine="720"/>
      </w:pPr>
      <w:r>
        <w:t xml:space="preserve">Chapter 4 documents the data. It establishes provenance for every observation in the global licensed-launch record between 1996 and 2025. It documents the construction of the AI-tooling indicator against the operational-toolchain timeline [1, 7, 10, 11]. It documents the censoring mechanism and its independence from the latent return-to-flight clock. It documents the rate of illustrative observations and the threshold the prospectus established for their inclusion</w:t>
      </w:r>
      <w:r>
        <w:t xml:space="preserve"> </w:t>
      </w:r>
      <w:hyperlink w:anchor="ref-9">
        <w:r>
          <w:rPr>
            <w:rStyle w:val="Hyperlink"/>
          </w:rPr>
          <w:t xml:space="preserve">[9]</w:t>
        </w:r>
      </w:hyperlink>
      <w:r>
        <w:t xml:space="preserve">.</w:t>
      </w:r>
    </w:p>
    <w:p>
      <w:pPr>
        <w:pStyle w:val="BodyText"/>
        <w:spacing w:line="480" w:lineRule="auto"/>
        <w:ind w:firstLine="720"/>
      </w:pPr>
      <w:r>
        <w:t xml:space="preserve">Chapter 5 develops the identification strategy. It establishes the stratified Cox specification with operator fixed effects. It develops the competing-risks formulation in which alternate-vehicle reassignment is the competing outcome. It develops the parametric robustness checks and the placebo tests. It documents the bootstrap inference procedure that addresses the small-sample concern.</w:t>
      </w:r>
    </w:p>
    <w:p>
      <w:pPr>
        <w:pStyle w:val="BodyText"/>
        <w:spacing w:line="480" w:lineRule="auto"/>
        <w:ind w:firstLine="720"/>
      </w:pPr>
      <w:r>
        <w:t xml:space="preserve">Chapter 6 reports the principal estimates. It reconciles the P1 and P2 estimates introduced above. It establishes the conditions under which the null on the AI-tooling indicator is rejected and the conditions under which it is not. It reports the side findings on severity, on prior-investigation count, and on payload commerciality that the two empirical papers have already surfaced. The borderline negative coefficient on payload commerciality reported in P1, which inverts a casual prior in the space-economics literature [2, 4, 5], is examined in a dedicated robustness exercise.</w:t>
      </w:r>
    </w:p>
    <w:p>
      <w:pPr>
        <w:pStyle w:val="BodyText"/>
        <w:spacing w:line="480" w:lineRule="auto"/>
        <w:ind w:firstLine="720"/>
      </w:pPr>
      <w:r>
        <w:t xml:space="preserve">Chapter 7 develops the implications for acquisition practice at NASA and JPL. It applies the fitted hazard model to the catalogue of vehicles on which NASA’s science directorate and JPL’s mission-planning office depend. It computes covariate-conditional expected groundings for vehicles at the relevant launch-window margins. It calculates the implied carrying-cost differential between operators with mature diagnostic toolchains and operators without. It supplies the agency with the conditional cost calculation that the unconditional historical averages cannot.</w:t>
      </w:r>
    </w:p>
    <w:p>
      <w:pPr>
        <w:pStyle w:val="BodyText"/>
        <w:spacing w:line="480" w:lineRule="auto"/>
        <w:ind w:firstLine="720"/>
      </w:pPr>
      <w:r>
        <w:t xml:space="preserve">Chapter 8 concludes. It states the dissertation’s contribution to the operational literature, to the space-economics literature, and to the duration-analysis methodological literature. It states the contribution to NASA and JPL acquisition practice. It states the open questions, the limits of the public-record sample, and the natural extensions: a sponsor-cooperation extension that would permit operator-side telemetry to be linked to regulator-side documentation; a Bayesian extension that would permit small-sample inference to be supplemented by structured prior information; and a cross-jurisdictional extension that would compare the conditional clearance hazard under FAA AST against the equivalent hazards under ESA, JAXA, and Roscosmos regimes.</w:t>
      </w:r>
    </w:p>
    <w:p>
      <w:pPr>
        <w:pStyle w:val="BodyText"/>
        <w:spacing w:line="480" w:lineRule="auto"/>
        <w:ind w:firstLine="720"/>
      </w:pPr>
      <w:r>
        <w:t xml:space="preserve">The dissertation as a whole is a single argument with a single falsifiable claim at its center. The argument is that the post-anomaly grounding interval is an estimable duration outcome. The claim is that the operator’s diagnostic toolchain raises the conditional hazard of regulatory clearance. The two empirical papers that precede this chapter establish that the claim can be tested. The chapters that follow establish the conditions under which it survives, the conditions under which it does not, and the implications for the agencies whose mission portfolios depend on the answer.</w:t>
      </w:r>
    </w:p>
    <w:bookmarkEnd w:id="67"/>
    <w:bookmarkEnd w:id="68"/>
    <w:bookmarkStart w:id="75" w:name="chapter-2.-literature-review"/>
    <w:p>
      <w:pPr>
        <w:pStyle w:val="Heading1"/>
        <w:spacing w:line="480" w:lineRule="auto"/>
      </w:pPr>
      <w:r>
        <w:t xml:space="preserve">Chapter 2. Literature Review</w:t>
      </w:r>
    </w:p>
    <w:bookmarkStart w:id="69" w:name="introduction-and-scope-of-the-review"/>
    <w:p>
      <w:pPr>
        <w:pStyle w:val="Heading2"/>
        <w:spacing w:line="480" w:lineRule="auto"/>
      </w:pPr>
      <w:r>
        <w:t xml:space="preserve">2.1 Introduction and Scope of the Review</w:t>
      </w:r>
    </w:p>
    <w:p>
      <w:pPr>
        <w:pStyle w:val="FirstParagraph"/>
        <w:spacing w:line="480" w:lineRule="auto"/>
      </w:pPr>
      <w:r>
        <w:t xml:space="preserve">The dissertation poses a single quantitative question. Conditional on the observable features of a launch-vehicle anomaly, does the duration of the regulatory grounding that follows admit estimation as a hazard process, and does the operator’s diagnostic apparatus enter that hazard with a coefficient distinguishable from zero, The question is consequential because the calendar interval between an anomaly and the regulatory clearance of return-to-flight is the load-bearing variable in the post-anomaly economics of launch services</w:t>
      </w:r>
      <w:r>
        <w:t xml:space="preserve"> </w:t>
      </w:r>
      <w:hyperlink w:anchor="ref-9">
        <w:r>
          <w:rPr>
            <w:rStyle w:val="Hyperlink"/>
          </w:rPr>
          <w:t xml:space="preserve">[9]</w:t>
        </w:r>
      </w:hyperlink>
      <w:r>
        <w:t xml:space="preserve">. The interval governs manifest slip, propagates delay across customer constellations, and imposes implicit financing costs on payloads already capitalized but not yet on orbit [4, 5].</w:t>
      </w:r>
    </w:p>
    <w:p>
      <w:pPr>
        <w:pStyle w:val="BodyText"/>
        <w:spacing w:line="480" w:lineRule="auto"/>
        <w:ind w:firstLine="720"/>
      </w:pPr>
      <w:r>
        <w:t xml:space="preserve">The intellectual difficulty of the question is that the literatures bearing on it have not been joined. On one side stands a maturing technical literature on space-systems anomaly identification, autonomous diagnosis, and space-domain awareness. On the other side stands a venerable cliometric and econometric tradition that supplies the survival-analytic and duration-modeling apparatus required to estimate a conditional grounding clock. A third, adjacent body of work supplies the space-economics framing within which the cost of grounding is meaningful at all. None of the three has been brought to bear on the others.</w:t>
      </w:r>
    </w:p>
    <w:p>
      <w:pPr>
        <w:pStyle w:val="BodyText"/>
        <w:spacing w:line="480" w:lineRule="auto"/>
        <w:ind w:firstLine="720"/>
      </w:pPr>
      <w:r>
        <w:t xml:space="preserve">This chapter reviews the three bodies in turn, develops their internal logic, and demonstrates that their non-intersection is the gap the dissertation enters. Section 2.2 reviews the operational anomaly-identification and space-situational-awareness technical literature. Section 2.3 reviews the launch-services and space-infrastructure technical literature that supplies the substantive characteristics of the events the dissertation models. Section 2.4 reviews the space-economics literature within which the cost of grounding has been recognized but not measured. Section 2.5 reviews the cliometric and econometric methodology, with particular emphasis on the proportional-hazards apparatus the dissertation deploys. Section 2.6 synthesizes the three streams and articulates the precise gap, locating the dissertation’s two companion empirical papers</w:t>
      </w:r>
      <w:r>
        <w:t xml:space="preserve"> </w:t>
      </w:r>
      <w:hyperlink w:anchor="ref-9">
        <w:r>
          <w:rPr>
            <w:rStyle w:val="Hyperlink"/>
          </w:rPr>
          <w:t xml:space="preserve">[9]</w:t>
        </w:r>
      </w:hyperlink>
      <w:r>
        <w:t xml:space="preserve"> </w:t>
      </w:r>
      <w:r>
        <w:t xml:space="preserve">within that gap.</w:t>
      </w:r>
    </w:p>
    <w:bookmarkEnd w:id="69"/>
    <w:bookmarkStart w:id="70" w:name="Xa0867285b5ff5fa91bd5adb68d4c6f11cb61bca"/>
    <w:p>
      <w:pPr>
        <w:pStyle w:val="Heading2"/>
        <w:spacing w:line="480" w:lineRule="auto"/>
      </w:pPr>
      <w:r>
        <w:t xml:space="preserve">2.2 The Operational Anomaly-Identification and SSA Literature</w:t>
      </w:r>
    </w:p>
    <w:p>
      <w:pPr>
        <w:pStyle w:val="FirstParagraph"/>
        <w:spacing w:line="480" w:lineRule="auto"/>
      </w:pPr>
      <w:r>
        <w:t xml:space="preserve">The first stream is the operational literature on anomaly identification, fault detection, and decision support for space systems. The locus of the recent work is the Advanced Maui Optical and Space Surveillance Technologies conference, whose proceedings since the early 2010s constitute the main publication venue for the operator-side and ground-network-side tooling that the dissertation’s central covariate aims to capture.</w:t>
      </w:r>
    </w:p>
    <w:p>
      <w:pPr>
        <w:pStyle w:val="BodyText"/>
        <w:spacing w:line="480" w:lineRule="auto"/>
        <w:ind w:firstLine="720"/>
      </w:pPr>
      <w:r>
        <w:t xml:space="preserve">The most recent and most directly relevant entry is the Mutholib, Abdul Rahim, and Gunawan prototype, presented at AMOS 2025, which develops a web-based decision-support system for satellite anomaly identification [1, 10]. The contribution of that work is the explicit framing of anomaly identification as a decision-support problem with a measurable diagnostic latency and a structured human-in-the-loop interface. The prototype is significant for the dissertation because it documents the existence and the operational maturity of the toolchain whose adoption the dissertation’s central indicator codes. The paper does not, however, connect the operator-side diagnostic interval to the regulatory clock; that connection is left implicit and is the dissertation’s contribution.</w:t>
      </w:r>
    </w:p>
    <w:p>
      <w:pPr>
        <w:pStyle w:val="BodyText"/>
        <w:spacing w:line="480" w:lineRule="auto"/>
        <w:ind w:firstLine="720"/>
      </w:pPr>
      <w:r>
        <w:t xml:space="preserve">Parallel work on neuro-symbolic architectures extends the anomaly-detection toolchain into the autonomous spacecraft domain. The Grosvenor et al. AMOS 2025 paper on hierarchical neuro-symbolic AI for autonomous spacecraft maneuvering and anomaly detection develops the architectural case for combining symbolic constraint propagation with neural pattern recognition in the on-board fault-management context</w:t>
      </w:r>
      <w:r>
        <w:t xml:space="preserve"> </w:t>
      </w:r>
      <w:hyperlink w:anchor="ref-7">
        <w:r>
          <w:rPr>
            <w:rStyle w:val="Hyperlink"/>
          </w:rPr>
          <w:t xml:space="preserve">[7]</w:t>
        </w:r>
      </w:hyperlink>
      <w:r>
        <w:t xml:space="preserve">. The relevance to the dissertation is twofold. First, the architecture demonstrates that the anomaly-identification toolchain is not confined to web-based decision support for ground operators; it is increasingly resident on the spacecraft itself, which expands the population of operators whose practices are captured by the dissertation’s tooling indicator. Second, the neuro-symbolic framing supplies a theoretical mechanism by which the diagnostic interval can be compressed without sacrificing the interpretability that the regulator requires for the closure of a mishap investigation.</w:t>
      </w:r>
    </w:p>
    <w:p>
      <w:pPr>
        <w:pStyle w:val="BodyText"/>
        <w:spacing w:line="480" w:lineRule="auto"/>
        <w:ind w:firstLine="720"/>
      </w:pPr>
      <w:r>
        <w:t xml:space="preserve">The multi-phenomenology fusion work of Putman, McComas, and Faustman at AMOS 2024 supplies a third anchor for the technical literature</w:t>
      </w:r>
      <w:r>
        <w:t xml:space="preserve"> </w:t>
      </w:r>
      <w:hyperlink w:anchor="ref-11">
        <w:r>
          <w:rPr>
            <w:rStyle w:val="Hyperlink"/>
          </w:rPr>
          <w:t xml:space="preserve">[11]</w:t>
        </w:r>
      </w:hyperlink>
      <w:r>
        <w:t xml:space="preserve">. The paper develops the case for combining heterogeneous sensor modalities in satellite identification, and the underlying fusion logic is directly applicable to the post-anomaly forensic context in which a regulator must reconstruct the trajectory and the failure mode from incomplete and noisy ground-based observations. The Putman et al. contribution is methodological rather than empirical, but it documents that the multi-sensor fusion apparatus is a mature tool in the operator-and-regulator toolkit and that its diffusion across operators is uneven, which is precisely the variation the dissertation’s indicator exploits.</w:t>
      </w:r>
    </w:p>
    <w:p>
      <w:pPr>
        <w:pStyle w:val="BodyText"/>
        <w:spacing w:line="480" w:lineRule="auto"/>
        <w:ind w:firstLine="720"/>
      </w:pPr>
      <w:r>
        <w:t xml:space="preserve">The space-domain-awareness ground-network literature supplies a further layer. The Britton et al. account of an autonomous geographically distributed ground network that scales</w:t>
      </w:r>
      <w:r>
        <w:t xml:space="preserve"> </w:t>
      </w:r>
      <w:hyperlink w:anchor="ref-19">
        <w:r>
          <w:rPr>
            <w:rStyle w:val="Hyperlink"/>
          </w:rPr>
          <w:t xml:space="preserve">[19]</w:t>
        </w:r>
      </w:hyperlink>
      <w:r>
        <w:t xml:space="preserve"> </w:t>
      </w:r>
      <w:r>
        <w:t xml:space="preserve">documents the architectural conditions under which the ground-segment data that a regulator requires can be assembled in compressed time. The Cox et al. Space Domain Awareness Environmental Toolkit for Defense</w:t>
      </w:r>
      <w:r>
        <w:t xml:space="preserve"> </w:t>
      </w:r>
      <w:hyperlink w:anchor="ref-17">
        <w:r>
          <w:rPr>
            <w:rStyle w:val="Hyperlink"/>
          </w:rPr>
          <w:t xml:space="preserve">[17]</w:t>
        </w:r>
      </w:hyperlink>
      <w:r>
        <w:t xml:space="preserve"> </w:t>
      </w:r>
      <w:r>
        <w:t xml:space="preserve">and the Andorka et al. SDA Environment Toolkit for Defense paper on attribution for orbital assets and electromagnetic-spectrum links</w:t>
      </w:r>
      <w:r>
        <w:t xml:space="preserve"> </w:t>
      </w:r>
      <w:hyperlink w:anchor="ref-21">
        <w:r>
          <w:rPr>
            <w:rStyle w:val="Hyperlink"/>
          </w:rPr>
          <w:t xml:space="preserve">[21]</w:t>
        </w:r>
      </w:hyperlink>
      <w:r>
        <w:t xml:space="preserve"> </w:t>
      </w:r>
      <w:r>
        <w:t xml:space="preserve">develop the toolchain for the environmental and attribution components of the SDA picture that the regulator increasingly relies upon in mishap closure. These contributions are not themselves anomaly-identification papers, but they constitute the infrastructural substrate without which the operator-side diagnostic apparatus described in [1, 7, 10, 11] cannot be brought to bear on the regulatory question.</w:t>
      </w:r>
    </w:p>
    <w:p>
      <w:pPr>
        <w:pStyle w:val="BodyText"/>
        <w:spacing w:line="480" w:lineRule="auto"/>
        <w:ind w:firstLine="720"/>
      </w:pPr>
      <w:r>
        <w:t xml:space="preserve">A further methodological thread in the SSA literature bears on the dissertation’s identification strategy. The Fritsch and DeMars treatment of intrinsic fault resistance for nonlinear filters with a state-dependent probability of detection</w:t>
      </w:r>
      <w:r>
        <w:t xml:space="preserve"> </w:t>
      </w:r>
      <w:hyperlink w:anchor="ref-18">
        <w:r>
          <w:rPr>
            <w:rStyle w:val="Hyperlink"/>
          </w:rPr>
          <w:t xml:space="preserve">[18]</w:t>
        </w:r>
      </w:hyperlink>
      <w:r>
        <w:t xml:space="preserve"> </w:t>
      </w:r>
      <w:r>
        <w:t xml:space="preserve">establishes the filter-theoretic foundation for treating diagnostic latency as a function of the underlying detection probability. The relevance to the dissertation is that the operator-side diagnostic interval, which the AI-tooling indicator is constructed to capture, is in principle decomposable into a detection-latency component and a confirmation-latency component, and the filter-theoretic literature supplies the apparatus by which such a decomposition could be undertaken in a subsequent extension of the dissertation.</w:t>
      </w:r>
    </w:p>
    <w:p>
      <w:pPr>
        <w:pStyle w:val="BodyText"/>
        <w:spacing w:line="480" w:lineRule="auto"/>
        <w:ind w:firstLine="720"/>
      </w:pPr>
      <w:r>
        <w:t xml:space="preserve">Human-factors work supplies a complementary substantive concern. The Goldberg and Waltz contribution on the critical need for crew resource management training in space domain operations</w:t>
      </w:r>
      <w:r>
        <w:t xml:space="preserve"> </w:t>
      </w:r>
      <w:hyperlink w:anchor="ref-20">
        <w:r>
          <w:rPr>
            <w:rStyle w:val="Hyperlink"/>
          </w:rPr>
          <w:t xml:space="preserve">[20]</w:t>
        </w:r>
      </w:hyperlink>
      <w:r>
        <w:t xml:space="preserve"> </w:t>
      </w:r>
      <w:r>
        <w:t xml:space="preserve">documents that the operator-side diagnostic apparatus is not exhausted by software tooling; the organizational and training substrate within which the tooling is deployed is itself a determinant of diagnostic latency. The dissertation does not currently code a crew-resource-management covariate, but the Goldberg and Waltz argument is a flag for the validity of the AI-tooling indicator as a sole proxy for operator diagnostic capacity. The dissertation’s threats-to-validity discussion treats this as a measurement-error channel.</w:t>
      </w:r>
    </w:p>
    <w:p>
      <w:pPr>
        <w:pStyle w:val="BodyText"/>
        <w:spacing w:line="480" w:lineRule="auto"/>
        <w:ind w:firstLine="720"/>
      </w:pPr>
      <w:r>
        <w:t xml:space="preserve">Finally, the conjunction-and-collision literature embeds the anomaly-identification problem in its broader operational context. The Boone and Bettinger study of artificial-debris collision risk following a catastrophic spacecraft mishap in lunar orbit</w:t>
      </w:r>
      <w:r>
        <w:t xml:space="preserve"> </w:t>
      </w:r>
      <w:hyperlink w:anchor="ref-15">
        <w:r>
          <w:rPr>
            <w:rStyle w:val="Hyperlink"/>
          </w:rPr>
          <w:t xml:space="preserve">[15]</w:t>
        </w:r>
      </w:hyperlink>
      <w:r>
        <w:t xml:space="preserve"> </w:t>
      </w:r>
      <w:r>
        <w:t xml:space="preserve">and the Moomey, Falcon, and Khan analysis of trending and analysis of payload conjunction data messages below 1,000 km from 2016 through 2021</w:t>
      </w:r>
      <w:r>
        <w:t xml:space="preserve"> </w:t>
      </w:r>
      <w:hyperlink w:anchor="ref-16">
        <w:r>
          <w:rPr>
            <w:rStyle w:val="Hyperlink"/>
          </w:rPr>
          <w:t xml:space="preserve">[16]</w:t>
        </w:r>
      </w:hyperlink>
      <w:r>
        <w:t xml:space="preserve"> </w:t>
      </w:r>
      <w:r>
        <w:t xml:space="preserve">document the downstream operational consequences that a regulator must internalize when setting the return-to-flight clock. The conjunction literature is not the dissertation’s subject, but it supplies the substantive justification for the regulatory floor on grounding duration that the dissertation’s findings on severity recover empirically.</w:t>
      </w:r>
    </w:p>
    <w:p>
      <w:pPr>
        <w:pStyle w:val="BodyText"/>
        <w:spacing w:line="480" w:lineRule="auto"/>
        <w:ind w:firstLine="720"/>
      </w:pPr>
      <w:r>
        <w:t xml:space="preserve">Taken together, the operational anomaly-identification and SSA literature is technically rich and operationally specific, and it stops at the operator boundary. The AMOS proceedings document the toolchain. They do not estimate the toolchain’s regulatory return. The neuro-symbolic architectures supply mechanisms. They do not supply moments. The SDA ground-network and filter-theoretic contributions supply infrastructure and theory. They do not supply hazard rates. The dissertation begins where this literature ends, by importing the toolchain as a covariate and estimating the hazard rate it conditions.</w:t>
      </w:r>
    </w:p>
    <w:bookmarkEnd w:id="70"/>
    <w:bookmarkStart w:id="71" w:name="Xdc9ec0e55b52052d97e53b17548bc2c0947ae8c"/>
    <w:p>
      <w:pPr>
        <w:pStyle w:val="Heading2"/>
        <w:spacing w:line="480" w:lineRule="auto"/>
      </w:pPr>
      <w:r>
        <w:t xml:space="preserve">2.3 The Launch-Services and Space-Infrastructure Technical Literature</w:t>
      </w:r>
    </w:p>
    <w:p>
      <w:pPr>
        <w:pStyle w:val="FirstParagraph"/>
        <w:spacing w:line="480" w:lineRule="auto"/>
      </w:pPr>
      <w:r>
        <w:t xml:space="preserve">The second technical stream concerns the launch-services market and the broader space-infrastructure context within which mishaps occur. This literature supplies the substantive characteristics of the events the dissertation models: vehicle generation, payload class, mission profile, and the propagation of delay across the manifest.</w:t>
      </w:r>
    </w:p>
    <w:p>
      <w:pPr>
        <w:pStyle w:val="BodyText"/>
        <w:spacing w:line="480" w:lineRule="auto"/>
        <w:ind w:firstLine="720"/>
      </w:pPr>
      <w:r>
        <w:t xml:space="preserve">The high-speed scientific spacecraft launch literature, exemplified by McNutt et al. on commercial launch vehicles</w:t>
      </w:r>
      <w:r>
        <w:t xml:space="preserve"> </w:t>
      </w:r>
      <w:hyperlink w:anchor="ref-8">
        <w:r>
          <w:rPr>
            <w:rStyle w:val="Hyperlink"/>
          </w:rPr>
          <w:t xml:space="preserve">[8]</w:t>
        </w:r>
      </w:hyperlink>
      <w:r>
        <w:t xml:space="preserve">, documents the technical substitution margins available to a payload owner whose primary vehicle is grounded. The McNutt et al. analysis treats the launch-vehicle choice as a function of trajectory, mass, and budget constraints, and supplies the framework within which the competing-risks alternate-vehicle-reassignment variable that the dissertation flags as a robustness extension can be operationalized. The substantive point is that the cost of grounding is mediated by the availability and the cost of substitute access, and that substitution availability varies systematically with payload class and trajectory. This margin is the channel through which the dissertation’s payload-commercial covariate operates.</w:t>
      </w:r>
    </w:p>
    <w:p>
      <w:pPr>
        <w:pStyle w:val="BodyText"/>
        <w:spacing w:line="480" w:lineRule="auto"/>
        <w:ind w:firstLine="720"/>
      </w:pPr>
      <w:r>
        <w:t xml:space="preserve">The launch-traffic forecasting literature, exemplified by the Retagne and Colombo analysis of satellite launch traffic forecast based on the global gross domestic product and constellation plans</w:t>
      </w:r>
      <w:r>
        <w:t xml:space="preserve"> </w:t>
      </w:r>
      <w:hyperlink w:anchor="ref-25">
        <w:r>
          <w:rPr>
            <w:rStyle w:val="Hyperlink"/>
          </w:rPr>
          <w:t xml:space="preserve">[25]</w:t>
        </w:r>
      </w:hyperlink>
      <w:r>
        <w:t xml:space="preserve">, supplies the macroeconomic boundary within which the marginal launch slot is priced. The Retagne and Colombo forecast establishes that the launch-services market is structurally tight in the constellation era and that the marginal payload faces a non-trivial queue even in the absence of an anomaly-induced grounding. The implication for the dissertation is that the cost of grounding is bounded below by a non-zero queue cost even when no specific vehicle family is grounded; the dissertation’s measurement of the conditional grounding duration enters as the marginal addition to that baseline queue cost.</w:t>
      </w:r>
    </w:p>
    <w:p>
      <w:pPr>
        <w:pStyle w:val="BodyText"/>
        <w:spacing w:line="480" w:lineRule="auto"/>
        <w:ind w:firstLine="720"/>
      </w:pPr>
      <w:r>
        <w:t xml:space="preserve">The in-space propulsion literature supplies a parallel substantive frame. The Blondel-Canepari, Sarritzu, and Pasini contribution on an efficient approach for greener in-space propulsion</w:t>
      </w:r>
      <w:r>
        <w:t xml:space="preserve"> </w:t>
      </w:r>
      <w:hyperlink w:anchor="ref-14">
        <w:r>
          <w:rPr>
            <w:rStyle w:val="Hyperlink"/>
          </w:rPr>
          <w:t xml:space="preserve">[14]</w:t>
        </w:r>
      </w:hyperlink>
      <w:r>
        <w:t xml:space="preserve"> </w:t>
      </w:r>
      <w:r>
        <w:t xml:space="preserve">documents the technological substitution channels available on the upper-stage and in-space-propulsion side of the vehicle architecture. The relevance to the dissertation is that the population of post-anomaly groundings includes events whose root cause lies in the in-space-propulsion segment rather than in the ascent phase, and the propulsion literature supplies the technical taxonomy within which the dissertation’s phase-of-anomaly covariate is interpretable.</w:t>
      </w:r>
    </w:p>
    <w:p>
      <w:pPr>
        <w:pStyle w:val="BodyText"/>
        <w:spacing w:line="480" w:lineRule="auto"/>
        <w:ind w:firstLine="720"/>
      </w:pPr>
      <w:r>
        <w:t xml:space="preserve">The on-orbit-servicing literature, exemplified by the Opromolla et al. survey of future in-orbit servicing operations in the space-traffic-management context</w:t>
      </w:r>
      <w:r>
        <w:t xml:space="preserve"> </w:t>
      </w:r>
      <w:hyperlink w:anchor="ref-23">
        <w:r>
          <w:rPr>
            <w:rStyle w:val="Hyperlink"/>
          </w:rPr>
          <w:t xml:space="preserve">[23]</w:t>
        </w:r>
      </w:hyperlink>
      <w:r>
        <w:t xml:space="preserve">, supplies a further substantive layer. The Opromolla et al. survey documents the maturation of on-orbit-servicing operations as a substitution margin for failed deployment, in the sense that a payload that fails to reach its operational orbit can in principle be recovered, repositioned, or refueled by a servicing vehicle. The relevance to the dissertation is that the cost of grounding is mediated not only by alternate-vehicle reassignment but by alternate-recovery pathways that are emerging in the operational economy. The dissertation does not currently code an on-orbit-servicing covariate, but the Opromolla et al. survey is the substantive justification for treating the cost-of-grounding channel as time-varying over the sample window.</w:t>
      </w:r>
    </w:p>
    <w:p>
      <w:pPr>
        <w:pStyle w:val="BodyText"/>
        <w:spacing w:line="480" w:lineRule="auto"/>
        <w:ind w:firstLine="720"/>
      </w:pPr>
      <w:r>
        <w:t xml:space="preserve">The aerobraking literature, exemplified by the Berthet review of the state of the art and required developments</w:t>
      </w:r>
      <w:r>
        <w:t xml:space="preserve"> </w:t>
      </w:r>
      <w:hyperlink w:anchor="ref-24">
        <w:r>
          <w:rPr>
            <w:rStyle w:val="Hyperlink"/>
          </w:rPr>
          <w:t xml:space="preserve">[24]</w:t>
        </w:r>
      </w:hyperlink>
      <w:r>
        <w:t xml:space="preserve">, supplies a third substitution channel on the mission-design side. Aerobraking maneuvers expand the achievable mission-design space for a given launch vehicle, which in turn alters the substitution surface that a payload owner faces when the primary vehicle is grounded. The relevance to the dissertation is the same as for the on-orbit-servicing literature: the cost of grounding is a function of the substitution surface, and the substitution surface is itself evolving over the sample window.</w:t>
      </w:r>
    </w:p>
    <w:p>
      <w:pPr>
        <w:pStyle w:val="BodyText"/>
        <w:spacing w:line="480" w:lineRule="auto"/>
        <w:ind w:firstLine="720"/>
      </w:pPr>
      <w:r>
        <w:t xml:space="preserve">The lunar-infrastructure literature supplies a frontier case. The Jehn and Dreyer design methodology for flat-slab lunar landing and launch pad systems</w:t>
      </w:r>
      <w:r>
        <w:t xml:space="preserve"> </w:t>
      </w:r>
      <w:hyperlink w:anchor="ref-26">
        <w:r>
          <w:rPr>
            <w:rStyle w:val="Hyperlink"/>
          </w:rPr>
          <w:t xml:space="preserve">[26]</w:t>
        </w:r>
      </w:hyperlink>
      <w:r>
        <w:t xml:space="preserve">, the Lee, Bennett, Smith, and Kring stability and form-finding analysis for shelters subjected to moonquakes</w:t>
      </w:r>
      <w:r>
        <w:t xml:space="preserve"> </w:t>
      </w:r>
      <w:hyperlink w:anchor="ref-28">
        <w:r>
          <w:rPr>
            <w:rStyle w:val="Hyperlink"/>
          </w:rPr>
          <w:t xml:space="preserve">[28]</w:t>
        </w:r>
      </w:hyperlink>
      <w:r>
        <w:t xml:space="preserve">, and the Buinhas, Peytaví, and Förstner navigation-and-communication network for the Valles Marineris Explorer</w:t>
      </w:r>
      <w:r>
        <w:t xml:space="preserve"> </w:t>
      </w:r>
      <w:hyperlink w:anchor="ref-27">
        <w:r>
          <w:rPr>
            <w:rStyle w:val="Hyperlink"/>
          </w:rPr>
          <w:t xml:space="preserve">[27]</w:t>
        </w:r>
      </w:hyperlink>
      <w:r>
        <w:t xml:space="preserve"> </w:t>
      </w:r>
      <w:r>
        <w:t xml:space="preserve">document the architectural extension of the launch-services and space-infrastructure substrate beyond Earth orbit. These contributions are not in the dissertation’s primary sample, but they document the trajectory along which the population of regulated launches is moving, and they justify the dissertation’s framing of the regulatory grounding clock as a measurement of broader generality than the current Earth-launch sample admits.</w:t>
      </w:r>
    </w:p>
    <w:p>
      <w:pPr>
        <w:pStyle w:val="BodyText"/>
        <w:spacing w:line="480" w:lineRule="auto"/>
        <w:ind w:firstLine="720"/>
      </w:pPr>
      <w:r>
        <w:t xml:space="preserve">The cost-estimation literature supplies methodological reinforcement. The Probst, Nitzl, Kraus, and Förstner cost estimation of an asteroid-mining mission using partial least squares structural equation modeling</w:t>
      </w:r>
      <w:r>
        <w:t xml:space="preserve"> </w:t>
      </w:r>
      <w:hyperlink w:anchor="ref-29">
        <w:r>
          <w:rPr>
            <w:rStyle w:val="Hyperlink"/>
          </w:rPr>
          <w:t xml:space="preserve">[29]</w:t>
        </w:r>
      </w:hyperlink>
      <w:r>
        <w:t xml:space="preserve"> </w:t>
      </w:r>
      <w:r>
        <w:t xml:space="preserve">documents the methodological maturity of structural-equation and latent-variable approaches to mission-cost estimation. The relevance to the dissertation is that the cost-of-grounding channel, which is a latent construct in the space-economics literature reviewed below, admits a structural-equation parameterization that the dissertation flags as a long-run methodological extension.</w:t>
      </w:r>
    </w:p>
    <w:p>
      <w:pPr>
        <w:pStyle w:val="BodyText"/>
        <w:spacing w:line="480" w:lineRule="auto"/>
        <w:ind w:firstLine="720"/>
      </w:pPr>
      <w:r>
        <w:t xml:space="preserve">Finally, the human-physiology literature, exemplified by Goswami et al. on human physiology adaptation to altered gravity environments</w:t>
      </w:r>
      <w:r>
        <w:t xml:space="preserve"> </w:t>
      </w:r>
      <w:hyperlink w:anchor="ref-30">
        <w:r>
          <w:rPr>
            <w:rStyle w:val="Hyperlink"/>
          </w:rPr>
          <w:t xml:space="preserve">[30]</w:t>
        </w:r>
      </w:hyperlink>
      <w:r>
        <w:t xml:space="preserve">, supplies the substantive constraint for the human-spaceflight subset of the regulated launch population. The dissertation’s current sample does not include crewed launches, and the human-physiology constraint is therefore exogenous to the present specification; it is, however, the substantive justification for the dissertation’s flag that the proportional-hazards assumption may not hold across the crewed-uncrewed boundary and that a stratification on payload class is the appropriate response.</w:t>
      </w:r>
    </w:p>
    <w:p>
      <w:pPr>
        <w:pStyle w:val="BodyText"/>
        <w:spacing w:line="480" w:lineRule="auto"/>
        <w:ind w:firstLine="720"/>
      </w:pPr>
      <w:r>
        <w:t xml:space="preserve">Across the launch-services and space-infrastructure literature, one pattern holds: it supplies the substantive taxonomy within which the dissertation’s covariates are interpretable, and it does not supply the methodological apparatus by which the duration of grounding is estimable. The technical literature treats grounding as an event, not as a process; the methodological apparatus required to treat it as a process is supplied by the cliometric and econometric tradition reviewed in section 2.5.</w:t>
      </w:r>
    </w:p>
    <w:bookmarkEnd w:id="71"/>
    <w:bookmarkStart w:id="72" w:name="the-space-economics-literature"/>
    <w:p>
      <w:pPr>
        <w:pStyle w:val="Heading2"/>
        <w:spacing w:line="480" w:lineRule="auto"/>
      </w:pPr>
      <w:r>
        <w:t xml:space="preserve">2.4 The Space-Economics Literature</w:t>
      </w:r>
    </w:p>
    <w:p>
      <w:pPr>
        <w:pStyle w:val="FirstParagraph"/>
        <w:spacing w:line="480" w:lineRule="auto"/>
      </w:pPr>
      <w:r>
        <w:t xml:space="preserve">The third stream is the space-economics literature, within which the cost of grounding is meaningful as an economic quantity. Five contributions anchor the dissertation’s framing.</w:t>
      </w:r>
    </w:p>
    <w:p>
      <w:pPr>
        <w:pStyle w:val="BodyText"/>
        <w:spacing w:line="480" w:lineRule="auto"/>
        <w:ind w:firstLine="720"/>
      </w:pPr>
      <w:r>
        <w:t xml:space="preserve">The Weinzierl essay on space as the final economic frontier [5, 12] is the foundational contemporary framing of the space economy as a market-formation problem rather than as an engineering problem. The Weinzierl contribution establishes that the launch-services segment is the structural bottleneck of the broader space economy and that the marginal launch slot prices the access constraint to which downstream space-economic activity is subject. The relevance to the dissertation is that the cost of grounding is, in Weinzierl’s framing, the price of the binding constraint on the broader space-economic activity that depends on access, and the duration of grounding is the calendar over which that price is paid.</w:t>
      </w:r>
    </w:p>
    <w:p>
      <w:pPr>
        <w:pStyle w:val="BodyText"/>
        <w:spacing w:line="480" w:lineRule="auto"/>
        <w:ind w:firstLine="720"/>
      </w:pPr>
      <w:r>
        <w:t xml:space="preserve">The OCEA forecasting of the space economy</w:t>
      </w:r>
      <w:r>
        <w:t xml:space="preserve"> </w:t>
      </w:r>
      <w:hyperlink w:anchor="ref-3">
        <w:r>
          <w:rPr>
            <w:rStyle w:val="Hyperlink"/>
          </w:rPr>
          <w:t xml:space="preserve">[3]</w:t>
        </w:r>
      </w:hyperlink>
      <w:r>
        <w:t xml:space="preserve"> </w:t>
      </w:r>
      <w:r>
        <w:t xml:space="preserve">supplies the quantitative framing within which the cost-of-grounding channel can be sized. The OCEA forecast treats the launch-services segment as the input whose output enables the downstream segments of the space economy, and the OCEA framework supplies the multiplier through which a marginal day of grounding propagates to downstream-segment value. The dissertation’s contribution is to supply the conditional distribution of the marginal-day quantity that the OCEA framework treats as exogenous.</w:t>
      </w:r>
    </w:p>
    <w:p>
      <w:pPr>
        <w:pStyle w:val="BodyText"/>
        <w:spacing w:line="480" w:lineRule="auto"/>
        <w:ind w:firstLine="720"/>
      </w:pPr>
      <w:r>
        <w:t xml:space="preserve">The Stilwell et al. ASCEND 2025 orbital classification work [4, 13] supplies the substantive framing for the propagation of post-anomaly market consequences. The Stilwell et al. classification treats the orbital regime as a determinant of the population of affected payloads and of the structural characteristics of the downstream market consequences. The relevance to the dissertation is that the cost-of-grounding channel is regime-specific, and the Stilwell et al. classification supplies the orbital taxonomy within which a regime-stratified extension of the dissertation’s hazard model can be developed.</w:t>
      </w:r>
    </w:p>
    <w:p>
      <w:pPr>
        <w:pStyle w:val="BodyText"/>
        <w:spacing w:line="480" w:lineRule="auto"/>
        <w:ind w:firstLine="720"/>
      </w:pPr>
      <w:r>
        <w:t xml:space="preserve">The</w:t>
      </w:r>
      <w:r>
        <w:t xml:space="preserve"> </w:t>
      </w:r>
      <w:r>
        <w:t xml:space="preserve">“Role of Space in Driving Sustainability, Security, and Development”</w:t>
      </w:r>
      <w:r>
        <w:t xml:space="preserve"> </w:t>
      </w:r>
      <w:r>
        <w:t xml:space="preserve">contribution</w:t>
      </w:r>
      <w:r>
        <w:t xml:space="preserve"> </w:t>
      </w:r>
      <w:hyperlink w:anchor="ref-2">
        <w:r>
          <w:rPr>
            <w:rStyle w:val="Hyperlink"/>
          </w:rPr>
          <w:t xml:space="preserve">[2]</w:t>
        </w:r>
      </w:hyperlink>
      <w:r>
        <w:t xml:space="preserve"> </w:t>
      </w:r>
      <w:r>
        <w:t xml:space="preserve">supplies the policy framing within which the regulator’s behavior is interpretable. The contribution treats the launch-services regulator as a node in a broader policy network whose objectives include sustainability, security, and developmental policy alongside the narrow safety mandate that the regulator’s enabling statute prescribes. The relevance to the dissertation is that the regulatory grounding clock is in part endogenous to the broader policy network, and the dissertation’s framing of the regulator’s behavior as a function of observable anomaly characteristics implicitly assumes that the broader policy network is constant over the sample window. This assumption is one of the four threats to validity flagged in the prospectus</w:t>
      </w:r>
      <w:r>
        <w:t xml:space="preserve"> </w:t>
      </w:r>
      <w:hyperlink w:anchor="ref-9">
        <w:r>
          <w:rPr>
            <w:rStyle w:val="Hyperlink"/>
          </w:rPr>
          <w:t xml:space="preserve">[9]</w:t>
        </w:r>
      </w:hyperlink>
      <w:r>
        <w:t xml:space="preserve">.</w:t>
      </w:r>
    </w:p>
    <w:p>
      <w:pPr>
        <w:pStyle w:val="BodyText"/>
        <w:spacing w:line="480" w:lineRule="auto"/>
        <w:ind w:firstLine="720"/>
      </w:pPr>
      <w:r>
        <w:t xml:space="preserve">The circular-economy framing of space sustainability</w:t>
      </w:r>
      <w:r>
        <w:t xml:space="preserve"> </w:t>
      </w:r>
      <w:hyperlink w:anchor="ref-6">
        <w:r>
          <w:rPr>
            <w:rStyle w:val="Hyperlink"/>
          </w:rPr>
          <w:t xml:space="preserve">[6]</w:t>
        </w:r>
      </w:hyperlink>
      <w:r>
        <w:t xml:space="preserve"> </w:t>
      </w:r>
      <w:r>
        <w:t xml:space="preserve">supplies the closing element. The contribution treats the launch-services segment as a node in a circular flow of materials and services and supplies the analytical framing within which the cost-of-grounding channel includes not only the queue cost of delayed payloads but the substitution and recovery costs of the broader circular system. The relevance to the dissertation is that the cost of grounding is bounded above by the substitution and recovery costs that the circular-economy framing makes explicit, and the dissertation’s framing of the cost channel is, in that sense, conservative.</w:t>
      </w:r>
    </w:p>
    <w:p>
      <w:pPr>
        <w:pStyle w:val="BodyText"/>
        <w:spacing w:line="480" w:lineRule="auto"/>
        <w:ind w:firstLine="720"/>
      </w:pPr>
      <w:r>
        <w:t xml:space="preserve">Here the pattern recurs. The space-economics literature supplies the framing within which the cost of grounding is an economic quantity, and it does not supply the measurement of the grounding clock that conditions that quantity. The literature treats the duration of grounding as a qualitative shock, not as a conditional distribution. The methodological apparatus required to convert the shock into a conditional distribution is supplied by the cliometric and econometric tradition.</w:t>
      </w:r>
    </w:p>
    <w:bookmarkEnd w:id="72"/>
    <w:bookmarkStart w:id="73"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methodological apparatus on which the dissertation rests is the proportional-hazards framework and the broader survival-analytic and duration-modeling tradition that has been deployed since the late twentieth century in cliometric and econometric work. The Cox proportional-hazards specification is the workhorse of this tradition. It treats the hazard rate at calendar time t as the product of an unspecified baseline hazard and an exponentiated linear index of observed covariates, and it estimates the linear-index coefficients by partial likelihood without requiring a parametric specification of the baseline hazard. The dissertation’s two empirical papers</w:t>
      </w:r>
      <w:r>
        <w:t xml:space="preserve"> </w:t>
      </w:r>
      <w:hyperlink w:anchor="ref-9">
        <w:r>
          <w:rPr>
            <w:rStyle w:val="Hyperlink"/>
          </w:rPr>
          <w:t xml:space="preserve">[9]</w:t>
        </w:r>
      </w:hyperlink>
      <w:r>
        <w:t xml:space="preserve"> </w:t>
      </w:r>
      <w:r>
        <w:t xml:space="preserve">estimate Cox specifications on hand-compiled samples of post-anomaly grounding events and recover coefficient estimates whose interpretation depends on the methodological apparatus that this section reviews.</w:t>
      </w:r>
    </w:p>
    <w:p>
      <w:pPr>
        <w:pStyle w:val="BodyText"/>
        <w:spacing w:line="480" w:lineRule="auto"/>
        <w:ind w:firstLine="720"/>
      </w:pPr>
      <w:r>
        <w:t xml:space="preserve">The methodological tradition that the Cox framework instantiates has four substantive features that bear on the dissertation. The first is the non-parametric treatment of the baseline hazard. The Cox specification does not require the analyst to specify the functional form of the baseline regulatory clock; it requires only that the proportional-hazards assumption hold, that is, that the ratio of the hazards of any two observations be constant in t. The advantage of this feature for the dissertation is that the baseline regulatory clock is not theoretically tractable. The regulator’s process is not Weibull, log-logistic, or log-normal in any principled way, and the Cox specification’s non-parametric baseline is the appropriate response to that intractability. The disadvantage is that the proportional-hazards assumption itself requires verification, and the dissertation’s two empirical papers acknowledge that the small sample limits the power of a formal Schoenfeld-residual test</w:t>
      </w:r>
      <w:r>
        <w:t xml:space="preserve"> </w:t>
      </w:r>
      <w:hyperlink w:anchor="ref-9">
        <w:r>
          <w:rPr>
            <w:rStyle w:val="Hyperlink"/>
          </w:rPr>
          <w:t xml:space="preserve">[9]</w:t>
        </w:r>
      </w:hyperlink>
      <w:r>
        <w:t xml:space="preserve">.</w:t>
      </w:r>
    </w:p>
    <w:p>
      <w:pPr>
        <w:pStyle w:val="BodyText"/>
        <w:spacing w:line="480" w:lineRule="auto"/>
        <w:ind w:firstLine="720"/>
      </w:pPr>
      <w:r>
        <w:t xml:space="preserve">The second methodological feature is the treatment of right-censoring. The dissertation’s sample includes observations in which the operator ceased flight operations or entered bankruptcy without achieving regulatory return-to-flight</w:t>
      </w:r>
      <w:r>
        <w:t xml:space="preserve"> </w:t>
      </w:r>
      <w:hyperlink w:anchor="ref-9">
        <w:r>
          <w:rPr>
            <w:rStyle w:val="Hyperlink"/>
          </w:rPr>
          <w:t xml:space="preserve">[9]</w:t>
        </w:r>
      </w:hyperlink>
      <w:r>
        <w:t xml:space="preserve">. The Cox framework’s partial-likelihood estimator handles right-censoring under the assumption that the censoring mechanism is independent of the latent return-to-flight clock. The dissertation’s framing of company-exit decisions as driven by capital-market conditions rather than by an unobserved expected investigation duration is the substantive justification for the independence assumption. The cliometric tradition supplies the methodological framework within which alternative censoring assumptions can be tested, and the dissertation flags a competing-risks extension as the natural response to a violation of the independence assumption.</w:t>
      </w:r>
    </w:p>
    <w:p>
      <w:pPr>
        <w:pStyle w:val="BodyText"/>
        <w:spacing w:line="480" w:lineRule="auto"/>
        <w:ind w:firstLine="720"/>
      </w:pPr>
      <w:r>
        <w:t xml:space="preserve">The third methodological feature is the treatment of stratification. The Cox framework admits stratification on covariates whose effect on the baseline hazard is not constrained to be proportional, and the dissertation’s prospectus flags operator fixed effects via stratification as an identification strategy for the AI-tooling coefficient</w:t>
      </w:r>
      <w:r>
        <w:t xml:space="preserve"> </w:t>
      </w:r>
      <w:hyperlink w:anchor="ref-9">
        <w:r>
          <w:rPr>
            <w:rStyle w:val="Hyperlink"/>
          </w:rPr>
          <w:t xml:space="preserve">[9]</w:t>
        </w:r>
      </w:hyperlink>
      <w:r>
        <w:t xml:space="preserve">. The cliometric tradition supplies the methodological apparatus for stratified Cox estimation and for the partial-likelihood inference that the stratified specification requires. The dissertation’s empirical papers do not currently implement operator stratification because the sample includes a small number of operators repeating across years, and the stratified specification would absorb too much of the variation. The dissertation chapter that follows the literature review will extend the specification to operator stratification on the larger panel.</w:t>
      </w:r>
    </w:p>
    <w:p>
      <w:pPr>
        <w:pStyle w:val="BodyText"/>
        <w:spacing w:line="480" w:lineRule="auto"/>
        <w:ind w:firstLine="720"/>
      </w:pPr>
      <w:r>
        <w:t xml:space="preserve">The fourth methodological feature is the treatment of small-sample inference. The dissertation’s two empirical papers acknowledge that the partial-likelihood asymptotic standard errors are unreliable in samples of the size available in the public-record launch population</w:t>
      </w:r>
      <w:r>
        <w:t xml:space="preserve"> </w:t>
      </w:r>
      <w:hyperlink w:anchor="ref-9">
        <w:r>
          <w:rPr>
            <w:rStyle w:val="Hyperlink"/>
          </w:rPr>
          <w:t xml:space="preserve">[9]</w:t>
        </w:r>
      </w:hyperlink>
      <w:r>
        <w:t xml:space="preserve">. The cliometric tradition supplies the bootstrap apparatus within which the small-sample inference problem can be addressed. The dissertation flags bootstrap confidence intervals and exact partial-likelihood inference as the appropriate responses to the small-sample problem.</w:t>
      </w:r>
    </w:p>
    <w:p>
      <w:pPr>
        <w:pStyle w:val="BodyText"/>
        <w:spacing w:line="480" w:lineRule="auto"/>
        <w:ind w:firstLine="720"/>
      </w:pPr>
      <w:r>
        <w:t xml:space="preserve">Beyond the Cox framework itself, the broader cliometric and econometric tradition supplies three further methodological resources on which the dissertation draws. The first is the parametric duration tradition, which supplies the Weibull, log-logistic, and log-normal specifications as robustness alternatives to the non-parametric Cox baseline. The dissertation’s prospectus flags parametric robustness checks as an explicit element of the empirical strategy</w:t>
      </w:r>
      <w:r>
        <w:t xml:space="preserve"> </w:t>
      </w:r>
      <w:hyperlink w:anchor="ref-9">
        <w:r>
          <w:rPr>
            <w:rStyle w:val="Hyperlink"/>
          </w:rPr>
          <w:t xml:space="preserve">[9]</w:t>
        </w:r>
      </w:hyperlink>
      <w:r>
        <w:t xml:space="preserve">. The second is the competing-risks framework, which supplies the apparatus for treating alternate-vehicle reassignment as a competing outcome to regulatory clearance. The dissertation flags the competing-risks formulation as the natural extension of the present Cox specification</w:t>
      </w:r>
      <w:r>
        <w:t xml:space="preserve"> </w:t>
      </w:r>
      <w:hyperlink w:anchor="ref-9">
        <w:r>
          <w:rPr>
            <w:rStyle w:val="Hyperlink"/>
          </w:rPr>
          <w:t xml:space="preserve">[9]</w:t>
        </w:r>
      </w:hyperlink>
      <w:r>
        <w:t xml:space="preserve">. The third is the structural-equation tradition, exemplified in the space-systems context by the Probst et al. partial-least-squares contribution</w:t>
      </w:r>
      <w:r>
        <w:t xml:space="preserve"> </w:t>
      </w:r>
      <w:hyperlink w:anchor="ref-29">
        <w:r>
          <w:rPr>
            <w:rStyle w:val="Hyperlink"/>
          </w:rPr>
          <w:t xml:space="preserve">[29]</w:t>
        </w:r>
      </w:hyperlink>
      <w:r>
        <w:t xml:space="preserve">, which supplies the latent-variable apparatus within which the cost-of-grounding construct can be parameterized as a structural relationship rather than as a reduced-form coefficient.</w:t>
      </w:r>
    </w:p>
    <w:p>
      <w:pPr>
        <w:pStyle w:val="BodyText"/>
        <w:spacing w:line="480" w:lineRule="auto"/>
        <w:ind w:firstLine="720"/>
      </w:pPr>
      <w:r>
        <w:t xml:space="preserve">One characteristic marks the cliometric and econometric methodology literature. It supplies a mature apparatus for the conditional estimation of duration distributions, and it has not been applied to the regulatory grounding clock. The methodological tradition is general; its application to the space-systems regulatory context is the dissertation’s contribution.</w:t>
      </w:r>
    </w:p>
    <w:bookmarkEnd w:id="73"/>
    <w:bookmarkStart w:id="74" w:name="synthesis-and-identification-of-the-gap"/>
    <w:p>
      <w:pPr>
        <w:pStyle w:val="Heading2"/>
        <w:spacing w:line="480" w:lineRule="auto"/>
      </w:pPr>
      <w:r>
        <w:t xml:space="preserve">2.6 Synthesis and Identification of the Gap</w:t>
      </w:r>
    </w:p>
    <w:p>
      <w:pPr>
        <w:pStyle w:val="FirstParagraph"/>
        <w:spacing w:line="480" w:lineRule="auto"/>
      </w:pPr>
      <w:r>
        <w:t xml:space="preserve">The three literatures reviewed in sections 2.2 through 2.5 are internally rich and externally unjoined. The operational anomaly-identification and SSA literature [1, 7, 10, 11, 17, 18, 19, 20, 21] supplies a maturing toolchain whose operator-side diagnostic latency is documented but whose regulatory-side return is not estimated. The launch-services and space-infrastructure technical literature [8, 14, 15, 16, 22, 23, 24, 25, 26, 27, 28, 29, 30] supplies the substantive taxonomy within which the events the dissertation models are interpretable but does not supply the methodological apparatus by which the duration of regulatory grounding is estimable. The space-economics literature [2, 3, 4, 5, 6, 12, 13] supplies the framing within which the cost of grounding is an economic quantity but treats the duration of grounding as a qualitative shock rather than as a conditional distribution. The cliometric and econometric methodology literature supplies a mature apparatus for the conditional estimation of duration distributions but has not been applied to the regulatory grounding clock.</w:t>
      </w:r>
    </w:p>
    <w:p>
      <w:pPr>
        <w:pStyle w:val="BodyText"/>
        <w:spacing w:line="480" w:lineRule="auto"/>
        <w:ind w:firstLine="720"/>
      </w:pPr>
      <w:r>
        <w:t xml:space="preserve">The gap is precise. No work in the assembled reference pool estimates the conditional distribution of the regulatory return-to-flight interval as a hazard process whose covariates include the operator’s diagnostic apparatus. The dissertation’s prospectus articulates the gap explicitly and develops the single falsifiable contribution that fills it</w:t>
      </w:r>
      <w:r>
        <w:t xml:space="preserve"> </w:t>
      </w:r>
      <w:hyperlink w:anchor="ref-9">
        <w:r>
          <w:rPr>
            <w:rStyle w:val="Hyperlink"/>
          </w:rPr>
          <w:t xml:space="preserve">[9]</w:t>
        </w:r>
      </w:hyperlink>
      <w:r>
        <w:t xml:space="preserve">. The two companion empirical papers</w:t>
      </w:r>
      <w:r>
        <w:t xml:space="preserve"> </w:t>
      </w:r>
      <w:hyperlink w:anchor="ref-9">
        <w:r>
          <w:rPr>
            <w:rStyle w:val="Hyperlink"/>
          </w:rPr>
          <w:t xml:space="preserve">[9]</w:t>
        </w:r>
      </w:hyperlink>
      <w:r>
        <w:t xml:space="preserve"> </w:t>
      </w:r>
      <w:r>
        <w:t xml:space="preserve">supply the first and second estimates of the conditional hazard, on samples of twenty-eight and thirty-nine post-anomaly grounding events respectively, and recover coefficient estimates whose interpretation is the subject of the chapters that follow.</w:t>
      </w:r>
    </w:p>
    <w:p>
      <w:pPr>
        <w:pStyle w:val="BodyText"/>
        <w:spacing w:line="480" w:lineRule="auto"/>
        <w:ind w:firstLine="720"/>
      </w:pPr>
      <w:r>
        <w:t xml:space="preserve">The synthesis admits three further observations that bear on the chapters to come. First, the non-result on the AI-tooling indicator in the smaller-sample empirical paper</w:t>
      </w:r>
      <w:r>
        <w:t xml:space="preserve"> </w:t>
      </w:r>
      <w:hyperlink w:anchor="ref-9">
        <w:r>
          <w:rPr>
            <w:rStyle w:val="Hyperlink"/>
          </w:rPr>
          <w:t xml:space="preserve">[9]</w:t>
        </w:r>
      </w:hyperlink>
      <w:r>
        <w:t xml:space="preserve"> </w:t>
      </w:r>
      <w:r>
        <w:t xml:space="preserve">and the rejection of the null in the larger-sample empirical paper</w:t>
      </w:r>
      <w:r>
        <w:t xml:space="preserve"> </w:t>
      </w:r>
      <w:hyperlink w:anchor="ref-9">
        <w:r>
          <w:rPr>
            <w:rStyle w:val="Hyperlink"/>
          </w:rPr>
          <w:t xml:space="preserve">[9]</w:t>
        </w:r>
      </w:hyperlink>
      <w:r>
        <w:t xml:space="preserve"> </w:t>
      </w:r>
      <w:r>
        <w:t xml:space="preserve">are not contradictory; they are the expected pattern under a true effect of plausible magnitude with sampling variability of the size the public-record launch population admits. The literature on small-sample inference in the Cox framework supplies the apparatus by which the apparent inconsistency is resolved into a unified estimate.</w:t>
      </w:r>
    </w:p>
    <w:p>
      <w:pPr>
        <w:pStyle w:val="BodyText"/>
        <w:spacing w:line="480" w:lineRule="auto"/>
        <w:ind w:firstLine="720"/>
      </w:pPr>
      <w:r>
        <w:t xml:space="preserve">Second, the consistent and large positive coefficient on the prior-investigation count across both empirical papers</w:t>
      </w:r>
      <w:r>
        <w:t xml:space="preserve"> </w:t>
      </w:r>
      <w:hyperlink w:anchor="ref-9">
        <w:r>
          <w:rPr>
            <w:rStyle w:val="Hyperlink"/>
          </w:rPr>
          <w:t xml:space="preserve">[9]</w:t>
        </w:r>
      </w:hyperlink>
      <w:r>
        <w:t xml:space="preserve"> </w:t>
      </w:r>
      <w:r>
        <w:t xml:space="preserve">is a finding the literature review does not anticipate. The space-economics literature does not model regulator learning, and the operational anomaly-identification literature treats the operator’s diagnostic capacity as a function of tooling rather than of regulatory familiarity. The prior-investigation finding is therefore a side-contribution of the dissertation that the literature has not framed, and the dissertation chapter that follows the literature review treats it as an independent contribution rather than as a control.</w:t>
      </w:r>
    </w:p>
    <w:p>
      <w:pPr>
        <w:pStyle w:val="BodyText"/>
        <w:spacing w:line="480" w:lineRule="auto"/>
        <w:ind w:firstLine="720"/>
      </w:pPr>
      <w:r>
        <w:t xml:space="preserve">Third, the sign on the payload-commercial covariate is inconsistent across the two empirical papers</w:t>
      </w:r>
      <w:r>
        <w:t xml:space="preserve"> </w:t>
      </w:r>
      <w:hyperlink w:anchor="ref-9">
        <w:r>
          <w:rPr>
            <w:rStyle w:val="Hyperlink"/>
          </w:rPr>
          <w:t xml:space="preserve">[9]</w:t>
        </w:r>
      </w:hyperlink>
      <w:r>
        <w:t xml:space="preserve">. The smaller-sample paper recovers a borderline-significant negative coefficient, and the larger-sample paper recovers a non-significant positive coefficient. The literature does not supply a settled prior on the sign of the payload-commercial effect, and the dissertation chapter that follows treats the reconciliation of the two estimates as an empirical question requiring extension to a larger panel.</w:t>
      </w:r>
    </w:p>
    <w:p>
      <w:pPr>
        <w:pStyle w:val="BodyText"/>
        <w:spacing w:line="480" w:lineRule="auto"/>
        <w:ind w:firstLine="720"/>
      </w:pPr>
      <w:r>
        <w:t xml:space="preserve">The dissertation enters the gap that the three literatures jointly define, exits with three quantitative findings and a methodological framework within which further findings are recoverable, and supplies the bridge between the operational toolchain documented in the SSA literature [1, 7, 10, 11], the substantive taxonomy supplied by the launch-services literature [8, 14, 23, 24, 25], the economic framing supplied by the space-economics literature [2, 3, 4, 5, 6], and the methodological apparatus supplied by the cliometric and econometric tradition. The chapters that follow develop the data, the specification, the findings, and the policy implications of the synthesis.</w:t>
      </w:r>
    </w:p>
    <w:bookmarkEnd w:id="74"/>
    <w:bookmarkEnd w:id="75"/>
    <w:bookmarkStart w:id="85" w:name="Xcfcc00a3ded59aed0c781c16bfc121f2a509603"/>
    <w:p>
      <w:pPr>
        <w:pStyle w:val="Heading1"/>
        <w:spacing w:line="480" w:lineRule="auto"/>
      </w:pPr>
      <w:r>
        <w:t xml:space="preserve">Chapter 3. Theoretical Framework and Hypotheses</w:t>
      </w:r>
    </w:p>
    <w:bookmarkStart w:id="76" w:name="purpose-of-the-chapter"/>
    <w:p>
      <w:pPr>
        <w:pStyle w:val="Heading2"/>
        <w:spacing w:line="480" w:lineRule="auto"/>
      </w:pPr>
      <w:r>
        <w:t xml:space="preserve">3.1 Purpose of the Chapter</w:t>
      </w:r>
    </w:p>
    <w:p>
      <w:pPr>
        <w:pStyle w:val="FirstParagraph"/>
        <w:spacing w:line="480" w:lineRule="auto"/>
      </w:pPr>
      <w:r>
        <w:t xml:space="preserve">This chapter develops the theoretical framework that governs the empirical work in the chapters that follow. Its purpose is to specify the mechanism by which the duration of a post-anomaly regulatory grounding is generated, to identify the channels through which that duration may be compressed or extended, and to derive from those channels a single falsifiable claim that the empirical chapters will adjudicate. The mishap-investigation interval is treated here not as an administrative residual but as the equilibrium outcome of a structured interaction between an operator that holds the diagnostic information, a regulator that controls the clearance for return-to-flight, and a downstream market whose customers bear the carrying cost of the delay. The framework is constructed so that each of its moving parts maps directly to an observable covariate in the Cox proportional-hazards specification that the dissertation estimates</w:t>
      </w:r>
      <w:r>
        <w:t xml:space="preserve"> </w:t>
      </w:r>
      <w:hyperlink w:anchor="ref-9">
        <w:r>
          <w:rPr>
            <w:rStyle w:val="Hyperlink"/>
          </w:rPr>
          <w:t xml:space="preserve">[9]</w:t>
        </w:r>
      </w:hyperlink>
      <w:r>
        <w:t xml:space="preserve">.</w:t>
      </w:r>
    </w:p>
    <w:p>
      <w:pPr>
        <w:pStyle w:val="BodyText"/>
        <w:spacing w:line="480" w:lineRule="auto"/>
        <w:ind w:firstLine="720"/>
      </w:pPr>
      <w:r>
        <w:t xml:space="preserve">The chapter proceeds in five movements. Section 3.2 fixes the unit of analysis and the dependent variable. Section 3.3 develops the theoretical mechanism in three layers: the operator’s diagnostic production function, the regulator’s clearance decision, and the market’s pricing of the delay. Section 3.4 translates the mechanism into a causal logic that identifies the covariate of central interest and articulates the direction and sign of the relationship under test. Section 3.5 states the formal null and alternative hypotheses, H0 and H1, in the precise functional form in which they will be tested. Section 3.6 closes by anticipating the threats to identification that the theoretical structure exposes and that Chapter 4 will address through the design of the estimator.</w:t>
      </w:r>
    </w:p>
    <w:bookmarkEnd w:id="76"/>
    <w:bookmarkStart w:id="77" w:name="X375f1a13b183d4293684d542b4232ce517e9309"/>
    <w:p>
      <w:pPr>
        <w:pStyle w:val="Heading2"/>
        <w:spacing w:line="480" w:lineRule="auto"/>
      </w:pPr>
      <w:r>
        <w:t xml:space="preserve">3.2 The Unit of Analysis and the Dependent Variable</w:t>
      </w:r>
    </w:p>
    <w:p>
      <w:pPr>
        <w:pStyle w:val="FirstParagraph"/>
        <w:spacing w:line="480" w:lineRule="auto"/>
      </w:pPr>
      <w:r>
        <w:t xml:space="preserve">The unit of analysis is a single post-anomaly grounding event for a single licensed launch vehicle family. The dependent variable is the calendar-time interval between the occurrence of the anomaly and the regulatory clearance of return-to-flight, measured in days. This quantity, which will be denoted T throughout the dissertation, is the load-bearing variable in the post-anomaly economics of launch services. It determines the calendar against which manifest slip propagates to customer constellations, against which insurance and financing costs accrue on payloads already capitalized but not yet on orbit, and against which competing operators reprice their access slots. The qualitative recognition of this disruption channel in the space-economics literature is well established [2, 3, 4, 5, 6], but the literature has not, in the corpus retrieved for this dissertation, treated T as an estimable random variable whose conditional distribution may be characterized as a function of observable covariates.</w:t>
      </w:r>
    </w:p>
    <w:p>
      <w:pPr>
        <w:pStyle w:val="BodyText"/>
        <w:spacing w:line="480" w:lineRule="auto"/>
        <w:ind w:firstLine="720"/>
      </w:pPr>
      <w:r>
        <w:t xml:space="preserve">Treating T as a hazard process is the central methodological commitment of the dissertation, and it requires a corresponding theoretical commitment. The hazard rate h(t) is the instantaneous probability of return-to-flight clearance at calendar time t conditional on grounding having persisted to t. A theory of the mishap-investigation interval that is to deliver testable predictions must therefore generate predictions about the shape of h(t) and, more particularly, about how h(t) shifts with the covariates that the regulator and the operator carry into the investigation. The remainder of this chapter constructs such a theory.</w:t>
      </w:r>
    </w:p>
    <w:bookmarkEnd w:id="77"/>
    <w:bookmarkStart w:id="81" w:name="the-theoretical-mechanism"/>
    <w:p>
      <w:pPr>
        <w:pStyle w:val="Heading2"/>
        <w:spacing w:line="480" w:lineRule="auto"/>
      </w:pPr>
      <w:r>
        <w:t xml:space="preserve">3.3 The Theoretical Mechanism</w:t>
      </w:r>
    </w:p>
    <w:p>
      <w:pPr>
        <w:pStyle w:val="FirstParagraph"/>
        <w:spacing w:line="480" w:lineRule="auto"/>
      </w:pPr>
      <w:r>
        <w:t xml:space="preserve">The mechanism has three layers. The first is the operator’s diagnostic production function. The second is the regulator’s clearance decision. The third is the downstream market whose pricing of the delay creates the political and economic backdrop against which the regulator operates. The three layers are not independent. The operator’s diagnostic output is an input to the regulator’s clearance decision, and the market’s pricing of the delay conditions the political feasibility of the regulator’s posture. Each layer carries observable implications for the hazard rate.</w:t>
      </w:r>
    </w:p>
    <w:bookmarkStart w:id="78" w:name="X6da75bd1bf83bca7ea80409e5eb558e0d2fa6c9"/>
    <w:p>
      <w:pPr>
        <w:pStyle w:val="Heading3"/>
        <w:spacing w:line="480" w:lineRule="auto"/>
      </w:pPr>
      <w:r>
        <w:t xml:space="preserve">3.3.1 The Operator’s Diagnostic Production Function</w:t>
      </w:r>
    </w:p>
    <w:p>
      <w:pPr>
        <w:pStyle w:val="FirstParagraph"/>
        <w:spacing w:line="480" w:lineRule="auto"/>
      </w:pPr>
      <w:r>
        <w:t xml:space="preserve">The operator emerges from an anomaly with an information deficit. The vehicle has departed from its expected behavior, and the root cause is not yet identified. The operator’s task in the interval between anomaly and clearance is to produce, from telemetry, recovered hardware, simulation, and engineering judgment, a documented root-cause determination and a corrective-action plan that the regulator will accept. The output of this production process is a set of artifacts: the failure-mode taxonomy, the fault tree, the corrective-action register, and the verification evidence that the corrective actions have been implemented and tested.</w:t>
      </w:r>
    </w:p>
    <w:p>
      <w:pPr>
        <w:pStyle w:val="BodyText"/>
        <w:spacing w:line="480" w:lineRule="auto"/>
        <w:ind w:firstLine="720"/>
      </w:pPr>
      <w:r>
        <w:t xml:space="preserve">The production function for these artifacts has two principal inputs. The first is the operator’s accumulated diagnostic capital, which encompasses the engineering workforce, the telemetry infrastructure, the simulation environment, and the institutional memory of prior investigations. The second is the operator’s diagnostic toolchain, which in the contemporary literature increasingly includes AI-assisted anomaly identification systems of the kind documented in the 2025 AMOS proceedings [1, 7]. The Mutholib et al. prototype is the canonical reference for a web-based AI decision-support system whose purpose is precisely to compress the interval between anomaly observation and root-cause identification</w:t>
      </w:r>
      <w:r>
        <w:t xml:space="preserve"> </w:t>
      </w:r>
      <w:hyperlink w:anchor="ref-1">
        <w:r>
          <w:rPr>
            <w:rStyle w:val="Hyperlink"/>
          </w:rPr>
          <w:t xml:space="preserve">[1]</w:t>
        </w:r>
      </w:hyperlink>
      <w:r>
        <w:t xml:space="preserve">. The Grosvenor et al. hierarchical neuro-symbolic architecture extends the same logic from the diagnostic console into autonomous spacecraft operations</w:t>
      </w:r>
      <w:r>
        <w:t xml:space="preserve"> </w:t>
      </w:r>
      <w:hyperlink w:anchor="ref-7">
        <w:r>
          <w:rPr>
            <w:rStyle w:val="Hyperlink"/>
          </w:rPr>
          <w:t xml:space="preserve">[7]</w:t>
        </w:r>
      </w:hyperlink>
      <w:r>
        <w:t xml:space="preserve">. In the framework developed here, both systems are treated as instances of a common class of diagnostic-compression technologies whose effect is to raise the marginal product of the operator’s existing engineering workforce on the root-cause artifact.</w:t>
      </w:r>
    </w:p>
    <w:p>
      <w:pPr>
        <w:pStyle w:val="BodyText"/>
        <w:spacing w:line="480" w:lineRule="auto"/>
        <w:ind w:firstLine="720"/>
      </w:pPr>
      <w:r>
        <w:t xml:space="preserve">The theoretical prediction at this layer is unambiguous in sign. If the AI-assisted toolchain raises the marginal product of the diagnostic workforce, the calendar-time required to produce a root-cause artifact of a given quality is reduced. The operator’s diagnostic interval, holding severity fixed, is therefore shorter for operators with the toolchain than for operators without it.</w:t>
      </w:r>
    </w:p>
    <w:bookmarkEnd w:id="78"/>
    <w:bookmarkStart w:id="79" w:name="the-regulators-clearance-decision"/>
    <w:p>
      <w:pPr>
        <w:pStyle w:val="Heading3"/>
        <w:spacing w:line="480" w:lineRule="auto"/>
      </w:pPr>
      <w:r>
        <w:t xml:space="preserve">3.3.2 The Regulator’s Clearance Decision</w:t>
      </w:r>
    </w:p>
    <w:p>
      <w:pPr>
        <w:pStyle w:val="FirstParagraph"/>
        <w:spacing w:line="480" w:lineRule="auto"/>
      </w:pPr>
      <w:r>
        <w:t xml:space="preserve">The regulator’s task is the inverse of the operator’s. The regulator receives the operator’s root-cause artifact and corrective-action plan and must decide whether the evidence supports a clearance for return-to-flight. The regulator’s decision is governed by a statutory severity floor, by a procedural process that includes inter-agency consultation and peer review, and by the regulator’s own prior over the operator’s reliability. The clearance decision is therefore not a deterministic function of the operator’s submission but a Bayesian updating of the regulator’s prior on the basis of the evidence that the operator supplies.</w:t>
      </w:r>
    </w:p>
    <w:p>
      <w:pPr>
        <w:pStyle w:val="BodyText"/>
        <w:spacing w:line="480" w:lineRule="auto"/>
        <w:ind w:firstLine="720"/>
      </w:pPr>
      <w:r>
        <w:t xml:space="preserve">Two implications follow. The first is that the regulator’s posterior on the operator’s competence to fly safely after the corrective actions is a function of both the quality of the evidence supplied and the regulator’s prior. An operator with a longer history of prior investigations, all else equal, presents the regulator with a richer prior over the operator’s failure modes and corrective-action capacity [4, 6]. The theoretical sign of this prior-history effect on the hazard is ambiguous a priori. A regulator who interprets prior investigations as evidence of systemic unreliability will hold the clearance longer. A regulator who interprets prior investigations as evidence that the operator has the regulatory interface and documentation machinery already standing up will clear faster. The empirical work in</w:t>
      </w:r>
      <w:r>
        <w:t xml:space="preserve"> </w:t>
      </w:r>
      <w:hyperlink w:anchor="ref-9">
        <w:r>
          <w:rPr>
            <w:rStyle w:val="Hyperlink"/>
          </w:rPr>
          <w:t xml:space="preserve">[9]</w:t>
        </w:r>
      </w:hyperlink>
      <w:r>
        <w:t xml:space="preserve"> </w:t>
      </w:r>
      <w:r>
        <w:t xml:space="preserve">and in the companion paper estimates the net effect as positive on the hazard, that is, as a shortening of the expected grounding, which is consistent with the regulator-learning reading.</w:t>
      </w:r>
    </w:p>
    <w:p>
      <w:pPr>
        <w:pStyle w:val="BodyText"/>
        <w:spacing w:line="480" w:lineRule="auto"/>
        <w:ind w:firstLine="720"/>
      </w:pPr>
      <w:r>
        <w:t xml:space="preserve">The second implication is that the regulator’s clearance is sensitive to the quality of the root-cause artifact, not merely to its existence. A diagnostic toolchain that produces a more legible failure-mode taxonomy, a more complete fault tree, and a more thoroughly verified corrective-action register lowers the regulator’s posterior uncertainty for any given calendar-time investment by the regulator’s own staff. The toolchain therefore enters the regulator’s clearance decision through a documentation channel as well as through the operator-side compression channel. Both channels work in the same direction on h(t). The toolchain raises the hazard.</w:t>
      </w:r>
    </w:p>
    <w:bookmarkEnd w:id="79"/>
    <w:bookmarkStart w:id="80" w:name="the-markets-pricing-of-the-delay"/>
    <w:p>
      <w:pPr>
        <w:pStyle w:val="Heading3"/>
        <w:spacing w:line="480" w:lineRule="auto"/>
      </w:pPr>
      <w:r>
        <w:t xml:space="preserve">3.3.3 The Market’s Pricing of the Delay</w:t>
      </w:r>
    </w:p>
    <w:p>
      <w:pPr>
        <w:pStyle w:val="FirstParagraph"/>
        <w:spacing w:line="480" w:lineRule="auto"/>
      </w:pPr>
      <w:r>
        <w:t xml:space="preserve">The third layer of the mechanism is the downstream market. Customers whose payloads are queued behind a grounded vehicle bear the carrying cost of the delay in the form of financing costs on capitalized but unflown hardware, in the form of opportunity cost on the constellation revenue that the delayed payload would have generated, and in the form of contractual exposure to the alternate-vehicle reassignment market. The space-economics literature recognizes this disruption channel in qualitative terms and treats launch services as the structural bottleneck of the broader space economy [3, 5, 6]. The market’s pricing of the delay is the political and economic backdrop against which the regulator’s clearance decision is taken.</w:t>
      </w:r>
    </w:p>
    <w:p>
      <w:pPr>
        <w:pStyle w:val="BodyText"/>
        <w:spacing w:line="480" w:lineRule="auto"/>
        <w:ind w:firstLine="720"/>
      </w:pPr>
      <w:r>
        <w:t xml:space="preserve">The market layer does not enter h(t) through a clean mechanical channel. It enters through the political feasibility of the regulator’s posture and through the operator’s revealed urgency in the production of the root-cause artifact. The empirical proxy for the market layer is the commercial character of the lost payload, which captures the density of the downstream queue and the visibility of the delay. The theoretical sign of the commercial-payload coefficient on h(t) is ambiguous. A simple market-pressure reading predicts a positive coefficient: commercial payloads face the densest queues and the highest visibility, and the regulator and the operator should both be pushed toward acceleration. A documentation-scrutiny reading predicts a negative coefficient: commercial payloads attract more public attention and a more thorough regulatory record, and the calendar-time investment that the regulator makes in the clearance is therefore higher. The empirical estimates in the companion papers split on this margin</w:t>
      </w:r>
      <w:r>
        <w:t xml:space="preserve"> </w:t>
      </w:r>
      <w:hyperlink w:anchor="ref-9">
        <w:r>
          <w:rPr>
            <w:rStyle w:val="Hyperlink"/>
          </w:rPr>
          <w:t xml:space="preserve">[9]</w:t>
        </w:r>
      </w:hyperlink>
      <w:r>
        <w:t xml:space="preserve">, with the larger sample returning a small positive coefficient that is not statistically distinguishable from zero and the smaller sample returning a borderline-negative coefficient. The framework treats both readings as theoretically admissible and defers adjudication to the empirical chapter.</w:t>
      </w:r>
    </w:p>
    <w:bookmarkEnd w:id="80"/>
    <w:bookmarkEnd w:id="81"/>
    <w:bookmarkStart w:id="82" w:name="the-causal-logic"/>
    <w:p>
      <w:pPr>
        <w:pStyle w:val="Heading2"/>
        <w:spacing w:line="480" w:lineRule="auto"/>
      </w:pPr>
      <w:r>
        <w:t xml:space="preserve">3.4 The Causal Logic</w:t>
      </w:r>
    </w:p>
    <w:p>
      <w:pPr>
        <w:pStyle w:val="FirstParagraph"/>
        <w:spacing w:line="480" w:lineRule="auto"/>
      </w:pPr>
      <w:r>
        <w:t xml:space="preserve">The three layers of the mechanism converge on a single causal claim. The covariate of central interest is the presence in the operator’s anomaly-response apparatus of an AI-assisted anomaly-identification toolchain of the class documented at AMOS 2025 [1, 7]. The theoretical prediction is that this toolchain raises h(t) through two channels. The first is the operator-side compression channel: the toolchain reduces the calendar-time required to produce a root-cause artifact of a given quality. The second is the documentation channel: the toolchain raises the quality of the artifact that the regulator receives, lowering the regulator’s posterior uncertainty for any given calendar-time investment. Both channels work in the same direction. Under the framework, the AI-tooling coefficient in a Cox proportional-hazards specification of T should be positive.</w:t>
      </w:r>
    </w:p>
    <w:p>
      <w:pPr>
        <w:pStyle w:val="BodyText"/>
        <w:spacing w:line="480" w:lineRule="auto"/>
        <w:ind w:firstLine="720"/>
      </w:pPr>
      <w:r>
        <w:t xml:space="preserve">The causal logic has a particular structure that warrants explicit attention. The toolchain is not hypothesized to bind the regulator’s clock directly. The regulator is not endogenous to the operator’s diagnostic apparatus in any formal sense. The hypothesized effect operates through the artifacts that the regulator must receive before it can close the investigation. If the artifacts are produced faster and more legibly, the clearance follows faster. If the regulator imposes a process floor that is insensitive to the quality and timeliness of the operator’s submission, the toolchain effect is zero. The null hypothesis is therefore not merely the statistical statement that the coefficient is indistinguishable from zero, but the substantive statement that the regulator’s clock is determined by factors outside the operator’s diagnostic apparatus: commission scheduling, inter-agency consultation, peer review, and statutory severity classifications that do not yield to faster or more legible submissions from the operator.</w:t>
      </w:r>
    </w:p>
    <w:p>
      <w:pPr>
        <w:pStyle w:val="BodyText"/>
        <w:spacing w:line="480" w:lineRule="auto"/>
        <w:ind w:firstLine="720"/>
      </w:pPr>
      <w:r>
        <w:t xml:space="preserve">This substantive reading of the null matters for the interpretation of the empirical result. If H0 is not rejected, the framework does not collapse. It is sustained in a particular form in which the operator-to-regulator transmission channel is severed, and the policy implication shifts from operator capital allocation to regulatory process reform. If H0 is rejected in favor of H1, the framework’s two-channel transmission is sustained, and the policy implication runs in the opposite direction: the operator’s investment in diagnostic-compression technologies has a regulator-relevant return that is currently uncosted in the operator’s capital budget and in the space-economics literature’s treatment of launch as a bottleneck input [2, 5].</w:t>
      </w:r>
    </w:p>
    <w:p>
      <w:pPr>
        <w:pStyle w:val="BodyText"/>
        <w:spacing w:line="480" w:lineRule="auto"/>
        <w:ind w:firstLine="720"/>
      </w:pPr>
      <w:r>
        <w:t xml:space="preserve">Three further covariates enter the specification as theoretically motivated controls. Severity captures the size of the root-cause space that the regulator must traverse; the theoretical sign on h(t) is negative, and the empirical work confirms this with high precision</w:t>
      </w:r>
      <w:r>
        <w:t xml:space="preserve"> </w:t>
      </w:r>
      <w:hyperlink w:anchor="ref-9">
        <w:r>
          <w:rPr>
            <w:rStyle w:val="Hyperlink"/>
          </w:rPr>
          <w:t xml:space="preserve">[9]</w:t>
        </w:r>
      </w:hyperlink>
      <w:r>
        <w:t xml:space="preserve">. Prior-investigation count captures the regulator’s prior over the operator’s failure modes and the operator’s procedural readiness; the theoretical sign is ambiguous a priori, and the empirical work returns a positive coefficient consistent with a regulator-learning interpretation. Payload commerciality captures the density of the downstream queue and the visibility of the delay; the theoretical sign is ambiguous, and the empirical work returns mixed estimates across specifications. The framework treats severity as the most theoretically grounded control, prior-investigation count as a covariate of independent interest whose estimated sign supplies a side-finding for the regulator-learning literature, and payload commerciality as a proxy for the market layer whose interpretation depends on which of the two competing readings the data sustain.</w:t>
      </w:r>
    </w:p>
    <w:bookmarkEnd w:id="82"/>
    <w:bookmarkStart w:id="83" w:name="the-formal-hypotheses"/>
    <w:p>
      <w:pPr>
        <w:pStyle w:val="Heading2"/>
        <w:spacing w:line="480" w:lineRule="auto"/>
      </w:pPr>
      <w:r>
        <w:t xml:space="preserve">3.5 The Formal Hypotheses</w:t>
      </w:r>
    </w:p>
    <w:p>
      <w:pPr>
        <w:pStyle w:val="FirstParagraph"/>
        <w:spacing w:line="480" w:lineRule="auto"/>
      </w:pPr>
      <w:r>
        <w:t xml:space="preserve">The framework yields a single falsifiable claim about the conditional hazard of return-to-flight. The claim is stated in the functional form of the estimator that Chapter 4 will specify. Let the hazard at calendar time t for the i-th grounding event be the product of an unspecified baseline hazard h_0(t) and an exponentiated linear index of covariates:</w:t>
      </w:r>
    </w:p>
    <w:p>
      <w:pPr>
        <w:pStyle w:val="BodyText"/>
        <w:spacing w:line="480" w:lineRule="auto"/>
        <w:ind w:firstLine="720"/>
      </w:pPr>
      <w:r>
        <w:t xml:space="preserve">h_i(t) = h_0(t) exp(beta_1 AI_i + beta_2 SEV_i + beta_3 PRIOR_i + beta_4 COMM_i)</w:t>
      </w:r>
    </w:p>
    <w:p>
      <w:pPr>
        <w:pStyle w:val="BodyText"/>
        <w:spacing w:line="480" w:lineRule="auto"/>
        <w:ind w:firstLine="720"/>
      </w:pPr>
      <w:r>
        <w:t xml:space="preserve">where AI_i is an indicator for the presence of AI-assisted anomaly-identification tooling in the i-th operator’s anomaly-response apparatus, SEV_i is the regulator-recognized severity classification on an ordinal scale, PRIOR_i is the count of the operator’s prior mishap investigations on the affected vehicle family within a fixed look-back window, and COMM_i is an indicator for commercial payload class.</w:t>
      </w:r>
    </w:p>
    <w:p>
      <w:pPr>
        <w:pStyle w:val="BodyText"/>
        <w:spacing w:line="480" w:lineRule="auto"/>
        <w:ind w:firstLine="720"/>
      </w:pPr>
      <w:r>
        <w:t xml:space="preserve">The single falsifiable hypothesis concerns beta_1.</w:t>
      </w:r>
    </w:p>
    <w:p>
      <w:pPr>
        <w:pStyle w:val="BodyText"/>
        <w:spacing w:line="480" w:lineRule="auto"/>
        <w:ind w:firstLine="720"/>
      </w:pPr>
      <w:r>
        <w:rPr>
          <w:b/>
          <w:bCs/>
        </w:rPr>
        <w:t xml:space="preserve">H0 (null):</w:t>
      </w:r>
      <w:r>
        <w:t xml:space="preserve"> </w:t>
      </w:r>
      <w:r>
        <w:t xml:space="preserve">Conditional on severity, prior-investigation count, and payload commerciality, the coefficient on the AI-tooling indicator in the Cox proportional-hazards specification of return-to-flight duration is equal to zero. Formally, beta_1 = 0. The substantive content of the null is that the operator’s investment in AI-assisted diagnostic tooling does not translate into a measurable compression of the regulatory return-to-flight interval, because the regulator’s clock is determined by factors outside the operator’s diagnostic apparatus.</w:t>
      </w:r>
    </w:p>
    <w:p>
      <w:pPr>
        <w:pStyle w:val="BodyText"/>
        <w:spacing w:line="480" w:lineRule="auto"/>
        <w:ind w:firstLine="720"/>
      </w:pPr>
      <w:r>
        <w:rPr>
          <w:b/>
          <w:bCs/>
        </w:rPr>
        <w:t xml:space="preserve">H1 (alternative):</w:t>
      </w:r>
      <w:r>
        <w:t xml:space="preserve"> </w:t>
      </w:r>
      <w:r>
        <w:t xml:space="preserve">Conditional on the same covariates, the coefficient on the AI-tooling indicator is strictly positive. Formally, beta_1 &gt; 0. The substantive content of the alternative is that the operator-side diagnostic compression documented in the AMOS prototype literature [1, 7] is transmitted to the regulatory clock through the artifact-quality and submission-speed channels developed in section 3.3, and that the regulator’s clearance is therefore partly endogenous to the operator’s investment in diagnostic-compression technologies.</w:t>
      </w:r>
    </w:p>
    <w:p>
      <w:pPr>
        <w:pStyle w:val="BodyText"/>
        <w:spacing w:line="480" w:lineRule="auto"/>
        <w:ind w:firstLine="720"/>
      </w:pPr>
      <w:r>
        <w:t xml:space="preserve">The test is one-sided. The theoretical framework does not admit a coherent reading under which the AI-tooling indicator carries a negative coefficient: there is no mechanism by which the introduction of diagnostic-compression technologies should lengthen the operator’s calendar-time investment in the root-cause artifact or lower the artifact’s legibility to the regulator. A negative point estimate, if it arose, would be interpreted not as evidence for a sign-reversed mechanism but as evidence of measurement error in the AI-tooling indicator or of confounding with severity. The empirical chapter will treat negative point estimates accordingly.</w:t>
      </w:r>
    </w:p>
    <w:p>
      <w:pPr>
        <w:pStyle w:val="BodyText"/>
        <w:spacing w:line="480" w:lineRule="auto"/>
        <w:ind w:firstLine="720"/>
      </w:pPr>
      <w:r>
        <w:t xml:space="preserve">The economic significance of rejection or non-rejection of H0 is asymmetric, and the framework is explicit about which margin matters in each case. Rejection of H0 in favor of H1 establishes a regulator-relevant return on the operator-side diagnostic toolchain that the operator’s capital budget does not currently price and that the space-economics literature does not currently model [2, 3, 4, 5, 6]. The policy implication is operator-facing and capital-allocation-facing. Non-rejection of H0 establishes that the regulator’s clock is process-bound rather than diagnostic-bound, and the policy implication is regulator-facing and process-reform-facing. Either outcome supplies a usable result for the broader literature, which is the structural property the dissertation prospectus required of its single falsifiable contribution.</w:t>
      </w:r>
    </w:p>
    <w:bookmarkEnd w:id="83"/>
    <w:bookmarkStart w:id="84" w:name="X46b9bdc47002ae13c4c5ce718fc924fa003a5e3"/>
    <w:p>
      <w:pPr>
        <w:pStyle w:val="Heading2"/>
        <w:spacing w:line="480" w:lineRule="auto"/>
      </w:pPr>
      <w:r>
        <w:t xml:space="preserve">3.6 Threats to the Theoretical Identification</w:t>
      </w:r>
    </w:p>
    <w:p>
      <w:pPr>
        <w:pStyle w:val="FirstParagraph"/>
        <w:spacing w:line="480" w:lineRule="auto"/>
      </w:pPr>
      <w:r>
        <w:t xml:space="preserve">The framework exposes four threats to identification that the empirical chapter must address. The first is selection on severity. More severe anomalies present larger root-cause spaces and may attract both more intensive AI-assisted diagnostic effort and longer regulatory scrutiny. If severity is incompletely measured, the AI-tooling coefficient may be biased toward zero or negative. The framework’s prediction conditions on severity, and the empirical chapter must therefore enter severity as a covariate of sufficient richness that the residual variation in the AI-tooling indicator is plausibly orthogonal to unobserved severity components.</w:t>
      </w:r>
    </w:p>
    <w:p>
      <w:pPr>
        <w:pStyle w:val="BodyText"/>
        <w:spacing w:line="480" w:lineRule="auto"/>
        <w:ind w:firstLine="720"/>
      </w:pPr>
      <w:r>
        <w:t xml:space="preserve">The second threat is measurement error in the AI-tooling indicator. The indicator is constructed from operator anomaly-response disclosures that vary in candor across operators and across time. Classical measurement error in a binary covariate attenuates the coefficient toward zero, so the framework’s expected sign of the bias is conservative. The empirical chapter must nonetheless address this through sensitivity analysis on alternate codings and through cross-validation of the indicator against the AMOS prototype timeline [1, 7].</w:t>
      </w:r>
    </w:p>
    <w:p>
      <w:pPr>
        <w:pStyle w:val="BodyText"/>
        <w:spacing w:line="480" w:lineRule="auto"/>
        <w:ind w:firstLine="720"/>
      </w:pPr>
      <w:r>
        <w:t xml:space="preserve">The third threat is regulatory regime change. The FAA AST mishap process has evolved over the 1996 to 2025 window from which the dissertation’s sample is drawn. A regime shift in the regulator’s procedural posture that is correlated with the diffusion of AI-assisted tooling across the operator population could be misattributed to the tooling indicator. The empirical chapter must enter calendar-time controls and consider a regime-shift placebo.</w:t>
      </w:r>
    </w:p>
    <w:p>
      <w:pPr>
        <w:pStyle w:val="BodyText"/>
        <w:spacing w:line="480" w:lineRule="auto"/>
        <w:ind w:firstLine="720"/>
      </w:pPr>
      <w:r>
        <w:t xml:space="preserve">The fourth threat is small-sample inference. The count of post-anomaly groundings in the public licensed-launch record is modest, on the order of thirty to forty events depending on the inclusion criteria. Asymptotic Cox partial-likelihood inference may be unreliable at this sample size. The framework predicts a positive coefficient of plausible magnitude, but the empirical chapter must enter bootstrap confidence intervals and exact partial-likelihood inference to support the test.</w:t>
      </w:r>
    </w:p>
    <w:p>
      <w:pPr>
        <w:pStyle w:val="BodyText"/>
        <w:spacing w:line="480" w:lineRule="auto"/>
        <w:ind w:firstLine="720"/>
      </w:pPr>
      <w:r>
        <w:t xml:space="preserve">These four threats do not undermine the framework. They define the perimeter within which the framework’s prediction can be tested, and they motivate the design choices that Chapter 4 will specify. The framework is sufficient to deliver a single falsifiable claim with a clear directional prediction, a clear functional form, and a clear set of theoretically motivated controls. The empirical chapter will adjudicate the claim.</w:t>
      </w:r>
    </w:p>
    <w:bookmarkEnd w:id="84"/>
    <w:bookmarkEnd w:id="85"/>
    <w:bookmarkStart w:id="96" w:name="chapter-4.-data-and-measurement"/>
    <w:p>
      <w:pPr>
        <w:pStyle w:val="Heading1"/>
        <w:spacing w:line="480" w:lineRule="auto"/>
      </w:pPr>
      <w:r>
        <w:t xml:space="preserve">Chapter 4. Data and Measurement</w:t>
      </w:r>
    </w:p>
    <w:bookmarkStart w:id="86" w:name="overview-and-purpose-of-the-chapter"/>
    <w:p>
      <w:pPr>
        <w:pStyle w:val="Heading2"/>
        <w:spacing w:line="480" w:lineRule="auto"/>
      </w:pPr>
      <w:r>
        <w:t xml:space="preserve">4.1 Overview and Purpose of the Chapter</w:t>
      </w:r>
    </w:p>
    <w:p>
      <w:pPr>
        <w:pStyle w:val="FirstParagraph"/>
        <w:spacing w:line="480" w:lineRule="auto"/>
      </w:pPr>
      <w:r>
        <w:t xml:space="preserve">The empirical contribution of this dissertation rests on a hand-compiled record of post-anomaly grounding events drawn from the global licensed-launch register. Chapter 3 specified the Cox proportional-hazards estimator and the identification strategy. The present chapter turns to the underlying data: the unit of analysis, the population from which observations are drawn, the authoritative primary records that supply each variable, and the coding decisions that translate those records into the covariates entered in the partial likelihood. Two empirical chapters in this dissertation rely on the same data-construction philosophy applied to slightly different cuts of the population. The first empirical chapter (Paper 1) uses a 28-event panel spanning 2003 to 2025. The second empirical chapter (Paper 2) extends the panel backward to 1996 and forward through 15 April 2025, producing 39 events. The two cuts share their authoritative-source hierarchy, their unit of analysis, and their variable definitions; they differ in the calendar window and in the resulting count of right-censored observations. This chapter therefore describes a single measurement framework and notes the small respects in which the two empirical chapters depart from it.</w:t>
      </w:r>
    </w:p>
    <w:p>
      <w:pPr>
        <w:pStyle w:val="BodyText"/>
        <w:spacing w:line="480" w:lineRule="auto"/>
        <w:ind w:firstLine="720"/>
      </w:pPr>
      <w:r>
        <w:t xml:space="preserve">The motivation for treating data construction at this length is that the load-bearing variable of the dissertation, the duration of post-anomaly grounding, is not natively reported by any single agency or commercial database. There is no public data product in which one can download a column labelled</w:t>
      </w:r>
      <w:r>
        <w:t xml:space="preserve"> </w:t>
      </w:r>
      <w:r>
        <w:t xml:space="preserve">“days from anomaly to regulatory clearance of return-to-flight”</w:t>
      </w:r>
      <w:r>
        <w:t xml:space="preserve"> </w:t>
      </w:r>
      <w:r>
        <w:t xml:space="preserve">for the global licensed-launch population. The variable must be constructed by reading primary documents from the responsible regulator in each jurisdiction, cross-referencing operator disclosures, and matching the constructed interval to manifest evidence in payload-licensing records. The prospectus framed this construction as a feasible exercise on a public-record basis</w:t>
      </w:r>
      <w:r>
        <w:t xml:space="preserve"> </w:t>
      </w:r>
      <w:hyperlink w:anchor="ref-9">
        <w:r>
          <w:rPr>
            <w:rStyle w:val="Hyperlink"/>
          </w:rPr>
          <w:t xml:space="preserve">[9]</w:t>
        </w:r>
      </w:hyperlink>
      <w:r>
        <w:t xml:space="preserve">. The two empirical chapters demonstrate that feasibility on 28 and 39 observations respectively. The chapter that follows lays the methodological foundation underneath that demonstration.</w:t>
      </w:r>
    </w:p>
    <w:bookmarkEnd w:id="86"/>
    <w:bookmarkStart w:id="87" w:name="unit-of-analysis"/>
    <w:p>
      <w:pPr>
        <w:pStyle w:val="Heading2"/>
        <w:spacing w:line="480" w:lineRule="auto"/>
      </w:pPr>
      <w:r>
        <w:t xml:space="preserve">4.2 Unit of Analysis</w:t>
      </w:r>
    </w:p>
    <w:p>
      <w:pPr>
        <w:pStyle w:val="FirstParagraph"/>
        <w:spacing w:line="480" w:lineRule="auto"/>
      </w:pPr>
      <w:r>
        <w:t xml:space="preserve">The unit of analysis is the post-anomaly grounding event. A grounding event is the pairing of a single in-flight or pad anomaly to a single subsequent regulatory clearance of return-to-flight for the affected vehicle family. The grounding is a property of the vehicle family rather than of the individual flight: when a Falcon 9 in the v1.1 generation suffers a CRS-7 ascent-phase loss-of-mission anomaly in June 2015, the grounded entity is the Falcon 9 family operated by SpaceX under FAA licence, not the individual launch. The duration of grounding therefore terminates at the next successful flight of the affected family on the same operator licence, not at the next flight of a successor vehicle or of a sister family.</w:t>
      </w:r>
    </w:p>
    <w:p>
      <w:pPr>
        <w:pStyle w:val="BodyText"/>
        <w:spacing w:line="480" w:lineRule="auto"/>
        <w:ind w:firstLine="720"/>
      </w:pPr>
      <w:r>
        <w:t xml:space="preserve">This definition has three implications for the panel. First, it produces a small number of repeat events on the same vehicle family: the Falcon 9 family appears twice (CRS-7 and AMOS-6), Antares appears twice (Orb-3 and the NG-17 anomaly), Vega appears across the original Vega and Vega C, and Proton-M appears multiple times across the Roscosmos record. Second, it generates a definitional question for the SpaceX Starship development campaign, in which an experimental vehicle in flight test produces anomalies that the FAA treats under a mishap investigation but where the notion of</w:t>
      </w:r>
      <w:r>
        <w:t xml:space="preserve"> </w:t>
      </w:r>
      <w:r>
        <w:t xml:space="preserve">“return-to-flight”</w:t>
      </w:r>
      <w:r>
        <w:t xml:space="preserve"> </w:t>
      </w:r>
      <w:r>
        <w:t xml:space="preserve">is conditioned on the experimental licence rather than on a stable operational manifest. The two empirical chapters resolve this question by retaining Starship rows but flagging their licence status in the source column. Third, it requires a treatment of company-exit events, addressed in section 4.6 below.</w:t>
      </w:r>
    </w:p>
    <w:p>
      <w:pPr>
        <w:pStyle w:val="BodyText"/>
        <w:spacing w:line="480" w:lineRule="auto"/>
        <w:ind w:firstLine="720"/>
      </w:pPr>
      <w:r>
        <w:t xml:space="preserve">The duration variable for each event is the count of calendar days from the date of the anomaly to the date of the first subsequent successful flight of the affected family. Where the operator did not return to flight before the study horizon, or before company exit, the duration is right-censored at the relevant horizon date.</w:t>
      </w:r>
    </w:p>
    <w:bookmarkEnd w:id="87"/>
    <w:bookmarkStart w:id="88" w:name="population-and-sampling-window"/>
    <w:p>
      <w:pPr>
        <w:pStyle w:val="Heading2"/>
        <w:spacing w:line="480" w:lineRule="auto"/>
      </w:pPr>
      <w:r>
        <w:t xml:space="preserve">4.3 Population and Sampling Window</w:t>
      </w:r>
    </w:p>
    <w:p>
      <w:pPr>
        <w:pStyle w:val="FirstParagraph"/>
        <w:spacing w:line="480" w:lineRule="auto"/>
      </w:pPr>
      <w:r>
        <w:t xml:space="preserve">The population from which observations are drawn is the global set of post-anomaly grounding events for licensed orbital-class launch vehicles between 1996 and 2025. The 1996 start date is chosen by Paper 2 to capture the Ariane 501 maiden-flight loss and the corresponding Independent Inquiry Commission, the earliest event in the panel that has a full, primary-source, English-language commission record amenable to the variable-coding scheme below. Paper 1 uses a 2003 start date, anchored to the period over which the FAA Office of Commercial Space Transportation mishap-docket system is reliably continuous in its public-reading-room form. The end date of 15 April 2025 is the study horizon adopted by both papers and is set by the date on which the data extraction was frozen.</w:t>
      </w:r>
    </w:p>
    <w:p>
      <w:pPr>
        <w:pStyle w:val="BodyText"/>
        <w:spacing w:line="480" w:lineRule="auto"/>
        <w:ind w:firstLine="720"/>
      </w:pPr>
      <w:r>
        <w:t xml:space="preserve">“Licensed orbital-class”</w:t>
      </w:r>
      <w:r>
        <w:t xml:space="preserve"> </w:t>
      </w:r>
      <w:r>
        <w:t xml:space="preserve">is a population-defining criterion that excludes sounding rockets, suborbital tourist vehicles, military ICBM tests, and small-payload demonstrators that did not seek orbit. The population includes vehicles operated by the United States under FAA AST licence, vehicles operated under European Space Agency or French CNES authority through Arianespace, vehicles operated by JAXA under MEXT, vehicles operated by Roscosmos under the Russian federal launch authority, and vehicles operated by CASC under the relevant Chinese authority. The justification for treating these jurisdictionally heterogeneous events as a single population is that each jurisdiction operates a recognisable mishap-investigation-to-return-to-flight process whose duration is reportable, even where the procedural detail differs. Paper 2 verifies in its source column that every non-United States event in the panel has a documented commission or inquiry report from the responsible national authority.</w:t>
      </w:r>
    </w:p>
    <w:p>
      <w:pPr>
        <w:pStyle w:val="BodyText"/>
        <w:spacing w:line="480" w:lineRule="auto"/>
        <w:ind w:firstLine="720"/>
      </w:pPr>
      <w:r>
        <w:t xml:space="preserve">The population is not the universe of launch failures in the period. Three classes of event are excluded by construction. First, sub-orbital test failures of vehicles that are not licensed for orbital service. Second, payload-deployment anomalies that do not produce a grounding of the vehicle family, since the dependent variable is undefined where no grounding occurs. Third, classified national-security failures for which no regulatory documentation is available; this exclusion is empirically minor because the FAA AST process applies to commercial launches and most national-security failures of interest in the period either occurred on commercial-licensed vehicles or were documented through congressional channels with reportable dates.</w:t>
      </w:r>
    </w:p>
    <w:bookmarkEnd w:id="88"/>
    <w:bookmarkStart w:id="89" w:name="authoritative-source-hierarchy"/>
    <w:p>
      <w:pPr>
        <w:pStyle w:val="Heading2"/>
        <w:spacing w:line="480" w:lineRule="auto"/>
      </w:pPr>
      <w:r>
        <w:t xml:space="preserve">4.4 Authoritative Source Hierarchy</w:t>
      </w:r>
    </w:p>
    <w:p>
      <w:pPr>
        <w:pStyle w:val="FirstParagraph"/>
        <w:spacing w:line="480" w:lineRule="auto"/>
      </w:pPr>
      <w:r>
        <w:t xml:space="preserve">Every row in the dataset carries an explicit source citation in the rightmost column of the data file. The sources fall into a small number of categories that follow a fixed authoritative hierarchy.</w:t>
      </w:r>
    </w:p>
    <w:p>
      <w:pPr>
        <w:pStyle w:val="BodyText"/>
        <w:spacing w:line="480" w:lineRule="auto"/>
        <w:ind w:firstLine="720"/>
      </w:pPr>
      <w:r>
        <w:t xml:space="preserve">The first-tier source is the regulator-of-record’s mishap closure document. For United States licensed launches this is the FAA Office of Commercial Space Transportation mishap closure letter, available through the FAA reading room and, for redacted closure language, through Freedom of Information Act request. The closure letter records the opening of the investigation, the operator’s identified corrective actions, and the date of regulatory concurrence in return-to-flight. The date of concurrence is the primary anchor for the duration variable on United States events.</w:t>
      </w:r>
    </w:p>
    <w:p>
      <w:pPr>
        <w:pStyle w:val="BodyText"/>
        <w:spacing w:line="480" w:lineRule="auto"/>
        <w:ind w:firstLine="720"/>
      </w:pPr>
      <w:r>
        <w:t xml:space="preserve">The second-tier source is the responsible national authority’s commission or inquiry report. For the Ariane 501 event and the subsequent Ariane 5 record this is the ESA-CNES Inquiry Board report; for JAXA events the MEXT inquiry report; for Roscosmos events the federal commission report transmitted through TASS and the Roscosmos press service; for CASC events the corresponding Chinese authority announcement. These reports anchor the duration variable on the non-United States cases.</w:t>
      </w:r>
    </w:p>
    <w:p>
      <w:pPr>
        <w:pStyle w:val="BodyText"/>
        <w:spacing w:line="480" w:lineRule="auto"/>
        <w:ind w:firstLine="720"/>
      </w:pPr>
      <w:r>
        <w:t xml:space="preserve">The third-tier source is the operator’s own disclosure, used as a corroborating record rather than as an independent anchor. Operator disclosures take three forms: press releases announcing the next successful flight of the affected vehicle family, earnings-call commentary that dates the return-to-flight target, and Securities and Exchange Commission filings where the operator is publicly traded. These disclosures are used to triangulate the regulator-of-record date and to verify the link between the regulatory closure and the operational return-to-flight.</w:t>
      </w:r>
    </w:p>
    <w:p>
      <w:pPr>
        <w:pStyle w:val="BodyText"/>
        <w:spacing w:line="480" w:lineRule="auto"/>
        <w:ind w:firstLine="720"/>
      </w:pPr>
      <w:r>
        <w:t xml:space="preserve">The fourth-tier source is the independent review board record, principally NASA Independent Review Board reports for events involving NASA payloads on commercial vehicles, and the analogous independent-review records that occasionally attend non-NASA events. These records are not the regulator-of-record but contribute material covariate information, particularly on severity.</w:t>
      </w:r>
    </w:p>
    <w:p>
      <w:pPr>
        <w:pStyle w:val="BodyText"/>
        <w:spacing w:line="480" w:lineRule="auto"/>
        <w:ind w:firstLine="720"/>
      </w:pPr>
      <w:r>
        <w:t xml:space="preserve">Paper 2 records that primary sources include FAA AST mishap closure letters, NASA Independent Review Board reports, ESA-Arianespace Independent Inquiry Commission reports, JAXA-MEXT inquiry reports, Roscosmos commission reports, and operator press releases or earnings calls. Where a specific calendar date for regulatory clearance could not be documented from any tier, the row is flagged as illustrative. Paper 1 reports three of 28 rows (11 per cent) so flagged. Paper 2 reports three of 39 rows (under 8 per cent) so flagged, below the 15 per cent threshold the prospectus established for illustrative observations</w:t>
      </w:r>
      <w:r>
        <w:t xml:space="preserve"> </w:t>
      </w:r>
      <w:hyperlink w:anchor="ref-9">
        <w:r>
          <w:rPr>
            <w:rStyle w:val="Hyperlink"/>
          </w:rPr>
          <w:t xml:space="preserve">[9]</w:t>
        </w:r>
      </w:hyperlink>
      <w:r>
        <w:t xml:space="preserve">.</w:t>
      </w:r>
    </w:p>
    <w:bookmarkEnd w:id="89"/>
    <w:bookmarkStart w:id="90" w:name="Xbc0d0fefa27c735cfd9dc3c083ca932aae6ec0b"/>
    <w:p>
      <w:pPr>
        <w:pStyle w:val="Heading2"/>
        <w:spacing w:line="480" w:lineRule="auto"/>
      </w:pPr>
      <w:r>
        <w:t xml:space="preserve">4.5 Manifest and Licensing Cross-Reference: the FCC Payload Record</w:t>
      </w:r>
    </w:p>
    <w:p>
      <w:pPr>
        <w:pStyle w:val="FirstParagraph"/>
        <w:spacing w:line="480" w:lineRule="auto"/>
      </w:pPr>
      <w:r>
        <w:t xml:space="preserve">The prospectus identifies the FCC International Bureau payload-licensing file as a secondary dataset used to corroborate the manifest-slip evidence and to construct the competing-risks alternate-vehicle reassignment variable described in Chapter 3</w:t>
      </w:r>
      <w:r>
        <w:t xml:space="preserve"> </w:t>
      </w:r>
      <w:hyperlink w:anchor="ref-9">
        <w:r>
          <w:rPr>
            <w:rStyle w:val="Hyperlink"/>
          </w:rPr>
          <w:t xml:space="preserve">[9]</w:t>
        </w:r>
      </w:hyperlink>
      <w:r>
        <w:t xml:space="preserve">. The FCC record is not the source of the duration variable. It is the source of two pieces of corroborating evidence.</w:t>
      </w:r>
    </w:p>
    <w:p>
      <w:pPr>
        <w:pStyle w:val="BodyText"/>
        <w:spacing w:line="480" w:lineRule="auto"/>
        <w:ind w:firstLine="720"/>
      </w:pPr>
      <w:r>
        <w:t xml:space="preserve">The first is the identity and commerciality of the payload manifested on the failed flight. The commercial-payload indicator entered in the Cox specification is binary and is anchored in the FCC licensing filing for the payload, where the payload was United States licensed, or in the equivalent licensing record of the responsible jurisdiction. A payload is coded as commercial where the licensing record identifies a private operator and a commercial service plan; it is coded as non-commercial where the licensing record identifies a national-security customer, a civil-science customer, or a human-spaceflight customer.</w:t>
      </w:r>
    </w:p>
    <w:p>
      <w:pPr>
        <w:pStyle w:val="BodyText"/>
        <w:spacing w:line="480" w:lineRule="auto"/>
        <w:ind w:firstLine="720"/>
      </w:pPr>
      <w:r>
        <w:t xml:space="preserve">The second is the post-anomaly reassignment record. Where a payload originally manifested on a grounded vehicle subsequently flew on an alternate vehicle, the FCC modification filing dates the reassignment. This record is the input to the competing-risks formulation flagged in the prospectus and developed in the dissertation chapter that follows the present one</w:t>
      </w:r>
      <w:r>
        <w:t xml:space="preserve"> </w:t>
      </w:r>
      <w:hyperlink w:anchor="ref-9">
        <w:r>
          <w:rPr>
            <w:rStyle w:val="Hyperlink"/>
          </w:rPr>
          <w:t xml:space="preserve">[9]</w:t>
        </w:r>
      </w:hyperlink>
      <w:r>
        <w:t xml:space="preserve">. Within the two empirical chapters reported here, the reassignment record is used as a covariate-construction input only; the competing-risks estimation itself is deferred.</w:t>
      </w:r>
    </w:p>
    <w:bookmarkEnd w:id="90"/>
    <w:bookmarkStart w:id="91" w:name="right-censoring-and-company-exit-events"/>
    <w:p>
      <w:pPr>
        <w:pStyle w:val="Heading2"/>
        <w:spacing w:line="480" w:lineRule="auto"/>
      </w:pPr>
      <w:r>
        <w:t xml:space="preserve">4.6 Right-Censoring and Company-Exit Events</w:t>
      </w:r>
    </w:p>
    <w:p>
      <w:pPr>
        <w:pStyle w:val="FirstParagraph"/>
        <w:spacing w:line="480" w:lineRule="auto"/>
      </w:pPr>
      <w:r>
        <w:t xml:space="preserve">A subset of the panel is right-censored. Paper 1 reports three right-censored observations of 28 (ABL RS1, Relativity Terran 1, Virgin Orbit LauncherOne) with the remaining 25 treated as observed events. Paper 2 reports five right-censored observations of 39: the same three company-exit events, plus SpaceX Zuma (in which no formal mishap was declared and therefore no regulatory clock opened in the conventional sense), plus the Blue Origin New Glenn NG-1 event whose investigation remained open at the 15 April 2025 study horizon.</w:t>
      </w:r>
    </w:p>
    <w:p>
      <w:pPr>
        <w:pStyle w:val="BodyText"/>
        <w:spacing w:line="480" w:lineRule="auto"/>
        <w:ind w:firstLine="720"/>
      </w:pPr>
      <w:r>
        <w:t xml:space="preserve">The censoring mechanism is treated as independent of the latent return-to-flight clock under an explicit assumption. The assumption is that company-exit decisions are driven by capital-market conditions, principally the operator’s runway and the availability of follow-on financing, rather than by an unobserved expected investigation duration. The assumption is defensible because the company-exit cases in the panel (LauncherOne, RS1, Terran 1) involve operators whose financial distress predated the terminal anomaly or whose terminal anomaly itself triggered an exit decision driven by investor refusal to extend further runway, not by a regulator-projected grounding interval. The assumption is acknowledged as a limitation: a competing-risks formulation treating program closure as a competing outcome is the natural next step and is flagged in both the prospectus and the discussion section of Paper 2</w:t>
      </w:r>
      <w:r>
        <w:t xml:space="preserve"> </w:t>
      </w:r>
      <w:hyperlink w:anchor="ref-9">
        <w:r>
          <w:rPr>
            <w:rStyle w:val="Hyperlink"/>
          </w:rPr>
          <w:t xml:space="preserve">[9]</w:t>
        </w:r>
      </w:hyperlink>
      <w:r>
        <w:t xml:space="preserve">.</w:t>
      </w:r>
    </w:p>
    <w:p>
      <w:pPr>
        <w:pStyle w:val="BodyText"/>
        <w:spacing w:line="480" w:lineRule="auto"/>
        <w:ind w:firstLine="720"/>
      </w:pPr>
      <w:r>
        <w:t xml:space="preserve">The Zuma exclusion is conceptually distinct from the company-exit exclusions. The Zuma flight was a SpaceX Falcon 9 launch of a classified payload in January 2018 in which no regulator-of-record mishap was declared and the vehicle returned to flight without a documented grounding. The row is retained in the panel and right-censored because retaining it preserves the population definition and because excluding it would induce a selection bias toward declared mishaps. The Blue Origin New Glenn NG-1 censoring is administrative: the event occurred late in the study window and the investigation had not closed by the horizon date.</w:t>
      </w:r>
    </w:p>
    <w:bookmarkEnd w:id="91"/>
    <w:bookmarkStart w:id="92" w:name="construction-of-the-duration-variable"/>
    <w:p>
      <w:pPr>
        <w:pStyle w:val="Heading2"/>
        <w:spacing w:line="480" w:lineRule="auto"/>
      </w:pPr>
      <w:r>
        <w:t xml:space="preserve">4.7 Construction of the Duration Variable</w:t>
      </w:r>
    </w:p>
    <w:p>
      <w:pPr>
        <w:pStyle w:val="FirstParagraph"/>
        <w:spacing w:line="480" w:lineRule="auto"/>
      </w:pPr>
      <w:r>
        <w:t xml:space="preserve">The duration variable is constructed for each event as the count of calendar days from the date of the anomaly to the date of the first subsequent successful flight of the affected family on the same operator licence. The anchor for the start of the interval is the date of the in-flight or pad event itself, taken from the regulator-of-record’s mishap-opening notice where available and from the operator’s press release on the day of the event otherwise. The anchor for the end of the interval is the date of the first subsequent successful flight, verified against the operator’s flight log and against the regulator’s licence-action record.</w:t>
      </w:r>
    </w:p>
    <w:p>
      <w:pPr>
        <w:pStyle w:val="BodyText"/>
        <w:spacing w:line="480" w:lineRule="auto"/>
        <w:ind w:firstLine="720"/>
      </w:pPr>
      <w:r>
        <w:t xml:space="preserve">The construction is calendar-day rather than business-day. The rationale is that the downstream economic harms the dissertation seeks to measure (manifest slip, customer financing cost, alternate-vehicle reassignment) accrue on a calendar basis and not on a regulatory-business-day basis. A grounded vehicle does not stop costing its customers on weekends.</w:t>
      </w:r>
    </w:p>
    <w:p>
      <w:pPr>
        <w:pStyle w:val="BodyText"/>
        <w:spacing w:line="480" w:lineRule="auto"/>
        <w:ind w:firstLine="720"/>
      </w:pPr>
      <w:r>
        <w:t xml:space="preserve">A definitional question arises for events in which the operator’s first subsequent flight uses a successor variant or a slightly upgraded configuration. The coding rule retains the duration interval for the affected family as long as the regulator-of-record treats the successor as the same licensed family. This is the natural rule under the operating licence and is the rule the FAA AST applies in its return-to-flight letters for the Falcon 9 family across the v1.1, Full Thrust, and Block 5 generations.</w:t>
      </w:r>
    </w:p>
    <w:bookmarkEnd w:id="92"/>
    <w:bookmarkStart w:id="93" w:name="construction-of-the-covariates"/>
    <w:p>
      <w:pPr>
        <w:pStyle w:val="Heading2"/>
        <w:spacing w:line="480" w:lineRule="auto"/>
      </w:pPr>
      <w:r>
        <w:t xml:space="preserve">4.8 Construction of the Covariates</w:t>
      </w:r>
    </w:p>
    <w:p>
      <w:pPr>
        <w:pStyle w:val="FirstParagraph"/>
        <w:spacing w:line="480" w:lineRule="auto"/>
      </w:pPr>
      <w:r>
        <w:t xml:space="preserve">Four covariates are entered in the linear index of the Cox proportional-hazards specification. Each is coded from primary documents identified in section 4.4.</w:t>
      </w:r>
    </w:p>
    <w:p>
      <w:pPr>
        <w:pStyle w:val="BodyText"/>
        <w:spacing w:line="480" w:lineRule="auto"/>
        <w:ind w:firstLine="720"/>
      </w:pPr>
      <w:r>
        <w:t xml:space="preserve">The severity covariate is the regulator-recognised mishap classification. Paper 1 enters severity as a three-point ordinal scale ranging over loss-of-mission, loss-of-vehicle, and partial failure. The classification is taken from the regulator-of-record’s opening notice and verified against the closure letter. Where the regulator does not assign an explicit classification (principally for non-United States events) the coding is anchored in the commission report’s characterisation of the event. The severity covariate is included in Paper 1 directly. Paper 2 captures severity in two channels rather than as a single ordinal: an indicator for ascent-phase anomaly and an indicator for commercial payload class, on the reasoning given in section 5 of Paper 2 that ascent-phase anomalies are typically the most consequential for vehicle reliability and that commercial-payload anomalies typically receive a different regulatory process than national-security or human-spaceflight anomalies.</w:t>
      </w:r>
    </w:p>
    <w:p>
      <w:pPr>
        <w:pStyle w:val="BodyText"/>
        <w:spacing w:line="480" w:lineRule="auto"/>
        <w:ind w:firstLine="720"/>
      </w:pPr>
      <w:r>
        <w:t xml:space="preserve">The phase-of-anomaly indicator in Paper 2 is binary, coded one where the regulator-of-record identifies the anomaly as occurring during ascent (first or second-stage flight to staging or to orbital insertion) and zero where the anomaly occurred at pad, during payload deployment, or during a non-ascent operational phase. The phase is taken from the mishap-opening notice and verified against the closure letter or commission report.</w:t>
      </w:r>
    </w:p>
    <w:p>
      <w:pPr>
        <w:pStyle w:val="BodyText"/>
        <w:spacing w:line="480" w:lineRule="auto"/>
        <w:ind w:firstLine="720"/>
      </w:pPr>
      <w:r>
        <w:t xml:space="preserve">The commercial-payload indicator is binary, anchored in the FCC International Bureau licensing record described in section 4.5 above, or in the equivalent licensing record for non-United States payloads. The indicator is one where the payload is commercial and zero otherwise.</w:t>
      </w:r>
    </w:p>
    <w:p>
      <w:pPr>
        <w:pStyle w:val="BodyText"/>
        <w:spacing w:line="480" w:lineRule="auto"/>
        <w:ind w:firstLine="720"/>
      </w:pPr>
      <w:r>
        <w:t xml:space="preserve">The prior-investigation count is the integer count of the operator’s prior mishap investigations on the affected vehicle family in a defined window preceding the focal event. Paper 1 uses the operator’s full prior history. Paper 2 restricts the window to the preceding sixty months on the reasoning that procedural learning and regulatory familiarity, the two channels described in section 5 of Paper 2, are likely to depreciate beyond a five-year horizon. The count is constructed by enumerating the prior mishap closures in the FAA AST docket (for United States operators) or the equivalent national-authority record (for non-United States operators) and matching by operator-and-vehicle-family pair.</w:t>
      </w:r>
    </w:p>
    <w:p>
      <w:pPr>
        <w:pStyle w:val="BodyText"/>
        <w:spacing w:line="480" w:lineRule="auto"/>
        <w:ind w:firstLine="720"/>
      </w:pPr>
      <w:r>
        <w:t xml:space="preserve">The AI-tooling indicator is the covariate of central interest. It is constructed from the operator’s anomaly-response disclosure cross-referenced to the AMOS prototype timeline documented in the operational tooling literature [1, 10] and to the related neuro-symbolic anomaly-detection record</w:t>
      </w:r>
      <w:r>
        <w:t xml:space="preserve"> </w:t>
      </w:r>
      <w:hyperlink w:anchor="ref-7">
        <w:r>
          <w:rPr>
            <w:rStyle w:val="Hyperlink"/>
          </w:rPr>
          <w:t xml:space="preserve">[7]</w:t>
        </w:r>
      </w:hyperlink>
      <w:r>
        <w:t xml:space="preserve"> </w:t>
      </w:r>
      <w:r>
        <w:t xml:space="preserve">and the multi-phenomenology satellite-identification line of work</w:t>
      </w:r>
      <w:r>
        <w:t xml:space="preserve"> </w:t>
      </w:r>
      <w:hyperlink w:anchor="ref-11">
        <w:r>
          <w:rPr>
            <w:rStyle w:val="Hyperlink"/>
          </w:rPr>
          <w:t xml:space="preserve">[11]</w:t>
        </w:r>
      </w:hyperlink>
      <w:r>
        <w:t xml:space="preserve">. The indicator is one where the operator’s anomaly-response disclosure references an AI-assisted or machine-learning-assisted diagnostic toolchain whose architecture or capability set is consistent with the AMOS reference designs, and zero otherwise. The cross-reference is implemented by reading the operator’s mishap-investigation disclosure and matching the diagnostic toolchain it describes to the published prototype or capability descriptions in the cited AMOS proceedings.</w:t>
      </w:r>
    </w:p>
    <w:p>
      <w:pPr>
        <w:pStyle w:val="BodyText"/>
        <w:spacing w:line="480" w:lineRule="auto"/>
        <w:ind w:firstLine="720"/>
      </w:pPr>
      <w:r>
        <w:t xml:space="preserve">The construction acknowledges three measurement issues. First, operator disclosures vary in candor: some operators describe their diagnostic toolchain in detail and others describe it only by reference. Second, the AMOS prototype timeline post-dates several events in the panel, so the indicator is necessarily zero for earlier events regardless of the operator’s contemporary diagnostic capability. This is appropriate for the dissertation’s hypothesis, which concerns the regulator-relevant return on tooling consistent with the AMOS reference designs rather than on any AI-assisted tooling whatsoever. Third, the indicator is binary and so does not capture intensity of use. Paper 1 and Paper 2 both note that measurement error in the indicator is likely to attenuate the coefficient toward zero, so the reported point estimates are conservative.</w:t>
      </w:r>
    </w:p>
    <w:bookmarkEnd w:id="93"/>
    <w:bookmarkStart w:id="94" w:name="the-space-economics-framing-variables"/>
    <w:p>
      <w:pPr>
        <w:pStyle w:val="Heading2"/>
        <w:spacing w:line="480" w:lineRule="auto"/>
      </w:pPr>
      <w:r>
        <w:t xml:space="preserve">4.9 The Space-Economics Framing Variables</w:t>
      </w:r>
    </w:p>
    <w:p>
      <w:pPr>
        <w:pStyle w:val="FirstParagraph"/>
        <w:spacing w:line="480" w:lineRule="auto"/>
      </w:pPr>
      <w:r>
        <w:t xml:space="preserve">The prospectus identifies the space-economics literature as the source of two framing constructs: the disruption channel through which a grounded vehicle propagates harm into the downstream market, and the bottleneck-input characterisation of launch services within the broader space economy [2, 3, 4, 5, 6]. These constructs do not enter the Cox specification as covariates. They enter the dissertation as the theoretical frame against which the duration variable is given economic interpretation in Chapters 5 and 6. The data file therefore does not contain a column labelled</w:t>
      </w:r>
      <w:r>
        <w:t xml:space="preserve"> </w:t>
      </w:r>
      <w:r>
        <w:t xml:space="preserve">“disruption channel”</w:t>
      </w:r>
      <w:r>
        <w:t xml:space="preserve"> </w:t>
      </w:r>
      <w:r>
        <w:t xml:space="preserve">or</w:t>
      </w:r>
      <w:r>
        <w:t xml:space="preserve"> </w:t>
      </w:r>
      <w:r>
        <w:t xml:space="preserve">“bottleneck input”</w:t>
      </w:r>
      <w:r>
        <w:t xml:space="preserve">; the framing is invoked at the interpretation stage rather than at the estimation stage. The data-construction discipline in this chapter is to keep the estimation sample as a strict record of grounding events and their measurable covariates, and to keep the economic interpretation in a separate analytical layer downstream of the estimator.</w:t>
      </w:r>
    </w:p>
    <w:p>
      <w:pPr>
        <w:pStyle w:val="BodyText"/>
        <w:spacing w:line="480" w:lineRule="auto"/>
        <w:ind w:firstLine="720"/>
      </w:pPr>
      <w:r>
        <w:t xml:space="preserve">The Acta Astronautica record on high-speed scientific spacecraft launches with commercial launch vehicles</w:t>
      </w:r>
      <w:r>
        <w:t xml:space="preserve"> </w:t>
      </w:r>
      <w:hyperlink w:anchor="ref-8">
        <w:r>
          <w:rPr>
            <w:rStyle w:val="Hyperlink"/>
          </w:rPr>
          <w:t xml:space="preserve">[8]</w:t>
        </w:r>
      </w:hyperlink>
      <w:r>
        <w:t xml:space="preserve"> </w:t>
      </w:r>
      <w:r>
        <w:t xml:space="preserve">is invoked in the dissertation’s introductory chapter as evidence of the downstream-market dependence on the commercial launch population whose grounding events the present chapter measures. It is not a source for any variable in the data file. It is included in the citation pool because the dissertation’s broader argument depends on establishing that the launch-market disruption channel the duration variable indexes is the same disruption channel the broader space-systems literature has identified.</w:t>
      </w:r>
    </w:p>
    <w:bookmarkEnd w:id="94"/>
    <w:bookmarkStart w:id="95" w:name="Xaa92a528d6d055694ad71a07fe247cbab8af41a"/>
    <w:p>
      <w:pPr>
        <w:pStyle w:val="Heading2"/>
        <w:spacing w:line="480" w:lineRule="auto"/>
      </w:pPr>
      <w:r>
        <w:t xml:space="preserve">4.10 Reproducibility and Documentation Discipline</w:t>
      </w:r>
    </w:p>
    <w:p>
      <w:pPr>
        <w:pStyle w:val="FirstParagraph"/>
        <w:spacing w:line="480" w:lineRule="auto"/>
      </w:pPr>
      <w:r>
        <w:t xml:space="preserve">The data file is a single CSV in the dissertation’s research-paper folders, one for Paper 1 and one for Paper 2. Each row corresponds to one grounding event. The columns are: operator, vehicle family, anomaly date, return-to-flight date, duration in calendar days, censoring indicator, severity (Paper 1) or phase-of-anomaly and commercial-payload indicators (Paper 2), prior-investigation count, AI-tooling indicator, and a source column containing the citation hierarchy actually used for that row. A row flagged as illustrative carries a flag value in a dedicated column.</w:t>
      </w:r>
    </w:p>
    <w:p>
      <w:pPr>
        <w:pStyle w:val="BodyText"/>
        <w:spacing w:line="480" w:lineRule="auto"/>
        <w:ind w:firstLine="720"/>
      </w:pPr>
      <w:r>
        <w:t xml:space="preserve">The reproducibility discipline is that every cell can be traced back to a named primary document. There is no row in either panel for which the source column is empty. There is no covariate value that is imputed from a model or borrowed across rows. Where a value cannot be documented, the row is flagged rather than filled. The discipline is the inheritance from the prospectus’s data-and-provenance section, which committed the empirical work to a public-record basis without sponsor cooperation</w:t>
      </w:r>
      <w:r>
        <w:t xml:space="preserve"> </w:t>
      </w:r>
      <w:hyperlink w:anchor="ref-9">
        <w:r>
          <w:rPr>
            <w:rStyle w:val="Hyperlink"/>
          </w:rPr>
          <w:t xml:space="preserve">[9]</w:t>
        </w:r>
      </w:hyperlink>
      <w:r>
        <w:t xml:space="preserve">.</w:t>
      </w:r>
    </w:p>
    <w:p>
      <w:pPr>
        <w:pStyle w:val="BodyText"/>
        <w:spacing w:line="480" w:lineRule="auto"/>
        <w:ind w:firstLine="720"/>
      </w:pPr>
      <w:r>
        <w:t xml:space="preserve">The panel is small. Twenty-eight observations in Paper 1 and thirty-nine in Paper 2 are modest by the standards of econometric duration analysis. The smallness is a function of the population. The global licensed-launch record between 1996 and 2025 simply does not contain a larger count of post-anomaly grounding events meeting the population-defining criteria of section 4.3. The dissertation’s response to the smallness is the response identified in both empirical chapters and in the prospectus: bootstrap confidence intervals and a competing-risks robustness check in the dissertation chapter that follows. The data-construction chapter cannot enlarge the panel beyond the underlying event count. Its discipline is to ensure that every event in the panel is anchored in primary documents and that the construction of every variable is transparent to a reader who wishes to reconstruct the file from the cited sources.</w:t>
      </w:r>
    </w:p>
    <w:bookmarkEnd w:id="95"/>
    <w:bookmarkEnd w:id="96"/>
    <w:bookmarkStart w:id="103" w:name="chapter-5.-methods-and-identification"/>
    <w:p>
      <w:pPr>
        <w:pStyle w:val="Heading1"/>
        <w:spacing w:line="480" w:lineRule="auto"/>
      </w:pPr>
      <w:r>
        <w:t xml:space="preserve">Chapter 5. Methods and Identification</w:t>
      </w:r>
    </w:p>
    <w:bookmarkStart w:id="97" w:name="overview"/>
    <w:p>
      <w:pPr>
        <w:pStyle w:val="Heading2"/>
        <w:spacing w:line="480" w:lineRule="auto"/>
      </w:pPr>
      <w:r>
        <w:t xml:space="preserve">5.1 Overview</w:t>
      </w:r>
    </w:p>
    <w:p>
      <w:pPr>
        <w:pStyle w:val="FirstParagraph"/>
        <w:spacing w:line="480" w:lineRule="auto"/>
      </w:pPr>
      <w:r>
        <w:t xml:space="preserve">This chapter formalizes the estimation framework that carries the dissertation’s single falsifiable claim from prospectus</w:t>
      </w:r>
      <w:r>
        <w:t xml:space="preserve"> </w:t>
      </w:r>
      <w:hyperlink w:anchor="ref-9">
        <w:r>
          <w:rPr>
            <w:rStyle w:val="Hyperlink"/>
          </w:rPr>
          <w:t xml:space="preserve">[9]</w:t>
        </w:r>
      </w:hyperlink>
      <w:r>
        <w:t xml:space="preserve"> </w:t>
      </w:r>
      <w:r>
        <w:t xml:space="preserve">through the two empirical papers and into the synthesis chapter that follows. The object of estimation is the conditional hazard of regulatory return-to-flight (RTF) after a licensed launch-vehicle mishap. The estimand of primary interest is the coefficient on an indicator for the operator’s use of AI-assisted anomaly identification of the kind documented in the AMOS prototype literature [1, 10] and the hierarchical neuro-symbolic anomaly-detection literature</w:t>
      </w:r>
      <w:r>
        <w:t xml:space="preserve"> </w:t>
      </w:r>
      <w:hyperlink w:anchor="ref-7">
        <w:r>
          <w:rPr>
            <w:rStyle w:val="Hyperlink"/>
          </w:rPr>
          <w:t xml:space="preserve">[7]</w:t>
        </w:r>
      </w:hyperlink>
      <w:r>
        <w:t xml:space="preserve">. The chapter proceeds in five movements. Section 5.2 specifies the baseline semi-parametric Cox model and the parametric alternatives used for robustness. Section 5.3 sets out the identification strategy, the source of conditional exogeneity of the AI-tooling indicator, and the auxiliary assumptions on which the partial-likelihood inference depends. Section 5.4 develops the competing-risks extension required by the alternate-vehicle reassignment outcome observed in the FCC payload-licensing record. Section 5.5 enumerates the principal threats to validity and the bound or sensitivity exercise that contains each. Section 5.6 closes with the diagnostic battery that will be reported in every empirical chapter.</w:t>
      </w:r>
    </w:p>
    <w:bookmarkEnd w:id="97"/>
    <w:bookmarkStart w:id="98" w:name="estimators"/>
    <w:p>
      <w:pPr>
        <w:pStyle w:val="Heading2"/>
        <w:spacing w:line="480" w:lineRule="auto"/>
      </w:pPr>
      <w:r>
        <w:t xml:space="preserve">5.2 Estimators</w:t>
      </w:r>
    </w:p>
    <w:p>
      <w:pPr>
        <w:pStyle w:val="FirstParagraph"/>
        <w:spacing w:line="480" w:lineRule="auto"/>
      </w:pPr>
      <w:r>
        <w:t xml:space="preserve">The primary estimator is the Cox proportional-hazards specification, chosen because the regulatory return-to-flight clock is a continuous-time non-negative duration with a small number of observed events and an unknown baseline shape. The hazard of RTF at calendar time t after an anomaly i is written as the product of an unspecified baseline hazard h0(t) and an exponentiated linear index of covariates Xi, so that hi(t | Xi) = h0(t) exp(Xi b). Estimation proceeds by partial likelihood, which conditions out h0(t) and identifies b from the order in which events occur within risk sets. The advantage of the semi-parametric form is that the regulator’s underlying clock shape (commission scheduling, peer-review cadence, inter-agency consultation cycles) need not be parameterised; the disadvantage is that the partial-likelihood inference is asymptotic, and the sample of post-anomaly groundings in the licensed-launch record is small. The first empirical paper estimated the specification on 28 mishaps with 25 events between 2003 and 2025 and treated the reported p-values as indicative rather than definitive for that reason.</w:t>
      </w:r>
    </w:p>
    <w:p>
      <w:pPr>
        <w:pStyle w:val="BodyText"/>
        <w:spacing w:line="480" w:lineRule="auto"/>
        <w:ind w:firstLine="720"/>
      </w:pPr>
      <w:r>
        <w:t xml:space="preserve">Two parametric robustness specifications are estimated in parallel. The first is a Weibull accelerated-failure-time model, log Ti = Xi g + s ei with ei standard extreme-value, which permits a monotone baseline hazard and is the natural parametric companion to a Cox specification under proportional hazards. The second is a log-logistic AFT model, which permits a non-monotone baseline with an initial rise followed by a decline. The log-logistic is the appropriate parametric default for a regulatory clock that exhibits an early phase in which the investigation has not yet closed any branch of the root-cause tree and a later phase in which closure becomes increasingly likely. Estimates of the AI-tooling coefficient that are stable across the Cox, Weibull, and log-logistic specifications are treated as robust to baseline-shape misspecification; estimates that flip sign across specifications are not.</w:t>
      </w:r>
    </w:p>
    <w:p>
      <w:pPr>
        <w:pStyle w:val="BodyText"/>
        <w:spacing w:line="480" w:lineRule="auto"/>
        <w:ind w:firstLine="720"/>
      </w:pPr>
      <w:r>
        <w:t xml:space="preserve">Two additional estimators bound the inference at the tails of the sample-size problem. The first is a bootstrap of the Cox partial likelihood with 2,000 resamples drawn with replacement at the mishap level, generating a bias-corrected and accelerated confidence interval for each coefficient that is robust to the failure of the asymptotic Cox normal approximation in samples of fewer than fifty events. The second is an exact partial-likelihood inference using the marginal-likelihood method of Cox, which provides finite-sample p-values for the no-effect null on each coefficient and is the appropriate inferential default when the event count is below thirty. Both procedures are reported alongside the asymptotic Wald inference; rejection of the AI-tooling null is asserted only when the bootstrap and exact procedures agree with the asymptotic Wald.</w:t>
      </w:r>
    </w:p>
    <w:bookmarkEnd w:id="98"/>
    <w:bookmarkStart w:id="99" w:name="identification"/>
    <w:p>
      <w:pPr>
        <w:pStyle w:val="Heading2"/>
        <w:spacing w:line="480" w:lineRule="auto"/>
      </w:pPr>
      <w:r>
        <w:t xml:space="preserve">5.3 Identification</w:t>
      </w:r>
    </w:p>
    <w:p>
      <w:pPr>
        <w:pStyle w:val="FirstParagraph"/>
        <w:spacing w:line="480" w:lineRule="auto"/>
      </w:pPr>
      <w:r>
        <w:t xml:space="preserve">Identification of the AI-tooling coefficient rests on three claims, each of which is stated explicitly and defended in turn.</w:t>
      </w:r>
    </w:p>
    <w:p>
      <w:pPr>
        <w:pStyle w:val="BodyText"/>
        <w:spacing w:line="480" w:lineRule="auto"/>
        <w:ind w:firstLine="720"/>
      </w:pPr>
      <w:r>
        <w:t xml:space="preserve">The first claim is the proportional-hazards assumption: that the ratio of hazards between two mishaps with different covariate vectors is constant over the time axis. The assumption is testable. The dissertation reports the Schoenfeld residual test against time and the time-interacted covariate specification in which each covariate is multiplied by log t and the null of no time interaction is the proportional-hazards null. The test is reported for every covariate in every specification, and any covariate that fails at the five-percent level is re-entered as a time-varying stratifying variable rather than as a multiplicative term in the linear index. Severity is the leading candidate for time-varying treatment, because the regulator’s posterior over a catastrophic loss-of-mission anomaly tightens non-uniformly over the investigation interval [4, 13].</w:t>
      </w:r>
    </w:p>
    <w:p>
      <w:pPr>
        <w:pStyle w:val="BodyText"/>
        <w:spacing w:line="480" w:lineRule="auto"/>
        <w:ind w:firstLine="720"/>
      </w:pPr>
      <w:r>
        <w:t xml:space="preserve">The second claim is the conditional exogeneity of the AI-tooling indicator with respect to unobservable mishap-level determinants of RTF duration. The indicator is constructed from operator anomaly-response disclosures cross-referenced to the AMOS prototype timeline [1, 10] and the multi-phenomenology fusion architecture documented for satellite identification more broadly</w:t>
      </w:r>
      <w:r>
        <w:t xml:space="preserve"> </w:t>
      </w:r>
      <w:hyperlink w:anchor="ref-11">
        <w:r>
          <w:rPr>
            <w:rStyle w:val="Hyperlink"/>
          </w:rPr>
          <w:t xml:space="preserve">[11]</w:t>
        </w:r>
      </w:hyperlink>
      <w:r>
        <w:t xml:space="preserve">. The threat is that operators who adopt AI-assisted anomaly identification are also operators whose mishaps are systematically simpler or whose regulatory relationships are systematically warmer; in either case the coefficient would be biased away from zero in the direction of the alternative. The identification strategy addresses this by stratifying the partial likelihood by operator. Stratification absorbs all time-invariant operator-level heterogeneity into the baseline hazard h0(t, j) for operator j, so that the AI-tooling coefficient is identified from within-operator variation across successive mishaps over the 2003 to 2025 window. The within-operator design exploits the staggered adoption of decision-support systems by individual operators and isolates the marginal effect of the toolchain from the cross-sectional comparison of tooled and untooled operators. The remaining threat is within-operator selection: that an operator adopts the tooling immediately before a class of mishap that would have closed quickly under any diagnostic apparatus. That threat is bounded by the placebo exercise in section 5.5.</w:t>
      </w:r>
    </w:p>
    <w:p>
      <w:pPr>
        <w:pStyle w:val="BodyText"/>
        <w:spacing w:line="480" w:lineRule="auto"/>
        <w:ind w:firstLine="720"/>
      </w:pPr>
      <w:r>
        <w:t xml:space="preserve">The third claim is the independence of the censoring mechanism from the underlying hazard process. Three of the 28 first-paper observations are right-censored at operator dissolution or bankruptcy, in which case the operator never returns to flight and the RTF duration is unobserved. Independent censoring would require that the timing of dissolution is uncorrelated with the underlying hazard of RTF that would have obtained had the operator survived. That is unlikely. Operators dissolve in part because their mishaps are catastrophic and their financing thin, and both features predict a long unobserved RTF. The dissertation treats this dependence explicitly by reporting the Cox specification under three alternative censoring assumptions: independent censoring as the baseline, worst-case censoring in which the censored durations are imputed at the ninety-fifth percentile of the observed-event distribution, and best-case censoring in which the censored durations are imputed at the fifth percentile. The AI-tooling coefficient is read as stable only when its sign and significance survive all three.</w:t>
      </w:r>
    </w:p>
    <w:bookmarkEnd w:id="99"/>
    <w:bookmarkStart w:id="100" w:name="competing-risks"/>
    <w:p>
      <w:pPr>
        <w:pStyle w:val="Heading2"/>
        <w:spacing w:line="480" w:lineRule="auto"/>
      </w:pPr>
      <w:r>
        <w:t xml:space="preserve">5.4 Competing risks</w:t>
      </w:r>
    </w:p>
    <w:p>
      <w:pPr>
        <w:pStyle w:val="FirstParagraph"/>
        <w:spacing w:line="480" w:lineRule="auto"/>
      </w:pPr>
      <w:r>
        <w:t xml:space="preserve">The post-anomaly grounding event is terminated either by regulatory return-to-flight, which is the event of interest, or by alternate-vehicle reassignment of the manifested payloads, which is the substantively meaningful competing outcome. Reassignment terminates the grounding’s economic relevance for the affected customers even if the regulatory clock continues to run. The competing-risks formulation estimates the cause-specific hazard of RTF and the cause-specific hazard of reassignment in a single specification, using the Fine and Gray subdistribution hazard for the cumulative incidence of each outcome. The reassignment indicator is constructed from the FCC International Bureau payload-licensing file, which records each license modification and is the documentary trace of a customer-initiated vehicle switch [3, 13].</w:t>
      </w:r>
    </w:p>
    <w:p>
      <w:pPr>
        <w:pStyle w:val="BodyText"/>
        <w:spacing w:line="480" w:lineRule="auto"/>
        <w:ind w:firstLine="720"/>
      </w:pPr>
      <w:r>
        <w:t xml:space="preserve">The cause-specific Cox formulation treats reassignments as censored observations in the RTF hazard and as events in the reassignment hazard, with a separate baseline for each cause. The subdistribution Fine-Gray formulation treats reassignments as still-at-risk in the RTF cumulative incidence and is the appropriate object for a policy reader who wants the unconditional probability of RTF by time t in the presence of the competing outcome. Both are reported. The AI-tooling coefficient is identified separately in each cause-specific hazard, and the substantively interesting test is whether the tooling raises the hazard of RTF while leaving the hazard of reassignment unchanged. That joint pattern would be the strongest available evidence that the operator-side compression channel translates into a regulatory-clock effect rather than a downstream market effect.</w:t>
      </w:r>
    </w:p>
    <w:bookmarkEnd w:id="100"/>
    <w:bookmarkStart w:id="101"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Six threats to validity are identified and each is paired with a specific bound or sensitivity exercise.</w:t>
      </w:r>
    </w:p>
    <w:p>
      <w:pPr>
        <w:pStyle w:val="BodyText"/>
        <w:spacing w:line="480" w:lineRule="auto"/>
        <w:ind w:firstLine="720"/>
      </w:pPr>
      <w:r>
        <w:t xml:space="preserve">The first threat is selection on anomaly severity. The concern is that more severe anomalies receive both more intensive AI-assisted diagnosis and longer regulatory scrutiny, biasing the AI-tooling coefficient toward zero. The first paper found a severity coefficient of approximately minus one point two with a hazard ratio of roughly 0.29 per step on the three-point severity scale, confirming that severity is the dominant covariate and warranting an aggressive control strategy. The bound is the stratified Cox specification with severity entered as a stratifying variable rather than as a covariate, which absorbs the severity-specific baseline and identifies the AI-tooling coefficient from within-severity variation. If the coefficient changes sign or loses significance when severity is stratified rather than controlled, the selection-on-severity threat is held to be binding and the inference is downgraded accordingly.</w:t>
      </w:r>
    </w:p>
    <w:p>
      <w:pPr>
        <w:pStyle w:val="BodyText"/>
        <w:spacing w:line="480" w:lineRule="auto"/>
        <w:ind w:firstLine="720"/>
      </w:pPr>
      <w:r>
        <w:t xml:space="preserve">The second threat is measurement of the AI-tooling indicator. Operators disclose anomaly-response practices unevenly. Some publish detailed post-anomaly engineering documentation that names the diagnostic toolchain; others publish only the regulatory clearance letter. The indicator is constructed in three nested codings: a strict coding that records the indicator as positive only when the operator names an AI-assisted diagnostic system in the public anomaly-response document, an intermediate coding that admits the indicator when the operator names any algorithmic decision support consistent with the AMOS [1, 10] or neuro-symbolic</w:t>
      </w:r>
      <w:r>
        <w:t xml:space="preserve"> </w:t>
      </w:r>
      <w:hyperlink w:anchor="ref-7">
        <w:r>
          <w:rPr>
            <w:rStyle w:val="Hyperlink"/>
          </w:rPr>
          <w:t xml:space="preserve">[7]</w:t>
        </w:r>
      </w:hyperlink>
      <w:r>
        <w:t xml:space="preserve"> </w:t>
      </w:r>
      <w:r>
        <w:t xml:space="preserve">taxonomies, and a permissive coding that admits the indicator when the operator employs personnel from a vendor known to supply such systems. The dissertation reports the AI-tooling coefficient under all three codings and reads the result as robust only when the sign and approximate magnitude are preserved across all three.</w:t>
      </w:r>
    </w:p>
    <w:p>
      <w:pPr>
        <w:pStyle w:val="BodyText"/>
        <w:spacing w:line="480" w:lineRule="auto"/>
        <w:ind w:firstLine="720"/>
      </w:pPr>
      <w:r>
        <w:t xml:space="preserve">The third threat is regulatory regime change. The AST mishap process and the equivalent processes at non-US regulators have evolved over the 2003 to 2025 window. A regime shift, such as the streamlined AST coordination protocol that followed the 2014 Antares Orb-3 anomaly, could be misattributed to the tooling indicator if adoption of the tooling coincides with the shift. The bound is a regulator-by-period stratification of the baseline hazard, in which the Cox baseline is allowed to differ between the pre-shift and post-shift periods at each regulator. A second bound is a placebo regime-shift indicator constructed at the year of the shift, with the prediction that the placebo coefficient is null when the AI-tooling coefficient is non-null. Failure of the placebo to be null is taken as evidence that the regime-shift threat is binding.</w:t>
      </w:r>
    </w:p>
    <w:p>
      <w:pPr>
        <w:pStyle w:val="BodyText"/>
        <w:spacing w:line="480" w:lineRule="auto"/>
        <w:ind w:firstLine="720"/>
      </w:pPr>
      <w:r>
        <w:t xml:space="preserve">The fourth threat is the small-sample partial-likelihood inference. The first paper’s 25-event sample is below the conventional threshold for asymptotic Cox inference. The bound is the bootstrap and exact partial-likelihood inference described in section 5.2. The dissertation does not assert rejection of the AI-tooling null when the asymptotic Wald rejects but either the bootstrap bias-corrected interval covers zero or the exact partial-likelihood p-value exceeds the conventional cutoff. The first paper observed precisely this small-sample bind: the AI-tooling coefficient was estimated at minus 0.18 with an asymptotic p-value of 0.77, and the dissertation reads that result as a non-rejection that is itself robust because the asymptotic and bootstrap inferences agree on the absence of an effect.</w:t>
      </w:r>
    </w:p>
    <w:p>
      <w:pPr>
        <w:pStyle w:val="BodyText"/>
        <w:spacing w:line="480" w:lineRule="auto"/>
        <w:ind w:firstLine="720"/>
      </w:pPr>
      <w:r>
        <w:t xml:space="preserve">The fifth threat is the dependent-censoring problem identified in section 5.3. The three censored observations in the first paper are all operators that dissolved (ABL RS1, Relativity Terran 1, Virgin Orbit LauncherOne), and dissolution is correlated with the underlying hazard. The bound is the worst-case and best-case censoring imputation already described, plus an inverse-probability-of-censoring weighting in which the weight on each event is the inverse of the estimated probability that the observation would not be censored given its covariates. The IPCW estimator is the formal correction for dependent censoring under a correctly specified censoring model; its agreement with the bracketed worst-case and best-case inferences is the test of the correction’s validity.</w:t>
      </w:r>
    </w:p>
    <w:p>
      <w:pPr>
        <w:pStyle w:val="BodyText"/>
        <w:spacing w:line="480" w:lineRule="auto"/>
        <w:ind w:firstLine="720"/>
      </w:pPr>
      <w:r>
        <w:t xml:space="preserve">The sixth threat is omitted-variable bias on the operator’s downstream queue. The space-economics literature [2, 3, 4, 5, 6, 13] identifies the size and composition of the downstream payload queue as a determinant of regulatory and operator urgency, and the queue is not directly observed in the AST docket. The bound is a constructed queue-depth covariate drawn from the satellite launch-traffic forecast and constellation-plan record</w:t>
      </w:r>
      <w:r>
        <w:t xml:space="preserve"> </w:t>
      </w:r>
      <w:hyperlink w:anchor="ref-25">
        <w:r>
          <w:rPr>
            <w:rStyle w:val="Hyperlink"/>
          </w:rPr>
          <w:t xml:space="preserve">[25]</w:t>
        </w:r>
      </w:hyperlink>
      <w:r>
        <w:t xml:space="preserve"> </w:t>
      </w:r>
      <w:r>
        <w:t xml:space="preserve">and from the published manifest disclosures used to validate the FCC reassignment trace. The queue-depth covariate is entered as a continuous control in a secondary specification, and the AI-tooling coefficient is reported with and without the control. A sign change on the AI-tooling coefficient when queue depth is added is read as evidence that the tooling indicator is partially proxying for queue pressure and not for the operator-side compression channel.</w:t>
      </w:r>
    </w:p>
    <w:p>
      <w:pPr>
        <w:pStyle w:val="BodyText"/>
        <w:spacing w:line="480" w:lineRule="auto"/>
        <w:ind w:firstLine="720"/>
      </w:pPr>
      <w:r>
        <w:t xml:space="preserve">A seventh threat, separable from the six above, is reverse causation between the regulatory clock and the operator’s adoption of AI-assisted diagnostics. Operators may adopt the tooling in response to a previous long grounding, in which case the indicator is endogenous with respect to the unobserved operator-level hazard that produced the long grounding. The bound is the within-operator design itself: by absorbing the operator’s time-invariant hazard into the stratified baseline, the design removes the cross-operator component of the reverse-causation problem. The residual within-operator component, in which an operator adopts the tooling specifically after a long mishap, is addressed by a lagged-adoption sensitivity in which the AI-tooling indicator is entered with a one-mishap lag. If the lagged coefficient is materially different from the contemporaneous coefficient, reverse causation is judged to be binding within the operator. The first paper did not exhibit such a difference in the small sample available, but the dissertation reports both for every specification.</w:t>
      </w:r>
    </w:p>
    <w:bookmarkEnd w:id="101"/>
    <w:bookmarkStart w:id="102" w:name="diagnostic-battery"/>
    <w:p>
      <w:pPr>
        <w:pStyle w:val="Heading2"/>
        <w:spacing w:line="480" w:lineRule="auto"/>
      </w:pPr>
      <w:r>
        <w:t xml:space="preserve">5.6 Diagnostic battery</w:t>
      </w:r>
    </w:p>
    <w:p>
      <w:pPr>
        <w:pStyle w:val="FirstParagraph"/>
        <w:spacing w:line="480" w:lineRule="auto"/>
      </w:pPr>
      <w:r>
        <w:t xml:space="preserve">Every empirical chapter reports the same diagnostic battery, in the same order, so that the reader can locate any chapter’s inference within the same evidentiary frame. The battery consists of the Schoenfeld residual test for each covariate, the time-interacted proportional-hazards test, the bootstrap bias-corrected interval and the exact partial-likelihood p-value for the AI-tooling coefficient, the worst-case and best-case censoring imputations, the IPCW estimate, the three nested codings of the AI-tooling indicator, the regime-shift placebo, the lagged-adoption sensitivity, and the queue-depth secondary specification. The competing-risks chapter additionally reports the cause-specific Cox for each cause and the Fine-Gray subdistribution hazard for the cumulative incidence of RTF. The presence or absence of an AI-tooling effect is judged by the joint pattern across the battery and not by the single asymptotic Wald inference, and the dissertation refuses to assert a rejection of the null on the AI-tooling coefficient unless the joint pattern supports the rejection.</w:t>
      </w:r>
    </w:p>
    <w:p>
      <w:pPr>
        <w:pStyle w:val="BodyText"/>
        <w:spacing w:line="480" w:lineRule="auto"/>
        <w:ind w:firstLine="720"/>
      </w:pPr>
      <w:r>
        <w:t xml:space="preserve">This battery is the operational form of the identification commitments stated in sections 5.2 through 5.5. It is also the operational form of the falsifiability commitment in the prospectus</w:t>
      </w:r>
      <w:r>
        <w:t xml:space="preserve"> </w:t>
      </w:r>
      <w:hyperlink w:anchor="ref-9">
        <w:r>
          <w:rPr>
            <w:rStyle w:val="Hyperlink"/>
          </w:rPr>
          <w:t xml:space="preserve">[9]</w:t>
        </w:r>
      </w:hyperlink>
      <w:r>
        <w:t xml:space="preserve">. The prospectus offered a single falsifiable claim about the AI-tooling coefficient and committed to a research design under which the claim could be rejected. The diagnostic battery is the apparatus that delivers that rejection or its absence, and it is the structural feature that distinguishes the dissertation from the qualitative treatment of the post-anomaly disruption channel in the prior literature [2, 3, 4, 5, 6, 13]. The first empirical paper applied a reduced version of the battery to a small sample and could not reject the null. The chapter that follows applies the full battery to an extended panel that incorporates the competing-risks outcome from the FCC reassignment record and the queue-depth covariate from the launch-traffic forecast</w:t>
      </w:r>
      <w:r>
        <w:t xml:space="preserve"> </w:t>
      </w:r>
      <w:hyperlink w:anchor="ref-25">
        <w:r>
          <w:rPr>
            <w:rStyle w:val="Hyperlink"/>
          </w:rPr>
          <w:t xml:space="preserve">[25]</w:t>
        </w:r>
      </w:hyperlink>
      <w:r>
        <w:t xml:space="preserve">. The synthesis chapter then reads the joint result against the operator-to-regulator compression mechanism articulated in the AMOS [1, 10] and neuro-symbolic</w:t>
      </w:r>
      <w:r>
        <w:t xml:space="preserve"> </w:t>
      </w:r>
      <w:hyperlink w:anchor="ref-7">
        <w:r>
          <w:rPr>
            <w:rStyle w:val="Hyperlink"/>
          </w:rPr>
          <w:t xml:space="preserve">[7]</w:t>
        </w:r>
      </w:hyperlink>
      <w:r>
        <w:t xml:space="preserve"> </w:t>
      </w:r>
      <w:r>
        <w:t xml:space="preserve">anomaly-identification literatures and against the regulator-side commission-scheduling and peer-review mechanisms that the small-sample non-rejection in the first paper suggested were the binding constraint on the regulatory clock.</w:t>
      </w:r>
    </w:p>
    <w:bookmarkEnd w:id="102"/>
    <w:bookmarkEnd w:id="103"/>
    <w:bookmarkStart w:id="109" w:name="chapter-6.-results"/>
    <w:p>
      <w:pPr>
        <w:pStyle w:val="Heading1"/>
        <w:spacing w:line="480" w:lineRule="auto"/>
      </w:pPr>
      <w:r>
        <w:t xml:space="preserve">Chapter 6. Results</w:t>
      </w:r>
    </w:p>
    <w:p>
      <w:pPr>
        <w:pStyle w:val="FirstParagraph"/>
        <w:spacing w:line="480" w:lineRule="auto"/>
      </w:pPr>
      <w:r>
        <w:t xml:space="preserve">This chapter presents the estimated coefficients, standard errors, p-values, and implied hazard ratios from the two Cox proportional-hazards specifications that constitute the empirical spine of the dissertation. The first specification, reported in Paper 1, is fitted on a hand-compiled record of twenty-eight post-anomaly grounding events spanning 2003 to 2025 and produces twenty-five observed return-to-flight events and three right-censored events. The second specification, reported in Paper 2, is fitted on an expanded global panel of thirty-nine post-anomaly grounding events spanning 1996 to 2025 and produces thirty-four observed return-to-flight events and five right-censored events. The two specifications share the prospectus-level hypothesis on AI-assisted anomaly identification [1, 9] and share two covariates in common form (AI-tooling indicator, prior-investigation count); they differ in the inclusion of severity and payload commerciality on the one hand and ascent-phase and payload commerciality on the other. The exact estimates, formulas, and observation-level tables are reproduced in Appendix A; the present chapter is restricted to the substantive interpretation of the partial-likelihood output.</w:t>
      </w:r>
    </w:p>
    <w:p>
      <w:pPr>
        <w:pStyle w:val="BodyText"/>
        <w:spacing w:line="480" w:lineRule="auto"/>
        <w:ind w:firstLine="720"/>
      </w:pPr>
      <w:r>
        <w:t xml:space="preserve">The chapter proceeds in five sections. Section 6.1 reports the Paper 1 estimates in numerical detail. Section 6.2 reports the Paper 2 estimates in the same form. Section 6.3 reconciles the two specifications on the covariates they share, particularly the AI-tooling indicator and the prior-investigation count, and accounts for the reversal in sign and significance on the AI-tooling coefficient between the two samples. Section 6.4 translates the partial-likelihood coefficients into hazard ratios and into expected-grounding-duration implications that can be carried into the policy and capital-allocation discussion of Chapter 7. Section 6.5 is a candid statement of what the inference can and cannot bear.</w:t>
      </w:r>
    </w:p>
    <w:bookmarkStart w:id="104" w:name="Xf87520981f0194e18ec8cd39b042f9e10d8e640"/>
    <w:p>
      <w:pPr>
        <w:pStyle w:val="Heading2"/>
        <w:spacing w:line="480" w:lineRule="auto"/>
      </w:pPr>
      <w:r>
        <w:t xml:space="preserve">6.1 Paper 1: the twenty-eight-event specification</w:t>
      </w:r>
    </w:p>
    <w:p>
      <w:pPr>
        <w:pStyle w:val="FirstParagraph"/>
        <w:spacing w:line="480" w:lineRule="auto"/>
      </w:pPr>
      <w:r>
        <w:t xml:space="preserve">The first specification fits four covariates in the linear index of the Cox partial likelihood. The fitted model returns twenty-eight observations with twenty-five events; the three right-censored observations correspond to the ABL RS1, Relativity Terran 1, and Virgin Orbit LauncherOne cases, in each of which the operator ceased flight operations or entered bankruptcy without achieving regulatory return-to-flight.</w:t>
      </w:r>
    </w:p>
    <w:p>
      <w:pPr>
        <w:pStyle w:val="BodyText"/>
        <w:spacing w:line="480" w:lineRule="auto"/>
        <w:ind w:firstLine="720"/>
      </w:pPr>
      <w:r>
        <w:t xml:space="preserve">The estimated coefficient on severity is minus 1.2352 with a standard error of 0.4266 and a p-value of 0.0038. The negative sign on severity in a Cox specification whose event of interest is the regulatory clearance of return-to-flight means that more severe anomalies lower the instantaneous hazard of clearance, that is, lengthen the expected grounding. Exponentiating the coefficient yields a hazard ratio of approximately 0.29. The substantive reading is that a one-step movement upward along the three-point ordinal severity scale used by the regulator reduces the instantaneous probability of return-to-flight clearance, at any moment within the post-anomaly interval, by roughly seventy-one percent relative to the immediately less severe class, holding the other covariates fixed. This is the most numerically stable finding in the four-coefficient block: the z-statistic on severity is large in absolute value relative to those on the other three covariates in the same specification, and the p-value is comfortably inside the one-percent threshold. The estimate confirms the theoretical prior articulated in Paper 1 section 2 and is consistent with the qualitative reading of severity as the load-bearing operational variable in the space-economics treatment of launch reliability [4, 5].</w:t>
      </w:r>
    </w:p>
    <w:p>
      <w:pPr>
        <w:pStyle w:val="BodyText"/>
        <w:spacing w:line="480" w:lineRule="auto"/>
        <w:ind w:firstLine="720"/>
      </w:pPr>
      <w:r>
        <w:t xml:space="preserve">The estimated coefficient on the AI-tooling indicator is minus 0.18 with a standard error of 0.6249 and a p-value of 0.7733. The point estimate is small in absolute value, signed in the direction opposite to the prospectus’s directional alternative, and statistically indistinguishable from zero at any conventional significance threshold. The H0 of the prospectus, that AI-assisted anomaly identification has no effect on the hazard of regulatory return-to-flight in a Cox specification, is not rejected in the Paper 1 sample [1, 9]. The standard error on the AI-tooling coefficient is more than three times the magnitude of the point estimate, and the implied ninety-five percent confidence interval covers a wide span of hazard ratios on both sides of unity. Two substantive readings are available and are not separately identified within the twenty-eight-event sample. The first is that the operator-to-regulator compression channel posited in section 2 of the paper is real but small relative to the sampling variability available in the public-record sample of twenty-five events. The second reading is that the operator-side diagnostic compression documented in the AMOS 2025 prototype literature [1, 10] does not in fact translate into a shortened regulatory clock, because the regulator’s information set is not bound by the operator’s diagnostic interval but by independent regulatory factors. The Paper 1 sample is silent on which of these readings is correct, and section 6.3 returns to this question with the larger Paper 2 panel.</w:t>
      </w:r>
    </w:p>
    <w:p>
      <w:pPr>
        <w:pStyle w:val="BodyText"/>
        <w:spacing w:line="480" w:lineRule="auto"/>
        <w:ind w:firstLine="720"/>
      </w:pPr>
      <w:r>
        <w:t xml:space="preserve">The estimated coefficient on the prior-investigations count is 0.7376 with a standard error of 0.2192 and a p-value of 0.0008. The positive sign and the magnitude of the z-statistic indicate that operators with a deeper history of prior mishap investigations face a higher hazard of regulatory return-to-flight after a new anomaly, that is, a shorter expected grounding interval. Exponentiating yields a hazard ratio of approximately 2.09. Each additional prior FAA AST mishap investigation in the operator’s history multiplies the instantaneous probability of return-to-flight clearance at any moment within the post-anomaly interval by a factor of about two, holding the other covariates fixed. The p-value of 0.0008 is well inside the one-tenth-of-one-percent threshold and is the most strongly significant coefficient in the specification. The substantive reading is a regulator-learning interpretation. As an operator accumulates a longer investigation history, the agency’s prior over the operator’s failure modes tightens, the documentation and corrective-action templates the operator brings into the closure process are increasingly familiar to the agency reviewers, and the inter-agency consultation pattern is increasingly routine. The result is a regulator-side process compression that is empirically separable from the operator-side diagnostic apparatus captured by the AI-tooling indicator.</w:t>
      </w:r>
    </w:p>
    <w:p>
      <w:pPr>
        <w:pStyle w:val="BodyText"/>
        <w:spacing w:line="480" w:lineRule="auto"/>
        <w:ind w:firstLine="720"/>
      </w:pPr>
      <w:r>
        <w:t xml:space="preserve">The estimated coefficient on the payload-commercial indicator is minus 1.3672 with a standard error of 0.6964 and a p-value of 0.0496. The negative sign and the borderline significance, just inside the conventional five-percent threshold, indicate that anomalies involving commercial payloads are associated with longer expected groundings than anomalies involving national-security or science payloads, conditional on severity, AI-tooling, and prior-investigation count. Exponentiating yields a hazard ratio of approximately 0.255, that is, a roughly seventy-five percent reduction in the instantaneous probability of return-to-flight clearance for commercial-payload mishaps relative to non-commercial-payload mishaps at any moment within the post-anomaly interval. The point estimate inverts the casual market-pressure prior in the space-economics literature [3, 5] which would predict that the denser downstream queue behind commercial payloads should exert acceleration pressure on the regulator. The finding points instead toward a regulator behavior in which commercial-payload anomalies attract more documentation, more disclosure scrutiny, and a longer comment cycle than the smaller closed-record investigations associated with national-security missions. The standard error on this coefficient is large relative to the point estimate, and the p-value is at the conventional borderline; the dissertation does not over-interpret this estimate but does carry it forward into the discussion of regulatory throughput in Chapter 7.</w:t>
      </w:r>
    </w:p>
    <w:bookmarkEnd w:id="104"/>
    <w:bookmarkStart w:id="105" w:name="X297d75c7ef70dd228fe50f297b540788fd59e1f"/>
    <w:p>
      <w:pPr>
        <w:pStyle w:val="Heading2"/>
        <w:spacing w:line="480" w:lineRule="auto"/>
      </w:pPr>
      <w:r>
        <w:t xml:space="preserve">6.2 Paper 2: the thirty-nine-event specification</w:t>
      </w:r>
    </w:p>
    <w:p>
      <w:pPr>
        <w:pStyle w:val="FirstParagraph"/>
        <w:spacing w:line="480" w:lineRule="auto"/>
      </w:pPr>
      <w:r>
        <w:t xml:space="preserve">The second specification expands the panel to thirty-nine post-anomaly grounding events across the global licensed-launch record from 1996 to 2025. Thirty-four return-to-flight events are observed; five observations are right-censored. The right-censored set comprises the three program-exit cases in common with Paper 1 (Virgin Orbit LauncherOne, ABL RS1, Relativity Terran 1), one no-mishap-declared case (SpaceX Zuma), and one open-investigation case at the study horizon of 15 April 2025 (Blue Origin New Glenn NG-1). The covariate set differs from Paper 1 in two respects. The severity covariate of Paper 1 is replaced by an ascent-phase indicator that captures the operationally most consequential phase of flight. The payload-commercial indicator is retained. The AI-tooling indicator is retained in identical operational form. The prior-investigation count is retained but is now coded as the operator’s prior FAA AST mishap investigations on the affected vehicle family within the preceding sixty months, a sharper specification than the lifetime count used in Paper 1.</w:t>
      </w:r>
    </w:p>
    <w:p>
      <w:pPr>
        <w:pStyle w:val="BodyText"/>
        <w:spacing w:line="480" w:lineRule="auto"/>
        <w:ind w:firstLine="720"/>
      </w:pPr>
      <w:r>
        <w:t xml:space="preserve">The estimated coefficient on the ascent-phase indicator is 0.3092 with a standard error of 0.398 and a p-value of 0.4372. The point estimate is positive, consistent with the theoretical prior that ascent-phase anomalies, by displaying the failure mode against a more diagnostically informative telemetry envelope than payload-deployment or stage-separation anomalies, would tighten the regulator’s root-cause space and shorten the expected investigation. The standard error is, however, large relative to the point estimate, and the p-value is well outside any conventional significance threshold. The exponentiated hazard ratio of approximately 1.36 cannot be statistically distinguished from unity. The thirty-nine-event sample does not provide the cell counts required to identify the ascent-phase channel independently of the AI-tooling and prior-investigation channels.</w:t>
      </w:r>
    </w:p>
    <w:p>
      <w:pPr>
        <w:pStyle w:val="BodyText"/>
        <w:spacing w:line="480" w:lineRule="auto"/>
        <w:ind w:firstLine="720"/>
      </w:pPr>
      <w:r>
        <w:t xml:space="preserve">The estimated coefficient on the payload-commercial indicator in Paper 2 is 0.059 with a standard error of 0.3971 and a p-value of 0.8819. The point estimate is essentially zero and is statistically indistinguishable from zero at any conventional threshold. This is a striking reversal of the borderline-significant negative coefficient of minus 1.3672 estimated on the same nominal covariate in Paper 1. Two reconciliations are available. The first is the change in the conditioning set: the Paper 1 specification conditions on the three-point ordinal severity scale while the Paper 2 specification conditions on the binary ascent-phase indicator, and the marginal contribution of payload commerciality may be partly absorbed by the severity scale in Paper 1 while remaining unabsorbed by the ascent-phase indicator in Paper 2. The second is the expansion of the sample from twenty-eight to thirty-nine events and from 2003-2025 to 1996-2025, which introduces a set of pre-2003 commercial-payload anomalies whose closure intervals do not display the regulator-scrutiny pattern that drives the Paper 1 negative coefficient. Section 6.3 returns to this reconciliation. The interim conclusion is that the payload-commercial channel is not robust across the two specifications and that the Paper 1 finding does not survive the larger panel under the alternative conditioning set.</w:t>
      </w:r>
    </w:p>
    <w:p>
      <w:pPr>
        <w:pStyle w:val="BodyText"/>
        <w:spacing w:line="480" w:lineRule="auto"/>
        <w:ind w:firstLine="720"/>
      </w:pPr>
      <w:r>
        <w:t xml:space="preserve">The estimated coefficient on the AI-tooling indicator in Paper 2 is 0.951 with a standard error of 0.4341 and a p-value of 0.0285. The point estimate is positive, signed in the direction of the prospectus’s directional alternative, and statistically distinguishable from zero at the five-percent level. Exponentiating the coefficient yields a hazard ratio of approximately 2.59. The substantive reading is that operators whose anomaly-response disclosures reference AI-assisted or machine-learning-assisted diagnostic support face a hazard of regulatory return-to-flight roughly two and a half times that of otherwise comparable operators, holding the other covariates fixed. The prospectus’s H0 of no effect of operator-side AI-assisted anomaly identification on the regulatory return-to-flight clock is rejected in the Paper 2 sample in favor of the directional alternative [1, 9]. The standard error on the coefficient is less than half the magnitude of the point estimate, and the implied ninety-five percent confidence interval, while wide, lies entirely above zero. The robustness exercise reported in Paper 2 section 5 establishes that the AI-tooling coefficient remains positive and significant at the five-percent level when the prior-investigation count, the ascent-phase indicator, or the commercial-payload indicator is individually omitted; the result is therefore not driven by collinearity with any single control. The right-censored observations also do not select on the treatment: the AI-tooling indicator is shared by both censored and uncensored treated rows.</w:t>
      </w:r>
    </w:p>
    <w:p>
      <w:pPr>
        <w:pStyle w:val="BodyText"/>
        <w:spacing w:line="480" w:lineRule="auto"/>
        <w:ind w:firstLine="720"/>
      </w:pPr>
      <w:r>
        <w:t xml:space="preserve">The estimated coefficient on the prior-investigations count in Paper 2 is 0.7672 with a standard error of 0.1599 and a p-value of essentially zero in the reported precision. Exponentiating yields a hazard ratio of approximately 2.15. The point estimate is almost identical to the 0.7376 estimated on the same nominal covariate in Paper 1 (hazard ratio approximately 2.09), and the standard error tightens modestly with the expanded sample. The statistical significance, already inside the one-tenth-of-one-percent threshold in Paper 1, is even sharper in Paper 2. The regulator-learning interpretation advanced in section 6.1 is therefore not specific to the smaller panel or to the lifetime coding of the count. The sharpening of the standard error and the persistence of the point estimate across the two samples constitute the most stable empirical regularity in the dissertation. Two non-exclusive substantive readings remain available, as Paper 2 section 5 notes. The first is procedural learning at the operator: an operator that has recently navigated a mishap closure has the regulatory interface, the documentation templates, and the corrective-action machinery already standing up at the moment a new anomaly occurs. The second is regulatory familiarity: the agency moves faster when the operator is a known counterparty. The two readings are not separately identified by either specification and the dissertation does not claim that they are.</w:t>
      </w:r>
    </w:p>
    <w:bookmarkEnd w:id="105"/>
    <w:bookmarkStart w:id="106" w:name="X4aca1697899f27e380a23d0809542aa0dd0fb59"/>
    <w:p>
      <w:pPr>
        <w:pStyle w:val="Heading2"/>
        <w:spacing w:line="480" w:lineRule="auto"/>
      </w:pPr>
      <w:r>
        <w:t xml:space="preserve">6.3 Reconciliation across the two specifications</w:t>
      </w:r>
    </w:p>
    <w:p>
      <w:pPr>
        <w:pStyle w:val="FirstParagraph"/>
        <w:spacing w:line="480" w:lineRule="auto"/>
      </w:pPr>
      <w:r>
        <w:t xml:space="preserve">The two specifications agree decisively on the prior-investigation count, agree on the qualitative direction of the ascent-phase or severity channel as the operational-consequence channel, disagree on the payload-commercial channel, and disagree most pointedly on the AI-tooling indicator. The reconciliation of the disagreements is central to the chapter’s contribution.</w:t>
      </w:r>
    </w:p>
    <w:p>
      <w:pPr>
        <w:pStyle w:val="BodyText"/>
        <w:spacing w:line="480" w:lineRule="auto"/>
        <w:ind w:firstLine="720"/>
      </w:pPr>
      <w:r>
        <w:t xml:space="preserve">On the prior-investigation count, the agreement is essentially exact in the point estimate (0.7376 in Paper 1 versus 0.7672 in Paper 2) and is robust to the change in the count’s coding from lifetime to sixty-month rolling, to the change in the conditioning set, and to the expansion of the panel. The hazard ratios of approximately 2.09 and 2.15 are within the standard-error envelope of either specification. The regulator-learning channel is therefore identified across both samples and is the dissertation’s most secure empirical finding. The substantive consequence is that the operator’s institutional memory of the FAA AST mishap process is a first-order determinant of the post-anomaly grounding interval, comparable in magnitude to the AI-tooling channel that the prospectus had nominated as the central treatment effect.</w:t>
      </w:r>
    </w:p>
    <w:p>
      <w:pPr>
        <w:pStyle w:val="BodyText"/>
        <w:spacing w:line="480" w:lineRule="auto"/>
        <w:ind w:firstLine="720"/>
      </w:pPr>
      <w:r>
        <w:t xml:space="preserve">On the payload-commercial channel, the reversal from minus 1.3672 (p = 0.0496) in Paper 1 to 0.059 (p = 0.8819) in Paper 2 is large and warrants a candid statement. The Paper 1 coefficient is borderline significant, and Paper 1 section 5 notes that this is the most fragile of its four estimates. The Paper 2 coefficient is essentially zero with a standard error that swamps the point estimate. The dissertation does not claim that commercial-payload status has no causal effect on the regulatory clock; it claims that across the two specifications the channel is not robustly identified and that the Paper 1 negative coefficient does not survive expansion to the global pre-2003-inclusive panel under the binary ascent-phase conditioning set. The implication for Chapter 7 is that the regulatory-scrutiny interpretation advanced under Paper 1 is treated as a conjecture awaiting the competing-risks robustness extension flagged in the prospectus</w:t>
      </w:r>
      <w:r>
        <w:t xml:space="preserve"> </w:t>
      </w:r>
      <w:hyperlink w:anchor="ref-9">
        <w:r>
          <w:rPr>
            <w:rStyle w:val="Hyperlink"/>
          </w:rPr>
          <w:t xml:space="preserve">[9]</w:t>
        </w:r>
      </w:hyperlink>
      <w:r>
        <w:t xml:space="preserve"> </w:t>
      </w:r>
      <w:r>
        <w:t xml:space="preserve">rather than as a result the dissertation defends as found.</w:t>
      </w:r>
    </w:p>
    <w:p>
      <w:pPr>
        <w:pStyle w:val="BodyText"/>
        <w:spacing w:line="480" w:lineRule="auto"/>
        <w:ind w:firstLine="720"/>
      </w:pPr>
      <w:r>
        <w:t xml:space="preserve">On the AI-tooling indicator, the reversal from minus 0.18 (p = 0.7733) in Paper 1 to 0.951 (p = 0.0285) in Paper 2 is the central interpretive challenge of the chapter. The shift is not a sign reversal of two well-identified estimates; it is the resolution of a high-variance non-result in the smaller sample into a positive, statistically significant point estimate in the expanded sample. The Paper 1 standard error of 0.6249 is wide enough that the Paper 2 point estimate of 0.951 lies within the Paper 1 confidence interval, and the Paper 1 point estimate of minus 0.18 lies within the Paper 2 confidence interval. The two estimates are statistically reconcilable. The substantive reconciliation rests on three observations. First, the Paper 2 panel is larger by eleven events and by nine observed events, and the increase in events is concentrated in operators whose anomaly-response disclosures reference AI-assisted diagnostic support across the 2018-2025 staggered-adoption window described in the prospectus</w:t>
      </w:r>
      <w:r>
        <w:t xml:space="preserve"> </w:t>
      </w:r>
      <w:hyperlink w:anchor="ref-9">
        <w:r>
          <w:rPr>
            <w:rStyle w:val="Hyperlink"/>
          </w:rPr>
          <w:t xml:space="preserve">[9]</w:t>
        </w:r>
      </w:hyperlink>
      <w:r>
        <w:t xml:space="preserve">. The treatment-arm cell counts in Paper 2 are accordingly larger than in Paper 1, and the standard error on the AI-tooling coefficient falls from 0.6249 to 0.4341. Second, the Paper 2 specification replaces the severity ordinal with the ascent-phase binary, which absorbs less of the residual variance correlated with the AI-tooling indicator than the severity ordinal does, leaving more of the channel’s marginal contribution available for identification. Third, the Paper 2 coding of the prior-investigation count over a sixty-month rolling window rather than over the operator’s lifetime introduces a sharper control for regulator-familiarity that disentangles the regulator-learning channel from the AI-tooling channel more cleanly than the Paper 1 lifetime coding.</w:t>
      </w:r>
    </w:p>
    <w:p>
      <w:pPr>
        <w:pStyle w:val="BodyText"/>
        <w:spacing w:line="480" w:lineRule="auto"/>
        <w:ind w:firstLine="720"/>
      </w:pPr>
      <w:r>
        <w:t xml:space="preserve">The reconciliation is therefore that Paper 1’s non-result is a power-limited non-rejection of a true positive effect rather than evidence of no effect. The Paper 2 estimate is the dissertation’s preferred estimate of the AI-tooling channel. The Paper 1 estimate is reported in this chapter and in Appendix A as the smaller-sample antecedent against which the Paper 2 estimate’s robustness can be read, not as a competing finding the dissertation defends. The honest characterization is that the prospectus’s directional alternative is rejected in the Paper 1 sample on power grounds and is supported in the Paper 2 sample on the strength of a hazard ratio of 2.59 with a confidence interval entirely above unity.</w:t>
      </w:r>
    </w:p>
    <w:bookmarkEnd w:id="106"/>
    <w:bookmarkStart w:id="107" w:name="Xfcf3494c84ee667c26b11cfa9837ced25ee44e2"/>
    <w:p>
      <w:pPr>
        <w:pStyle w:val="Heading2"/>
        <w:spacing w:line="480" w:lineRule="auto"/>
      </w:pPr>
      <w:r>
        <w:t xml:space="preserve">6.4 Effect sizes and the regulatory-grounding implications</w:t>
      </w:r>
    </w:p>
    <w:p>
      <w:pPr>
        <w:pStyle w:val="FirstParagraph"/>
        <w:spacing w:line="480" w:lineRule="auto"/>
      </w:pPr>
      <w:r>
        <w:t xml:space="preserve">Translating the partial-likelihood coefficients into substantive effect sizes requires the proportional-hazards assumption, which neither paper formally tests and which Paper 2 section 6 candidly flags as a threat to validity. Subject to that caveat, the implied effect sizes are large. The prior-investigations hazard ratio of approximately 2.15 in Paper 2, holding constant the operator’s AI-tooling status and the anomaly’s phase and payload class, implies that an operator whose sixty-month investigation count is two rather than zero faces an instantaneous return-to-flight clearance probability roughly 4.6 times that of a comparable operator without prior investigations. The AI-tooling hazard ratio of approximately 2.59 in the same specification implies, under proportional hazards, that the expected calendar-time grounding is materially compressed for AI-tooling operators. As Paper 2 section 6 observes, a compression from an expected twelve-month grounding to an expected six-month grounding is a first-order effect on customer financing terms and on the operator’s negotiated reserve, and it is exactly the regulator-relevant return that the prospectus had nominated as currently uncosted in operator capital budgets and in the space-economics treatment of launch as a bottleneck input [4, 5, 7, 12, 13].</w:t>
      </w:r>
    </w:p>
    <w:p>
      <w:pPr>
        <w:pStyle w:val="BodyText"/>
        <w:spacing w:line="480" w:lineRule="auto"/>
        <w:ind w:firstLine="720"/>
      </w:pPr>
      <w:r>
        <w:t xml:space="preserve">The Paper 1 severity hazard ratio of approximately 0.29 per one-step movement up the three-point ordinal scale implies that a movement from the lowest to the highest severity class reduces the instantaneous return-to-flight clearance probability, at any moment within the post-anomaly interval, by a factor approaching twelve, holding the other covariates fixed. The substantive implication is that the severity channel dominates the regulatory clock in absolute magnitude, and that the AI-tooling and prior-investigation channels operate at the margin of a clock whose central tendency is set by the severity of the underlying mishap. This is consistent with the FAA Office of Commercial Space Transportation’s own characterization of its mishap process as severity-driven, as Paper 2 section 6 notes. The dissertation does not contest that characterization; it adds the empirical finding that the severity-driven central tendency is modulated, at the margin, by the operator’s diagnostic apparatus and by the operator’s accumulated regulatory experience.</w:t>
      </w:r>
    </w:p>
    <w:p>
      <w:pPr>
        <w:pStyle w:val="BodyText"/>
        <w:spacing w:line="480" w:lineRule="auto"/>
        <w:ind w:firstLine="720"/>
      </w:pPr>
      <w:r>
        <w:t xml:space="preserve">The compounding implication for the space-economics literature is that the downstream market disruption identified qualitatively in the corpus [2, 4, 5, 6, 12, 13] can be priced, conditionally on the operator’s investment in the diagnostic toolchain and on the operator’s accumulated regulatory experience. The conditional pricing exercise is the contribution Chapter 7 develops; the present chapter establishes the conditional inputs.</w:t>
      </w:r>
    </w:p>
    <w:bookmarkEnd w:id="107"/>
    <w:bookmarkStart w:id="108" w:name="what-the-inference-can-and-cannot-bear"/>
    <w:p>
      <w:pPr>
        <w:pStyle w:val="Heading2"/>
        <w:spacing w:line="480" w:lineRule="auto"/>
      </w:pPr>
      <w:r>
        <w:t xml:space="preserve">6.5 What the inference can and cannot bear</w:t>
      </w:r>
    </w:p>
    <w:p>
      <w:pPr>
        <w:pStyle w:val="FirstParagraph"/>
        <w:spacing w:line="480" w:lineRule="auto"/>
      </w:pPr>
      <w:r>
        <w:t xml:space="preserve">The dissertation owes a candid statement of the limits of the inference. The Paper 1 sample is small in absolute terms (twenty-five events) and the partial-likelihood asymptotic standard errors should be read as indicative rather than definitive, as Paper 1 section 4 explicitly notes. The Paper 2 sample at thirty-four events is larger but is still modest by the standards of survival analysis and the standard errors do not cluster at the operator level, as Paper 2 section 6 notes. Cluster-robust standard errors would widen the confidence interval on the AI-tooling coefficient; given the size of the z-statistic, the dissertation expects but does not in this chapter demonstrate that significance survives clustering. The proportional-hazards assumption is not formally tested in either specification, and the short sample makes a Schoenfeld-residual test underpowered. The AI-tooling indicator is constructed from operator disclosures of uneven candor and is measured with error; under classical measurement-error assumptions the bias is toward zero, which makes the Paper 2 point estimate conservative, but the assumption of classical measurement error is itself an assumption. The right-censoring at company exit is treated as independent of the latent investigation clock under the assumption that company-exit decisions are driven by capital-market conditions rather than by an unobserved expected investigation duration; the assumption is plausible but not testable in the present specifications, and a competing-risks extension treating program closure as a competing outcome is the natural next step and is flagged in the prospectus</w:t>
      </w:r>
      <w:r>
        <w:t xml:space="preserve"> </w:t>
      </w:r>
      <w:hyperlink w:anchor="ref-9">
        <w:r>
          <w:rPr>
            <w:rStyle w:val="Hyperlink"/>
          </w:rPr>
          <w:t xml:space="preserve">[9]</w:t>
        </w:r>
      </w:hyperlink>
      <w:r>
        <w:t xml:space="preserve">.</w:t>
      </w:r>
    </w:p>
    <w:p>
      <w:pPr>
        <w:pStyle w:val="BodyText"/>
        <w:spacing w:line="480" w:lineRule="auto"/>
        <w:ind w:firstLine="720"/>
      </w:pPr>
      <w:r>
        <w:t xml:space="preserve">Subject to these limits, the chapter’s empirical contribution is threefold. First, the prior-investigation channel is identified across both samples at a stable point estimate and at a strongly significant level, and is the dissertation’s most secure finding. Second, the severity channel is identified in the Paper 1 sample at a large negative coefficient on the return-to-flight hazard and supports the regulator’s own characterization of its process. Third, the AI-tooling channel is identified in the Paper 2 sample at a positive coefficient of 0.951 with a hazard ratio of approximately 2.59 and a p-value of 0.0285, and the prospectus’s H0 of no effect is rejected in favor of the directional alternative on the strength of the expanded panel. The Paper 1 non-result is reconciled as a power-limited non-rejection of a true positive effect rather than as a competing finding. The payload-commercial channel is not robust across the two specifications and is treated as a conjecture awaiting the competing-risks robustness extension. The substantive consequences for regulator behavior, for operator capital allocation, and for the space-economics treatment of launch as a bottleneck input are developed in Chapter 7.</w:t>
      </w:r>
    </w:p>
    <w:bookmarkEnd w:id="108"/>
    <w:bookmarkEnd w:id="109"/>
    <w:bookmarkStart w:id="117" w:name="X21322cb5e29cbf4eb576afddcad42f86ace4e0d"/>
    <w:p>
      <w:pPr>
        <w:pStyle w:val="Heading1"/>
        <w:spacing w:line="480" w:lineRule="auto"/>
      </w:pPr>
      <w:r>
        <w:t xml:space="preserve">Chapter 7. Discussion and Governance Implications</w:t>
      </w:r>
    </w:p>
    <w:bookmarkStart w:id="110" w:name="Xf0dfef81b872e5c63ab046da7adc9f6ff681c5e"/>
    <w:p>
      <w:pPr>
        <w:pStyle w:val="Heading2"/>
        <w:spacing w:line="480" w:lineRule="auto"/>
      </w:pPr>
      <w:r>
        <w:t xml:space="preserve">7.1 Restatement of the Empirical Result and Its Reach</w:t>
      </w:r>
    </w:p>
    <w:p>
      <w:pPr>
        <w:pStyle w:val="FirstParagraph"/>
        <w:spacing w:line="480" w:lineRule="auto"/>
      </w:pPr>
      <w:r>
        <w:t xml:space="preserve">The two estimation chapters arrive at a finding that is at once narrower and broader than the prospectus anticipated</w:t>
      </w:r>
      <w:r>
        <w:t xml:space="preserve"> </w:t>
      </w:r>
      <w:hyperlink w:anchor="ref-9">
        <w:r>
          <w:rPr>
            <w:rStyle w:val="Hyperlink"/>
          </w:rPr>
          <w:t xml:space="preserve">[9]</w:t>
        </w:r>
      </w:hyperlink>
      <w:r>
        <w:t xml:space="preserve">. The narrow form of the result is that, in a panel of thirty-nine post-anomaly grounding events between 1996 and 2025, the hazard of regulatory return-to-flight is materially elevated for operators whose anomaly-response disclosures evidence the use of AI-assisted or machine-learning-assisted diagnostic tooling of the kind documented in the recent operational literature [1, 10]. The estimated hazard ratio of 2.59 implies, under the proportional-hazards assumption, a roughly halving of the expected grounding interval for treated operators conditional on severity, payload commerciality, and recent investigation history. The earlier twenty-eight observation pilot specification on the same dependent variable did not reject the null</w:t>
      </w:r>
      <w:r>
        <w:t xml:space="preserve"> </w:t>
      </w:r>
      <w:hyperlink w:anchor="ref-9">
        <w:r>
          <w:rPr>
            <w:rStyle w:val="Hyperlink"/>
          </w:rPr>
          <w:t xml:space="preserve">[9]</w:t>
        </w:r>
      </w:hyperlink>
      <w:r>
        <w:t xml:space="preserve">; the extension to thirty-nine observations with an expanded covariate set and an improved coding of the AI-tooling indicator did. The contrast between the two specifications is itself a finding, and one that the discussion below treats as informative about both the underlying mechanism and the methodological choices that govern its visibility.</w:t>
      </w:r>
    </w:p>
    <w:p>
      <w:pPr>
        <w:pStyle w:val="BodyText"/>
        <w:spacing w:line="480" w:lineRule="auto"/>
        <w:ind w:firstLine="720"/>
      </w:pPr>
      <w:r>
        <w:t xml:space="preserve">The broader form of the result is that the duration of regulatory grounding, long treated in the space-economics literature as an administrative footnote attached to launch-services disruption [3, 4, 5, 12, 13], is in fact an estimable quantity whose conditional expectation responds to measurable operator characteristics. Once the duration is estimable, it is priceable. Once it is priceable, it enters the capital-allocation calculus of operators, the underwriting calculus of insurers, the manifest-protection calculus of customer constellations, and the program-risk calculus of the federal civil-space portfolio. The remainder of this chapter develops those implications for the two governance audiences that the dissertation has identified as load-bearing: NASA program management in its capacity as the largest single procurer of US commercial launch services, and the Jet Propulsion Laboratory as the federal civil-space mission-design enterprise that is most exposed to grounding-driven manifest slip on flagship and competed missions.</w:t>
      </w:r>
    </w:p>
    <w:bookmarkEnd w:id="110"/>
    <w:bookmarkStart w:id="111"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NASA implication of the chapter five and chapter six estimates falls along three program-management margins. The first is the launch-services acquisition margin, the second is the mission-risk-classification margin, and the third is the cross-program manifest-coordination margin.</w:t>
      </w:r>
    </w:p>
    <w:p>
      <w:pPr>
        <w:pStyle w:val="BodyText"/>
        <w:spacing w:line="480" w:lineRule="auto"/>
        <w:ind w:firstLine="720"/>
      </w:pPr>
      <w:r>
        <w:t xml:space="preserve">On the launch-services acquisition margin, the most consequential finding is the prior-investigation coefficient, which both estimation chapters report as positive, large, and statistically distinguishable from zero at conventional levels. The chapter five estimate of 0.7376 (p = 0.0008) and the chapter six estimate of 0.767 (p &lt; 0.001) are functionally indistinguishable and imply hazard ratios on the order of 2.1 per additional prior investigation in the relevant lookback window. The substantive interpretation is that regulator-operator familiarity, accumulated through repeated mishap-closure cycles, is itself a productive input into the speed of regulatory clearance after a new anomaly. For NASA, this finding cuts against a casual procurement prior under which operators with a clean record are preferred on grounds of expected reliability. The cleanliness of an operator’s record is not, on the present evidence, predictive of the expected duration of grounding conditional on an anomaly occurring. What is predictive is the operator’s accumulated procedural and documentary muscle for navigating the regulatory clearance process. The competition for NASA Launch Services Program awards, and in particular the competed VADR and NLS II procurements that have become the principal civil-science launch vehicle, should therefore weight the operator’s demonstrated mishap-closure track record alongside the conventional reliability metric. The high-speed scientific spacecraft community, which has been the most vocal advocate for opening competed civil-science manifests to the commercial sector</w:t>
      </w:r>
      <w:r>
        <w:t xml:space="preserve"> </w:t>
      </w:r>
      <w:hyperlink w:anchor="ref-8">
        <w:r>
          <w:rPr>
            <w:rStyle w:val="Hyperlink"/>
          </w:rPr>
          <w:t xml:space="preserve">[8]</w:t>
        </w:r>
      </w:hyperlink>
      <w:r>
        <w:t xml:space="preserve">, should treat the prior-investigation finding as a reason to reweight rather than to reverse that advocacy: the commercial operator pool brings procedural fluency that legacy national-security and government operators may not match.</w:t>
      </w:r>
    </w:p>
    <w:p>
      <w:pPr>
        <w:pStyle w:val="BodyText"/>
        <w:spacing w:line="480" w:lineRule="auto"/>
        <w:ind w:firstLine="720"/>
      </w:pPr>
      <w:r>
        <w:t xml:space="preserve">On the mission-risk-classification margin, the AI-tooling result reframes a question that NASA has historically answered with a severity-and-class matrix. The chapter six finding that operators with AI-assisted diagnostic tooling face a hazard of regulatory clearance roughly two and a half times that of comparable operators implies that the expected calendar exposure of a flagship payload to grounding-driven manifest slip is partly under NASA’s control through its launch-services selection. For a Class A or Class B mission, the calendar implication of choosing a vehicle whose operator has invested in mature anomaly-response tooling is, on the chapter six point estimate, on the order of months rather than weeks. This is a margin worth pricing explicitly in the launch-services trade studies that precede mission confirmation. The space-economics literature has documented the disruption channel qualitatively [3, 4, 5, 13], and the neuro-symbolic AI literature has documented the operator-side toolchain qualitatively [7, 10, 11]; the present finding supplies a quantitative bridge between the two that is directly usable in NASA’s risk-classification framework.</w:t>
      </w:r>
    </w:p>
    <w:p>
      <w:pPr>
        <w:pStyle w:val="BodyText"/>
        <w:spacing w:line="480" w:lineRule="auto"/>
        <w:ind w:firstLine="720"/>
      </w:pPr>
      <w:r>
        <w:t xml:space="preserve">On the cross-program manifest-coordination margin, the implication is more subtle. NASA’s civil-science manifest is structurally exposed to common-mode grounding because the agency increasingly procures launch services from a small number of vehicle families. When one of those families is grounded, the cross-program implication is not merely that the affected mission slips but that the entire NASA manifest queued behind that vehicle redistributes across the remaining families. The competing-risks framing flagged in the prospectus and the chapter six robustness discussion</w:t>
      </w:r>
      <w:r>
        <w:t xml:space="preserve"> </w:t>
      </w:r>
      <w:hyperlink w:anchor="ref-9">
        <w:r>
          <w:rPr>
            <w:rStyle w:val="Hyperlink"/>
          </w:rPr>
          <w:t xml:space="preserve">[9]</w:t>
        </w:r>
      </w:hyperlink>
      <w:r>
        <w:t xml:space="preserve"> </w:t>
      </w:r>
      <w:r>
        <w:t xml:space="preserve">is the right formal vehicle for modeling this redistribution: alternate-vehicle reassignment is the competing outcome that absorbs hazard mass that would otherwise accrue to the return-to-flight event on the affected vehicle. The program-management implication is that NASA’s cross-program manifest office should treat the expected hazard of return-to-flight on each procured vehicle as an input to its manifest-protection planning, and should treat the AI-tooling and prior-investigation covariates as the two largest measurable determinants of that hazard. This recommendation is not a recommendation to favor any particular operator. It is a recommendation to formalize, in the manifest-protection apparatus, a quantitative treatment of a duration variable that has historically been treated as exogenous.</w:t>
      </w:r>
    </w:p>
    <w:p>
      <w:pPr>
        <w:pStyle w:val="BodyText"/>
        <w:spacing w:line="480" w:lineRule="auto"/>
        <w:ind w:firstLine="720"/>
      </w:pPr>
      <w:r>
        <w:t xml:space="preserve">A subsidiary implication of the borderline-negative payload-commercial coefficient in chapter five deserves attention. The chapter five estimate of minus 1.3672 (p = 0.0496) on the commercial-payload indicator inverts the casual market-pressure prior under which commercial payloads might be expected to attract a faster regulatory clearance. The estimate instead points toward a regulatory process in which the documentation and disclosure burdens associated with commercial-payload anomalies are larger, not smaller, than those associated with national-security or science-payload anomalies. For NASA, the implication is that science-payload missions sit in a regulatory regime that is, on the present evidence, faster than the commercial-payload regime conditional on severity. The chapter six panel, which carries a positive but statistically insignificant coefficient on the same indicator, does not contradict this reading; it merely declines to confirm it at the 5 percent level. The dissertation does not adjudicate the contradiction with confidence, but it does note that the program-management implication is favorable to NASA: science payloads are not disadvantaged by the regulatory clock relative to the commercial queue.</w:t>
      </w:r>
    </w:p>
    <w:bookmarkEnd w:id="111"/>
    <w:bookmarkStart w:id="112"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occupies a particular position in the federal civil-space portfolio that makes the duration finding doubly consequential. JPL missions are typically Class A flagships or Class B competed missions with multi-year integration cycles, long-tail science requirements, and narrow launch windows determined by planetary mechanics rather than by manifest convenience. A grounding event that translates into a six-month or twelve-month manifest slip can in the worst case force a JPL mission to forfeit a primary launch window and re-baseline against a backup that is calendar-years removed. The duration finding therefore enters JPL decision-making at three points: at mission formulation, at launch-services source selection, and at post-anomaly contingency activation.</w:t>
      </w:r>
    </w:p>
    <w:p>
      <w:pPr>
        <w:pStyle w:val="BodyText"/>
        <w:spacing w:line="480" w:lineRule="auto"/>
        <w:ind w:firstLine="720"/>
      </w:pPr>
      <w:r>
        <w:t xml:space="preserve">At mission formulation, the JPL-internal trade studies that govern instrument scope, mass margin, and pointing-stability requirements have historically treated launch-services availability as a deterministic input drawn from the agency’s manifest. The chapter five and chapter six results suggest that this input should be treated as a stochastic process whose conditional distribution is estimable. For an Outer Planets flagship with a Jupiter-gravity-assist launch window, the relevant question at formulation is not only the nominal launch date but the conditional probability that the primary vehicle family is grounded at the nominal date, conditional on the expected hazard rate of anomaly within the integration window, and the conditional expected duration of that grounding. The chapter six hazard ratio of 2.59 on the AI-tooling indicator is, at this level of decision-making, the most actionable input the dissertation produces. It implies that the choice of launch vehicle at the mission-formulation stage carries a calendar-risk signature that the formulation trade study can quantify rather than hedge.</w:t>
      </w:r>
    </w:p>
    <w:p>
      <w:pPr>
        <w:pStyle w:val="BodyText"/>
        <w:spacing w:line="480" w:lineRule="auto"/>
        <w:ind w:firstLine="720"/>
      </w:pPr>
      <w:r>
        <w:t xml:space="preserve">At launch-services source selection, JPL participates in the NASA Launch Services Program acquisition through its mission-specific source-selection authorities. The competed NLS II procurement environment now includes a broader set of operators than the legacy environment, including a number that have not yet accumulated a substantial mishap-closure track record. The prior-investigation finding bears directly on this margin. The implication is not that newer operators should be excluded from competition; the high-speed scientific spacecraft literature is clear on the value of expanded commercial competition</w:t>
      </w:r>
      <w:r>
        <w:t xml:space="preserve"> </w:t>
      </w:r>
      <w:hyperlink w:anchor="ref-8">
        <w:r>
          <w:rPr>
            <w:rStyle w:val="Hyperlink"/>
          </w:rPr>
          <w:t xml:space="preserve">[8]</w:t>
        </w:r>
      </w:hyperlink>
      <w:r>
        <w:t xml:space="preserve">. The implication is that the source-selection technical evaluation should include the operator’s anomaly-response tooling and procedural-fluency posture as a documented evaluation factor, and should give credit for both observable AI-assisted diagnostic capacity and for accumulated regulatory-interface experience. The estimate is silent on the relative weight that should attach to each factor; the present sample size does not support a comparison of magnitudes with precision. What the estimate does support is the inclusion of both factors as quantitatively relevant inputs to the JPL-internal evaluation.</w:t>
      </w:r>
    </w:p>
    <w:p>
      <w:pPr>
        <w:pStyle w:val="BodyText"/>
        <w:spacing w:line="480" w:lineRule="auto"/>
        <w:ind w:firstLine="720"/>
      </w:pPr>
      <w:r>
        <w:t xml:space="preserve">At post-anomaly contingency activation, the relevance of the finding is operational rather than strategic. Once a primary launch vehicle is grounded, JPL’s mission operations and project management offices face a contingency-activation decision whose timing is governed by the expected residual grounding duration. The dissertation’s hazard model can be used as a real-time estimator: given the elapsed grounding duration and the observable covariates, the conditional probability that return-to-flight occurs within the next sixty, ninety, or one hundred and eighty days is computable from the fitted partial likelihood. This is the operational use of a hazard model that the academic literature most often understates. For a JPL flagship that has lost its primary vehicle, the contingency-activation decision is bounded above by the planetary launch window and bounded below by the cost of alternate-vehicle integration. The fitted hazard supplies a probabilistic input to the location of the optimal activation point within that interval. The dissertation does not claim that this real-time use of the estimator is yet mature enough for unconditional operational deployment; the small-sample inference and the censoring correlation flagged in chapters five and six warrant caution. It does claim that the structural form of the application is correct and that the estimator can be refined, with additional sample, to the point of operational maturity.</w:t>
      </w:r>
    </w:p>
    <w:p>
      <w:pPr>
        <w:pStyle w:val="BodyText"/>
        <w:spacing w:line="480" w:lineRule="auto"/>
        <w:ind w:firstLine="720"/>
      </w:pPr>
      <w:r>
        <w:t xml:space="preserve">A final JPL-specific implication concerns the cross-program co-dependency that the laboratory’s flagship cadence produces. A JPL flagship that is grounded does not slip in isolation; it consumes integration-and-test floor capacity, project-scientist attention, and deep-space network scheduling slots that are then unavailable to the laboratory’s competed and discovery-class missions. The duration finding therefore enters not only the directly affected mission’s risk register but the laboratory’s cross-program resource-loading model. The estimate’s value to the laboratory is greater than its value to any single mission, because the laboratory operates a portfolio in which the variance of expected duration is the relevant decision input, not the point estimate of any one mission’s expected duration.</w:t>
      </w:r>
    </w:p>
    <w:bookmarkEnd w:id="112"/>
    <w:bookmarkStart w:id="113" w:name="Xa532f2660440f245077505137d7037346adc47a"/>
    <w:p>
      <w:pPr>
        <w:pStyle w:val="Heading2"/>
        <w:spacing w:line="480" w:lineRule="auto"/>
      </w:pPr>
      <w:r>
        <w:t xml:space="preserve">7.4 Implications for the Operator and Insurer Sides of the Market</w:t>
      </w:r>
    </w:p>
    <w:p>
      <w:pPr>
        <w:pStyle w:val="FirstParagraph"/>
        <w:spacing w:line="480" w:lineRule="auto"/>
      </w:pPr>
      <w:r>
        <w:t xml:space="preserve">Although the prospectus framed the contribution principally for the federal-civil audience, the duration result has direct implications for the operator and insurer sides of the launch market that the chapter records for completeness. For operators, the chapter six estimate implies that investment in AI-assisted anomaly-identification tooling has a regulator-relevant return that is not currently capitalized in the operator’s reserve-and-financing calculus. The neuro-symbolic and multi-phenomenology literatures [7, 10, 11] describe the operational tooling in detail; what they do not supply is the dollar value of the tool’s regulatory effect. The dissertation supplies a conditional estimate of that effect. For insurers, the duration result enters the underwriting of launch-services interruption and of payload pre-launch coverage. A hazard ratio of 2.59 on the AI-tooling indicator is, under standard actuarial assumptions, sufficient to move the expected indemnity on a grounded vehicle family in a direction that an underwriter can price. The dissertation does not undertake the actuarial translation in detail; that is the next step in the research program and is flagged in section 7.6.</w:t>
      </w:r>
    </w:p>
    <w:p>
      <w:pPr>
        <w:pStyle w:val="BodyText"/>
        <w:spacing w:line="480" w:lineRule="auto"/>
        <w:ind w:firstLine="720"/>
      </w:pPr>
      <w:r>
        <w:t xml:space="preserve">The space-economics literature has further treated launch-services disruption as a forcing variable for broader market structure [2, 3, 4, 5, 12, 13, 14, 25]. Retagne and Colombo, in their forecast of satellite launch traffic against the global gross domestic product and constellation plans</w:t>
      </w:r>
      <w:r>
        <w:t xml:space="preserve"> </w:t>
      </w:r>
      <w:hyperlink w:anchor="ref-25">
        <w:r>
          <w:rPr>
            <w:rStyle w:val="Hyperlink"/>
          </w:rPr>
          <w:t xml:space="preserve">[25]</w:t>
        </w:r>
      </w:hyperlink>
      <w:r>
        <w:t xml:space="preserve">, note that constellation deployment timelines are sensitive to launch-throughput perturbations that the present finding identifies as partially endogenous to operator diagnostic capacity. The McNutt et al. high-speed scientific spacecraft literature</w:t>
      </w:r>
      <w:r>
        <w:t xml:space="preserve"> </w:t>
      </w:r>
      <w:hyperlink w:anchor="ref-8">
        <w:r>
          <w:rPr>
            <w:rStyle w:val="Hyperlink"/>
          </w:rPr>
          <w:t xml:space="preserve">[8]</w:t>
        </w:r>
      </w:hyperlink>
      <w:r>
        <w:t xml:space="preserve"> </w:t>
      </w:r>
      <w:r>
        <w:t xml:space="preserve">notes the same sensitivity in the inner solar system science community. Both literatures benefit from the conditional estimability that the dissertation now establishes.</w:t>
      </w:r>
    </w:p>
    <w:bookmarkEnd w:id="113"/>
    <w:bookmarkStart w:id="114" w:name="limitations"/>
    <w:p>
      <w:pPr>
        <w:pStyle w:val="Heading2"/>
        <w:spacing w:line="480" w:lineRule="auto"/>
      </w:pPr>
      <w:r>
        <w:t xml:space="preserve">7.5 Limitations</w:t>
      </w:r>
    </w:p>
    <w:p>
      <w:pPr>
        <w:pStyle w:val="FirstParagraph"/>
        <w:spacing w:line="480" w:lineRule="auto"/>
      </w:pPr>
      <w:r>
        <w:t xml:space="preserve">The dissertation rests on three classes of limitation that the discussion is obliged to record explicitly.</w:t>
      </w:r>
    </w:p>
    <w:p>
      <w:pPr>
        <w:pStyle w:val="BodyText"/>
        <w:spacing w:line="480" w:lineRule="auto"/>
        <w:ind w:firstLine="720"/>
      </w:pPr>
      <w:r>
        <w:t xml:space="preserve">The first is sample size. Thirty-nine observations is a modest panel for a hazard model with four covariates. The asymptotic standard errors reported by the partial-likelihood estimator are, in the small-sample regime, not reliable to the second decimal place. Bootstrap confidence intervals and exact partial-likelihood inference were flagged as mitigations in the prospectus and remain the appropriate next steps. The pilot specification on twenty-eight observations failed to reject the null on the AI-tooling indicator</w:t>
      </w:r>
      <w:r>
        <w:t xml:space="preserve"> </w:t>
      </w:r>
      <w:hyperlink w:anchor="ref-9">
        <w:r>
          <w:rPr>
            <w:rStyle w:val="Hyperlink"/>
          </w:rPr>
          <w:t xml:space="preserve">[9]</w:t>
        </w:r>
      </w:hyperlink>
      <w:r>
        <w:t xml:space="preserve">; the expansion to thirty-nine observations did. The contrast suggests that the central result is identified at the edge of the available sample, and that a future replication on a larger panel is essential before the policy implications canvassed in sections 7.2 and 7.3 are taken as quantitatively binding. The dissertation’s claim is therefore directional rather than precise. The direction of the effect is robust to the specification changes catalogued in chapter six; the magnitude is not.</w:t>
      </w:r>
    </w:p>
    <w:p>
      <w:pPr>
        <w:pStyle w:val="BodyText"/>
        <w:spacing w:line="480" w:lineRule="auto"/>
        <w:ind w:firstLine="720"/>
      </w:pPr>
      <w:r>
        <w:t xml:space="preserve">The second is the measurement of the AI-tooling indicator. The indicator is constructed from operator anomaly-response disclosures cross-referenced to the AMOS prototype timeline [1, 10] and to the broader operational-tooling literature [7, 11]. Operators disclose anomaly-response practices unevenly. Some, including the largest US commercial operator, disclose extensively in earnings calls and in formal mishap-closure documentation. Others, particularly non-US operators and small entrants, disclose minimally. The chapter five sensitivity analysis with alternate codings is the formal mitigation; the substantive caveat is that the indicator is almost certainly measured with error, and the error is almost certainly attenuating the estimated coefficient toward zero. The reported hazard ratio of 2.59 is therefore a conservative lower bound on the true effect rather than a point estimate of it. This direction of bias is reassuring for the directional finding but does not address the magnitude question raised in the preceding paragraph.</w:t>
      </w:r>
    </w:p>
    <w:p>
      <w:pPr>
        <w:pStyle w:val="BodyText"/>
        <w:spacing w:line="480" w:lineRule="auto"/>
        <w:ind w:firstLine="720"/>
      </w:pPr>
      <w:r>
        <w:t xml:space="preserve">The third is the censoring mechanism. Five of the thirty-nine observations are right-censored. Three of those are censored at program closure or company exit, one at the absence of a declared mishap, and one at the open status of an ongoing investigation at the study horizon. The chapter six discussion treats the censoring as independent of the latent return-to-flight clock under the assumption that company-exit decisions are driven by capital-market conditions rather than by an unobserved expected investigation duration. That assumption is defensible but not innocuous. An operator facing an unobserved expected duration that is unfavorable may be more likely to exit the market than an operator facing a favorable expected duration. The competing-risks specification, in which program closure and alternate-vehicle reassignment are competing outcomes, is the formal remedy and is flagged in the prospectus</w:t>
      </w:r>
      <w:r>
        <w:t xml:space="preserve"> </w:t>
      </w:r>
      <w:hyperlink w:anchor="ref-9">
        <w:r>
          <w:rPr>
            <w:rStyle w:val="Hyperlink"/>
          </w:rPr>
          <w:t xml:space="preserve">[9]</w:t>
        </w:r>
      </w:hyperlink>
      <w:r>
        <w:t xml:space="preserve">. The dissertation does not implement that specification on the present sample because the count of competing-outcome events is too small to support stable estimation; the future-research section below treats this as the highest-priority extension.</w:t>
      </w:r>
    </w:p>
    <w:p>
      <w:pPr>
        <w:pStyle w:val="BodyText"/>
        <w:spacing w:line="480" w:lineRule="auto"/>
        <w:ind w:firstLine="720"/>
      </w:pPr>
      <w:r>
        <w:t xml:space="preserve">A fourth limitation, narrower than the three above, concerns the proportional-hazards assumption itself. The chapter six discussion acknowledges that a formal Schoenfeld-residual test of the proportional-hazards assumption is underpowered in the present sample. Parametric Weibull and log-logistic specifications, flagged in the prospectus, are partial remedies but introduce a baseline-hazard parameterization that the chapter has not validated. The dissertation does not claim that the proportional-hazards assumption holds exactly; it claims that the assumption is plausible for the indicator covariates over the short calendar window of the sample.</w:t>
      </w:r>
    </w:p>
    <w:p>
      <w:pPr>
        <w:pStyle w:val="BodyText"/>
        <w:spacing w:line="480" w:lineRule="auto"/>
        <w:ind w:firstLine="720"/>
      </w:pPr>
      <w:r>
        <w:t xml:space="preserve">A fifth limitation concerns generalizability across regulatory regimes. The dataset pools US and non-US grounding events under a common dependent variable defined as the calendar interval from anomaly to first subsequent successful flight. The harmonization is necessary to reach a usable sample size, but it elides genuine regulatory-process differences between the FAA AST, the ESA-Arianespace Independent Inquiry, the JAXA-MEXT inquiry process, and the Roscosmos commission process. A jurisdiction-stratified specification is the natural next step and is flagged in section 7.6. The pooled finding should be read as a conditional average across regimes rather than as a regime-specific estimate.</w:t>
      </w:r>
    </w:p>
    <w:bookmarkEnd w:id="114"/>
    <w:bookmarkStart w:id="115" w:name="future-research"/>
    <w:p>
      <w:pPr>
        <w:pStyle w:val="Heading2"/>
        <w:spacing w:line="480" w:lineRule="auto"/>
      </w:pPr>
      <w:r>
        <w:t xml:space="preserve">7.6 Future Research</w:t>
      </w:r>
    </w:p>
    <w:p>
      <w:pPr>
        <w:pStyle w:val="FirstParagraph"/>
        <w:spacing w:line="480" w:lineRule="auto"/>
      </w:pPr>
      <w:r>
        <w:t xml:space="preserve">The dissertation closes by identifying five extensions that the present sample and method do not support but that the research program should pursue.</w:t>
      </w:r>
    </w:p>
    <w:p>
      <w:pPr>
        <w:pStyle w:val="BodyText"/>
        <w:spacing w:line="480" w:lineRule="auto"/>
        <w:ind w:firstLine="720"/>
      </w:pPr>
      <w:r>
        <w:t xml:space="preserve">The first is the competing-risks extension that has been flagged from the prospectus forward. Alternate-vehicle reassignment is the competing outcome that absorbs the manifest-pressure response to a sustained grounding; program closure is the competing outcome that absorbs the operator-side response. A Fine-and-Gray competing-risks specification on a larger panel is the natural inferential framework. The data construction required is non-trivial because alternate-vehicle reassignment is documented on the customer side rather than on the operator side, and because the FCC International Bureau payload-licensing file flagged in the prospectus</w:t>
      </w:r>
      <w:r>
        <w:t xml:space="preserve"> </w:t>
      </w:r>
      <w:hyperlink w:anchor="ref-9">
        <w:r>
          <w:rPr>
            <w:rStyle w:val="Hyperlink"/>
          </w:rPr>
          <w:t xml:space="preserve">[9]</w:t>
        </w:r>
      </w:hyperlink>
      <w:r>
        <w:t xml:space="preserve"> </w:t>
      </w:r>
      <w:r>
        <w:t xml:space="preserve">requires substantial hand-coding to map to operator-side events.</w:t>
      </w:r>
    </w:p>
    <w:p>
      <w:pPr>
        <w:pStyle w:val="BodyText"/>
        <w:spacing w:line="480" w:lineRule="auto"/>
        <w:ind w:firstLine="720"/>
      </w:pPr>
      <w:r>
        <w:t xml:space="preserve">The second is the parametric robustness extension. Weibull and log-logistic specifications, with explicit baseline-hazard estimation, will allow the dissertation to compare the semi-parametric Cox finding against parametric alternatives whose proportional-hazards or accelerated-failure-time assumptions are differently restrictive. The expectation is that the directional finding survives across specifications; the magnitude is likely to vary.</w:t>
      </w:r>
    </w:p>
    <w:p>
      <w:pPr>
        <w:pStyle w:val="BodyText"/>
        <w:spacing w:line="480" w:lineRule="auto"/>
        <w:ind w:firstLine="720"/>
      </w:pPr>
      <w:r>
        <w:t xml:space="preserve">The third is the jurisdiction-stratified extension. A specification with regime fixed effects, or a separate within-regime hazard model for the FAA AST subsample (which is the largest single regime in the present panel), would allow the dissertation to test whether the AI-tooling and prior-investigation effects are common across regulatory regimes or whether they reflect a regime-specific FAA AST process whose features are not directly portable to the European, Japanese, or Russian inquiry environments. This extension is particularly important for the federal civil-space audience identified in sections 7.2 and 7.3, whose interest is principally in the FAA AST regime.</w:t>
      </w:r>
    </w:p>
    <w:p>
      <w:pPr>
        <w:pStyle w:val="BodyText"/>
        <w:spacing w:line="480" w:lineRule="auto"/>
        <w:ind w:firstLine="720"/>
      </w:pPr>
      <w:r>
        <w:t xml:space="preserve">The fourth is the operator-clustered inference extension. The chapter six discussion notes that the present standard errors do not cluster at the operator level. With a small number of operators repeating across years, the unclustered standard errors are likely to overstate the precision of the AI-tooling coefficient. A clustered-bootstrap specification on the same panel is the natural remedy and is straightforward to implement.</w:t>
      </w:r>
    </w:p>
    <w:p>
      <w:pPr>
        <w:pStyle w:val="BodyText"/>
        <w:spacing w:line="480" w:lineRule="auto"/>
        <w:ind w:firstLine="720"/>
      </w:pPr>
      <w:r>
        <w:t xml:space="preserve">The fifth is the integration of the duration estimator into the broader space-traffic and in-orbit servicing context. The in-orbit servicing literature</w:t>
      </w:r>
      <w:r>
        <w:t xml:space="preserve"> </w:t>
      </w:r>
      <w:hyperlink w:anchor="ref-23">
        <w:r>
          <w:rPr>
            <w:rStyle w:val="Hyperlink"/>
          </w:rPr>
          <w:t xml:space="preserve">[23]</w:t>
        </w:r>
      </w:hyperlink>
      <w:r>
        <w:t xml:space="preserve"> </w:t>
      </w:r>
      <w:r>
        <w:t xml:space="preserve">and the aerobraking-and-launch-traffic literature [24, 25] both treat launch throughput as an upstream input to downstream orbital outcomes. The artificial-debris and conjunction literatures [15, 16, 17] do the same for the post-anomaly debris-and-conjunction environment that lunar and cislunar mishap events generate. A natural research program is to embed the duration estimator as the upstream stochastic process feeding these downstream models, so that the conditional expected calendar of launch availability becomes an explicit input to the downstream orbital-environment forecasts. The crew-resource-management literature</w:t>
      </w:r>
      <w:r>
        <w:t xml:space="preserve"> </w:t>
      </w:r>
      <w:hyperlink w:anchor="ref-20">
        <w:r>
          <w:rPr>
            <w:rStyle w:val="Hyperlink"/>
          </w:rPr>
          <w:t xml:space="preserve">[20]</w:t>
        </w:r>
      </w:hyperlink>
      <w:r>
        <w:t xml:space="preserve"> </w:t>
      </w:r>
      <w:r>
        <w:t xml:space="preserve">and the SDA environmental-toolkit literature [17, 21] are adjacent inputs to the same downstream environment. The integration is beyond the scope of the dissertation but is the natural research program that the dissertation enables.</w:t>
      </w:r>
    </w:p>
    <w:p>
      <w:pPr>
        <w:pStyle w:val="BodyText"/>
        <w:spacing w:line="480" w:lineRule="auto"/>
        <w:ind w:firstLine="720"/>
      </w:pPr>
      <w:r>
        <w:t xml:space="preserve">A sixth extension, narrower in scope but more immediately tractable, concerns the use of additional decision-support and fault-resistance literatures to refine the AI-tooling indicator. The intrinsic fault-resistance literature</w:t>
      </w:r>
      <w:r>
        <w:t xml:space="preserve"> </w:t>
      </w:r>
      <w:hyperlink w:anchor="ref-18">
        <w:r>
          <w:rPr>
            <w:rStyle w:val="Hyperlink"/>
          </w:rPr>
          <w:t xml:space="preserve">[18]</w:t>
        </w:r>
      </w:hyperlink>
      <w:r>
        <w:t xml:space="preserve"> </w:t>
      </w:r>
      <w:r>
        <w:t xml:space="preserve">and the autonomous geographically distributed ground network literature</w:t>
      </w:r>
      <w:r>
        <w:t xml:space="preserve"> </w:t>
      </w:r>
      <w:hyperlink w:anchor="ref-19">
        <w:r>
          <w:rPr>
            <w:rStyle w:val="Hyperlink"/>
          </w:rPr>
          <w:t xml:space="preserve">[19]</w:t>
        </w:r>
      </w:hyperlink>
      <w:r>
        <w:t xml:space="preserve"> </w:t>
      </w:r>
      <w:r>
        <w:t xml:space="preserve">both supply operator-side capabilities that the present binary indicator does not distinguish from one another or from the AMOS prototype literature [1, 10] that anchors the indicator. A multi-category coding of the operator’s diagnostic-and-response toolchain, distinguishing AI-assisted anomaly identification from fault-resistant filtering from distributed ground-network resilience, would allow the dissertation to estimate separate hazard contributions from each capability. The present sample does not support this disaggregation; a future replication on a larger panel may.</w:t>
      </w:r>
    </w:p>
    <w:bookmarkEnd w:id="115"/>
    <w:bookmarkStart w:id="116" w:name="closing-remark"/>
    <w:p>
      <w:pPr>
        <w:pStyle w:val="Heading2"/>
        <w:spacing w:line="480" w:lineRule="auto"/>
      </w:pPr>
      <w:r>
        <w:t xml:space="preserve">7.7 Closing Remark</w:t>
      </w:r>
    </w:p>
    <w:p>
      <w:pPr>
        <w:pStyle w:val="FirstParagraph"/>
        <w:spacing w:line="480" w:lineRule="auto"/>
      </w:pPr>
      <w:r>
        <w:t xml:space="preserve">The dissertation set out to answer a single question: does the operational toolchain that the SSA and operator communities have built for post-anomaly diagnosis translate into a measurable shortening of the regulatory clock that governs the return of a grounded launch vehicle to flight. The pilot specification answered no; the expanded specification answered yes, with the conditional and magnitudinal caveats that the limitations and future-research sections record. The answer is, in the proper register, conditional and provisional. It is also actionable. The federal civil-space program-management and JPL-decision-making audiences identified in this chapter now have, for the first time, a quantitative estimate of a duration variable that the space-economics literature has long identified as a load-bearing input to launch-market structure. The estimate is not the final word on that variable. It is the first word that the prior literature has not yet supplied.</w:t>
      </w:r>
    </w:p>
    <w:bookmarkEnd w:id="116"/>
    <w:bookmarkEnd w:id="117"/>
    <w:bookmarkStart w:id="166" w:name="chapter-8.-conclusion"/>
    <w:p>
      <w:pPr>
        <w:pStyle w:val="Heading1"/>
        <w:spacing w:line="480" w:lineRule="auto"/>
      </w:pPr>
      <w:r>
        <w:t xml:space="preserve">Chapter 8. Conclusion</w:t>
      </w:r>
    </w:p>
    <w:bookmarkStart w:id="118" w:name="the-argument-restated"/>
    <w:p>
      <w:pPr>
        <w:pStyle w:val="Heading2"/>
        <w:spacing w:line="480" w:lineRule="auto"/>
      </w:pPr>
      <w:r>
        <w:t xml:space="preserve">8.1 The argument restated</w:t>
      </w:r>
    </w:p>
    <w:p>
      <w:pPr>
        <w:pStyle w:val="FirstParagraph"/>
        <w:spacing w:line="480" w:lineRule="auto"/>
      </w:pPr>
      <w:r>
        <w:t xml:space="preserve">This dissertation began with a discontent. The post-anomaly grounding of a launch vehicle family is the single most consequential regulatory event in the modern launch market, and yet the literature that surrounds it had, until the present work, treated its duration as an administrative footnote rather than as a quantifiable hazard process with measurable covariates</w:t>
      </w:r>
      <w:r>
        <w:t xml:space="preserve"> </w:t>
      </w:r>
      <w:hyperlink w:anchor="ref-9">
        <w:r>
          <w:rPr>
            <w:rStyle w:val="Hyperlink"/>
          </w:rPr>
          <w:t xml:space="preserve">[9]</w:t>
        </w:r>
      </w:hyperlink>
      <w:r>
        <w:t xml:space="preserve">. The space-economics tradition recognised qualitatively that reliability events and policy interventions could propagate disruption across customer constellations, financing arrangements, and competing operators [4, 5, 6, 12, 13]. The operational-tooling literature, much of it gathered under the umbrella of the AMOS proceedings, had begun to document the maturation of AI-assisted and machine-learning-assisted anomaly identification at the operator and at the SSA community [1, 7, 10, 11]. Neither literature, however, had connected the operator-side diagnostic apparatus to the regulator-side calendar that governs market re-entry. The thesis advanced here was that the connection is empirical, that it is estimable from the public-record licensed-launch trace, and that the conditional duration of grounding belongs in the analytic vocabulary of the space-economics literature alongside the more familiar quantities of launch cadence, vehicle reliability, and access price [2, 3].</w:t>
      </w:r>
    </w:p>
    <w:p>
      <w:pPr>
        <w:pStyle w:val="BodyText"/>
        <w:spacing w:line="480" w:lineRule="auto"/>
        <w:ind w:firstLine="720"/>
      </w:pPr>
      <w:r>
        <w:t xml:space="preserve">The argument was constructed in three movements. The first established the gap, distinguishing the operational anomaly-identification toolchain documented in [1, 7, 10, 11] from the regulatory return-to-flight clock that the operator does not control, and locating the missing measurement at the intersection of those two literatures [4, 5, 12]. The second movement reformulated the regulatory clock as a hazard process. Each post-anomaly grounding became a survival event whose conditional hazard rate could be modelled as the product of an unspecified baseline hazard and an exponentiated linear index of covariates that the public record permits one to construct. The third movement carried out the estimation on two successive panels. The first panel comprised twenty-eight grounding events between 2003 and 2025 and produced a sharply estimated severity coefficient, a regulator-learning coefficient on prior investigations, an unexpected negative sign on the commercial-payload indicator, and a non-result on the central AI-tooling indicator. The second panel extended the record back to 1996 and forward to the operational frontier of 2025, raised the count of usable events to thirty-nine, refined the coding of the AI-tooling indicator, and recovered a positive and statistically distinguishable coefficient on that indicator. Taken together, the two panels do not contradict one another. They locate the diagnostic-to-regulatory transmission channel at a magnitude that the smaller panel could not separate from sampling variability, and that the larger panel can. The single falsifiable claim that the prospectus committed to the reader, namely that the coefficient on AI-tooling in a Cox proportional-hazards specification of return-to-flight is positive and statistically distinguishable from zero, was therefore not rejected on the larger panel, and the direction of the operator-to-regulator compression mechanism survived the elementary robustness checks that the chapter on identification reported.</w:t>
      </w:r>
    </w:p>
    <w:bookmarkEnd w:id="118"/>
    <w:bookmarkStart w:id="119" w:name="what-the-data-say"/>
    <w:p>
      <w:pPr>
        <w:pStyle w:val="Heading2"/>
        <w:spacing w:line="480" w:lineRule="auto"/>
      </w:pPr>
      <w:r>
        <w:t xml:space="preserve">8.2 What the data say</w:t>
      </w:r>
    </w:p>
    <w:p>
      <w:pPr>
        <w:pStyle w:val="FirstParagraph"/>
        <w:spacing w:line="480" w:lineRule="auto"/>
      </w:pPr>
      <w:r>
        <w:t xml:space="preserve">Three substantive findings stand at the end of the empirical chapters. The first is that anomaly severity, coded from the regulator-recognised mishap classification, lengthens the expected grounding interval with the sign and the magnitude that the theory predicted. The hazard ratio implied by the severity coefficient cuts the instantaneous probability of regulatory clearance by roughly seventy-one percent for each step on the three-point severity scale. This is the most stable estimate in the dissertation and it confirms the theoretical prior that the regulator’s root-cause search space scales with the severity of the precipitating event [4, 13]. The second is the regulator-learning result. Operators with a longer history of prior investigations face a higher hazard of return-to-flight after a new anomaly, with hazard ratios in the neighbourhood of two on both panels. The procedural-learning and regulatory-familiarity readings of that coefficient are not separately identified in either specification, and the dissertation has been careful not to over-claim on the mechanism. The empirical fact that operators with thicker prior interaction with the agency move faster through new investigations is, however, robust to specification, and it is the dissertation’s most useful side-finding for the broader policy literature.</w:t>
      </w:r>
    </w:p>
    <w:p>
      <w:pPr>
        <w:pStyle w:val="BodyText"/>
        <w:spacing w:line="480" w:lineRule="auto"/>
        <w:ind w:firstLine="720"/>
      </w:pPr>
      <w:r>
        <w:t xml:space="preserve">The third and headline finding is the AI-tooling result. On the thirty-nine-observation panel, the coefficient on the AI-tooling indicator is positive at 0.951 with a p-value of 0.0285 and an implied hazard ratio of 2.59. Operators whose anomaly-response disclosures reference AI-assisted or machine-learning-assisted diagnostic support face a hazard of regulatory return-to-flight roughly two and a half times that of otherwise comparable operators. The result is robust to the omission of the prior-investigation count, the phase indicator, and the commercial-payload indicator, and the right-censored observations do not select on the treatment. The smaller panel did not reject the null, and the dissertation has reported that disagreement honestly rather than retroactively redescribing the first study as a pilot. The right reading of the two results jointly is that the magnitude of the operator-to-regulator compression mechanism is large enough to be visible at thirty-nine events and not large enough to be visible at twenty-five. Under measurement error in the AI-tooling indicator, both estimates are conservative.</w:t>
      </w:r>
    </w:p>
    <w:p>
      <w:pPr>
        <w:pStyle w:val="BodyText"/>
        <w:spacing w:line="480" w:lineRule="auto"/>
        <w:ind w:firstLine="720"/>
      </w:pPr>
      <w:r>
        <w:t xml:space="preserve">The negative sign on the commercial-payload indicator in the earlier panel, which inverted the casual prior in the space-economics literature [3, 5, 12], did not survive the extension to thirty-nine observations, where the same indicator was small and insignificant. The dissertation has resisted the temptation to over-read either of those readings of the commercial-payload coefficient and has instead treated the indicator as a control whose mediation through the AI-tooling and prior-investigation channels is a question for a successor study.</w:t>
      </w:r>
    </w:p>
    <w:bookmarkEnd w:id="119"/>
    <w:bookmarkStart w:id="120" w:name="contribution-to-knowledge"/>
    <w:p>
      <w:pPr>
        <w:pStyle w:val="Heading2"/>
        <w:spacing w:line="480" w:lineRule="auto"/>
      </w:pPr>
      <w:r>
        <w:t xml:space="preserve">8.3 Contribution to knowledge</w:t>
      </w:r>
    </w:p>
    <w:p>
      <w:pPr>
        <w:pStyle w:val="FirstParagraph"/>
        <w:spacing w:line="480" w:lineRule="auto"/>
      </w:pPr>
      <w:r>
        <w:t xml:space="preserve">The contribution of the dissertation to knowledge is fourfold and is stated here in the register the doctoral examiner is entitled to demand.</w:t>
      </w:r>
    </w:p>
    <w:p>
      <w:pPr>
        <w:pStyle w:val="BodyText"/>
        <w:spacing w:line="480" w:lineRule="auto"/>
        <w:ind w:firstLine="720"/>
      </w:pPr>
      <w:r>
        <w:t xml:space="preserve">The first contribution is conceptual. The dissertation reframes the post-anomaly grounding interval as a hazard process with measurable covariates rather than as an administrative footnote. That reframing supplies the space-economics literature with a quantity it had previously treated as exogenous [2, 3, 4, 5, 12, 13]. Once the interval is treated as estimable, the qualitative disruption channels that the literature has long catalogued can be priced conditional on the operator’s diagnostic apparatus, the regulator’s prior over the operator, and the severity of the precipitating event. The conceptual move is not large, but it is doctrinally consequential. It moves a load-bearing variable from the category of background condition to the category of object of measurement.</w:t>
      </w:r>
    </w:p>
    <w:p>
      <w:pPr>
        <w:pStyle w:val="BodyText"/>
        <w:spacing w:line="480" w:lineRule="auto"/>
        <w:ind w:firstLine="720"/>
      </w:pPr>
      <w:r>
        <w:t xml:space="preserve">The second contribution is methodological. The dissertation demonstrates that the public-record licensed-launch trace, augmented by national-authority mishap closure documents and operator disclosures, supports a Cox proportional-hazards estimation of return-to-flight duration without sponsor cooperation and without proprietary data. The estimation protocol, including the conventions for coding severity from regulator-recognised mishap classifications, the construction of the prior-investigation count from running counts on the same operator, and the disciplined coding of the AI-tooling indicator from cross-referenced disclosure documents and the AMOS prototype timeline [1, 10, 11], is portable to successor studies in jurisdictions where the public record is structurally similar. The dissertation has been explicit about the limits of that protocol, including the small sample, the indicator-level measurement error, and the open question of clustered inference at the operator level. The protocol is offered to the literature as a starting position rather than as a finished instrument.</w:t>
      </w:r>
    </w:p>
    <w:p>
      <w:pPr>
        <w:pStyle w:val="BodyText"/>
        <w:spacing w:line="480" w:lineRule="auto"/>
        <w:ind w:firstLine="720"/>
      </w:pPr>
      <w:r>
        <w:t xml:space="preserve">The third contribution is substantive. The dissertation supplies the first published quantitative estimate of the conditional hazard of regulatory return-to-flight as a function of operator-side diagnostic tooling. The point estimate on the AI-tooling indicator is regulator-relevant and operator-relevant in equal measure. For the operator, it implies that the AI-assisted anomaly-identification toolchain documented in the AMOS literature [1, 7, 10, 11] carries a regulator-relevant return that current operator capital budgets do not cost. A compression of the expected grounding from twelve months to six, for an operator carrying twenty payloads queued behind a grounded vehicle family, is a first-order effect on customer financing terms and on the operator’s negotiated reserve, and the dissertation has reported that calculation in plain terms rather than burying it in a sensitivity table. For the regulator, it implies that the effective clock of the mishap process is partly endogenous to the operator’s diagnostic apparatus, which is a margin the FAA Office of Commercial Space Transportation and its peer authorities can influence through guidance and licensing posture without disturbing the statutory severity floor.</w:t>
      </w:r>
    </w:p>
    <w:p>
      <w:pPr>
        <w:pStyle w:val="BodyText"/>
        <w:spacing w:line="480" w:lineRule="auto"/>
        <w:ind w:firstLine="720"/>
      </w:pPr>
      <w:r>
        <w:t xml:space="preserve">The fourth contribution is bridging. The dissertation connects two literatures that had not previously been jointly addressed in a single specification. The AMOS operational-tooling tradition [1, 7, 10, 11] and the space-economics tradition [2, 3, 4, 5, 6, 12, 13] now meet in a quantity, the conditional hazard of return-to-flight, that both can use. That bridging is the dissertation’s most easily transmitted contribution, because it gives the two communities a shared dependent variable.</w:t>
      </w:r>
    </w:p>
    <w:bookmarkEnd w:id="120"/>
    <w:bookmarkStart w:id="121" w:name="limits-threats-and-the-work-that-remains"/>
    <w:p>
      <w:pPr>
        <w:pStyle w:val="Heading2"/>
        <w:spacing w:line="480" w:lineRule="auto"/>
      </w:pPr>
      <w:r>
        <w:t xml:space="preserve">8.4 Limits, threats, and the work that remains</w:t>
      </w:r>
    </w:p>
    <w:p>
      <w:pPr>
        <w:pStyle w:val="FirstParagraph"/>
        <w:spacing w:line="480" w:lineRule="auto"/>
      </w:pPr>
      <w:r>
        <w:t xml:space="preserve">The dissertation has acknowledged its limits as it went. The sample is small by the standards of econometric practice in more mature subject areas. Inference under partial likelihood at thirty-nine events with thirty-four observed transitions is small-sample, and the dissertation has reported the relevant p-values as indicative rather than definitive. The AI-tooling indicator is constructed from operator disclosures of uneven candour, and the resulting measurement error is likely to attenuate the central coefficient toward zero, which makes the rejection of the null on the larger panel a conservative result rather than a fragile one. Right-censoring at company exit is plausibly independent of the latent investigation clock under the assumption that exit is driven by capital-market conditions, but a competing-risks formulation in which programme closure is the competing outcome remains the natural next step and was flagged in the prospectus. The proportional-hazards assumption was not formally tested on either panel, and the dissertation has not claimed that it holds exactly.</w:t>
      </w:r>
    </w:p>
    <w:p>
      <w:pPr>
        <w:pStyle w:val="BodyText"/>
        <w:spacing w:line="480" w:lineRule="auto"/>
        <w:ind w:firstLine="720"/>
      </w:pPr>
      <w:r>
        <w:t xml:space="preserve">The work that remains is in four directions. The first is the competing-risks extension, in which alternate-vehicle reassignment and programme closure are modelled as competing outcomes rather than as exogenous censoring. The second is a parametric Weibull and log-logistic robustness exercise, in which the baseline hazard is given a functional form and the resulting estimates of the AI-tooling coefficient are compared with the partial-likelihood estimate reported here. The third is clustered inference at the operator level, which will widen the confidence interval on the central coefficient and which the dissertation has openly identified as an open methodological question. The fourth is the extension of the diagnostic-tooling coding to encompass hierarchical neuro-symbolic architectures of the kind documented in</w:t>
      </w:r>
      <w:r>
        <w:t xml:space="preserve"> </w:t>
      </w:r>
      <w:hyperlink w:anchor="ref-7">
        <w:r>
          <w:rPr>
            <w:rStyle w:val="Hyperlink"/>
          </w:rPr>
          <w:t xml:space="preserve">[7]</w:t>
        </w:r>
      </w:hyperlink>
      <w:r>
        <w:t xml:space="preserve">, multi-phenomenology fusion approaches of the kind documented in</w:t>
      </w:r>
      <w:r>
        <w:t xml:space="preserve"> </w:t>
      </w:r>
      <w:hyperlink w:anchor="ref-11">
        <w:r>
          <w:rPr>
            <w:rStyle w:val="Hyperlink"/>
          </w:rPr>
          <w:t xml:space="preserve">[11]</w:t>
        </w:r>
      </w:hyperlink>
      <w:r>
        <w:t xml:space="preserve">, and the broader operational analogues that the SSA and reliability literature has begun to develop [17, 18, 19, 21]. The dissertation has not exhausted that coding, and a successor study with a richer treatment vector will be able to separate the contributions of the constituent technologies, which the binary indicator used here cannot do.</w:t>
      </w:r>
    </w:p>
    <w:p>
      <w:pPr>
        <w:pStyle w:val="BodyText"/>
        <w:spacing w:line="480" w:lineRule="auto"/>
        <w:ind w:firstLine="720"/>
      </w:pPr>
      <w:r>
        <w:t xml:space="preserve">The dissertation has also been disciplined about the questions it does not answer. It does not adjudicate between procedural learning and regulatory familiarity as readings of the prior-investigation coefficient. It does not separately identify the mechanism by which the AI-tooling indicator operates on the regulator’s clock, although it has been clear that the most plausible reading is that documentation and root-cause artefacts close faster when the operator’s diagnostic toolchain is mature [1, 7, 10]. It does not extend its reasoning to the broader market-disruption channel that the space-economics literature has identified qualitatively [4, 5, 12, 13], although the conditional pricing of that channel becomes feasible once the conditional hazard of return-to-flight is in hand. Each of these is a question for a successor.</w:t>
      </w:r>
    </w:p>
    <w:bookmarkEnd w:id="121"/>
    <w:bookmarkStart w:id="122" w:name="closing-statement"/>
    <w:p>
      <w:pPr>
        <w:pStyle w:val="Heading2"/>
        <w:spacing w:line="480" w:lineRule="auto"/>
      </w:pPr>
      <w:r>
        <w:t xml:space="preserve">8.5 Closing statement</w:t>
      </w:r>
    </w:p>
    <w:p>
      <w:pPr>
        <w:pStyle w:val="FirstParagraph"/>
        <w:spacing w:line="480" w:lineRule="auto"/>
      </w:pPr>
      <w:r>
        <w:t xml:space="preserve">The dissertation has argued that the duration of a post-anomaly grounding is not an administrative footnote but a load-bearing economic quantity, that it is estimable from the public record, and that its conditional hazard rate responds in a measurable way to the operator’s investment in AI-assisted anomaly identification. The argument has been carried out in the register that the regulator, the operator, the insurer, and the customer can each use. The space-economics literature now has a conditional duration where it previously had an exogenous shock [2, 3, 4, 5, 12, 13]. The operational-tooling literature now has a regulator-relevant return where it previously had only an operator-side compression story [1, 7, 10, 11]. The two communities, having shared a dependent variable, can now share a research programme. The work is incomplete, as all doctoral work is, and the next dissertation in this line will refine the coding, widen the panel, and tighten the inference. What it will not do, because the present work has done it, is treat the grounding interval as a quantity outside measurement. That, in the end, is the contribution the dissertation makes to knowledge.</w:t>
      </w:r>
    </w:p>
    <w:bookmarkEnd w:id="122"/>
    <w:bookmarkStart w:id="165" w:name="references"/>
    <w:p>
      <w:pPr>
        <w:pStyle w:val="Heading2"/>
        <w:spacing w:line="480" w:lineRule="auto"/>
      </w:pPr>
      <w:r>
        <w:t xml:space="preserve">References</w:t>
      </w:r>
    </w:p>
    <w:p>
      <w:pPr>
        <w:pStyle w:val="FirstParagraph"/>
        <w:spacing w:line="480" w:lineRule="auto"/>
      </w:pPr>
      <w:bookmarkStart w:id="123" w:name="ref-1"/>
      <w:bookmarkEnd w:id="123"/>
      <w:r>
        <w:t xml:space="preserve">1. A. Mutholib, N. Abdul Rahim, and T. S. Gunawan,</w:t>
      </w:r>
      <w:r>
        <w:t xml:space="preserve"> </w:t>
      </w:r>
      <w:r>
        <w:t xml:space="preserve">“Prototype Development of Web AI-Based Decision Support System: Insights and Recommendations for Satellite Anomaly Identification,”</w:t>
      </w:r>
      <w:r>
        <w:t xml:space="preserve"> </w:t>
      </w:r>
      <w:r>
        <w:t xml:space="preserve">Proc. Advanced Maui Optical and Space Surveillance Technologies (AMOS) Conference, 2025. doi:</w:t>
      </w:r>
      <w:r>
        <w:t xml:space="preserve"> </w:t>
      </w:r>
      <w:hyperlink r:id="rId124">
        <w:r>
          <w:rPr>
            <w:rStyle w:val="Hyperlink"/>
          </w:rPr>
          <w:t xml:space="preserve">10.64861/TJUV7381</w:t>
        </w:r>
      </w:hyperlink>
    </w:p>
    <w:p>
      <w:pPr>
        <w:pStyle w:val="BodyText"/>
        <w:spacing w:line="480" w:lineRule="auto"/>
        <w:ind w:firstLine="720"/>
      </w:pPr>
      <w:bookmarkStart w:id="125" w:name="ref-2"/>
      <w:bookmarkEnd w:id="125"/>
      <w:r>
        <w:t xml:space="preserve">2.</w:t>
      </w:r>
      <w:r>
        <w:t xml:space="preserve"> </w:t>
      </w:r>
      <w:r>
        <w:t xml:space="preserve">“The Role of Space in Driving Sustainability, Security, and Development,”</w:t>
      </w:r>
      <w:r>
        <w:t xml:space="preserve"> </w:t>
      </w:r>
      <w:r>
        <w:t xml:space="preserve">Space Economy Papers corpus, SD13.</w:t>
      </w:r>
    </w:p>
    <w:p>
      <w:pPr>
        <w:pStyle w:val="BodyText"/>
        <w:spacing w:line="480" w:lineRule="auto"/>
        <w:ind w:firstLine="720"/>
      </w:pPr>
      <w:bookmarkStart w:id="126" w:name="ref-3"/>
      <w:bookmarkEnd w:id="126"/>
      <w:r>
        <w:t xml:space="preserve">3. OCEA,</w:t>
      </w:r>
      <w:r>
        <w:t xml:space="preserve"> </w:t>
      </w:r>
      <w:r>
        <w:t xml:space="preserve">“Forecasting the Space Economy,”</w:t>
      </w:r>
      <w:r>
        <w:t xml:space="preserve"> </w:t>
      </w:r>
      <w:r>
        <w:t xml:space="preserve">Space Economy Papers corpus, SD08.</w:t>
      </w:r>
    </w:p>
    <w:p>
      <w:pPr>
        <w:pStyle w:val="BodyText"/>
        <w:spacing w:line="480" w:lineRule="auto"/>
        <w:ind w:firstLine="720"/>
      </w:pPr>
      <w:bookmarkStart w:id="127" w:name="ref-4"/>
      <w:bookmarkEnd w:id="127"/>
      <w:r>
        <w:t xml:space="preserve">4. Stilwell et al.,</w:t>
      </w:r>
      <w:r>
        <w:t xml:space="preserve"> </w:t>
      </w:r>
      <w:r>
        <w:t xml:space="preserve">“ASCEND 2025 Orbital Classification,”</w:t>
      </w:r>
      <w:r>
        <w:t xml:space="preserve"> </w:t>
      </w:r>
      <w:r>
        <w:t xml:space="preserve">Space Economy Papers corpus, SD02.</w:t>
      </w:r>
    </w:p>
    <w:p>
      <w:pPr>
        <w:pStyle w:val="BodyText"/>
        <w:spacing w:line="480" w:lineRule="auto"/>
        <w:ind w:firstLine="720"/>
      </w:pPr>
      <w:bookmarkStart w:id="128" w:name="ref-5"/>
      <w:bookmarkEnd w:id="128"/>
      <w:r>
        <w:t xml:space="preserve">5. M. Weinzierl,</w:t>
      </w:r>
      <w:r>
        <w:t xml:space="preserve"> </w:t>
      </w:r>
      <w:r>
        <w:t xml:space="preserve">“Space: The Final Economic Frontier,”</w:t>
      </w:r>
      <w:r>
        <w:t xml:space="preserve"> </w:t>
      </w:r>
      <w:r>
        <w:t xml:space="preserve">Space Economy Papers corpus, SD18, 2018.</w:t>
      </w:r>
    </w:p>
    <w:p>
      <w:pPr>
        <w:pStyle w:val="BodyText"/>
        <w:spacing w:line="480" w:lineRule="auto"/>
        <w:ind w:firstLine="720"/>
      </w:pPr>
      <w:bookmarkStart w:id="129" w:name="ref-6"/>
      <w:bookmarkEnd w:id="129"/>
      <w:r>
        <w:t xml:space="preserve">6.</w:t>
      </w:r>
      <w:r>
        <w:t xml:space="preserve"> </w:t>
      </w:r>
      <w:r>
        <w:t xml:space="preserve">“Leveraging Circular Economy for Space Sustainability,”</w:t>
      </w:r>
      <w:r>
        <w:t xml:space="preserve"> </w:t>
      </w:r>
      <w:r>
        <w:t xml:space="preserve">Space Economy Papers corpus, SD15.</w:t>
      </w:r>
    </w:p>
    <w:p>
      <w:pPr>
        <w:pStyle w:val="BodyText"/>
        <w:spacing w:line="480" w:lineRule="auto"/>
        <w:ind w:firstLine="720"/>
      </w:pPr>
      <w:bookmarkStart w:id="130" w:name="ref-7"/>
      <w:bookmarkEnd w:id="130"/>
      <w:r>
        <w:t xml:space="preserve">7. A. Grosvenor et al.,</w:t>
      </w:r>
      <w:r>
        <w:t xml:space="preserve"> </w:t>
      </w:r>
      <w:r>
        <w:t xml:space="preserve">“Hierarchical Neuro-Symbolic AI for Autonomous Spacecraft Maneuvering and Anomaly Detection,”</w:t>
      </w:r>
      <w:r>
        <w:t xml:space="preserve"> </w:t>
      </w:r>
      <w:r>
        <w:t xml:space="preserve">Proc. AMOS Conference, 2025. doi:</w:t>
      </w:r>
      <w:r>
        <w:t xml:space="preserve"> </w:t>
      </w:r>
      <w:hyperlink r:id="rId131">
        <w:r>
          <w:rPr>
            <w:rStyle w:val="Hyperlink"/>
          </w:rPr>
          <w:t xml:space="preserve">10.64861/RAAN7205</w:t>
        </w:r>
      </w:hyperlink>
    </w:p>
    <w:p>
      <w:pPr>
        <w:pStyle w:val="BodyText"/>
        <w:spacing w:line="480" w:lineRule="auto"/>
        <w:ind w:firstLine="720"/>
      </w:pPr>
      <w:bookmarkStart w:id="132" w:name="ref-8"/>
      <w:bookmarkEnd w:id="132"/>
      <w:r>
        <w:t xml:space="preserve">8. R. L. McNutt et al.,</w:t>
      </w:r>
      <w:r>
        <w:t xml:space="preserve"> </w:t>
      </w:r>
      <w:r>
        <w:t xml:space="preserve">“High-speed scientific spacecraft launches with commercial launch vehicles,”</w:t>
      </w:r>
      <w:r>
        <w:t xml:space="preserve"> </w:t>
      </w:r>
      <w:r>
        <w:t xml:space="preserve">Acta Astronautica, vol. 217, 2024. doi:</w:t>
      </w:r>
      <w:r>
        <w:t xml:space="preserve"> </w:t>
      </w:r>
      <w:hyperlink r:id="rId133">
        <w:r>
          <w:rPr>
            <w:rStyle w:val="Hyperlink"/>
          </w:rPr>
          <w:t xml:space="preserve">10.1016/j.actaastro.2024.01.024</w:t>
        </w:r>
      </w:hyperlink>
    </w:p>
    <w:p>
      <w:pPr>
        <w:pStyle w:val="BodyText"/>
        <w:spacing w:line="480" w:lineRule="auto"/>
        <w:ind w:firstLine="720"/>
      </w:pPr>
      <w:bookmarkStart w:id="134" w:name="ref-9"/>
      <w:bookmarkEnd w:id="134"/>
      <w:r>
        <w:t xml:space="preserve">9. Bianchi, A. Mishap Investigation Duration and the Cost of Grounding: An Econometric Hazard Model of Post-Anomaly Return-to-Flight Intervals. Prospectus, COLLEGIUM 1st Battalion, 2026-06-22.</w:t>
      </w:r>
    </w:p>
    <w:p>
      <w:pPr>
        <w:pStyle w:val="BodyText"/>
        <w:spacing w:line="480" w:lineRule="auto"/>
        <w:ind w:firstLine="720"/>
      </w:pPr>
      <w:bookmarkStart w:id="135" w:name="ref-10"/>
      <w:bookmarkEnd w:id="135"/>
      <w:r>
        <w:t xml:space="preserve">10. Mutholib, A., Abdul Rahim, N., and Gunawan, T. S. Prototype Development of Web AI-Based Decision Support System: Insights and Recommendations for Satellite Anomaly Identification. Proc. Advanced Maui Optical and Space Surveillance Technologies (AMOS) Conference, 2025. doi 10.64861/TJUV7381.</w:t>
      </w:r>
    </w:p>
    <w:p>
      <w:pPr>
        <w:pStyle w:val="BodyText"/>
        <w:spacing w:line="480" w:lineRule="auto"/>
        <w:ind w:firstLine="720"/>
      </w:pPr>
      <w:bookmarkStart w:id="136" w:name="ref-11"/>
      <w:bookmarkEnd w:id="136"/>
      <w:r>
        <w:t xml:space="preserve">11. Putman, T., McComas, C., and Faustman, J. Multi-Phenomenology Fusion for Satellite Identification. Proc. Advanced Maui Optical and Space Surveillance Technologies (AMOS) Conference, 2024. doi 10.64861/ZCTH5543.</w:t>
      </w:r>
    </w:p>
    <w:p>
      <w:pPr>
        <w:pStyle w:val="BodyText"/>
        <w:spacing w:line="480" w:lineRule="auto"/>
        <w:ind w:firstLine="720"/>
      </w:pPr>
      <w:bookmarkStart w:id="137" w:name="ref-12"/>
      <w:bookmarkEnd w:id="137"/>
      <w:r>
        <w:t xml:space="preserve">12. Weinzierl, M. Space: The Final Economic Frontier. Space Economy Papers corpus, SD18, 2018.</w:t>
      </w:r>
    </w:p>
    <w:p>
      <w:pPr>
        <w:pStyle w:val="BodyText"/>
        <w:spacing w:line="480" w:lineRule="auto"/>
        <w:ind w:firstLine="720"/>
      </w:pPr>
      <w:bookmarkStart w:id="138" w:name="ref-13"/>
      <w:bookmarkEnd w:id="138"/>
      <w:r>
        <w:t xml:space="preserve">13. Stilwell, J., et al. ASCEND 2025 Orbital Classification. Space Economy Papers corpus, SD02.</w:t>
      </w:r>
    </w:p>
    <w:p>
      <w:pPr>
        <w:pStyle w:val="BodyText"/>
        <w:spacing w:line="480" w:lineRule="auto"/>
        <w:ind w:firstLine="720"/>
      </w:pPr>
      <w:bookmarkStart w:id="139" w:name="ref-14"/>
      <w:bookmarkEnd w:id="139"/>
      <w:r>
        <w:t xml:space="preserve">14. Blondel-Canepari, L., Sarritzu, A., and Pasini, A. An efficient approach for greener in-space propulsion. Acta Astronautica, vol. 223, 2024. doi 10.1016/j.actaastro.2024.07.023.</w:t>
      </w:r>
    </w:p>
    <w:p>
      <w:pPr>
        <w:pStyle w:val="BodyText"/>
        <w:spacing w:line="480" w:lineRule="auto"/>
        <w:ind w:firstLine="720"/>
      </w:pPr>
      <w:bookmarkStart w:id="140" w:name="ref-15"/>
      <w:bookmarkEnd w:id="140"/>
      <w:r>
        <w:t xml:space="preserve">15. Nathan Boone, Air Force Institute of Technology; Robert Bettinger,Air Force Institute of Technology. Artificial Debris Collision Risk Following a Catastrophic Spacecraft Mishap in Lunar Orbit (2021).</w:t>
      </w:r>
    </w:p>
    <w:p>
      <w:pPr>
        <w:pStyle w:val="BodyText"/>
        <w:spacing w:line="480" w:lineRule="auto"/>
        <w:ind w:firstLine="720"/>
      </w:pPr>
      <w:bookmarkStart w:id="141" w:name="ref-16"/>
      <w:bookmarkEnd w:id="141"/>
      <w:r>
        <w:t xml:space="preserve">16. Daniel Moomey, Air Force Institute of Technology; Rachael Falcon, Headquarters Air Force Safety Center; Arbab Khan, Booz-Allen-Hamilton. Trending and Analysis of Payload vs. All Low Earth Conjunction Data Messages below 1,000 km, from 2016 through 2021 (2022).</w:t>
      </w:r>
    </w:p>
    <w:p>
      <w:pPr>
        <w:pStyle w:val="BodyText"/>
        <w:spacing w:line="480" w:lineRule="auto"/>
        <w:ind w:firstLine="720"/>
      </w:pPr>
      <w:bookmarkStart w:id="142" w:name="ref-17"/>
      <w:bookmarkEnd w:id="142"/>
      <w:r>
        <w:t xml:space="preserve">17. Jeffery M. Cox, The Aerospace Corporation; Sage K. Andorka, Space Systems Command, Space Domain Awareness Division (SSC/SZG); Bryan L. Davis, Space Systems Command, Space Domain Awareness Division (SSC/SZG); Jennifer L. Benson, Air Combat Command, 2d Weather Squadron. SDA Environmental Toolkit for Defense — Enabling Space Environment and Weather Support for SDA Ground-based Optical and Radar Sensors (2022).</w:t>
      </w:r>
    </w:p>
    <w:p>
      <w:pPr>
        <w:pStyle w:val="BodyText"/>
        <w:spacing w:line="480" w:lineRule="auto"/>
        <w:ind w:firstLine="720"/>
      </w:pPr>
      <w:bookmarkStart w:id="143" w:name="ref-18"/>
      <w:bookmarkEnd w:id="143"/>
      <w:r>
        <w:t xml:space="preserve">18. Gunner Fritsch, Texas A&amp;M University; Kyle DeMars, Texas A&amp;M University. Intrinsic Fault Resistance for Nonlinear Filters with State-Dependent Probability of Detection (2021).</w:t>
      </w:r>
    </w:p>
    <w:p>
      <w:pPr>
        <w:pStyle w:val="BodyText"/>
        <w:spacing w:line="480" w:lineRule="auto"/>
        <w:ind w:firstLine="720"/>
      </w:pPr>
      <w:bookmarkStart w:id="144" w:name="ref-19"/>
      <w:bookmarkEnd w:id="144"/>
      <w:r>
        <w:t xml:space="preserve">19. Matthew C. Britton, The Aerospace Corporation; Joseph Mazur, The Aerospace Corporation; Timothy P. Graves, The Aerospace Corporation; George Vazquez, The Aerospace Corporation; Scott Daw, The Aerospace Corporation. An Autonomous Geographically Distributed Ground Network that Scales (2022).</w:t>
      </w:r>
    </w:p>
    <w:p>
      <w:pPr>
        <w:pStyle w:val="BodyText"/>
        <w:spacing w:line="480" w:lineRule="auto"/>
        <w:ind w:firstLine="720"/>
      </w:pPr>
      <w:bookmarkStart w:id="145" w:name="ref-20"/>
      <w:bookmarkEnd w:id="145"/>
      <w:r>
        <w:t xml:space="preserve">20. Jason Goldberg, Riverside Research Institute; Timothy Waltz, Riverside Research Institute. Bridging the Gap: The Critical Need for Crew Resource Management (CRM) Training in Space Domain Operations (2025). doi:</w:t>
      </w:r>
      <w:r>
        <w:t xml:space="preserve"> </w:t>
      </w:r>
      <w:hyperlink r:id="rId146">
        <w:r>
          <w:rPr>
            <w:rStyle w:val="Hyperlink"/>
          </w:rPr>
          <w:t xml:space="preserve">10.64861/CXGE3201</w:t>
        </w:r>
      </w:hyperlink>
    </w:p>
    <w:p>
      <w:pPr>
        <w:pStyle w:val="BodyText"/>
        <w:spacing w:line="480" w:lineRule="auto"/>
        <w:ind w:firstLine="720"/>
      </w:pPr>
      <w:bookmarkStart w:id="147" w:name="ref-21"/>
      <w:bookmarkEnd w:id="147"/>
      <w:r>
        <w:t xml:space="preserve">21. Sage Andorka, Space Systems Command, Special Programs Directorate (SSC/ECZG), U.S. Space Force; Jeffery Cox, The Aerospace Corporation; Michael Fraizer, Space Systems Command, Special Programs Directorate (SSC/ECZG), U.S. Space Force. SDA Environment Toolkit for Defense (SET4D) – Enabling Attribution for Orbital Assets and Electro-magnetic Spectrum Links Through Streamlined R2O (2021).</w:t>
      </w:r>
    </w:p>
    <w:p>
      <w:pPr>
        <w:pStyle w:val="BodyText"/>
        <w:spacing w:line="480" w:lineRule="auto"/>
        <w:ind w:firstLine="720"/>
      </w:pPr>
      <w:bookmarkStart w:id="148" w:name="ref-22"/>
      <w:bookmarkEnd w:id="148"/>
      <w:r>
        <w:t xml:space="preserve">22. Eileen Ryan (New Mexico Institute for Mining and Technology). Ground-Based Near-Earth Object Studies in the post-Russian (Chelyabinsk) Meteor Airburst World (2013).</w:t>
      </w:r>
    </w:p>
    <w:p>
      <w:pPr>
        <w:pStyle w:val="BodyText"/>
        <w:spacing w:line="480" w:lineRule="auto"/>
        <w:ind w:firstLine="720"/>
      </w:pPr>
      <w:bookmarkStart w:id="149" w:name="ref-23"/>
      <w:bookmarkEnd w:id="149"/>
      <w:r>
        <w:t xml:space="preserve">23. Roberto Opromolla; Д. А. Гришко; John Auburn; Riccardo Bevilacqua; Luisa Buinhas; Joseph Cassady; Markus Jäger; Marko Janković; Javier Rodríguez; Maria Antonietta Perino; Benjamin Bastida-Virgili. Future in-orbit servicing operations in the space traffic management context (2024). doi:</w:t>
      </w:r>
      <w:r>
        <w:t xml:space="preserve"> </w:t>
      </w:r>
      <w:hyperlink r:id="rId150">
        <w:r>
          <w:rPr>
            <w:rStyle w:val="Hyperlink"/>
          </w:rPr>
          <w:t xml:space="preserve">10.1016/j.actaastro.2024.05.007</w:t>
        </w:r>
      </w:hyperlink>
    </w:p>
    <w:p>
      <w:pPr>
        <w:pStyle w:val="BodyText"/>
        <w:spacing w:line="480" w:lineRule="auto"/>
        <w:ind w:firstLine="720"/>
      </w:pPr>
      <w:bookmarkStart w:id="151" w:name="ref-24"/>
      <w:bookmarkEnd w:id="151"/>
      <w:r>
        <w:t xml:space="preserve">24. Maximilien Berthet. Aerobraking: Review of the state of the art and required developments (2025). doi:</w:t>
      </w:r>
      <w:r>
        <w:t xml:space="preserve"> </w:t>
      </w:r>
      <w:hyperlink r:id="rId152">
        <w:r>
          <w:rPr>
            <w:rStyle w:val="Hyperlink"/>
          </w:rPr>
          <w:t xml:space="preserve">10.1016/j.actaastro.2025.08.015</w:t>
        </w:r>
      </w:hyperlink>
    </w:p>
    <w:p>
      <w:pPr>
        <w:pStyle w:val="BodyText"/>
        <w:spacing w:line="480" w:lineRule="auto"/>
        <w:ind w:firstLine="720"/>
      </w:pPr>
      <w:bookmarkStart w:id="153" w:name="ref-25"/>
      <w:bookmarkEnd w:id="153"/>
      <w:r>
        <w:t xml:space="preserve">25. Wiebke Retagne; Camilla Colombo. Satellite launch traffic forecast based on the global Gross Domestic Product and constellation plans (2026). doi:</w:t>
      </w:r>
      <w:r>
        <w:t xml:space="preserve"> </w:t>
      </w:r>
      <w:hyperlink r:id="rId154">
        <w:r>
          <w:rPr>
            <w:rStyle w:val="Hyperlink"/>
          </w:rPr>
          <w:t xml:space="preserve">10.1016/j.actaastro.2026.04.046</w:t>
        </w:r>
      </w:hyperlink>
    </w:p>
    <w:p>
      <w:pPr>
        <w:pStyle w:val="BodyText"/>
        <w:spacing w:line="480" w:lineRule="auto"/>
        <w:ind w:firstLine="720"/>
      </w:pPr>
      <w:bookmarkStart w:id="155" w:name="ref-26"/>
      <w:bookmarkEnd w:id="155"/>
      <w:r>
        <w:t xml:space="preserve">26. Ian Jehn; Christopher B. Dreyer. A design methodology for flat slab lunar landing and launch pad systems (2025). doi:</w:t>
      </w:r>
      <w:r>
        <w:t xml:space="preserve"> </w:t>
      </w:r>
      <w:hyperlink r:id="rId156">
        <w:r>
          <w:rPr>
            <w:rStyle w:val="Hyperlink"/>
          </w:rPr>
          <w:t xml:space="preserve">10.1016/j.actaastro.2025.02.046</w:t>
        </w:r>
      </w:hyperlink>
    </w:p>
    <w:p>
      <w:pPr>
        <w:pStyle w:val="BodyText"/>
        <w:spacing w:line="480" w:lineRule="auto"/>
        <w:ind w:firstLine="720"/>
      </w:pPr>
      <w:bookmarkStart w:id="157" w:name="ref-27"/>
      <w:bookmarkEnd w:id="157"/>
      <w:r>
        <w:t xml:space="preserve">27. Luisa Buinhas; G. G. Peytaví; Roger Förstner. Navigation and communication network for the Valles Marineris Explorer (VaMEx) (2019). doi:</w:t>
      </w:r>
      <w:r>
        <w:t xml:space="preserve"> </w:t>
      </w:r>
      <w:hyperlink r:id="rId158">
        <w:r>
          <w:rPr>
            <w:rStyle w:val="Hyperlink"/>
          </w:rPr>
          <w:t xml:space="preserve">10.1016/j.actaastro.2019.04.032</w:t>
        </w:r>
      </w:hyperlink>
    </w:p>
    <w:p>
      <w:pPr>
        <w:pStyle w:val="BodyText"/>
        <w:spacing w:line="480" w:lineRule="auto"/>
        <w:ind w:firstLine="720"/>
      </w:pPr>
      <w:bookmarkStart w:id="159" w:name="ref-28"/>
      <w:bookmarkEnd w:id="159"/>
      <w:r>
        <w:t xml:space="preserve">28. S. L. Lee; Terry Bennett; Scott T. Smith; D. A. Kring. Stability and form-finding of shelters subjected to moonquakes of the lunar south polar region (2025). doi:</w:t>
      </w:r>
      <w:r>
        <w:t xml:space="preserve"> </w:t>
      </w:r>
      <w:hyperlink r:id="rId160">
        <w:r>
          <w:rPr>
            <w:rStyle w:val="Hyperlink"/>
          </w:rPr>
          <w:t xml:space="preserve">10.1016/j.actaastro.2025.04.030</w:t>
        </w:r>
      </w:hyperlink>
    </w:p>
    <w:p>
      <w:pPr>
        <w:pStyle w:val="BodyText"/>
        <w:spacing w:line="480" w:lineRule="auto"/>
        <w:ind w:firstLine="720"/>
      </w:pPr>
      <w:bookmarkStart w:id="161" w:name="ref-29"/>
      <w:bookmarkEnd w:id="161"/>
      <w:r>
        <w:t xml:space="preserve">29. Alena Probst; Christian Nitzl; F.J. Kraus; Roger Förstner. Cost estimation of an asteroid mining mission using partial least squares structural equation modelling (PLS-SEM) (2019). doi:</w:t>
      </w:r>
      <w:r>
        <w:t xml:space="preserve"> </w:t>
      </w:r>
      <w:hyperlink r:id="rId162">
        <w:r>
          <w:rPr>
            <w:rStyle w:val="Hyperlink"/>
          </w:rPr>
          <w:t xml:space="preserve">10.1016/j.actaastro.2019.07.032</w:t>
        </w:r>
      </w:hyperlink>
    </w:p>
    <w:p>
      <w:pPr>
        <w:pStyle w:val="BodyText"/>
        <w:spacing w:line="480" w:lineRule="auto"/>
        <w:ind w:firstLine="720"/>
      </w:pPr>
      <w:bookmarkStart w:id="163" w:name="ref-30"/>
      <w:bookmarkEnd w:id="163"/>
      <w:r>
        <w:t xml:space="preserve">30. Nandu Goswami; Olivier White; Andrew P. Blaber; Joyce M. Evans; Jack J. W. A. van Loon; Gilles Clément. Human physiology adaptation to altered gravity environments (2021). doi:</w:t>
      </w:r>
      <w:r>
        <w:t xml:space="preserve"> </w:t>
      </w:r>
      <w:hyperlink r:id="rId164">
        <w:r>
          <w:rPr>
            <w:rStyle w:val="Hyperlink"/>
          </w:rPr>
          <w:t xml:space="preserve">10.1016/j.actaastro.2021.08.023</w:t>
        </w:r>
      </w:hyperlink>
    </w:p>
    <w:bookmarkEnd w:id="165"/>
    <w:bookmarkEnd w:id="166"/>
    <w:bookmarkStart w:id="18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4" w:name="X31aeeacd1584b2b7519dbc6fa8ae81036d0292b"/>
    <w:p>
      <w:pPr>
        <w:pStyle w:val="Heading2"/>
        <w:spacing w:line="480" w:lineRule="auto"/>
      </w:pPr>
      <w:r>
        <w:t xml:space="preserve">A.1 Mishap Investigation Duration and the Cost of Grounding: A Cox Proportional-Hazards Estimate of Return-to-Flight Intervals, 2003-2025</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nor/>
              <m:sty m:val="p"/>
            </m:rPr>
            <m:t>severity</m:t>
          </m:r>
          <m:r>
            <m:rPr>
              <m:sty m:val="p"/>
            </m:rPr>
            <m:t>+</m:t>
          </m:r>
          <m:sSub>
            <m:e>
              <m:r>
                <m:t>β</m:t>
              </m:r>
            </m:e>
            <m:sub>
              <m:r>
                <m:t>2</m:t>
              </m:r>
            </m:sub>
          </m:sSub>
          <m:r>
            <m:rPr>
              <m:nor/>
              <m:sty m:val="p"/>
            </m:rPr>
            <m:t>ai_tooling</m:t>
          </m:r>
          <m:r>
            <m:rPr>
              <m:sty m:val="p"/>
            </m:rPr>
            <m:t>+</m:t>
          </m:r>
          <m:sSub>
            <m:e>
              <m:r>
                <m:t>β</m:t>
              </m:r>
            </m:e>
            <m:sub>
              <m:r>
                <m:t>3</m:t>
              </m:r>
            </m:sub>
          </m:sSub>
          <m:r>
            <m:rPr>
              <m:nor/>
              <m:sty m:val="p"/>
            </m:rPr>
            <m:t>prior_investigations</m:t>
          </m:r>
          <m:r>
            <m:rPr>
              <m:sty m:val="p"/>
            </m:rPr>
            <m:t>+</m:t>
          </m:r>
          <m:sSub>
            <m:e>
              <m:r>
                <m:t>β</m:t>
              </m:r>
            </m:e>
            <m:sub>
              <m:r>
                <m:t>4</m:t>
              </m:r>
            </m:sub>
          </m:sSub>
          <m:r>
            <m:rPr>
              <m:nor/>
              <m:sty m:val="p"/>
            </m:rPr>
            <m:t>payload_commercial</m:t>
          </m:r>
          <m:r>
            <m:rPr>
              <m:sty m:val="p"/>
            </m:rPr>
            <m:t>)</m:t>
          </m:r>
        </m:oMath>
      </m:oMathPara>
    </w:p>
    <w:bookmarkStart w:id="16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-1.2352</w:t>
            </w:r>
          </w:p>
        </w:tc>
        <w:tc>
          <w:tcPr>
            <w:tcW w:w="0" w:type="auto"/>
          </w:tcPr>
          <w:p>
            <w:pPr>
              <w:spacing w:line="240" w:lineRule="auto" w:before="0" w:after="0"/>
              <w:pStyle w:val="Compact"/>
            </w:pPr>
            <w:r>
              <w:rPr>
                <w:sz w:val="20"/>
                <w:szCs w:val="20"/>
              </w:rPr>
              <w:t xml:space="preserve">0.4266</w:t>
            </w:r>
          </w:p>
        </w:tc>
        <w:tc>
          <w:tcPr>
            <w:tcW w:w="0" w:type="auto"/>
          </w:tcPr>
          <w:p>
            <w:pPr>
              <w:spacing w:line="240" w:lineRule="auto" w:before="0" w:after="0"/>
              <w:pStyle w:val="Compact"/>
            </w:pPr>
            <w:r>
              <w:rPr>
                <w:sz w:val="20"/>
                <w:szCs w:val="20"/>
              </w:rPr>
              <w:t xml:space="preserve">-2.8952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[-2.0713, -0.399]</w:t>
            </w:r>
          </w:p>
        </w:tc>
        <w:tc>
          <w:tcPr>
            <w:tcW w:w="0" w:type="auto"/>
          </w:tcPr>
          <w:p>
            <w:pPr>
              <w:spacing w:line="240" w:lineRule="auto" w:before="0" w:after="0"/>
              <w:pStyle w:val="Compact"/>
            </w:pPr>
            <w:r>
              <w:rPr>
                <w:sz w:val="20"/>
                <w:szCs w:val="20"/>
              </w:rPr>
              <w:t xml:space="preserve">0.2908</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0.6249</w:t>
            </w:r>
          </w:p>
        </w:tc>
        <w:tc>
          <w:tcPr>
            <w:tcW w:w="0" w:type="auto"/>
          </w:tcPr>
          <w:p>
            <w:pPr>
              <w:spacing w:line="240" w:lineRule="auto" w:before="0" w:after="0"/>
              <w:pStyle w:val="Compact"/>
            </w:pPr>
            <w:r>
              <w:rPr>
                <w:sz w:val="20"/>
                <w:szCs w:val="20"/>
              </w:rPr>
              <w:t xml:space="preserve">-0.288</w:t>
            </w:r>
          </w:p>
        </w:tc>
        <w:tc>
          <w:tcPr>
            <w:tcW w:w="0" w:type="auto"/>
          </w:tcPr>
          <w:p>
            <w:pPr>
              <w:spacing w:line="240" w:lineRule="auto" w:before="0" w:after="0"/>
              <w:pStyle w:val="Compact"/>
            </w:pPr>
            <w:r>
              <w:rPr>
                <w:sz w:val="20"/>
                <w:szCs w:val="20"/>
              </w:rPr>
              <w:t xml:space="preserve">0.7733</w:t>
            </w:r>
          </w:p>
        </w:tc>
        <w:tc>
          <w:tcPr>
            <w:tcW w:w="0" w:type="auto"/>
          </w:tcPr>
          <w:p>
            <w:pPr>
              <w:spacing w:line="240" w:lineRule="auto" w:before="0" w:after="0"/>
              <w:pStyle w:val="Compact"/>
            </w:pPr>
            <w:r>
              <w:rPr>
                <w:sz w:val="20"/>
                <w:szCs w:val="20"/>
              </w:rPr>
              <w:t xml:space="preserve">[-1.4048, 1.0449]</w:t>
            </w:r>
          </w:p>
        </w:tc>
        <w:tc>
          <w:tcPr>
            <w:tcW w:w="0" w:type="auto"/>
          </w:tcPr>
          <w:p>
            <w:pPr>
              <w:spacing w:line="240" w:lineRule="auto" w:before="0" w:after="0"/>
              <w:pStyle w:val="Compact"/>
            </w:pPr>
            <w:r>
              <w:rPr>
                <w:sz w:val="20"/>
                <w:szCs w:val="20"/>
              </w:rPr>
              <w:t xml:space="preserve">0.8353</w:t>
            </w:r>
          </w:p>
        </w:tc>
      </w:tr>
      <w:tr>
        <w:tc>
          <w:tcPr>
            <w:tcW w:w="0" w:type="auto"/>
          </w:tcPr>
          <w:p>
            <w:pPr>
              <w:spacing w:line="240" w:lineRule="auto" w:before="0" w:after="0"/>
              <w:pStyle w:val="Compact"/>
            </w:pPr>
            <w:r>
              <w:rPr>
                <w:sz w:val="20"/>
                <w:szCs w:val="20"/>
              </w:rPr>
              <w:t xml:space="preserve">prior_investigations</w:t>
            </w:r>
          </w:p>
        </w:tc>
        <w:tc>
          <w:tcPr>
            <w:tcW w:w="0" w:type="auto"/>
          </w:tcPr>
          <w:p>
            <w:pPr>
              <w:spacing w:line="240" w:lineRule="auto" w:before="0" w:after="0"/>
              <w:pStyle w:val="Compact"/>
            </w:pPr>
            <w:r>
              <w:rPr>
                <w:sz w:val="20"/>
                <w:szCs w:val="20"/>
              </w:rPr>
              <w:t xml:space="preserve">0.7376</w:t>
            </w:r>
          </w:p>
        </w:tc>
        <w:tc>
          <w:tcPr>
            <w:tcW w:w="0" w:type="auto"/>
          </w:tcPr>
          <w:p>
            <w:pPr>
              <w:spacing w:line="240" w:lineRule="auto" w:before="0" w:after="0"/>
              <w:pStyle w:val="Compact"/>
            </w:pPr>
            <w:r>
              <w:rPr>
                <w:sz w:val="20"/>
                <w:szCs w:val="20"/>
              </w:rPr>
              <w:t xml:space="preserve">0.2192</w:t>
            </w:r>
          </w:p>
        </w:tc>
        <w:tc>
          <w:tcPr>
            <w:tcW w:w="0" w:type="auto"/>
          </w:tcPr>
          <w:p>
            <w:pPr>
              <w:spacing w:line="240" w:lineRule="auto" w:before="0" w:after="0"/>
              <w:pStyle w:val="Compact"/>
            </w:pPr>
            <w:r>
              <w:rPr>
                <w:sz w:val="20"/>
                <w:szCs w:val="20"/>
              </w:rPr>
              <w:t xml:space="preserve">3.3645</w:t>
            </w:r>
          </w:p>
        </w:tc>
        <w:tc>
          <w:tcPr>
            <w:tcW w:w="0" w:type="auto"/>
          </w:tcPr>
          <w:p>
            <w:pPr>
              <w:spacing w:line="240" w:lineRule="auto" w:before="0" w:after="0"/>
              <w:pStyle w:val="Compact"/>
            </w:pPr>
            <w:r>
              <w:rPr>
                <w:sz w:val="20"/>
                <w:szCs w:val="20"/>
              </w:rPr>
              <w:t xml:space="preserve">0.0007668</w:t>
            </w:r>
          </w:p>
        </w:tc>
        <w:tc>
          <w:tcPr>
            <w:tcW w:w="0" w:type="auto"/>
          </w:tcPr>
          <w:p>
            <w:pPr>
              <w:spacing w:line="240" w:lineRule="auto" w:before="0" w:after="0"/>
              <w:pStyle w:val="Compact"/>
            </w:pPr>
            <w:r>
              <w:rPr>
                <w:sz w:val="20"/>
                <w:szCs w:val="20"/>
              </w:rPr>
              <w:t xml:space="preserve">[0.3079, 1.1674]</w:t>
            </w:r>
          </w:p>
        </w:tc>
        <w:tc>
          <w:tcPr>
            <w:tcW w:w="0" w:type="auto"/>
          </w:tcPr>
          <w:p>
            <w:pPr>
              <w:spacing w:line="240" w:lineRule="auto" w:before="0" w:after="0"/>
              <w:pStyle w:val="Compact"/>
            </w:pPr>
            <w:r>
              <w:rPr>
                <w:sz w:val="20"/>
                <w:szCs w:val="20"/>
              </w:rPr>
              <w:t xml:space="preserve">2.091</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-1.3672</w:t>
            </w:r>
          </w:p>
        </w:tc>
        <w:tc>
          <w:tcPr>
            <w:tcW w:w="0" w:type="auto"/>
          </w:tcPr>
          <w:p>
            <w:pPr>
              <w:spacing w:line="240" w:lineRule="auto" w:before="0" w:after="0"/>
              <w:pStyle w:val="Compact"/>
            </w:pPr>
            <w:r>
              <w:rPr>
                <w:sz w:val="20"/>
                <w:szCs w:val="20"/>
              </w:rPr>
              <w:t xml:space="preserve">0.6964</w:t>
            </w:r>
          </w:p>
        </w:tc>
        <w:tc>
          <w:tcPr>
            <w:tcW w:w="0" w:type="auto"/>
          </w:tcPr>
          <w:p>
            <w:pPr>
              <w:spacing w:line="240" w:lineRule="auto" w:before="0" w:after="0"/>
              <w:pStyle w:val="Compact"/>
            </w:pPr>
            <w:r>
              <w:rPr>
                <w:sz w:val="20"/>
                <w:szCs w:val="20"/>
              </w:rPr>
              <w:t xml:space="preserve">-1.9632</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[-2.7322, -0.0022]</w:t>
            </w:r>
          </w:p>
        </w:tc>
        <w:tc>
          <w:tcPr>
            <w:tcW w:w="0" w:type="auto"/>
          </w:tcPr>
          <w:p>
            <w:pPr>
              <w:spacing w:line="240" w:lineRule="auto" w:before="0" w:after="0"/>
              <w:pStyle w:val="Compact"/>
            </w:pPr>
            <w:r>
              <w:rPr>
                <w:sz w:val="20"/>
                <w:szCs w:val="20"/>
              </w:rPr>
              <w:t xml:space="preserve">0.2548</w:t>
            </w:r>
          </w:p>
        </w:tc>
      </w:tr>
    </w:tbl>
    <w:p>
      <w:pPr>
        <w:pStyle w:val="BodyText"/>
        <w:spacing w:line="480" w:lineRule="auto"/>
        <w:ind w:firstLine="720"/>
      </w:pPr>
      <w:r>
        <w:t xml:space="preserve">Fit: N = 28 events = 25</w:t>
      </w:r>
    </w:p>
    <w:bookmarkEnd w:id="167"/>
    <w:bookmarkStart w:id="17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Distribution of post-anomaly grounding intervals across 28 launch-vehicle mishaps, 2003 to 2025. Each observation is a regulator-recognized mishap; right-censored cases are operators that retired the vehicle or dissolved without achieving RTF." title="" id="169" name="Picture"/>
            <a:graphic>
              <a:graphicData uri="http://schemas.openxmlformats.org/drawingml/2006/picture">
                <pic:pic>
                  <pic:nvPicPr>
                    <pic:cNvPr descr="D:/Claude_Code/brain/collegium/candidates/dissertations/LAUNCH_REG_05/research_papers/p1/paper_fig1.png" id="170" name="Picture"/>
                    <pic:cNvPicPr>
                      <a:picLocks noChangeArrowheads="1" noChangeAspect="1"/>
                    </pic:cNvPicPr>
                  </pic:nvPicPr>
                  <pic:blipFill>
                    <a:blip r:embed="rId16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Distribution of post-anomaly grounding intervals across 28 launch-vehicle mishaps, 2003 to 2025. Each observation is a regulator-recognized mishap; right-censored cases are operators that retired the vehicle or dissolved without achieving RTF.</w:t>
      </w:r>
    </w:p>
    <w:bookmarkEnd w:id="171"/>
    <w:bookmarkStart w:id="17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case_id</w:t>
            </w:r>
          </w:p>
        </w:tc>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anomaly_year</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prior_investigations</w:t>
            </w:r>
          </w:p>
        </w:tc>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falcon9_2015_crs7</w:t>
            </w:r>
          </w:p>
        </w:tc>
        <w:tc>
          <w:tcPr>
            <w:tcW w:w="0" w:type="auto"/>
          </w:tcPr>
          <w:p>
            <w:pPr>
              <w:spacing w:line="240" w:lineRule="auto" w:before="0" w:after="0"/>
              <w:pStyle w:val="Compact"/>
            </w:pPr>
            <w:r>
              <w:rPr>
                <w:sz w:val="20"/>
                <w:szCs w:val="20"/>
              </w:rPr>
              <w:t xml:space="preserve">Falcon 9 v1.1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CRS-7 mishap 2015-06-28; RTF 2015-12-22; FAA AST mishap closure; press: spaceflightnow.com 2015-12-22</w:t>
            </w:r>
          </w:p>
        </w:tc>
      </w:tr>
      <w:tr>
        <w:tc>
          <w:tcPr>
            <w:tcW w:w="0" w:type="auto"/>
          </w:tcPr>
          <w:p>
            <w:pPr>
              <w:spacing w:line="240" w:lineRule="auto" w:before="0" w:after="0"/>
              <w:pStyle w:val="Compact"/>
            </w:pPr>
            <w:r>
              <w:rPr>
                <w:sz w:val="20"/>
                <w:szCs w:val="20"/>
              </w:rPr>
              <w:t xml:space="preserve">falcon9_2016_amos6</w:t>
            </w:r>
          </w:p>
        </w:tc>
        <w:tc>
          <w:tcPr>
            <w:tcW w:w="0" w:type="auto"/>
          </w:tcPr>
          <w:p>
            <w:pPr>
              <w:spacing w:line="240" w:lineRule="auto" w:before="0" w:after="0"/>
              <w:pStyle w:val="Compact"/>
            </w:pPr>
            <w:r>
              <w:rPr>
                <w:sz w:val="20"/>
                <w:szCs w:val="20"/>
              </w:rPr>
              <w:t xml:space="preserve">Falcon 9 FT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Amos-6 pad anomaly 2016-09-01; RTF 2017-01-14; FAA AST mishap docket; spacenews.com 2017-01-14</w:t>
            </w:r>
          </w:p>
        </w:tc>
      </w:tr>
      <w:tr>
        <w:tc>
          <w:tcPr>
            <w:tcW w:w="0" w:type="auto"/>
          </w:tcPr>
          <w:p>
            <w:pPr>
              <w:spacing w:line="240" w:lineRule="auto" w:before="0" w:after="0"/>
              <w:pStyle w:val="Compact"/>
            </w:pPr>
            <w:r>
              <w:rPr>
                <w:sz w:val="20"/>
                <w:szCs w:val="20"/>
              </w:rPr>
              <w:t xml:space="preserve">antares_2014_orb3</w:t>
            </w:r>
          </w:p>
        </w:tc>
        <w:tc>
          <w:tcPr>
            <w:tcW w:w="0" w:type="auto"/>
          </w:tcPr>
          <w:p>
            <w:pPr>
              <w:spacing w:line="240" w:lineRule="auto" w:before="0" w:after="0"/>
              <w:pStyle w:val="Compact"/>
            </w:pPr>
            <w:r>
              <w:rPr>
                <w:sz w:val="20"/>
                <w:szCs w:val="20"/>
              </w:rPr>
              <w:t xml:space="preserve">Antares 130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Orb-3 mishap 2014-10-28; Antares 230 RTF 2016-10-17; NASA LSP report; nasaspaceflight.com 2016-10-17</w:t>
            </w:r>
          </w:p>
        </w:tc>
      </w:tr>
      <w:tr>
        <w:tc>
          <w:tcPr>
            <w:tcW w:w="0" w:type="auto"/>
          </w:tcPr>
          <w:p>
            <w:pPr>
              <w:spacing w:line="240" w:lineRule="auto" w:before="0" w:after="0"/>
              <w:pStyle w:val="Compact"/>
            </w:pPr>
            <w:r>
              <w:rPr>
                <w:sz w:val="20"/>
                <w:szCs w:val="20"/>
              </w:rPr>
              <w:t xml:space="preserve">falcon1_2008_f3</w:t>
            </w:r>
          </w:p>
        </w:tc>
        <w:tc>
          <w:tcPr>
            <w:tcW w:w="0" w:type="auto"/>
          </w:tcPr>
          <w:p>
            <w:pPr>
              <w:spacing w:line="240" w:lineRule="auto" w:before="0" w:after="0"/>
              <w:pStyle w:val="Compact"/>
            </w:pPr>
            <w:r>
              <w:rPr>
                <w:sz w:val="20"/>
                <w:szCs w:val="20"/>
              </w:rPr>
              <w:t xml:space="preserve">Falcon 1</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Falcon 1 Flight 3 failure 2008-08-02; F4 success 2008-09-28; SpaceX press kit</w:t>
            </w:r>
          </w:p>
        </w:tc>
      </w:tr>
      <w:tr>
        <w:tc>
          <w:tcPr>
            <w:tcW w:w="0" w:type="auto"/>
          </w:tcPr>
          <w:p>
            <w:pPr>
              <w:spacing w:line="240" w:lineRule="auto" w:before="0" w:after="0"/>
              <w:pStyle w:val="Compact"/>
            </w:pPr>
            <w:r>
              <w:rPr>
                <w:sz w:val="20"/>
                <w:szCs w:val="20"/>
              </w:rPr>
              <w:t xml:space="preserve">electron_2020_f13</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Pics or It Didnt Happen failure 2020-07-04; RTF 2020-08-31; Rocket Lab press release</w:t>
            </w:r>
          </w:p>
        </w:tc>
      </w:tr>
      <w:tr>
        <w:tc>
          <w:tcPr>
            <w:tcW w:w="0" w:type="auto"/>
          </w:tcPr>
          <w:p>
            <w:pPr>
              <w:spacing w:line="240" w:lineRule="auto" w:before="0" w:after="0"/>
              <w:pStyle w:val="Compact"/>
            </w:pPr>
            <w:r>
              <w:rPr>
                <w:sz w:val="20"/>
                <w:szCs w:val="20"/>
              </w:rPr>
              <w:t xml:space="preserve">electron_2021_f20</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Running Out Of Toes anomaly 2021-05-15; RTF 2021-07-29; Rocket Lab press release</w:t>
            </w:r>
          </w:p>
        </w:tc>
      </w:tr>
      <w:tr>
        <w:tc>
          <w:tcPr>
            <w:tcW w:w="0" w:type="auto"/>
          </w:tcPr>
          <w:p>
            <w:pPr>
              <w:spacing w:line="240" w:lineRule="auto" w:before="0" w:after="0"/>
              <w:pStyle w:val="Compact"/>
            </w:pPr>
            <w:r>
              <w:rPr>
                <w:sz w:val="20"/>
                <w:szCs w:val="20"/>
              </w:rPr>
              <w:t xml:space="preserve">astra_2021_lv0006</w:t>
            </w:r>
          </w:p>
        </w:tc>
        <w:tc>
          <w:tcPr>
            <w:tcW w:w="0" w:type="auto"/>
          </w:tcPr>
          <w:p>
            <w:pPr>
              <w:spacing w:line="240" w:lineRule="auto" w:before="0" w:after="0"/>
              <w:pStyle w:val="Compact"/>
            </w:pPr>
            <w:r>
              <w:rPr>
                <w:sz w:val="20"/>
                <w:szCs w:val="20"/>
              </w:rPr>
              <w:t xml:space="preserve">Astra Rocket 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Astra LV0006 failure 2021-08-28; LV0007 RTF 2021-11-20; Astra Space SEC filing; spacenews.com</w:t>
            </w:r>
          </w:p>
        </w:tc>
      </w:tr>
      <w:tr>
        <w:tc>
          <w:tcPr>
            <w:tcW w:w="0" w:type="auto"/>
          </w:tcPr>
          <w:p>
            <w:pPr>
              <w:spacing w:line="240" w:lineRule="auto" w:before="0" w:after="0"/>
              <w:pStyle w:val="Compact"/>
            </w:pPr>
            <w:r>
              <w:rPr>
                <w:sz w:val="20"/>
                <w:szCs w:val="20"/>
              </w:rPr>
              <w:t xml:space="preserve">falcon9_2024_starlink9_3</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Falcon 9 upper-stage LOX leak Starlink Group 9-3 2024-07-11; RTF 2024-07-27; FAA mishap closure; spacenews.com 2024-07-27</w:t>
            </w:r>
          </w:p>
        </w:tc>
      </w:tr>
      <w:tr>
        <w:tc>
          <w:tcPr>
            <w:tcW w:w="0" w:type="auto"/>
          </w:tcPr>
          <w:p>
            <w:pPr>
              <w:spacing w:line="240" w:lineRule="auto" w:before="0" w:after="0"/>
              <w:pStyle w:val="Compact"/>
            </w:pPr>
            <w:r>
              <w:rPr>
                <w:sz w:val="20"/>
                <w:szCs w:val="20"/>
              </w:rPr>
              <w:t xml:space="preserve">falcon9_2024_crew9</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Falcon 9 second-stage deorbit anomaly 2024-09-28; FAA grounding 2024-09-30; RTF 2024-10-25; FAA AST statement; reuters.com</w:t>
            </w:r>
          </w:p>
        </w:tc>
      </w:tr>
      <w:tr>
        <w:tc>
          <w:tcPr>
            <w:tcW w:w="0" w:type="auto"/>
          </w:tcPr>
          <w:p>
            <w:pPr>
              <w:spacing w:line="240" w:lineRule="auto" w:before="0" w:after="0"/>
              <w:pStyle w:val="Compact"/>
            </w:pPr>
            <w:r>
              <w:rPr>
                <w:sz w:val="20"/>
                <w:szCs w:val="20"/>
              </w:rPr>
              <w:t xml:space="preserve">vega_2019_vv15</w:t>
            </w:r>
          </w:p>
        </w:tc>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Vega VV15 failure 2019-07-11; VV16 RTF 2020-09-02; Arianespace press; ESA mishap report</w:t>
            </w:r>
          </w:p>
        </w:tc>
      </w:tr>
      <w:tr>
        <w:tc>
          <w:tcPr>
            <w:tcW w:w="0" w:type="auto"/>
          </w:tcPr>
          <w:p>
            <w:pPr>
              <w:spacing w:line="240" w:lineRule="auto" w:before="0" w:after="0"/>
              <w:pStyle w:val="Compact"/>
            </w:pPr>
            <w:r>
              <w:rPr>
                <w:sz w:val="20"/>
                <w:szCs w:val="20"/>
              </w:rPr>
              <w:t xml:space="preserve">vegac_2022_vv22</w:t>
            </w:r>
          </w:p>
        </w:tc>
        <w:tc>
          <w:tcPr>
            <w:tcW w:w="0" w:type="auto"/>
          </w:tcPr>
          <w:p>
            <w:pPr>
              <w:spacing w:line="240" w:lineRule="auto" w:before="0" w:after="0"/>
              <w:pStyle w:val="Compact"/>
            </w:pPr>
            <w:r>
              <w:rPr>
                <w:sz w:val="20"/>
                <w:szCs w:val="20"/>
              </w:rPr>
              <w:t xml:space="preserve">Vega 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Vega C VV22 failure 2022-12-20; Vega C RTF 2024-12-05; ESA report; arianespace.com 2024-12-05</w:t>
            </w:r>
          </w:p>
        </w:tc>
      </w:tr>
      <w:tr>
        <w:tc>
          <w:tcPr>
            <w:tcW w:w="0" w:type="auto"/>
          </w:tcPr>
          <w:p>
            <w:pPr>
              <w:spacing w:line="240" w:lineRule="auto" w:before="0" w:after="0"/>
              <w:pStyle w:val="Compact"/>
            </w:pPr>
            <w:r>
              <w:rPr>
                <w:sz w:val="20"/>
                <w:szCs w:val="20"/>
              </w:rPr>
              <w:t xml:space="preserve">proton_2013</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Proton-M failure 2013-07-02; RTF 2013-09-30; Roscosmos commission report; russianspaceweb.com</w:t>
            </w:r>
          </w:p>
        </w:tc>
      </w:tr>
      <w:tr>
        <w:tc>
          <w:tcPr>
            <w:tcW w:w="0" w:type="auto"/>
          </w:tcPr>
          <w:p>
            <w:pPr>
              <w:spacing w:line="240" w:lineRule="auto" w:before="0" w:after="0"/>
              <w:pStyle w:val="Compact"/>
            </w:pPr>
            <w:r>
              <w:rPr>
                <w:sz w:val="20"/>
                <w:szCs w:val="20"/>
              </w:rPr>
              <w:t xml:space="preserve">proton_2014</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Proton-M Express AM4R failure 2014-05-15; RTF 2014-09-28; Roscosmos report; russianspaceweb.com</w:t>
            </w:r>
          </w:p>
        </w:tc>
      </w:tr>
      <w:tr>
        <w:tc>
          <w:tcPr>
            <w:tcW w:w="0" w:type="auto"/>
          </w:tcPr>
          <w:p>
            <w:pPr>
              <w:spacing w:line="240" w:lineRule="auto" w:before="0" w:after="0"/>
              <w:pStyle w:val="Compact"/>
            </w:pPr>
            <w:r>
              <w:rPr>
                <w:sz w:val="20"/>
                <w:szCs w:val="20"/>
              </w:rPr>
              <w:t xml:space="preserve">ariane5_2018_v243</w:t>
            </w:r>
          </w:p>
        </w:tc>
        <w:tc>
          <w:tcPr>
            <w:tcW w:w="0" w:type="auto"/>
          </w:tcPr>
          <w:p>
            <w:pPr>
              <w:spacing w:line="240" w:lineRule="auto" w:before="0" w:after="0"/>
              <w:pStyle w:val="Compact"/>
            </w:pPr>
            <w:r>
              <w:rPr>
                <w:sz w:val="20"/>
                <w:szCs w:val="20"/>
              </w:rPr>
              <w:t xml:space="preserve">Ariane 5 ECA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Ariane 5 V243 trajectory anomaly 2018-01-25; RTF V244 2018-04-05; Arianespace inquiry board; spacenews.com</w:t>
            </w:r>
          </w:p>
        </w:tc>
      </w:tr>
      <w:tr>
        <w:tc>
          <w:tcPr>
            <w:tcW w:w="0" w:type="auto"/>
          </w:tcPr>
          <w:p>
            <w:pPr>
              <w:spacing w:line="240" w:lineRule="auto" w:before="0" w:after="0"/>
              <w:pStyle w:val="Compact"/>
            </w:pPr>
            <w:r>
              <w:rPr>
                <w:sz w:val="20"/>
                <w:szCs w:val="20"/>
              </w:rPr>
              <w:t xml:space="preserve">falcon9_2015_jason3</w:t>
            </w:r>
          </w:p>
        </w:tc>
        <w:tc>
          <w:tcPr>
            <w:tcW w:w="0" w:type="auto"/>
          </w:tcPr>
          <w:p>
            <w:pPr>
              <w:spacing w:line="240" w:lineRule="auto" w:before="0" w:after="0"/>
              <w:pStyle w:val="Compact"/>
            </w:pPr>
            <w:r>
              <w:rPr>
                <w:sz w:val="20"/>
                <w:szCs w:val="20"/>
              </w:rPr>
              <w:t xml:space="preserve">Falcon 9 v1.1 [illustrative]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Falcon 9 Jason-3 landing-leg anomaly 2016-01-17 minor non-grounding event</w:t>
            </w:r>
          </w:p>
        </w:tc>
      </w:tr>
      <w:tr>
        <w:tc>
          <w:tcPr>
            <w:tcW w:w="0" w:type="auto"/>
          </w:tcPr>
          <w:p>
            <w:pPr>
              <w:spacing w:line="240" w:lineRule="auto" w:before="0" w:after="0"/>
              <w:pStyle w:val="Compact"/>
            </w:pPr>
            <w:r>
              <w:rPr>
                <w:sz w:val="20"/>
                <w:szCs w:val="20"/>
              </w:rPr>
              <w:t xml:space="preserve">soyuz_2018_ms10</w:t>
            </w:r>
          </w:p>
        </w:tc>
        <w:tc>
          <w:tcPr>
            <w:tcW w:w="0" w:type="auto"/>
          </w:tcPr>
          <w:p>
            <w:pPr>
              <w:spacing w:line="240" w:lineRule="auto" w:before="0" w:after="0"/>
              <w:pStyle w:val="Compact"/>
            </w:pPr>
            <w:r>
              <w:rPr>
                <w:sz w:val="20"/>
                <w:szCs w:val="20"/>
              </w:rPr>
              <w:t xml:space="preserve">Soyuz-FG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Soyuz MS-10 abort 2018-10-11; Soyuz-FG RTF 2018-12-03; Roscosmos commission; nasaspaceflight.com</w:t>
            </w:r>
          </w:p>
        </w:tc>
      </w:tr>
      <w:tr>
        <w:tc>
          <w:tcPr>
            <w:tcW w:w="0" w:type="auto"/>
          </w:tcPr>
          <w:p>
            <w:pPr>
              <w:spacing w:line="240" w:lineRule="auto" w:before="0" w:after="0"/>
              <w:pStyle w:val="Compact"/>
            </w:pPr>
            <w:r>
              <w:rPr>
                <w:sz w:val="20"/>
                <w:szCs w:val="20"/>
              </w:rPr>
              <w:t xml:space="preserve">longmarch5_2017_y2</w:t>
            </w:r>
          </w:p>
        </w:tc>
        <w:tc>
          <w:tcPr>
            <w:tcW w:w="0" w:type="auto"/>
          </w:tcPr>
          <w:p>
            <w:pPr>
              <w:spacing w:line="240" w:lineRule="auto" w:before="0" w:after="0"/>
              <w:pStyle w:val="Compact"/>
            </w:pPr>
            <w:r>
              <w:rPr>
                <w:sz w:val="20"/>
                <w:szCs w:val="20"/>
              </w:rPr>
              <w:t xml:space="preserve">Long March 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LM-5 Y2 failure 2017-07-02; LM-5 Y3 RTF 2019-12-27; CASC report; spacenews.com 2019-12-27</w:t>
            </w:r>
          </w:p>
        </w:tc>
      </w:tr>
      <w:tr>
        <w:tc>
          <w:tcPr>
            <w:tcW w:w="0" w:type="auto"/>
          </w:tcPr>
          <w:p>
            <w:pPr>
              <w:spacing w:line="240" w:lineRule="auto" w:before="0" w:after="0"/>
              <w:pStyle w:val="Compact"/>
            </w:pPr>
            <w:r>
              <w:rPr>
                <w:sz w:val="20"/>
                <w:szCs w:val="20"/>
              </w:rPr>
              <w:t xml:space="preserve">h2a_2003_f6</w:t>
            </w:r>
          </w:p>
        </w:tc>
        <w:tc>
          <w:tcPr>
            <w:tcW w:w="0" w:type="auto"/>
          </w:tcPr>
          <w:p>
            <w:pPr>
              <w:spacing w:line="240" w:lineRule="auto" w:before="0" w:after="0"/>
              <w:pStyle w:val="Compact"/>
            </w:pPr>
            <w:r>
              <w:rPr>
                <w:sz w:val="20"/>
                <w:szCs w:val="20"/>
              </w:rPr>
              <w:t xml:space="preserve">H-IIA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H-IIA F6 failure 2003-11-29; F7 RTF 2005-02-26; JAXA report</w:t>
            </w:r>
          </w:p>
        </w:tc>
      </w:tr>
      <w:tr>
        <w:tc>
          <w:tcPr>
            <w:tcW w:w="0" w:type="auto"/>
          </w:tcPr>
          <w:p>
            <w:pPr>
              <w:spacing w:line="240" w:lineRule="auto" w:before="0" w:after="0"/>
              <w:pStyle w:val="Compact"/>
            </w:pPr>
            <w:r>
              <w:rPr>
                <w:sz w:val="20"/>
                <w:szCs w:val="20"/>
              </w:rPr>
              <w:t xml:space="preserve">h3_2023_tf1</w:t>
            </w:r>
          </w:p>
        </w:tc>
        <w:tc>
          <w:tcPr>
            <w:tcW w:w="0" w:type="auto"/>
          </w:tcPr>
          <w:p>
            <w:pPr>
              <w:spacing w:line="240" w:lineRule="auto" w:before="0" w:after="0"/>
              <w:pStyle w:val="Compact"/>
            </w:pPr>
            <w:r>
              <w:rPr>
                <w:sz w:val="20"/>
                <w:szCs w:val="20"/>
              </w:rPr>
              <w:t xml:space="preserve">H3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H3 TF1 failure 2023-03-07; H3 TF2 RTF 2024-02-17; JAXA report; spacenews.com 2024-02-17</w:t>
            </w:r>
          </w:p>
        </w:tc>
      </w:tr>
      <w:tr>
        <w:tc>
          <w:tcPr>
            <w:tcW w:w="0" w:type="auto"/>
          </w:tcPr>
          <w:p>
            <w:pPr>
              <w:spacing w:line="240" w:lineRule="auto" w:before="0" w:after="0"/>
              <w:pStyle w:val="Compact"/>
            </w:pPr>
            <w:r>
              <w:rPr>
                <w:sz w:val="20"/>
                <w:szCs w:val="20"/>
              </w:rPr>
              <w:t xml:space="preserve">firefly_2021_alpha1</w:t>
            </w:r>
          </w:p>
        </w:tc>
        <w:tc>
          <w:tcPr>
            <w:tcW w:w="0" w:type="auto"/>
          </w:tcPr>
          <w:p>
            <w:pPr>
              <w:spacing w:line="240" w:lineRule="auto" w:before="0" w:after="0"/>
              <w:pStyle w:val="Compact"/>
            </w:pPr>
            <w:r>
              <w:rPr>
                <w:sz w:val="20"/>
                <w:szCs w:val="20"/>
              </w:rPr>
              <w:t xml:space="preserve">Firefly Alpha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Firefly Alpha FLTA001 failure 2021-09-02; FLTA002 RTF 2022-10-01; Firefly press; spacenews.com</w:t>
            </w:r>
          </w:p>
        </w:tc>
      </w:tr>
      <w:tr>
        <w:tc>
          <w:tcPr>
            <w:tcW w:w="0" w:type="auto"/>
          </w:tcPr>
          <w:p>
            <w:pPr>
              <w:spacing w:line="240" w:lineRule="auto" w:before="0" w:after="0"/>
              <w:pStyle w:val="Compact"/>
            </w:pPr>
            <w:r>
              <w:rPr>
                <w:sz w:val="20"/>
                <w:szCs w:val="20"/>
              </w:rPr>
              <w:t xml:space="preserve">firefly_2022_alpha2</w:t>
            </w:r>
          </w:p>
        </w:tc>
        <w:tc>
          <w:tcPr>
            <w:tcW w:w="0" w:type="auto"/>
          </w:tcPr>
          <w:p>
            <w:pPr>
              <w:spacing w:line="240" w:lineRule="auto" w:before="0" w:after="0"/>
              <w:pStyle w:val="Compact"/>
            </w:pPr>
            <w:r>
              <w:rPr>
                <w:sz w:val="20"/>
                <w:szCs w:val="20"/>
              </w:rPr>
              <w:t xml:space="preserve">Firefly Alpha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Firefly Alpha FLTA002 partial failure 2022-10-01; RTF FLTA003 2023-09-14; Firefly press release</w:t>
            </w:r>
          </w:p>
        </w:tc>
      </w:tr>
      <w:tr>
        <w:tc>
          <w:tcPr>
            <w:tcW w:w="0" w:type="auto"/>
          </w:tcPr>
          <w:p>
            <w:pPr>
              <w:spacing w:line="240" w:lineRule="auto" w:before="0" w:after="0"/>
              <w:pStyle w:val="Compact"/>
            </w:pPr>
            <w:r>
              <w:rPr>
                <w:sz w:val="20"/>
                <w:szCs w:val="20"/>
              </w:rPr>
              <w:t xml:space="preserve">abl_2023_rs1</w:t>
            </w:r>
          </w:p>
        </w:tc>
        <w:tc>
          <w:tcPr>
            <w:tcW w:w="0" w:type="auto"/>
          </w:tcPr>
          <w:p>
            <w:pPr>
              <w:spacing w:line="240" w:lineRule="auto" w:before="0" w:after="0"/>
              <w:pStyle w:val="Compact"/>
            </w:pPr>
            <w:r>
              <w:rPr>
                <w:sz w:val="20"/>
                <w:szCs w:val="20"/>
              </w:rPr>
              <w:t xml:space="preserve">ABL RS1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ABL RS1 maiden flight failure 2023-01-10; ABL ceased ops Oct 2024 without RTF; right-censored at 365 days; spacenews.com 2024-10</w:t>
            </w:r>
          </w:p>
        </w:tc>
      </w:tr>
      <w:tr>
        <w:tc>
          <w:tcPr>
            <w:tcW w:w="0" w:type="auto"/>
          </w:tcPr>
          <w:p>
            <w:pPr>
              <w:spacing w:line="240" w:lineRule="auto" w:before="0" w:after="0"/>
              <w:pStyle w:val="Compact"/>
            </w:pPr>
            <w:r>
              <w:rPr>
                <w:sz w:val="20"/>
                <w:szCs w:val="20"/>
              </w:rPr>
              <w:t xml:space="preserve">relativity_2023_terran1</w:t>
            </w:r>
          </w:p>
        </w:tc>
        <w:tc>
          <w:tcPr>
            <w:tcW w:w="0" w:type="auto"/>
          </w:tcPr>
          <w:p>
            <w:pPr>
              <w:spacing w:line="240" w:lineRule="auto" w:before="0" w:after="0"/>
              <w:pStyle w:val="Compact"/>
            </w:pPr>
            <w:r>
              <w:rPr>
                <w:sz w:val="20"/>
                <w:szCs w:val="20"/>
              </w:rPr>
              <w:t xml:space="preserve">Terran 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Relativity Terran 1 Good Luck Have Fun failure 2023-03-22; vehicle retired April 2023 no RTF; censored; spacenews.com 2023-04</w:t>
            </w:r>
          </w:p>
        </w:tc>
      </w:tr>
      <w:tr>
        <w:tc>
          <w:tcPr>
            <w:tcW w:w="0" w:type="auto"/>
          </w:tcPr>
          <w:p>
            <w:pPr>
              <w:spacing w:line="240" w:lineRule="auto" w:before="0" w:after="0"/>
              <w:pStyle w:val="Compact"/>
            </w:pPr>
            <w:r>
              <w:rPr>
                <w:sz w:val="20"/>
                <w:szCs w:val="20"/>
              </w:rPr>
              <w:t xml:space="preserve">virgin_orbit_2023_start</w:t>
            </w:r>
          </w:p>
        </w:tc>
        <w:tc>
          <w:tcPr>
            <w:tcW w:w="0" w:type="auto"/>
          </w:tcPr>
          <w:p>
            <w:pPr>
              <w:spacing w:line="240" w:lineRule="auto" w:before="0" w:after="0"/>
              <w:pStyle w:val="Compact"/>
            </w:pPr>
            <w:r>
              <w:rPr>
                <w:sz w:val="20"/>
                <w:szCs w:val="20"/>
              </w:rPr>
              <w:t xml:space="preserve">LauncherOne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Virgin Orbit Start Me Up failure 2023-01-09; bankruptcy April 2023 no RTF; censored; spacenews.com 2023-04</w:t>
            </w:r>
          </w:p>
        </w:tc>
      </w:tr>
      <w:tr>
        <w:tc>
          <w:tcPr>
            <w:tcW w:w="0" w:type="auto"/>
          </w:tcPr>
          <w:p>
            <w:pPr>
              <w:spacing w:line="240" w:lineRule="auto" w:before="0" w:after="0"/>
              <w:pStyle w:val="Compact"/>
            </w:pPr>
            <w:r>
              <w:rPr>
                <w:sz w:val="20"/>
                <w:szCs w:val="20"/>
              </w:rPr>
              <w:t xml:space="preserve">falcon9_2025_starlink_11_4</w:t>
            </w:r>
          </w:p>
        </w:tc>
        <w:tc>
          <w:tcPr>
            <w:tcW w:w="0" w:type="auto"/>
          </w:tcPr>
          <w:p>
            <w:pPr>
              <w:spacing w:line="240" w:lineRule="auto" w:before="0" w:after="0"/>
              <w:pStyle w:val="Compact"/>
            </w:pPr>
            <w:r>
              <w:rPr>
                <w:sz w:val="20"/>
                <w:szCs w:val="20"/>
              </w:rPr>
              <w:t xml:space="preserve">Falcon 9 Block 5 [illustrative]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Falcon 9 Starlink upper-stage anomaly Q1 2025 short RTF; mirrors 2024 pattern</w:t>
            </w:r>
          </w:p>
        </w:tc>
      </w:tr>
      <w:tr>
        <w:tc>
          <w:tcPr>
            <w:tcW w:w="0" w:type="auto"/>
          </w:tcPr>
          <w:p>
            <w:pPr>
              <w:spacing w:line="240" w:lineRule="auto" w:before="0" w:after="0"/>
              <w:pStyle w:val="Compact"/>
            </w:pPr>
            <w:r>
              <w:rPr>
                <w:sz w:val="20"/>
                <w:szCs w:val="20"/>
              </w:rPr>
              <w:t xml:space="preserve">electron_2023_f41</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We Will Never Desert You failure 2023-09-19; RTF 2024-01-15; Rocket Lab press</w:t>
            </w:r>
          </w:p>
        </w:tc>
      </w:tr>
      <w:tr>
        <w:tc>
          <w:tcPr>
            <w:tcW w:w="0" w:type="auto"/>
          </w:tcPr>
          <w:p>
            <w:pPr>
              <w:spacing w:line="240" w:lineRule="auto" w:before="0" w:after="0"/>
              <w:pStyle w:val="Compact"/>
            </w:pPr>
            <w:r>
              <w:rPr>
                <w:sz w:val="20"/>
                <w:szCs w:val="20"/>
              </w:rPr>
              <w:t xml:space="preserve">delta4h_2019</w:t>
            </w:r>
          </w:p>
        </w:tc>
        <w:tc>
          <w:tcPr>
            <w:tcW w:w="0" w:type="auto"/>
          </w:tcPr>
          <w:p>
            <w:pPr>
              <w:spacing w:line="240" w:lineRule="auto" w:before="0" w:after="0"/>
              <w:pStyle w:val="Compact"/>
            </w:pPr>
            <w:r>
              <w:rPr>
                <w:sz w:val="20"/>
                <w:szCs w:val="20"/>
              </w:rPr>
              <w:t xml:space="preserve">Delta IV Heavy [illustrative]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Delta IV Heavy upper-stage anomaly NROL mission timeline approximation</w:t>
            </w:r>
          </w:p>
        </w:tc>
      </w:tr>
      <w:tr>
        <w:tc>
          <w:tcPr>
            <w:tcW w:w="0" w:type="auto"/>
          </w:tcPr>
          <w:p>
            <w:pPr>
              <w:spacing w:line="240" w:lineRule="auto" w:before="0" w:after="0"/>
              <w:pStyle w:val="Compact"/>
            </w:pPr>
            <w:r>
              <w:rPr>
                <w:sz w:val="20"/>
                <w:szCs w:val="20"/>
              </w:rPr>
              <w:t xml:space="preserve">atlasv_2016_orb6</w:t>
            </w:r>
          </w:p>
        </w:tc>
        <w:tc>
          <w:tcPr>
            <w:tcW w:w="0" w:type="auto"/>
          </w:tcPr>
          <w:p>
            <w:pPr>
              <w:spacing w:line="240" w:lineRule="auto" w:before="0" w:after="0"/>
              <w:pStyle w:val="Compact"/>
            </w:pPr>
            <w:r>
              <w:rPr>
                <w:sz w:val="20"/>
                <w:szCs w:val="20"/>
              </w:rPr>
              <w:t xml:space="preserve">Atlas V 401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Atlas V Cygnus OA-6 first-stage early shutdown 2016-03-22; RTF 2016-06-14; ULA anomaly report; nasaspaceflight.com</w:t>
            </w:r>
          </w:p>
        </w:tc>
      </w:tr>
    </w:tbl>
    <w:bookmarkEnd w:id="172"/>
    <w:bookmarkStart w:id="17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Calendar days from anomaly date to regulatory return-to-flight clearance</w:t>
            </w:r>
          </w:p>
        </w:tc>
        <w:tc>
          <w:tcPr>
            <w:tcW w:w="0" w:type="auto"/>
          </w:tcPr>
          <w:p>
            <w:pPr>
              <w:spacing w:line="240" w:lineRule="auto" w:before="0" w:after="0"/>
              <w:pStyle w:val="Compact"/>
            </w:pPr>
            <w:r>
              <w:rPr>
                <w:sz w:val="20"/>
                <w:szCs w:val="20"/>
              </w:rPr>
              <w:t xml:space="preserve">FAA AST mishap dockets; operator press releases; ESA/JAXA/Roscosmos commission reports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Indicator equal to 1 if return-to-flight achieved during observation window, 0 if right-censored (vehicle retired or operator dissolved without RTF)</w:t>
            </w:r>
          </w:p>
        </w:tc>
        <w:tc>
          <w:tcPr>
            <w:tcW w:w="0" w:type="auto"/>
          </w:tcPr>
          <w:p>
            <w:pPr>
              <w:spacing w:line="240" w:lineRule="auto" w:before="0" w:after="0"/>
              <w:pStyle w:val="Compact"/>
            </w:pPr>
            <w:r>
              <w:rPr>
                <w:sz w:val="20"/>
                <w:szCs w:val="20"/>
              </w:rPr>
              <w:t xml:space="preserve">Constructed from operator status as of 2025-Q4</w:t>
            </w:r>
          </w:p>
        </w:tc>
      </w:tr>
      <w:tr>
        <w:tc>
          <w:tcPr>
            <w:tcW w:w="0" w:type="auto"/>
          </w:tcPr>
          <w:p>
            <w:pPr>
              <w:spacing w:line="240" w:lineRule="auto" w:before="0" w:after="0"/>
              <w:pStyle w:val="Compact"/>
            </w:pPr>
            <w:r>
              <w:rPr>
                <w:sz w:val="20"/>
                <w:szCs w:val="20"/>
              </w:rPr>
              <w:t xml:space="preserve">severity</w:t>
            </w:r>
          </w:p>
        </w:tc>
        <w:tc>
          <w:tcPr>
            <w:tcW w:w="0" w:type="auto"/>
          </w:tcPr>
          <w:p>
            <w:pPr>
              <w:spacing w:line="240" w:lineRule="auto" w:before="0" w:after="0"/>
              <w:pStyle w:val="Compact"/>
            </w:pPr>
            <w:r>
              <w:rPr>
                <w:sz w:val="20"/>
                <w:szCs w:val="20"/>
              </w:rPr>
              <w:t xml:space="preserve">Ordinal anomaly severity (1=minor in-flight anomaly with payload partial success, 2=mission failure with payload loss, 3=catastrophic vehicle loss-of-mission)</w:t>
            </w:r>
          </w:p>
        </w:tc>
        <w:tc>
          <w:tcPr>
            <w:tcW w:w="0" w:type="auto"/>
          </w:tcPr>
          <w:p>
            <w:pPr>
              <w:spacing w:line="240" w:lineRule="auto" w:before="0" w:after="0"/>
              <w:pStyle w:val="Compact"/>
            </w:pPr>
            <w:r>
              <w:rPr>
                <w:sz w:val="20"/>
                <w:szCs w:val="20"/>
              </w:rPr>
              <w:t xml:space="preserve">Coded from FAA AST mishap classifications and operator anomaly summaries</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Indicator equal to 1 if operator anomaly-response workflow documented use of AI-assisted diagnostic or telemetry-anomaly-detection systems at time of mishap, 0 otherwise</w:t>
            </w:r>
          </w:p>
        </w:tc>
        <w:tc>
          <w:tcPr>
            <w:tcW w:w="0" w:type="auto"/>
          </w:tcPr>
          <w:p>
            <w:pPr>
              <w:spacing w:line="240" w:lineRule="auto" w:before="0" w:after="0"/>
              <w:pStyle w:val="Compact"/>
            </w:pPr>
            <w:r>
              <w:rPr>
                <w:sz w:val="20"/>
                <w:szCs w:val="20"/>
              </w:rPr>
              <w:t xml:space="preserve">Cross-referenced from operator disclosures to AMOS 2025 prototype timeline [1]</w:t>
            </w:r>
          </w:p>
        </w:tc>
      </w:tr>
      <w:tr>
        <w:tc>
          <w:tcPr>
            <w:tcW w:w="0" w:type="auto"/>
          </w:tcPr>
          <w:p>
            <w:pPr>
              <w:spacing w:line="240" w:lineRule="auto" w:before="0" w:after="0"/>
              <w:pStyle w:val="Compact"/>
            </w:pPr>
            <w:r>
              <w:rPr>
                <w:sz w:val="20"/>
                <w:szCs w:val="20"/>
              </w:rPr>
              <w:t xml:space="preserve">prior_investigations</w:t>
            </w:r>
          </w:p>
        </w:tc>
        <w:tc>
          <w:tcPr>
            <w:tcW w:w="0" w:type="auto"/>
          </w:tcPr>
          <w:p>
            <w:pPr>
              <w:spacing w:line="240" w:lineRule="auto" w:before="0" w:after="0"/>
              <w:pStyle w:val="Compact"/>
            </w:pPr>
            <w:r>
              <w:rPr>
                <w:sz w:val="20"/>
                <w:szCs w:val="20"/>
              </w:rPr>
              <w:t xml:space="preserve">Count of prior FAA AST or equivalent national-regulator mishap investigations for the operator preceding the focal event</w:t>
            </w:r>
          </w:p>
        </w:tc>
        <w:tc>
          <w:tcPr>
            <w:tcW w:w="0" w:type="auto"/>
          </w:tcPr>
          <w:p>
            <w:pPr>
              <w:spacing w:line="240" w:lineRule="auto" w:before="0" w:after="0"/>
              <w:pStyle w:val="Compact"/>
            </w:pPr>
            <w:r>
              <w:rPr>
                <w:sz w:val="20"/>
                <w:szCs w:val="20"/>
              </w:rPr>
              <w:t xml:space="preserve">FAA AST mishap docket; operator history</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Indicator equal to 1 if the lost or affected payload was commercial (broadband, communications, Earth observation), 0 if national-security or science</w:t>
            </w:r>
          </w:p>
        </w:tc>
        <w:tc>
          <w:tcPr>
            <w:tcW w:w="0" w:type="auto"/>
          </w:tcPr>
          <w:p>
            <w:pPr>
              <w:spacing w:line="240" w:lineRule="auto" w:before="0" w:after="0"/>
              <w:pStyle w:val="Compact"/>
            </w:pPr>
            <w:r>
              <w:rPr>
                <w:sz w:val="20"/>
                <w:szCs w:val="20"/>
              </w:rPr>
              <w:t xml:space="preserve">FCC International Bureau filings; mission press kits</w:t>
            </w:r>
          </w:p>
        </w:tc>
      </w:tr>
    </w:tbl>
    <w:bookmarkEnd w:id="173"/>
    <w:bookmarkEnd w:id="174"/>
    <w:bookmarkStart w:id="182" w:name="X1cfa693cb796388848b3830a090ad81ecd15ff1"/>
    <w:p>
      <w:pPr>
        <w:pStyle w:val="Heading2"/>
        <w:spacing w:line="480" w:lineRule="auto"/>
      </w:pPr>
      <w:r>
        <w:t xml:space="preserve">A.2 Mishap Investigation Duration and the Hazard of Regulatory Return-to-Flight: A Cox Proportional-Hazards Model of Post-Anomaly Grounding Intervals, 1996-2025</w:t>
      </w:r>
    </w:p>
    <w:p>
      <w:pPr>
        <w:pStyle w:val="FirstParagraph"/>
        <w:spacing w:line="480" w:lineRule="auto"/>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rPr>
              <m:nor/>
              <m:sty m:val="p"/>
            </m:rPr>
            <m:t>phase_ascent</m:t>
          </m:r>
          <m:r>
            <m:rPr>
              <m:sty m:val="p"/>
            </m:rPr>
            <m:t>+</m:t>
          </m:r>
          <m:sSub>
            <m:e>
              <m:r>
                <m:t>β</m:t>
              </m:r>
            </m:e>
            <m:sub>
              <m:r>
                <m:t>2</m:t>
              </m:r>
            </m:sub>
          </m:sSub>
          <m:r>
            <m:rPr>
              <m:nor/>
              <m:sty m:val="p"/>
            </m:rPr>
            <m:t>payload_commercial</m:t>
          </m:r>
          <m:r>
            <m:rPr>
              <m:sty m:val="p"/>
            </m:rPr>
            <m:t>+</m:t>
          </m:r>
          <m:sSub>
            <m:e>
              <m:r>
                <m:t>β</m:t>
              </m:r>
            </m:e>
            <m:sub>
              <m:r>
                <m:t>3</m:t>
              </m:r>
            </m:sub>
          </m:sSub>
          <m:r>
            <m:rPr>
              <m:nor/>
              <m:sty m:val="p"/>
            </m:rPr>
            <m:t>ai_tooling</m:t>
          </m:r>
          <m:r>
            <m:rPr>
              <m:sty m:val="p"/>
            </m:rPr>
            <m:t>+</m:t>
          </m:r>
          <m:sSub>
            <m:e>
              <m:r>
                <m:t>β</m:t>
              </m:r>
            </m:e>
            <m:sub>
              <m:r>
                <m:t>4</m:t>
              </m:r>
            </m:sub>
          </m:sSub>
          <m:r>
            <m:rPr>
              <m:nor/>
              <m:sty m:val="p"/>
            </m:rPr>
            <m:t>prior_inv_count</m:t>
          </m:r>
          <m:r>
            <m:rPr>
              <m:sty m:val="p"/>
            </m:rPr>
            <m:t>)</m:t>
          </m:r>
        </m:oMath>
      </m:oMathPara>
    </w:p>
    <w:bookmarkStart w:id="17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phase_ascent</w:t>
            </w:r>
          </w:p>
        </w:tc>
        <w:tc>
          <w:tcPr>
            <w:tcW w:w="0" w:type="auto"/>
          </w:tcPr>
          <w:p>
            <w:pPr>
              <w:spacing w:line="240" w:lineRule="auto" w:before="0" w:after="0"/>
              <w:pStyle w:val="Compact"/>
            </w:pPr>
            <w:r>
              <w:rPr>
                <w:sz w:val="20"/>
                <w:szCs w:val="20"/>
              </w:rPr>
              <w:t xml:space="preserve">0.3092</w:t>
            </w:r>
          </w:p>
        </w:tc>
        <w:tc>
          <w:tcPr>
            <w:tcW w:w="0" w:type="auto"/>
          </w:tcPr>
          <w:p>
            <w:pPr>
              <w:spacing w:line="240" w:lineRule="auto" w:before="0" w:after="0"/>
              <w:pStyle w:val="Compact"/>
            </w:pPr>
            <w:r>
              <w:rPr>
                <w:sz w:val="20"/>
                <w:szCs w:val="20"/>
              </w:rPr>
              <w:t xml:space="preserve">0.398</w:t>
            </w:r>
          </w:p>
        </w:tc>
        <w:tc>
          <w:tcPr>
            <w:tcW w:w="0" w:type="auto"/>
          </w:tcPr>
          <w:p>
            <w:pPr>
              <w:spacing w:line="240" w:lineRule="auto" w:before="0" w:after="0"/>
              <w:pStyle w:val="Compact"/>
            </w:pPr>
            <w:r>
              <w:rPr>
                <w:sz w:val="20"/>
                <w:szCs w:val="20"/>
              </w:rPr>
              <w:t xml:space="preserve">0.777</w:t>
            </w:r>
          </w:p>
        </w:tc>
        <w:tc>
          <w:tcPr>
            <w:tcW w:w="0" w:type="auto"/>
          </w:tcPr>
          <w:p>
            <w:pPr>
              <w:spacing w:line="240" w:lineRule="auto" w:before="0" w:after="0"/>
              <w:pStyle w:val="Compact"/>
            </w:pPr>
            <w:r>
              <w:rPr>
                <w:sz w:val="20"/>
                <w:szCs w:val="20"/>
              </w:rPr>
              <w:t xml:space="preserve">0.4372</w:t>
            </w:r>
          </w:p>
        </w:tc>
        <w:tc>
          <w:tcPr>
            <w:tcW w:w="0" w:type="auto"/>
          </w:tcPr>
          <w:p>
            <w:pPr>
              <w:spacing w:line="240" w:lineRule="auto" w:before="0" w:after="0"/>
              <w:pStyle w:val="Compact"/>
            </w:pPr>
            <w:r>
              <w:rPr>
                <w:sz w:val="20"/>
                <w:szCs w:val="20"/>
              </w:rPr>
              <w:t xml:space="preserve">[-0.4708, 1.0892]</w:t>
            </w:r>
          </w:p>
        </w:tc>
        <w:tc>
          <w:tcPr>
            <w:tcW w:w="0" w:type="auto"/>
          </w:tcPr>
          <w:p>
            <w:pPr>
              <w:spacing w:line="240" w:lineRule="auto" w:before="0" w:after="0"/>
              <w:pStyle w:val="Compact"/>
            </w:pPr>
            <w:r>
              <w:rPr>
                <w:sz w:val="20"/>
                <w:szCs w:val="20"/>
              </w:rPr>
              <w:t xml:space="preserve">1.3624</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0.059</w:t>
            </w:r>
          </w:p>
        </w:tc>
        <w:tc>
          <w:tcPr>
            <w:tcW w:w="0" w:type="auto"/>
          </w:tcPr>
          <w:p>
            <w:pPr>
              <w:spacing w:line="240" w:lineRule="auto" w:before="0" w:after="0"/>
              <w:pStyle w:val="Compact"/>
            </w:pPr>
            <w:r>
              <w:rPr>
                <w:sz w:val="20"/>
                <w:szCs w:val="20"/>
              </w:rPr>
              <w:t xml:space="preserve">0.3971</w:t>
            </w:r>
          </w:p>
        </w:tc>
        <w:tc>
          <w:tcPr>
            <w:tcW w:w="0" w:type="auto"/>
          </w:tcPr>
          <w:p>
            <w:pPr>
              <w:spacing w:line="240" w:lineRule="auto" w:before="0" w:after="0"/>
              <w:pStyle w:val="Compact"/>
            </w:pPr>
            <w:r>
              <w:rPr>
                <w:sz w:val="20"/>
                <w:szCs w:val="20"/>
              </w:rPr>
              <w:t xml:space="preserve">0.1486</w:t>
            </w:r>
          </w:p>
        </w:tc>
        <w:tc>
          <w:tcPr>
            <w:tcW w:w="0" w:type="auto"/>
          </w:tcPr>
          <w:p>
            <w:pPr>
              <w:spacing w:line="240" w:lineRule="auto" w:before="0" w:after="0"/>
              <w:pStyle w:val="Compact"/>
            </w:pPr>
            <w:r>
              <w:rPr>
                <w:sz w:val="20"/>
                <w:szCs w:val="20"/>
              </w:rPr>
              <w:t xml:space="preserve">0.8819</w:t>
            </w:r>
          </w:p>
        </w:tc>
        <w:tc>
          <w:tcPr>
            <w:tcW w:w="0" w:type="auto"/>
          </w:tcPr>
          <w:p>
            <w:pPr>
              <w:spacing w:line="240" w:lineRule="auto" w:before="0" w:after="0"/>
              <w:pStyle w:val="Compact"/>
            </w:pPr>
            <w:r>
              <w:rPr>
                <w:sz w:val="20"/>
                <w:szCs w:val="20"/>
              </w:rPr>
              <w:t xml:space="preserve">[-0.7192, 0.8372]</w:t>
            </w:r>
          </w:p>
        </w:tc>
        <w:tc>
          <w:tcPr>
            <w:tcW w:w="0" w:type="auto"/>
          </w:tcPr>
          <w:p>
            <w:pPr>
              <w:spacing w:line="240" w:lineRule="auto" w:before="0" w:after="0"/>
              <w:pStyle w:val="Compact"/>
            </w:pPr>
            <w:r>
              <w:rPr>
                <w:sz w:val="20"/>
                <w:szCs w:val="20"/>
              </w:rPr>
              <w:t xml:space="preserve">1.0608</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0.951</w:t>
            </w:r>
          </w:p>
        </w:tc>
        <w:tc>
          <w:tcPr>
            <w:tcW w:w="0" w:type="auto"/>
          </w:tcPr>
          <w:p>
            <w:pPr>
              <w:spacing w:line="240" w:lineRule="auto" w:before="0" w:after="0"/>
              <w:pStyle w:val="Compact"/>
            </w:pPr>
            <w:r>
              <w:rPr>
                <w:sz w:val="20"/>
                <w:szCs w:val="20"/>
              </w:rPr>
              <w:t xml:space="preserve">0.4341</w:t>
            </w:r>
          </w:p>
        </w:tc>
        <w:tc>
          <w:tcPr>
            <w:tcW w:w="0" w:type="auto"/>
          </w:tcPr>
          <w:p>
            <w:pPr>
              <w:spacing w:line="240" w:lineRule="auto" w:before="0" w:after="0"/>
              <w:pStyle w:val="Compact"/>
            </w:pPr>
            <w:r>
              <w:rPr>
                <w:sz w:val="20"/>
                <w:szCs w:val="20"/>
              </w:rPr>
              <w:t xml:space="preserve">2.1905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[0.1001, 1.8019]</w:t>
            </w:r>
          </w:p>
        </w:tc>
        <w:tc>
          <w:tcPr>
            <w:tcW w:w="0" w:type="auto"/>
          </w:tcPr>
          <w:p>
            <w:pPr>
              <w:spacing w:line="240" w:lineRule="auto" w:before="0" w:after="0"/>
              <w:pStyle w:val="Compact"/>
            </w:pPr>
            <w:r>
              <w:rPr>
                <w:sz w:val="20"/>
                <w:szCs w:val="20"/>
              </w:rPr>
              <w:t xml:space="preserve">2.5883</w:t>
            </w:r>
          </w:p>
        </w:tc>
      </w:tr>
      <w:tr>
        <w:tc>
          <w:tcPr>
            <w:tcW w:w="0" w:type="auto"/>
          </w:tcPr>
          <w:p>
            <w:pPr>
              <w:spacing w:line="240" w:lineRule="auto" w:before="0" w:after="0"/>
              <w:pStyle w:val="Compact"/>
            </w:pPr>
            <w:r>
              <w:rPr>
                <w:sz w:val="20"/>
                <w:szCs w:val="20"/>
              </w:rPr>
              <w:t xml:space="preserve">prior_inv_count</w:t>
            </w:r>
          </w:p>
        </w:tc>
        <w:tc>
          <w:tcPr>
            <w:tcW w:w="0" w:type="auto"/>
          </w:tcPr>
          <w:p>
            <w:pPr>
              <w:spacing w:line="240" w:lineRule="auto" w:before="0" w:after="0"/>
              <w:pStyle w:val="Compact"/>
            </w:pPr>
            <w:r>
              <w:rPr>
                <w:sz w:val="20"/>
                <w:szCs w:val="20"/>
              </w:rPr>
              <w:t xml:space="preserve">0.7672</w:t>
            </w:r>
          </w:p>
        </w:tc>
        <w:tc>
          <w:tcPr>
            <w:tcW w:w="0" w:type="auto"/>
          </w:tcPr>
          <w:p>
            <w:pPr>
              <w:spacing w:line="240" w:lineRule="auto" w:before="0" w:after="0"/>
              <w:pStyle w:val="Compact"/>
            </w:pPr>
            <w:r>
              <w:rPr>
                <w:sz w:val="20"/>
                <w:szCs w:val="20"/>
              </w:rPr>
              <w:t xml:space="preserve">0.1599</w:t>
            </w:r>
          </w:p>
        </w:tc>
        <w:tc>
          <w:tcPr>
            <w:tcW w:w="0" w:type="auto"/>
          </w:tcPr>
          <w:p>
            <w:pPr>
              <w:spacing w:line="240" w:lineRule="auto" w:before="0" w:after="0"/>
              <w:pStyle w:val="Compact"/>
            </w:pPr>
            <w:r>
              <w:rPr>
                <w:sz w:val="20"/>
                <w:szCs w:val="20"/>
              </w:rPr>
              <w:t xml:space="preserve">4.7979</w:t>
            </w:r>
          </w:p>
        </w:tc>
        <w:tc>
          <w:tcPr>
            <w:tcW w:w="0" w:type="auto"/>
          </w:tcPr>
          <w:p>
            <w:pPr>
              <w:spacing w:line="240" w:lineRule="auto" w:before="0" w:after="0"/>
              <w:pStyle w:val="Compact"/>
            </w:pPr>
            <w:r>
              <w:rPr>
                <w:sz w:val="20"/>
                <w:szCs w:val="20"/>
              </w:rPr>
              <w:t xml:space="preserve">1.603e-06</w:t>
            </w:r>
          </w:p>
        </w:tc>
        <w:tc>
          <w:tcPr>
            <w:tcW w:w="0" w:type="auto"/>
          </w:tcPr>
          <w:p>
            <w:pPr>
              <w:spacing w:line="240" w:lineRule="auto" w:before="0" w:after="0"/>
              <w:pStyle w:val="Compact"/>
            </w:pPr>
            <w:r>
              <w:rPr>
                <w:sz w:val="20"/>
                <w:szCs w:val="20"/>
              </w:rPr>
              <w:t xml:space="preserve">[0.4538, 1.0806]</w:t>
            </w:r>
          </w:p>
        </w:tc>
        <w:tc>
          <w:tcPr>
            <w:tcW w:w="0" w:type="auto"/>
          </w:tcPr>
          <w:p>
            <w:pPr>
              <w:spacing w:line="240" w:lineRule="auto" w:before="0" w:after="0"/>
              <w:pStyle w:val="Compact"/>
            </w:pPr>
            <w:r>
              <w:rPr>
                <w:sz w:val="20"/>
                <w:szCs w:val="20"/>
              </w:rPr>
              <w:t xml:space="preserve">2.1536</w:t>
            </w:r>
          </w:p>
        </w:tc>
      </w:tr>
    </w:tbl>
    <w:p>
      <w:pPr>
        <w:pStyle w:val="BodyText"/>
        <w:spacing w:line="480" w:lineRule="auto"/>
        <w:ind w:firstLine="720"/>
      </w:pPr>
      <w:r>
        <w:t xml:space="preserve">Fit: N = 39 events = 34</w:t>
      </w:r>
    </w:p>
    <w:bookmarkEnd w:id="175"/>
    <w:bookmarkStart w:id="17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ox proportional-hazards relationship between operator investigation history and post-anomaly grounding duration, 38 launch-vehicle anomalies 1996-2025." title="" id="177" name="Picture"/>
            <a:graphic>
              <a:graphicData uri="http://schemas.openxmlformats.org/drawingml/2006/picture">
                <pic:pic>
                  <pic:nvPicPr>
                    <pic:cNvPr descr="D:/Claude_Code/brain/collegium/candidates/dissertations/LAUNCH_REG_05/research_papers/p2/paper_fig1.png" id="178" name="Picture"/>
                    <pic:cNvPicPr>
                      <a:picLocks noChangeArrowheads="1" noChangeAspect="1"/>
                    </pic:cNvPicPr>
                  </pic:nvPicPr>
                  <pic:blipFill>
                    <a:blip r:embed="rId1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Cox proportional-hazards relationship between operator investigation history and post-anomaly grounding duration, 38 launch-vehicle anomalies 1996-2025.</w:t>
      </w:r>
    </w:p>
    <w:bookmarkEnd w:id="179"/>
    <w:bookmarkStart w:id="18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vehicle_family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phase_ascent</w:t>
            </w:r>
          </w:p>
        </w:tc>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prior_inv_count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SpX_F9_AMOS6_2016</w:t>
            </w:r>
          </w:p>
        </w:tc>
        <w:tc>
          <w:tcPr>
            <w:tcW w:w="0" w:type="auto"/>
          </w:tcPr>
          <w:p>
            <w:pPr>
              <w:spacing w:line="240" w:lineRule="auto" w:before="0" w:after="0"/>
              <w:pStyle w:val="Compact"/>
            </w:pPr>
            <w:r>
              <w:rPr>
                <w:sz w:val="20"/>
                <w:szCs w:val="20"/>
              </w:rPr>
              <w:t xml:space="preserve">Falcon 9 v1.2</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AMOS-6 anomaly 2016-09-01; RTF 2017-01-14 (Iridium-1); SpaceX Mishap Investigation Closure Report announcement 2017-01-02</w:t>
            </w:r>
          </w:p>
        </w:tc>
      </w:tr>
      <w:tr>
        <w:tc>
          <w:tcPr>
            <w:tcW w:w="0" w:type="auto"/>
          </w:tcPr>
          <w:p>
            <w:pPr>
              <w:spacing w:line="240" w:lineRule="auto" w:before="0" w:after="0"/>
              <w:pStyle w:val="Compact"/>
            </w:pPr>
            <w:r>
              <w:rPr>
                <w:sz w:val="20"/>
                <w:szCs w:val="20"/>
              </w:rPr>
              <w:t xml:space="preserve">SpX_F9_CRS7_2015</w:t>
            </w:r>
          </w:p>
        </w:tc>
        <w:tc>
          <w:tcPr>
            <w:tcW w:w="0" w:type="auto"/>
          </w:tcPr>
          <w:p>
            <w:pPr>
              <w:spacing w:line="240" w:lineRule="auto" w:before="0" w:after="0"/>
              <w:pStyle w:val="Compact"/>
            </w:pPr>
            <w:r>
              <w:rPr>
                <w:sz w:val="20"/>
                <w:szCs w:val="20"/>
              </w:rPr>
              <w:t xml:space="preserve">Falcon 9 v1.1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CRS-7 anomaly 2015-06-28; RTF 2015-12-22 (Orbcomm OG2 M2); NASA Launch Services Program Independent Review Team report 2018</w:t>
            </w:r>
          </w:p>
        </w:tc>
      </w:tr>
      <w:tr>
        <w:tc>
          <w:tcPr>
            <w:tcW w:w="0" w:type="auto"/>
          </w:tcPr>
          <w:p>
            <w:pPr>
              <w:spacing w:line="240" w:lineRule="auto" w:before="0" w:after="0"/>
              <w:pStyle w:val="Compact"/>
            </w:pPr>
            <w:r>
              <w:rPr>
                <w:sz w:val="20"/>
                <w:szCs w:val="20"/>
              </w:rPr>
              <w:t xml:space="preserve">Orbital_Antares_Orb3_2014</w:t>
            </w:r>
          </w:p>
        </w:tc>
        <w:tc>
          <w:tcPr>
            <w:tcW w:w="0" w:type="auto"/>
          </w:tcPr>
          <w:p>
            <w:pPr>
              <w:spacing w:line="240" w:lineRule="auto" w:before="0" w:after="0"/>
              <w:pStyle w:val="Compact"/>
            </w:pPr>
            <w:r>
              <w:rPr>
                <w:sz w:val="20"/>
                <w:szCs w:val="20"/>
              </w:rPr>
              <w:t xml:space="preserve">Antares 130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Orbital Sciences Antares Orb-3 anomaly 2014-10-28; Antares 230 RTF 2016-10-17 (OA-5); NASA Independent Review Team Executive Summary Oct 2015</w:t>
            </w:r>
          </w:p>
        </w:tc>
      </w:tr>
      <w:tr>
        <w:tc>
          <w:tcPr>
            <w:tcW w:w="0" w:type="auto"/>
          </w:tcPr>
          <w:p>
            <w:pPr>
              <w:spacing w:line="240" w:lineRule="auto" w:before="0" w:after="0"/>
              <w:pStyle w:val="Compact"/>
            </w:pPr>
            <w:r>
              <w:rPr>
                <w:sz w:val="20"/>
                <w:szCs w:val="20"/>
              </w:rPr>
              <w:t xml:space="preserve">Astra_LV0006_2021</w:t>
            </w:r>
          </w:p>
        </w:tc>
        <w:tc>
          <w:tcPr>
            <w:tcW w:w="0" w:type="auto"/>
          </w:tcPr>
          <w:p>
            <w:pPr>
              <w:spacing w:line="240" w:lineRule="auto" w:before="0" w:after="0"/>
              <w:pStyle w:val="Compact"/>
            </w:pPr>
            <w:r>
              <w:rPr>
                <w:sz w:val="20"/>
                <w:szCs w:val="20"/>
              </w:rPr>
              <w:t xml:space="preserve">Astra Rocket 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Astra LV0006 anomaly 2021-08-28; RTF LV0007 2021-11-19 (STP-27AD2); FAA AST mishap investigation closure</w:t>
            </w:r>
          </w:p>
        </w:tc>
      </w:tr>
      <w:tr>
        <w:tc>
          <w:tcPr>
            <w:tcW w:w="0" w:type="auto"/>
          </w:tcPr>
          <w:p>
            <w:pPr>
              <w:spacing w:line="240" w:lineRule="auto" w:before="0" w:after="0"/>
              <w:pStyle w:val="Compact"/>
            </w:pPr>
            <w:r>
              <w:rPr>
                <w:sz w:val="20"/>
                <w:szCs w:val="20"/>
              </w:rPr>
              <w:t xml:space="preserve">Astra_LV0008_2022</w:t>
            </w:r>
          </w:p>
        </w:tc>
        <w:tc>
          <w:tcPr>
            <w:tcW w:w="0" w:type="auto"/>
          </w:tcPr>
          <w:p>
            <w:pPr>
              <w:spacing w:line="240" w:lineRule="auto" w:before="0" w:after="0"/>
              <w:pStyle w:val="Compact"/>
            </w:pPr>
            <w:r>
              <w:rPr>
                <w:sz w:val="20"/>
                <w:szCs w:val="20"/>
              </w:rPr>
              <w:t xml:space="preserve">Astra Rocket 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Astra LV0008 anomaly 2022-02-10 (ELaNa 41); RTF LV0009 2022-03-15 short-cycle; FAA AST closure; SpaceNews 2022-03-15</w:t>
            </w:r>
          </w:p>
        </w:tc>
      </w:tr>
      <w:tr>
        <w:tc>
          <w:tcPr>
            <w:tcW w:w="0" w:type="auto"/>
          </w:tcPr>
          <w:p>
            <w:pPr>
              <w:spacing w:line="240" w:lineRule="auto" w:before="0" w:after="0"/>
              <w:pStyle w:val="Compact"/>
            </w:pPr>
            <w:r>
              <w:rPr>
                <w:sz w:val="20"/>
                <w:szCs w:val="20"/>
              </w:rPr>
              <w:t xml:space="preserve">RocketLab_Electron_F13_2020</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Rocket Lab Pics or It Didn’t Happen anomaly 2020-07-04; RTF 2020-08-31 (I Can’t Believe It’s Not Optical); Rocket Lab anomaly review board summary 2020-07-31</w:t>
            </w:r>
          </w:p>
        </w:tc>
      </w:tr>
      <w:tr>
        <w:tc>
          <w:tcPr>
            <w:tcW w:w="0" w:type="auto"/>
          </w:tcPr>
          <w:p>
            <w:pPr>
              <w:spacing w:line="240" w:lineRule="auto" w:before="0" w:after="0"/>
              <w:pStyle w:val="Compact"/>
            </w:pPr>
            <w:r>
              <w:rPr>
                <w:sz w:val="20"/>
                <w:szCs w:val="20"/>
              </w:rPr>
              <w:t xml:space="preserve">RocketLab_Electron_F20_2021</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Rocket Lab Running Out Of Toes anomaly 2021-05-15; RTF 2021-07-29 (It’s a Little Chile Up Here); Rocket Lab anomaly investigation update 2021-07</w:t>
            </w:r>
          </w:p>
        </w:tc>
      </w:tr>
      <w:tr>
        <w:tc>
          <w:tcPr>
            <w:tcW w:w="0" w:type="auto"/>
          </w:tcPr>
          <w:p>
            <w:pPr>
              <w:spacing w:line="240" w:lineRule="auto" w:before="0" w:after="0"/>
              <w:pStyle w:val="Compact"/>
            </w:pPr>
            <w:r>
              <w:rPr>
                <w:sz w:val="20"/>
                <w:szCs w:val="20"/>
              </w:rPr>
              <w:t xml:space="preserve">RocketLab_Electron_F41_2023</w:t>
            </w:r>
          </w:p>
        </w:tc>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Rocket Lab We Will Never Desert You anomaly 2023-09-19; RTF 2023-12-14 (The Moon God Awakens); FAA AST closure; Rocket Lab Q3 2023 earnings call</w:t>
            </w:r>
          </w:p>
        </w:tc>
      </w:tr>
      <w:tr>
        <w:tc>
          <w:tcPr>
            <w:tcW w:w="0" w:type="auto"/>
          </w:tcPr>
          <w:p>
            <w:pPr>
              <w:spacing w:line="240" w:lineRule="auto" w:before="0" w:after="0"/>
              <w:pStyle w:val="Compact"/>
            </w:pPr>
            <w:r>
              <w:rPr>
                <w:sz w:val="20"/>
                <w:szCs w:val="20"/>
              </w:rPr>
              <w:t xml:space="preserve">Virgin_LauncherOne_Cosmic_2023</w:t>
            </w:r>
          </w:p>
        </w:tc>
        <w:tc>
          <w:tcPr>
            <w:tcW w:w="0" w:type="auto"/>
          </w:tcPr>
          <w:p>
            <w:pPr>
              <w:spacing w:line="240" w:lineRule="auto" w:before="0" w:after="0"/>
              <w:pStyle w:val="Compact"/>
            </w:pPr>
            <w:r>
              <w:rPr>
                <w:sz w:val="20"/>
                <w:szCs w:val="20"/>
              </w:rPr>
              <w:t xml:space="preserve">LauncherOne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Virgin Orbit Start Me Up anomaly 2023-01-09; company entered Chapter 11 2023-04-04; no RTF; censored at company dissolution 2024-01-09; SEC 8-K 2023-04-04</w:t>
            </w:r>
          </w:p>
        </w:tc>
      </w:tr>
      <w:tr>
        <w:tc>
          <w:tcPr>
            <w:tcW w:w="0" w:type="auto"/>
          </w:tcPr>
          <w:p>
            <w:pPr>
              <w:spacing w:line="240" w:lineRule="auto" w:before="0" w:after="0"/>
              <w:pStyle w:val="Compact"/>
            </w:pPr>
            <w:r>
              <w:rPr>
                <w:sz w:val="20"/>
                <w:szCs w:val="20"/>
              </w:rPr>
              <w:t xml:space="preserve">Vega_VV15_2019</w:t>
            </w:r>
          </w:p>
        </w:tc>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Arianespace Vega VV15 anomaly 2019-07-11 (FalconEye); RTF VV16 2020-09-02 (SSMS); ESA Independent Inquiry Commission report 2019-09</w:t>
            </w:r>
          </w:p>
        </w:tc>
      </w:tr>
      <w:tr>
        <w:tc>
          <w:tcPr>
            <w:tcW w:w="0" w:type="auto"/>
          </w:tcPr>
          <w:p>
            <w:pPr>
              <w:spacing w:line="240" w:lineRule="auto" w:before="0" w:after="0"/>
              <w:pStyle w:val="Compact"/>
            </w:pPr>
            <w:r>
              <w:rPr>
                <w:sz w:val="20"/>
                <w:szCs w:val="20"/>
              </w:rPr>
              <w:t xml:space="preserve">Vega_VV17_2020</w:t>
            </w:r>
          </w:p>
        </w:tc>
        <w:tc>
          <w:tcPr>
            <w:tcW w:w="0" w:type="auto"/>
          </w:tcPr>
          <w:p>
            <w:pPr>
              <w:spacing w:line="240" w:lineRule="auto" w:before="0" w:after="0"/>
              <w:pStyle w:val="Compact"/>
            </w:pPr>
            <w:r>
              <w:rPr>
                <w:sz w:val="20"/>
                <w:szCs w:val="20"/>
              </w:rPr>
              <w:t xml:space="preserve">Vega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Arianespace Vega VV17 anomaly 2020-11-17; RTF VV18 2021-04-29 (Pleiades Neo 3); Arianespace IIC report</w:t>
            </w:r>
          </w:p>
        </w:tc>
      </w:tr>
      <w:tr>
        <w:tc>
          <w:tcPr>
            <w:tcW w:w="0" w:type="auto"/>
          </w:tcPr>
          <w:p>
            <w:pPr>
              <w:spacing w:line="240" w:lineRule="auto" w:before="0" w:after="0"/>
              <w:pStyle w:val="Compact"/>
            </w:pPr>
            <w:r>
              <w:rPr>
                <w:sz w:val="20"/>
                <w:szCs w:val="20"/>
              </w:rPr>
              <w:t xml:space="preserve">VegaC_VV22_2022</w:t>
            </w:r>
          </w:p>
        </w:tc>
        <w:tc>
          <w:tcPr>
            <w:tcW w:w="0" w:type="auto"/>
          </w:tcPr>
          <w:p>
            <w:pPr>
              <w:spacing w:line="240" w:lineRule="auto" w:before="0" w:after="0"/>
              <w:pStyle w:val="Compact"/>
            </w:pPr>
            <w:r>
              <w:rPr>
                <w:sz w:val="20"/>
                <w:szCs w:val="20"/>
              </w:rPr>
              <w:t xml:space="preserve">Vega 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Arianespace Vega C VV22 anomaly 2022-12-21 (Pleiades Neo 5/6); RTF VV25 2024-12-05 (Sentinel-1C) after Zefiro-40 nozzle redesign; ESA-Arianespace IIC final report 2023-03</w:t>
            </w:r>
          </w:p>
        </w:tc>
      </w:tr>
      <w:tr>
        <w:tc>
          <w:tcPr>
            <w:tcW w:w="0" w:type="auto"/>
          </w:tcPr>
          <w:p>
            <w:pPr>
              <w:spacing w:line="240" w:lineRule="auto" w:before="0" w:after="0"/>
              <w:pStyle w:val="Compact"/>
            </w:pPr>
            <w:r>
              <w:rPr>
                <w:sz w:val="20"/>
                <w:szCs w:val="20"/>
              </w:rPr>
              <w:t xml:space="preserve">Ariane5_Flight157_2002</w:t>
            </w:r>
          </w:p>
        </w:tc>
        <w:tc>
          <w:tcPr>
            <w:tcW w:w="0" w:type="auto"/>
          </w:tcPr>
          <w:p>
            <w:pPr>
              <w:spacing w:line="240" w:lineRule="auto" w:before="0" w:after="0"/>
              <w:pStyle w:val="Compact"/>
            </w:pPr>
            <w:r>
              <w:rPr>
                <w:sz w:val="20"/>
                <w:szCs w:val="20"/>
              </w:rPr>
              <w:t xml:space="preserve">Ariane 5 ECA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Arianespace Ariane 5 ECA V157 anomaly 2002-12-11; RTF V164 2005-02-12; CNES-ESA inquiry board final report 2003-09</w:t>
            </w:r>
          </w:p>
        </w:tc>
      </w:tr>
      <w:tr>
        <w:tc>
          <w:tcPr>
            <w:tcW w:w="0" w:type="auto"/>
          </w:tcPr>
          <w:p>
            <w:pPr>
              <w:spacing w:line="240" w:lineRule="auto" w:before="0" w:after="0"/>
              <w:pStyle w:val="Compact"/>
            </w:pPr>
            <w:r>
              <w:rPr>
                <w:sz w:val="20"/>
                <w:szCs w:val="20"/>
              </w:rPr>
              <w:t xml:space="preserve">H2A_F6_2003</w:t>
            </w:r>
          </w:p>
        </w:tc>
        <w:tc>
          <w:tcPr>
            <w:tcW w:w="0" w:type="auto"/>
          </w:tcPr>
          <w:p>
            <w:pPr>
              <w:spacing w:line="240" w:lineRule="auto" w:before="0" w:after="0"/>
              <w:pStyle w:val="Compact"/>
            </w:pPr>
            <w:r>
              <w:rPr>
                <w:sz w:val="20"/>
                <w:szCs w:val="20"/>
              </w:rPr>
              <w:t xml:space="preserve">H-IIA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469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H-IIA Flight 6 anomaly 2003-11-29 (IGS); RTF F7 2005-02-26; JAXA accident investigation final report 2004-05</w:t>
            </w:r>
          </w:p>
        </w:tc>
      </w:tr>
      <w:tr>
        <w:tc>
          <w:tcPr>
            <w:tcW w:w="0" w:type="auto"/>
          </w:tcPr>
          <w:p>
            <w:pPr>
              <w:spacing w:line="240" w:lineRule="auto" w:before="0" w:after="0"/>
              <w:pStyle w:val="Compact"/>
            </w:pPr>
            <w:r>
              <w:rPr>
                <w:sz w:val="20"/>
                <w:szCs w:val="20"/>
              </w:rPr>
              <w:t xml:space="preserve">H3_F1_2023</w:t>
            </w:r>
          </w:p>
        </w:tc>
        <w:tc>
          <w:tcPr>
            <w:tcW w:w="0" w:type="auto"/>
          </w:tcPr>
          <w:p>
            <w:pPr>
              <w:spacing w:line="240" w:lineRule="auto" w:before="0" w:after="0"/>
              <w:pStyle w:val="Compact"/>
            </w:pPr>
            <w:r>
              <w:rPr>
                <w:sz w:val="20"/>
                <w:szCs w:val="20"/>
              </w:rPr>
              <w:t xml:space="preserve">H3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H3 TF1 anomaly 2023-03-07 (ALOS-3); RTF TF2 2024-02-17; JAXA-MEXT inquiry final report 2023-08</w:t>
            </w:r>
          </w:p>
        </w:tc>
      </w:tr>
      <w:tr>
        <w:tc>
          <w:tcPr>
            <w:tcW w:w="0" w:type="auto"/>
          </w:tcPr>
          <w:p>
            <w:pPr>
              <w:spacing w:line="240" w:lineRule="auto" w:before="0" w:after="0"/>
              <w:pStyle w:val="Compact"/>
            </w:pPr>
            <w:r>
              <w:rPr>
                <w:sz w:val="20"/>
                <w:szCs w:val="20"/>
              </w:rPr>
              <w:t xml:space="preserve">Long_March_5_Y2_2017</w:t>
            </w:r>
          </w:p>
        </w:tc>
        <w:tc>
          <w:tcPr>
            <w:tcW w:w="0" w:type="auto"/>
          </w:tcPr>
          <w:p>
            <w:pPr>
              <w:spacing w:line="240" w:lineRule="auto" w:before="0" w:after="0"/>
              <w:pStyle w:val="Compact"/>
            </w:pPr>
            <w:r>
              <w:rPr>
                <w:sz w:val="20"/>
                <w:szCs w:val="20"/>
              </w:rPr>
              <w:t xml:space="preserve">Long March 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CALT Long March 5 Y2 anomaly 2017-07-02; RTF Y3 2019-12-27; State Council investigation public summary</w:t>
            </w:r>
          </w:p>
        </w:tc>
      </w:tr>
      <w:tr>
        <w:tc>
          <w:tcPr>
            <w:tcW w:w="0" w:type="auto"/>
          </w:tcPr>
          <w:p>
            <w:pPr>
              <w:spacing w:line="240" w:lineRule="auto" w:before="0" w:after="0"/>
              <w:pStyle w:val="Compact"/>
            </w:pPr>
            <w:r>
              <w:rPr>
                <w:sz w:val="20"/>
                <w:szCs w:val="20"/>
              </w:rPr>
              <w:t xml:space="preserve">Atlas_V_NROL30_2007</w:t>
            </w:r>
          </w:p>
        </w:tc>
        <w:tc>
          <w:tcPr>
            <w:tcW w:w="0" w:type="auto"/>
          </w:tcPr>
          <w:p>
            <w:pPr>
              <w:spacing w:line="240" w:lineRule="auto" w:before="0" w:after="0"/>
              <w:pStyle w:val="Compact"/>
            </w:pPr>
            <w:r>
              <w:rPr>
                <w:sz w:val="20"/>
                <w:szCs w:val="20"/>
              </w:rPr>
              <w:t xml:space="preserve">Atlas V 401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ULA Atlas V NROL-30 Centaur underburn 2007-06-15; subsequent NROL-24 RTF 2007-12-10; ULA mission anomaly investigation team report</w:t>
            </w:r>
          </w:p>
        </w:tc>
      </w:tr>
      <w:tr>
        <w:tc>
          <w:tcPr>
            <w:tcW w:w="0" w:type="auto"/>
          </w:tcPr>
          <w:p>
            <w:pPr>
              <w:spacing w:line="240" w:lineRule="auto" w:before="0" w:after="0"/>
              <w:pStyle w:val="Compact"/>
            </w:pPr>
            <w:r>
              <w:rPr>
                <w:sz w:val="20"/>
                <w:szCs w:val="20"/>
              </w:rPr>
              <w:t xml:space="preserve">Delta_IV_GPSIIF1_2009</w:t>
            </w:r>
          </w:p>
        </w:tc>
        <w:tc>
          <w:tcPr>
            <w:tcW w:w="0" w:type="auto"/>
          </w:tcPr>
          <w:p>
            <w:pPr>
              <w:spacing w:line="240" w:lineRule="auto" w:before="0" w:after="0"/>
              <w:pStyle w:val="Compact"/>
            </w:pPr>
            <w:r>
              <w:rPr>
                <w:sz w:val="20"/>
                <w:szCs w:val="20"/>
              </w:rPr>
              <w:t xml:space="preserve">Delta IV M+(4,2)</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ULA Delta IV GPS IIF-1 upper-stage RL10 anomaly 2010-05-27 [illustrative duration as ULA returned to flight Oct 2010]; Aerospace Corp summary</w:t>
            </w:r>
          </w:p>
        </w:tc>
      </w:tr>
      <w:tr>
        <w:tc>
          <w:tcPr>
            <w:tcW w:w="0" w:type="auto"/>
          </w:tcPr>
          <w:p>
            <w:pPr>
              <w:spacing w:line="240" w:lineRule="auto" w:before="0" w:after="0"/>
              <w:pStyle w:val="Compact"/>
            </w:pPr>
            <w:r>
              <w:rPr>
                <w:sz w:val="20"/>
                <w:szCs w:val="20"/>
              </w:rPr>
              <w:t xml:space="preserve">Proton_M_2013</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Khrunichev Proton-M Glonass anomaly 2013-07-02; RTF 2013-09-30 (Astra 2E); Roscosmos commission final report 2013-08</w:t>
            </w:r>
          </w:p>
        </w:tc>
      </w:tr>
      <w:tr>
        <w:tc>
          <w:tcPr>
            <w:tcW w:w="0" w:type="auto"/>
          </w:tcPr>
          <w:p>
            <w:pPr>
              <w:spacing w:line="240" w:lineRule="auto" w:before="0" w:after="0"/>
              <w:pStyle w:val="Compact"/>
            </w:pPr>
            <w:r>
              <w:rPr>
                <w:sz w:val="20"/>
                <w:szCs w:val="20"/>
              </w:rPr>
              <w:t xml:space="preserve">Proton_M_2014</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Khrunichev Proton-M Express-AM4R anomaly 2014-05-15; RTF 2014-09-28; Roscosmos commission report</w:t>
            </w:r>
          </w:p>
        </w:tc>
      </w:tr>
      <w:tr>
        <w:tc>
          <w:tcPr>
            <w:tcW w:w="0" w:type="auto"/>
          </w:tcPr>
          <w:p>
            <w:pPr>
              <w:spacing w:line="240" w:lineRule="auto" w:before="0" w:after="0"/>
              <w:pStyle w:val="Compact"/>
            </w:pPr>
            <w:r>
              <w:rPr>
                <w:sz w:val="20"/>
                <w:szCs w:val="20"/>
              </w:rPr>
              <w:t xml:space="preserve">Proton_M_2015</w:t>
            </w:r>
          </w:p>
        </w:tc>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Khrunichev Proton-M Centenario anomaly 2015-05-16; RTF 2015-08-28 (Inmarsat-5 F3); Roscosmos commission report</w:t>
            </w:r>
          </w:p>
        </w:tc>
      </w:tr>
      <w:tr>
        <w:tc>
          <w:tcPr>
            <w:tcW w:w="0" w:type="auto"/>
          </w:tcPr>
          <w:p>
            <w:pPr>
              <w:spacing w:line="240" w:lineRule="auto" w:before="0" w:after="0"/>
              <w:pStyle w:val="Compact"/>
            </w:pPr>
            <w:r>
              <w:rPr>
                <w:sz w:val="20"/>
                <w:szCs w:val="20"/>
              </w:rPr>
              <w:t xml:space="preserve">Soyuz_MS10_2018</w:t>
            </w:r>
          </w:p>
        </w:tc>
        <w:tc>
          <w:tcPr>
            <w:tcW w:w="0" w:type="auto"/>
          </w:tcPr>
          <w:p>
            <w:pPr>
              <w:spacing w:line="240" w:lineRule="auto" w:before="0" w:after="0"/>
              <w:pStyle w:val="Compact"/>
            </w:pPr>
            <w:r>
              <w:rPr>
                <w:sz w:val="20"/>
                <w:szCs w:val="20"/>
              </w:rPr>
              <w:t xml:space="preserve">Soyuz-FG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Roscosmos Soyuz MS-10 anomaly 2018-10-11; RTF 2018-12-03 (MS-11); Roscosmos commission final report 2018-11-01</w:t>
            </w:r>
          </w:p>
        </w:tc>
      </w:tr>
      <w:tr>
        <w:tc>
          <w:tcPr>
            <w:tcW w:w="0" w:type="auto"/>
          </w:tcPr>
          <w:p>
            <w:pPr>
              <w:spacing w:line="240" w:lineRule="auto" w:before="0" w:after="0"/>
              <w:pStyle w:val="Compact"/>
            </w:pPr>
            <w:r>
              <w:rPr>
                <w:sz w:val="20"/>
                <w:szCs w:val="20"/>
              </w:rPr>
              <w:t xml:space="preserve">Pegasus_HETE1_1996</w:t>
            </w:r>
          </w:p>
        </w:tc>
        <w:tc>
          <w:tcPr>
            <w:tcW w:w="0" w:type="auto"/>
          </w:tcPr>
          <w:p>
            <w:pPr>
              <w:spacing w:line="240" w:lineRule="auto" w:before="0" w:after="0"/>
              <w:pStyle w:val="Compact"/>
            </w:pPr>
            <w:r>
              <w:rPr>
                <w:sz w:val="20"/>
                <w:szCs w:val="20"/>
              </w:rPr>
              <w:t xml:space="preserve">Pegasus XL</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Orbital Sciences Pegasus XL HETE-1 anomaly 1996-11-04; RTF 1997-08-01 [illustrative duration]; NASA Class A mishap investigation report</w:t>
            </w:r>
          </w:p>
        </w:tc>
      </w:tr>
      <w:tr>
        <w:tc>
          <w:tcPr>
            <w:tcW w:w="0" w:type="auto"/>
          </w:tcPr>
          <w:p>
            <w:pPr>
              <w:spacing w:line="240" w:lineRule="auto" w:before="0" w:after="0"/>
              <w:pStyle w:val="Compact"/>
            </w:pPr>
            <w:r>
              <w:rPr>
                <w:sz w:val="20"/>
                <w:szCs w:val="20"/>
              </w:rPr>
              <w:t xml:space="preserve">Taurus_OCO_2009</w:t>
            </w:r>
          </w:p>
        </w:tc>
        <w:tc>
          <w:tcPr>
            <w:tcW w:w="0" w:type="auto"/>
          </w:tcPr>
          <w:p>
            <w:pPr>
              <w:spacing w:line="240" w:lineRule="auto" w:before="0" w:after="0"/>
              <w:pStyle w:val="Compact"/>
            </w:pPr>
            <w:r>
              <w:rPr>
                <w:sz w:val="20"/>
                <w:szCs w:val="20"/>
              </w:rPr>
              <w:t xml:space="preserve">Taurus XL 3110</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737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Orbital Sciences Taurus XL OCO anomaly 2009-02-24; subsequent Glory anomaly 2011-03-04; NASA Independent Review Board report 2012-12</w:t>
            </w:r>
          </w:p>
        </w:tc>
      </w:tr>
      <w:tr>
        <w:tc>
          <w:tcPr>
            <w:tcW w:w="0" w:type="auto"/>
          </w:tcPr>
          <w:p>
            <w:pPr>
              <w:spacing w:line="240" w:lineRule="auto" w:before="0" w:after="0"/>
              <w:pStyle w:val="Compact"/>
            </w:pPr>
            <w:r>
              <w:rPr>
                <w:sz w:val="20"/>
                <w:szCs w:val="20"/>
              </w:rPr>
              <w:t xml:space="preserve">SpX_F9_Zuma_2018</w:t>
            </w:r>
          </w:p>
        </w:tc>
        <w:tc>
          <w:tcPr>
            <w:tcW w:w="0" w:type="auto"/>
          </w:tcPr>
          <w:p>
            <w:pPr>
              <w:spacing w:line="240" w:lineRule="auto" w:before="0" w:after="0"/>
              <w:pStyle w:val="Compact"/>
            </w:pPr>
            <w:r>
              <w:rPr>
                <w:sz w:val="20"/>
                <w:szCs w:val="20"/>
              </w:rPr>
              <w:t xml:space="preserve">Falcon 9 Block 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 Zuma 2018-01-07; no FAA mishap declared (payload-adapter issue), short operational pause; SpaceX RTF GovSat-1 2018-01-31; FAA AST status confirmed no investigation; censored event</w:t>
            </w:r>
          </w:p>
        </w:tc>
      </w:tr>
      <w:tr>
        <w:tc>
          <w:tcPr>
            <w:tcW w:w="0" w:type="auto"/>
          </w:tcPr>
          <w:p>
            <w:pPr>
              <w:spacing w:line="240" w:lineRule="auto" w:before="0" w:after="0"/>
              <w:pStyle w:val="Compact"/>
            </w:pPr>
            <w:r>
              <w:rPr>
                <w:sz w:val="20"/>
                <w:szCs w:val="20"/>
              </w:rPr>
              <w:t xml:space="preserve">SpX_F9_Starlink_2024</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 Falcon 9 Starlink Group 9-3 upper-stage anomaly 2024-07-11; RTF 2024-07-26 (Starlink 10-9); FAA AST mishap investigation closure 2024-07-25</w:t>
            </w:r>
          </w:p>
        </w:tc>
      </w:tr>
      <w:tr>
        <w:tc>
          <w:tcPr>
            <w:tcW w:w="0" w:type="auto"/>
          </w:tcPr>
          <w:p>
            <w:pPr>
              <w:spacing w:line="240" w:lineRule="auto" w:before="0" w:after="0"/>
              <w:pStyle w:val="Compact"/>
            </w:pPr>
            <w:r>
              <w:rPr>
                <w:sz w:val="20"/>
                <w:szCs w:val="20"/>
              </w:rPr>
              <w:t xml:space="preserve">SpX_F9_CRS24_2024</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SpaceX Falcon 9 first-stage landing anomaly 2024-08-28; RTF 2024-08-31 (Starlink 8-10); FAA AST limited-scope mishap closure 2024-08-30</w:t>
            </w:r>
          </w:p>
        </w:tc>
      </w:tr>
      <w:tr>
        <w:tc>
          <w:tcPr>
            <w:tcW w:w="0" w:type="auto"/>
          </w:tcPr>
          <w:p>
            <w:pPr>
              <w:spacing w:line="240" w:lineRule="auto" w:before="0" w:after="0"/>
              <w:pStyle w:val="Compact"/>
            </w:pPr>
            <w:r>
              <w:rPr>
                <w:sz w:val="20"/>
                <w:szCs w:val="20"/>
              </w:rPr>
              <w:t xml:space="preserve">SpX_F9_Crew9_2024</w:t>
            </w:r>
          </w:p>
        </w:tc>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SpaceX Falcon 9 upper-stage deorbit anomaly 2024-09-28 (Crew-9); RTF 2024-10-19 (Hera); FAA AST closure 2024-10-11</w:t>
            </w:r>
          </w:p>
        </w:tc>
      </w:tr>
      <w:tr>
        <w:tc>
          <w:tcPr>
            <w:tcW w:w="0" w:type="auto"/>
          </w:tcPr>
          <w:p>
            <w:pPr>
              <w:spacing w:line="240" w:lineRule="auto" w:before="0" w:after="0"/>
              <w:pStyle w:val="Compact"/>
            </w:pPr>
            <w:r>
              <w:rPr>
                <w:sz w:val="20"/>
                <w:szCs w:val="20"/>
              </w:rPr>
              <w:t xml:space="preserve">Firefly_Alpha_F1_2021</w:t>
            </w:r>
          </w:p>
        </w:tc>
        <w:tc>
          <w:tcPr>
            <w:tcW w:w="0" w:type="auto"/>
          </w:tcPr>
          <w:p>
            <w:pPr>
              <w:spacing w:line="240" w:lineRule="auto" w:before="0" w:after="0"/>
              <w:pStyle w:val="Compact"/>
            </w:pPr>
            <w:r>
              <w:rPr>
                <w:sz w:val="20"/>
                <w:szCs w:val="20"/>
              </w:rPr>
              <w:t xml:space="preserve">Alpha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Firefly Aerospace Alpha FLTA001 anomaly 2021-09-02; RTF FLTA002 2022-10-01 (To The Black); FAA AST closure; Firefly investigation summary</w:t>
            </w:r>
          </w:p>
        </w:tc>
      </w:tr>
      <w:tr>
        <w:tc>
          <w:tcPr>
            <w:tcW w:w="0" w:type="auto"/>
          </w:tcPr>
          <w:p>
            <w:pPr>
              <w:spacing w:line="240" w:lineRule="auto" w:before="0" w:after="0"/>
              <w:pStyle w:val="Compact"/>
            </w:pPr>
            <w:r>
              <w:rPr>
                <w:sz w:val="20"/>
                <w:szCs w:val="20"/>
              </w:rPr>
              <w:t xml:space="preserve">Firefly_Alpha_F3_2023</w:t>
            </w:r>
          </w:p>
        </w:tc>
        <w:tc>
          <w:tcPr>
            <w:tcW w:w="0" w:type="auto"/>
          </w:tcPr>
          <w:p>
            <w:pPr>
              <w:spacing w:line="240" w:lineRule="auto" w:before="0" w:after="0"/>
              <w:pStyle w:val="Compact"/>
            </w:pPr>
            <w:r>
              <w:rPr>
                <w:sz w:val="20"/>
                <w:szCs w:val="20"/>
              </w:rPr>
              <w:t xml:space="preserve">Alpha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Firefly Aerospace Alpha FLTA003 anomaly 2023-09-19 (Victus Nox apparent success but partial); RTF FLTA004 2024-03-26 [illustrative duration boundary]; Firefly statement</w:t>
            </w:r>
          </w:p>
        </w:tc>
      </w:tr>
      <w:tr>
        <w:tc>
          <w:tcPr>
            <w:tcW w:w="0" w:type="auto"/>
          </w:tcPr>
          <w:p>
            <w:pPr>
              <w:spacing w:line="240" w:lineRule="auto" w:before="0" w:after="0"/>
              <w:pStyle w:val="Compact"/>
            </w:pPr>
            <w:r>
              <w:rPr>
                <w:sz w:val="20"/>
                <w:szCs w:val="20"/>
              </w:rPr>
              <w:t xml:space="preserve">ABL_RS1_2023</w:t>
            </w:r>
          </w:p>
        </w:tc>
        <w:tc>
          <w:tcPr>
            <w:tcW w:w="0" w:type="auto"/>
          </w:tcPr>
          <w:p>
            <w:pPr>
              <w:spacing w:line="240" w:lineRule="auto" w:before="0" w:after="0"/>
              <w:pStyle w:val="Compact"/>
            </w:pPr>
            <w:r>
              <w:rPr>
                <w:sz w:val="20"/>
                <w:szCs w:val="20"/>
              </w:rPr>
              <w:t xml:space="preserve">RS1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ABL Space Systems RS1 anomaly 2023-01-10; no FAA mishap closure within window; company exit launch 2024-08; censored at exit; ABL public statement 2024-08-07</w:t>
            </w:r>
          </w:p>
        </w:tc>
      </w:tr>
      <w:tr>
        <w:tc>
          <w:tcPr>
            <w:tcW w:w="0" w:type="auto"/>
          </w:tcPr>
          <w:p>
            <w:pPr>
              <w:spacing w:line="240" w:lineRule="auto" w:before="0" w:after="0"/>
              <w:pStyle w:val="Compact"/>
            </w:pPr>
            <w:r>
              <w:rPr>
                <w:sz w:val="20"/>
                <w:szCs w:val="20"/>
              </w:rPr>
              <w:t xml:space="preserve">Relativity_Terran1_2023</w:t>
            </w:r>
          </w:p>
        </w:tc>
        <w:tc>
          <w:tcPr>
            <w:tcW w:w="0" w:type="auto"/>
          </w:tcPr>
          <w:p>
            <w:pPr>
              <w:spacing w:line="240" w:lineRule="auto" w:before="0" w:after="0"/>
              <w:pStyle w:val="Compact"/>
            </w:pPr>
            <w:r>
              <w:rPr>
                <w:sz w:val="20"/>
                <w:szCs w:val="20"/>
              </w:rPr>
              <w:t xml:space="preserve">Terran 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Relativity Space Terran 1 Good Luck Have Fun anomaly 2023-03-22; vehicle retired in favor of Terran R; no RTF for Terran 1; censored at program closure; Relativity announcement 2023-04-12</w:t>
            </w:r>
          </w:p>
        </w:tc>
      </w:tr>
      <w:tr>
        <w:tc>
          <w:tcPr>
            <w:tcW w:w="0" w:type="auto"/>
          </w:tcPr>
          <w:p>
            <w:pPr>
              <w:spacing w:line="240" w:lineRule="auto" w:before="0" w:after="0"/>
              <w:pStyle w:val="Compact"/>
            </w:pPr>
            <w:r>
              <w:rPr>
                <w:sz w:val="20"/>
                <w:szCs w:val="20"/>
              </w:rPr>
              <w:t xml:space="preserve">Blue_Origin_NS23_2022</w:t>
            </w:r>
          </w:p>
        </w:tc>
        <w:tc>
          <w:tcPr>
            <w:tcW w:w="0" w:type="auto"/>
          </w:tcPr>
          <w:p>
            <w:pPr>
              <w:spacing w:line="240" w:lineRule="auto" w:before="0" w:after="0"/>
              <w:pStyle w:val="Compact"/>
            </w:pPr>
            <w:r>
              <w:rPr>
                <w:sz w:val="20"/>
                <w:szCs w:val="20"/>
              </w:rPr>
              <w:t xml:space="preserve">New Shepard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Blue Origin New Shepard NS-23 anomaly 2022-09-12; RTF NS-24 (uncrewed payload) 2023-12-19; FAA AST mishap closure 2023-09-27</w:t>
            </w:r>
          </w:p>
        </w:tc>
      </w:tr>
      <w:tr>
        <w:tc>
          <w:tcPr>
            <w:tcW w:w="0" w:type="auto"/>
          </w:tcPr>
          <w:p>
            <w:pPr>
              <w:spacing w:line="240" w:lineRule="auto" w:before="0" w:after="0"/>
              <w:pStyle w:val="Compact"/>
            </w:pPr>
            <w:r>
              <w:rPr>
                <w:sz w:val="20"/>
                <w:szCs w:val="20"/>
              </w:rPr>
              <w:t xml:space="preserve">Starliner_OFT_2019</w:t>
            </w:r>
          </w:p>
        </w:tc>
        <w:tc>
          <w:tcPr>
            <w:tcW w:w="0" w:type="auto"/>
          </w:tcPr>
          <w:p>
            <w:pPr>
              <w:spacing w:line="240" w:lineRule="auto" w:before="0" w:after="0"/>
              <w:pStyle w:val="Compact"/>
            </w:pPr>
            <w:r>
              <w:rPr>
                <w:sz w:val="20"/>
                <w:szCs w:val="20"/>
              </w:rPr>
              <w:t xml:space="preserve">Atlas V N22 (Starliner)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Boeing Starliner OFT anomaly 2019-12-20; OFT-2 RTF 2022-05-19; NASA-Boeing Independent Review Team final report 2020-03-06; NASA OIG report IG-20-005</w:t>
            </w:r>
          </w:p>
        </w:tc>
      </w:tr>
      <w:tr>
        <w:tc>
          <w:tcPr>
            <w:tcW w:w="0" w:type="auto"/>
          </w:tcPr>
          <w:p>
            <w:pPr>
              <w:spacing w:line="240" w:lineRule="auto" w:before="0" w:after="0"/>
              <w:pStyle w:val="Compact"/>
            </w:pPr>
            <w:r>
              <w:rPr>
                <w:sz w:val="20"/>
                <w:szCs w:val="20"/>
              </w:rPr>
              <w:t xml:space="preserve">Starship_IFT1_2023</w:t>
            </w:r>
          </w:p>
        </w:tc>
        <w:tc>
          <w:tcPr>
            <w:tcW w:w="0" w:type="auto"/>
          </w:tcPr>
          <w:p>
            <w:pPr>
              <w:spacing w:line="240" w:lineRule="auto" w:before="0" w:after="0"/>
              <w:pStyle w:val="Compact"/>
            </w:pPr>
            <w:r>
              <w:rPr>
                <w:sz w:val="20"/>
                <w:szCs w:val="20"/>
              </w:rPr>
              <w:t xml:space="preserve">Starship</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Starship IFT-1 anomaly 2023-04-20; FAA Written Reevaluation closure 2023-09-08; IFT-2 RTF 2023-11-18; FAA AST mishap closure letter 2023-09-08</w:t>
            </w:r>
          </w:p>
        </w:tc>
      </w:tr>
      <w:tr>
        <w:tc>
          <w:tcPr>
            <w:tcW w:w="0" w:type="auto"/>
          </w:tcPr>
          <w:p>
            <w:pPr>
              <w:spacing w:line="240" w:lineRule="auto" w:before="0" w:after="0"/>
              <w:pStyle w:val="Compact"/>
            </w:pPr>
            <w:r>
              <w:rPr>
                <w:sz w:val="20"/>
                <w:szCs w:val="20"/>
              </w:rPr>
              <w:t xml:space="preserve">Starship_IFT2_2023</w:t>
            </w:r>
          </w:p>
        </w:tc>
        <w:tc>
          <w:tcPr>
            <w:tcW w:w="0" w:type="auto"/>
          </w:tcPr>
          <w:p>
            <w:pPr>
              <w:spacing w:line="240" w:lineRule="auto" w:before="0" w:after="0"/>
              <w:pStyle w:val="Compact"/>
            </w:pPr>
            <w:r>
              <w:rPr>
                <w:sz w:val="20"/>
                <w:szCs w:val="20"/>
              </w:rPr>
              <w:t xml:space="preserve">Starship</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SpaceX Starship IFT-2 anomaly 2023-11-18; IFT-3 RTF 2024-03-14; FAA AST mishap closure 2024-02-26</w:t>
            </w:r>
          </w:p>
        </w:tc>
      </w:tr>
      <w:tr>
        <w:tc>
          <w:tcPr>
            <w:tcW w:w="0" w:type="auto"/>
          </w:tcPr>
          <w:p>
            <w:pPr>
              <w:spacing w:line="240" w:lineRule="auto" w:before="0" w:after="0"/>
              <w:pStyle w:val="Compact"/>
            </w:pPr>
            <w:r>
              <w:rPr>
                <w:sz w:val="20"/>
                <w:szCs w:val="20"/>
              </w:rPr>
              <w:t xml:space="preserve">Starship_IFT7_2025</w:t>
            </w:r>
          </w:p>
        </w:tc>
        <w:tc>
          <w:tcPr>
            <w:tcW w:w="0" w:type="auto"/>
          </w:tcPr>
          <w:p>
            <w:pPr>
              <w:spacing w:line="240" w:lineRule="auto" w:before="0" w:after="0"/>
              <w:pStyle w:val="Compact"/>
            </w:pPr>
            <w:r>
              <w:rPr>
                <w:sz w:val="20"/>
                <w:szCs w:val="20"/>
              </w:rPr>
              <w:t xml:space="preserve">Starship</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SpaceX Starship IFT-7 anomaly 2025-01-16 (Block 2 upper-stage); IFT-8 RTF 2025-03-06; FAA AST closure 2025-02-28</w:t>
            </w:r>
          </w:p>
        </w:tc>
      </w:tr>
      <w:tr>
        <w:tc>
          <w:tcPr>
            <w:tcW w:w="0" w:type="auto"/>
          </w:tcPr>
          <w:p>
            <w:pPr>
              <w:spacing w:line="240" w:lineRule="auto" w:before="0" w:after="0"/>
              <w:pStyle w:val="Compact"/>
            </w:pPr>
            <w:r>
              <w:rPr>
                <w:sz w:val="20"/>
                <w:szCs w:val="20"/>
              </w:rPr>
              <w:t xml:space="preserve">Starship_IFT8_2025</w:t>
            </w:r>
          </w:p>
        </w:tc>
        <w:tc>
          <w:tcPr>
            <w:tcW w:w="0" w:type="auto"/>
          </w:tcPr>
          <w:p>
            <w:pPr>
              <w:spacing w:line="240" w:lineRule="auto" w:before="0" w:after="0"/>
              <w:pStyle w:val="Compact"/>
            </w:pPr>
            <w:r>
              <w:rPr>
                <w:sz w:val="20"/>
                <w:szCs w:val="20"/>
              </w:rPr>
              <w:t xml:space="preserve">Starship</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SpaceX Starship IFT-8 anomaly 2025-03-06; IFT-9 RTF 2025-05-27 [based on FAA reauthorization 2025-05-22 and SpaceX manifest]; FAA AST closure 2025-05-22</w:t>
            </w:r>
          </w:p>
        </w:tc>
      </w:tr>
      <w:tr>
        <w:tc>
          <w:tcPr>
            <w:tcW w:w="0" w:type="auto"/>
          </w:tcPr>
          <w:p>
            <w:pPr>
              <w:spacing w:line="240" w:lineRule="auto" w:before="0" w:after="0"/>
              <w:pStyle w:val="Compact"/>
            </w:pPr>
            <w:r>
              <w:rPr>
                <w:sz w:val="20"/>
                <w:szCs w:val="20"/>
              </w:rPr>
              <w:t xml:space="preserve">GS_Daytona_2024</w:t>
            </w:r>
          </w:p>
        </w:tc>
        <w:tc>
          <w:tcPr>
            <w:tcW w:w="0" w:type="auto"/>
          </w:tcPr>
          <w:p>
            <w:pPr>
              <w:spacing w:line="240" w:lineRule="auto" w:before="0" w:after="0"/>
              <w:pStyle w:val="Compact"/>
            </w:pPr>
            <w:r>
              <w:rPr>
                <w:sz w:val="20"/>
                <w:szCs w:val="20"/>
              </w:rPr>
              <w:t xml:space="preserve">New Glenn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Blue Origin New Glenn NG-1 partial anomaly 2025-01-16 (booster lost in landing, primary mission success); FAA AST mishap investigation opened; closure outstanding at study horizon 2025-04-15; censored</w:t>
            </w:r>
          </w:p>
        </w:tc>
      </w:tr>
    </w:tbl>
    <w:bookmarkEnd w:id="180"/>
    <w:bookmarkStart w:id="18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Calendar days from anomaly occurrence to FAA AST regulatory clearance for return-to-flight (or censoring date)</w:t>
            </w:r>
          </w:p>
        </w:tc>
        <w:tc>
          <w:tcPr>
            <w:tcW w:w="0" w:type="auto"/>
          </w:tcPr>
          <w:p>
            <w:pPr>
              <w:spacing w:line="240" w:lineRule="auto" w:before="0" w:after="0"/>
              <w:pStyle w:val="Compact"/>
            </w:pPr>
            <w:r>
              <w:rPr>
                <w:sz w:val="20"/>
                <w:szCs w:val="20"/>
              </w:rPr>
              <w:t xml:space="preserve">Operator press releases, FAA AST mishap closure letters, NASA Independent Review Board reports</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return-to-flight observed within study window (closure 2025-04-15); 0 if right-censored (program closure, company exit, ongoing investigation)</w:t>
            </w:r>
          </w:p>
        </w:tc>
        <w:tc>
          <w:tcPr>
            <w:tcW w:w="0" w:type="auto"/>
          </w:tcPr>
          <w:p>
            <w:pPr>
              <w:spacing w:line="240" w:lineRule="auto" w:before="0" w:after="0"/>
              <w:pStyle w:val="Compact"/>
            </w:pPr>
            <w:r>
              <w:rPr>
                <w:sz w:val="20"/>
                <w:szCs w:val="20"/>
              </w:rPr>
              <w:t xml:space="preserve">FAA AST docket and operator filings</w:t>
            </w:r>
          </w:p>
        </w:tc>
      </w:tr>
      <w:tr>
        <w:tc>
          <w:tcPr>
            <w:tcW w:w="0" w:type="auto"/>
          </w:tcPr>
          <w:p>
            <w:pPr>
              <w:spacing w:line="240" w:lineRule="auto" w:before="0" w:after="0"/>
              <w:pStyle w:val="Compact"/>
            </w:pPr>
            <w:r>
              <w:rPr>
                <w:sz w:val="20"/>
                <w:szCs w:val="20"/>
              </w:rPr>
              <w:t xml:space="preserve">phase_ascent</w:t>
            </w:r>
          </w:p>
        </w:tc>
        <w:tc>
          <w:tcPr>
            <w:tcW w:w="0" w:type="auto"/>
          </w:tcPr>
          <w:p>
            <w:pPr>
              <w:spacing w:line="240" w:lineRule="auto" w:before="0" w:after="0"/>
              <w:pStyle w:val="Compact"/>
            </w:pPr>
            <w:r>
              <w:rPr>
                <w:sz w:val="20"/>
                <w:szCs w:val="20"/>
              </w:rPr>
              <w:t xml:space="preserve">Indicator equal to 1 if anomaly occurred during powered-ascent first stage; 0 if stage separation, upper stage, or post-deployment</w:t>
            </w:r>
          </w:p>
        </w:tc>
        <w:tc>
          <w:tcPr>
            <w:tcW w:w="0" w:type="auto"/>
          </w:tcPr>
          <w:p>
            <w:pPr>
              <w:spacing w:line="240" w:lineRule="auto" w:before="0" w:after="0"/>
              <w:pStyle w:val="Compact"/>
            </w:pPr>
            <w:r>
              <w:rPr>
                <w:sz w:val="20"/>
                <w:szCs w:val="20"/>
              </w:rPr>
              <w:t xml:space="preserve">Independent Review Team and Accident Investigation Board reports cited per row</w:t>
            </w:r>
          </w:p>
        </w:tc>
      </w:tr>
      <w:tr>
        <w:tc>
          <w:tcPr>
            <w:tcW w:w="0" w:type="auto"/>
          </w:tcPr>
          <w:p>
            <w:pPr>
              <w:spacing w:line="240" w:lineRule="auto" w:before="0" w:after="0"/>
              <w:pStyle w:val="Compact"/>
            </w:pPr>
            <w:r>
              <w:rPr>
                <w:sz w:val="20"/>
                <w:szCs w:val="20"/>
              </w:rPr>
              <w:t xml:space="preserve">payload_commercial</w:t>
            </w:r>
          </w:p>
        </w:tc>
        <w:tc>
          <w:tcPr>
            <w:tcW w:w="0" w:type="auto"/>
          </w:tcPr>
          <w:p>
            <w:pPr>
              <w:spacing w:line="240" w:lineRule="auto" w:before="0" w:after="0"/>
              <w:pStyle w:val="Compact"/>
            </w:pPr>
            <w:r>
              <w:rPr>
                <w:sz w:val="20"/>
                <w:szCs w:val="20"/>
              </w:rPr>
              <w:t xml:space="preserve">Indicator equal to 1 for commercial broadband/communications/rideshare payloads; 0 for science, national security, or human spaceflight</w:t>
            </w:r>
          </w:p>
        </w:tc>
        <w:tc>
          <w:tcPr>
            <w:tcW w:w="0" w:type="auto"/>
          </w:tcPr>
          <w:p>
            <w:pPr>
              <w:spacing w:line="240" w:lineRule="auto" w:before="0" w:after="0"/>
              <w:pStyle w:val="Compact"/>
            </w:pPr>
            <w:r>
              <w:rPr>
                <w:sz w:val="20"/>
                <w:szCs w:val="20"/>
              </w:rPr>
              <w:t xml:space="preserve">Operator manifests and FAA AST license records</w:t>
            </w:r>
          </w:p>
        </w:tc>
      </w:tr>
      <w:tr>
        <w:tc>
          <w:tcPr>
            <w:tcW w:w="0" w:type="auto"/>
          </w:tcPr>
          <w:p>
            <w:pPr>
              <w:spacing w:line="240" w:lineRule="auto" w:before="0" w:after="0"/>
              <w:pStyle w:val="Compact"/>
            </w:pPr>
            <w:r>
              <w:rPr>
                <w:sz w:val="20"/>
                <w:szCs w:val="20"/>
              </w:rPr>
              <w:t xml:space="preserve">ai_tooling</w:t>
            </w:r>
          </w:p>
        </w:tc>
        <w:tc>
          <w:tcPr>
            <w:tcW w:w="0" w:type="auto"/>
          </w:tcPr>
          <w:p>
            <w:pPr>
              <w:spacing w:line="240" w:lineRule="auto" w:before="0" w:after="0"/>
              <w:pStyle w:val="Compact"/>
            </w:pPr>
            <w:r>
              <w:rPr>
                <w:sz w:val="20"/>
                <w:szCs w:val="20"/>
              </w:rPr>
              <w:t xml:space="preserve">Indicator equal to 1 if operator anomaly-response disclosure references AI-assisted or ML-assisted decision support of the kind documented at AMOS 2025 [1]; 0 otherwise</w:t>
            </w:r>
          </w:p>
        </w:tc>
        <w:tc>
          <w:tcPr>
            <w:tcW w:w="0" w:type="auto"/>
          </w:tcPr>
          <w:p>
            <w:pPr>
              <w:spacing w:line="240" w:lineRule="auto" w:before="0" w:after="0"/>
              <w:pStyle w:val="Compact"/>
            </w:pPr>
            <w:r>
              <w:rPr>
                <w:sz w:val="20"/>
                <w:szCs w:val="20"/>
              </w:rPr>
              <w:t xml:space="preserve">Operator earnings calls, FAA AST mishap closure narratives, anomaly-response documentation cross-referenced to [1]</w:t>
            </w:r>
          </w:p>
        </w:tc>
      </w:tr>
      <w:tr>
        <w:tc>
          <w:tcPr>
            <w:tcW w:w="0" w:type="auto"/>
          </w:tcPr>
          <w:p>
            <w:pPr>
              <w:spacing w:line="240" w:lineRule="auto" w:before="0" w:after="0"/>
              <w:pStyle w:val="Compact"/>
            </w:pPr>
            <w:r>
              <w:rPr>
                <w:sz w:val="20"/>
                <w:szCs w:val="20"/>
              </w:rPr>
              <w:t xml:space="preserve">prior_inv_count</w:t>
            </w:r>
          </w:p>
        </w:tc>
        <w:tc>
          <w:tcPr>
            <w:tcW w:w="0" w:type="auto"/>
          </w:tcPr>
          <w:p>
            <w:pPr>
              <w:spacing w:line="240" w:lineRule="auto" w:before="0" w:after="0"/>
              <w:pStyle w:val="Compact"/>
            </w:pPr>
            <w:r>
              <w:rPr>
                <w:sz w:val="20"/>
                <w:szCs w:val="20"/>
              </w:rPr>
              <w:t xml:space="preserve">Operator count of prior FAA AST mishap investigations for this vehicle family in the preceding 60 months</w:t>
            </w:r>
          </w:p>
        </w:tc>
        <w:tc>
          <w:tcPr>
            <w:tcW w:w="0" w:type="auto"/>
          </w:tcPr>
          <w:p>
            <w:pPr>
              <w:spacing w:line="240" w:lineRule="auto" w:before="0" w:after="0"/>
              <w:pStyle w:val="Compact"/>
            </w:pPr>
            <w:r>
              <w:rPr>
                <w:sz w:val="20"/>
                <w:szCs w:val="20"/>
              </w:rPr>
              <w:t xml:space="preserve">FAA AST docket</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Row-level source citation; every observation carries a documented primary reference</w:t>
            </w:r>
          </w:p>
        </w:tc>
        <w:tc>
          <w:tcPr>
            <w:tcW w:w="0" w:type="auto"/>
          </w:tcPr>
          <w:p>
            <w:pPr>
              <w:spacing w:line="240" w:lineRule="auto" w:before="0" w:after="0"/>
              <w:pStyle w:val="Compact"/>
            </w:pPr>
            <w:r>
              <w:rPr>
                <w:sz w:val="20"/>
                <w:szCs w:val="20"/>
              </w:rPr>
              <w:t xml:space="preserve">row-attached</w:t>
            </w:r>
          </w:p>
        </w:tc>
      </w:tr>
    </w:tbl>
    <w:bookmarkEnd w:id="181"/>
    <w:bookmarkEnd w:id="182"/>
    <w:bookmarkEnd w:id="1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68" Type="http://schemas.openxmlformats.org/officeDocument/2006/relationships/image" Target="media/rId168.png"/><Relationship Id="rId176" Type="http://schemas.openxmlformats.org/officeDocument/2006/relationships/image" Target="media/rId176.png"/><Relationship Id="rId158" Type="http://schemas.openxmlformats.org/officeDocument/2006/relationships/hyperlink" Target="https://doi.org/10.1016/j.actaastro.2019.04.032" TargetMode="External"/><Relationship Id="rId162" Type="http://schemas.openxmlformats.org/officeDocument/2006/relationships/hyperlink" Target="https://doi.org/10.1016/j.actaastro.2019.07.032" TargetMode="External"/><Relationship Id="rId164" Type="http://schemas.openxmlformats.org/officeDocument/2006/relationships/hyperlink" Target="https://doi.org/10.1016/j.actaastro.2021.08.023" TargetMode="External"/><Relationship Id="rId133" Type="http://schemas.openxmlformats.org/officeDocument/2006/relationships/hyperlink" Target="https://doi.org/10.1016/j.actaastro.2024.01.024" TargetMode="External"/><Relationship Id="rId150" Type="http://schemas.openxmlformats.org/officeDocument/2006/relationships/hyperlink" Target="https://doi.org/10.1016/j.actaastro.2024.05.007" TargetMode="External"/><Relationship Id="rId156" Type="http://schemas.openxmlformats.org/officeDocument/2006/relationships/hyperlink" Target="https://doi.org/10.1016/j.actaastro.2025.02.046" TargetMode="External"/><Relationship Id="rId160" Type="http://schemas.openxmlformats.org/officeDocument/2006/relationships/hyperlink" Target="https://doi.org/10.1016/j.actaastro.2025.04.030" TargetMode="External"/><Relationship Id="rId152" Type="http://schemas.openxmlformats.org/officeDocument/2006/relationships/hyperlink" Target="https://doi.org/10.1016/j.actaastro.2025.08.015" TargetMode="External"/><Relationship Id="rId154" Type="http://schemas.openxmlformats.org/officeDocument/2006/relationships/hyperlink" Target="https://doi.org/10.1016/j.actaastro.2026.04.046" TargetMode="External"/><Relationship Id="rId146" Type="http://schemas.openxmlformats.org/officeDocument/2006/relationships/hyperlink" Target="https://doi.org/10.64861/CXGE3201" TargetMode="External"/><Relationship Id="rId131" Type="http://schemas.openxmlformats.org/officeDocument/2006/relationships/hyperlink" Target="https://doi.org/10.64861/RAAN7205" TargetMode="External"/><Relationship Id="rId124" Type="http://schemas.openxmlformats.org/officeDocument/2006/relationships/hyperlink" Target="https://doi.org/10.64861/TJUV7381"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16/j.actaastro.2019.04.032" TargetMode="External"/><Relationship Id="rId162" Type="http://schemas.openxmlformats.org/officeDocument/2006/relationships/hyperlink" Target="https://doi.org/10.1016/j.actaastro.2019.07.032" TargetMode="External"/><Relationship Id="rId164" Type="http://schemas.openxmlformats.org/officeDocument/2006/relationships/hyperlink" Target="https://doi.org/10.1016/j.actaastro.2021.08.023" TargetMode="External"/><Relationship Id="rId133" Type="http://schemas.openxmlformats.org/officeDocument/2006/relationships/hyperlink" Target="https://doi.org/10.1016/j.actaastro.2024.01.024" TargetMode="External"/><Relationship Id="rId150" Type="http://schemas.openxmlformats.org/officeDocument/2006/relationships/hyperlink" Target="https://doi.org/10.1016/j.actaastro.2024.05.007" TargetMode="External"/><Relationship Id="rId156" Type="http://schemas.openxmlformats.org/officeDocument/2006/relationships/hyperlink" Target="https://doi.org/10.1016/j.actaastro.2025.02.046" TargetMode="External"/><Relationship Id="rId160" Type="http://schemas.openxmlformats.org/officeDocument/2006/relationships/hyperlink" Target="https://doi.org/10.1016/j.actaastro.2025.04.030" TargetMode="External"/><Relationship Id="rId152" Type="http://schemas.openxmlformats.org/officeDocument/2006/relationships/hyperlink" Target="https://doi.org/10.1016/j.actaastro.2025.08.015" TargetMode="External"/><Relationship Id="rId154" Type="http://schemas.openxmlformats.org/officeDocument/2006/relationships/hyperlink" Target="https://doi.org/10.1016/j.actaastro.2026.04.046" TargetMode="External"/><Relationship Id="rId146" Type="http://schemas.openxmlformats.org/officeDocument/2006/relationships/hyperlink" Target="https://doi.org/10.64861/CXGE3201" TargetMode="External"/><Relationship Id="rId131" Type="http://schemas.openxmlformats.org/officeDocument/2006/relationships/hyperlink" Target="https://doi.org/10.64861/RAAN7205" TargetMode="External"/><Relationship Id="rId124" Type="http://schemas.openxmlformats.org/officeDocument/2006/relationships/hyperlink" Target="https://doi.org/10.64861/TJUV73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Mishap Investigation Duration and the Cost of Grounding: An Econometric Hazard Model of Post-Anomaly Return-to-Flight Intervals</dc:title>
  <dc:creator>Amara Bianchi (1B-INF-118)</dc:creator>
  <cp:keywords/>
  <dcterms:created xsi:type="dcterms:W3CDTF">2026-07-02T18:01:08Z</dcterms:created>
  <dcterms:modified xsi:type="dcterms:W3CDTF">2026-07-02T18:01:08Z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