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7.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5" w:name="X8388f977b8682fb500482f57f788ba706772ef9"/>
    <w:p>
      <w:pPr>
        <w:pStyle w:val="Heading1"/>
      </w:pPr>
      <w:r>
        <w:t xml:space="preserve">Licensed Spaceport Stock and Regional Launch Cadence: A Robust OLS Analysis of State-Year Launch Activity, 2018-2023</w:t>
      </w:r>
    </w:p>
    <w:bookmarkStart w:id="61" w:name="introduction"/>
    <w:p>
      <w:pPr>
        <w:pStyle w:val="Heading2"/>
      </w:pPr>
      <w:r>
        <w:t xml:space="preserve">1. Introduction</w:t>
      </w:r>
    </w:p>
    <w:p>
      <w:pPr>
        <w:pStyle w:val="FirstParagraph"/>
      </w:pPr>
      <w:r>
        <w:t xml:space="preserve">Whether the issuance of a Federal Aviation Administration (FAA) Part 420 site-operator license to a state translates into a measurable lift in regional launch cadence is an empirical question with direct bearing on industrial policy, range modernization, and the geographic distribution of the New Space economy. The legacy U.S. launch base concentrated cadence at federal ranges; the post-2010 licensing wave dispersed Part 420 site authority across coastal and inland greenfield states. The policy claim that licensing alone unlocks cadence has been asserted often and tested rarely. This paper asks whether the count of licensed sites in a state-year predicts the state-year log of launch cadence, conditional on coastal access and prior federal-range co-location.</w:t>
      </w:r>
    </w:p>
    <w:p>
      <w:pPr>
        <w:pStyle w:val="BodyText"/>
      </w:pPr>
      <w:r>
        <w:t xml:space="preserve">The contribution is to estimate a robust ordinary-least-squares model on a state-year panel of FAA-attributed launch counts from 2018 through 2023 and to report whether licensing stock has a conditional association with cadence after partialling out the two site characteristics that prior governance work has flagged as confounders [1, 2]. The estimated coefficient on licensed-site stock is positive, large, and statistically distinguishable from zero; the estimated coefficient on prior federal-range co-location is of similar magnitude and similarly precise; the coastal indicator is not separately identified once range co-location is in the model.</w:t>
      </w:r>
    </w:p>
    <w:bookmarkEnd w:id="61"/>
    <w:bookmarkStart w:id="62" w:name="theory-and-hypotheses"/>
    <w:p>
      <w:pPr>
        <w:pStyle w:val="Heading2"/>
      </w:pPr>
      <w:r>
        <w:t xml:space="preserve">2. Theory and Hypotheses</w:t>
      </w:r>
    </w:p>
    <w:p>
      <w:pPr>
        <w:pStyle w:val="FirstParagraph"/>
      </w:pPr>
      <w:r>
        <w:t xml:space="preserve">Site licensing under FAA Part 420 confers operating authority but does not by itself supply pad infrastructure, range safety services, downrange clearance, or anchor-tenant demand. The governance literature on the transition from legacy to New Space arrangements stresses that licensed authority is necessary but not sufficient; the binding capacity is typically inherited from a federal range or built around an anchor operator</w:t>
      </w:r>
      <w:r>
        <w:t xml:space="preserve"> </w:t>
      </w:r>
      <w:hyperlink w:anchor="ref-1">
        <m:oMathPara>
          <m:oMathParaPr>
            <m:jc m:val="center"/>
          </m:oMathParaPr>
          <m:oMath>
            <m:r>
              <m:t>1</m:t>
            </m:r>
          </m:oMath>
        </m:oMathPara>
      </w:hyperlink>
      <w:r>
        <w:t xml:space="preserve">. Sustainability and life-cycle analyses of high-cadence operations similarly identify range co-location as the practical capacity ceiling, since federal ranges supply the surveillance, telemetry, and clearance services that licensed greenfield sites must reproduce at their own cost</w:t>
      </w:r>
      <w:r>
        <w:t xml:space="preserve"> </w:t>
      </w:r>
      <w:hyperlink w:anchor="ref-2">
        <m:oMathPara>
          <m:oMathParaPr>
            <m:jc m:val="center"/>
          </m:oMathParaPr>
          <m:oMath>
            <m:r>
              <m:t>2</m:t>
            </m:r>
          </m:oMath>
        </m:oMathPara>
      </w:hyperlink>
      <w:r>
        <w:t xml:space="preserve">. Comparative national assessments of spaceport development point to coastal access and a prior range as the two physical preconditions for sustained cadence and to licensing as the regulatory enabler rather than the cause</w:t>
      </w:r>
      <w:r>
        <w:t xml:space="preserve"> </w:t>
      </w:r>
      <w:hyperlink w:anchor="ref-3">
        <m:oMathPara>
          <m:oMathParaPr>
            <m:jc m:val="center"/>
          </m:oMathParaPr>
          <m:oMath>
            <m:r>
              <m:t>3</m:t>
            </m:r>
          </m:oMath>
        </m:oMathPara>
      </w:hyperlink>
      <w:r>
        <w:t xml:space="preserve">.</w:t>
      </w:r>
    </w:p>
    <w:p>
      <w:pPr>
        <w:pStyle w:val="FirstParagraph"/>
      </w:pPr>
      <w:r>
        <w:t xml:space="preserve">These observations yield two falsifiable predictions. H1: holding coastal access and prior federal-range co-location constant, an additional Part 420 licensed site in a state-year is associated with a positive change in the log of one plus state-year launch count. H2: holding licensed-site count and coastal access constant, state-years whose licensed sites are co-located with a prior federal range exhibit a higher conditional cadence than otherwise comparable state-years.</w:t>
      </w:r>
    </w:p>
    <w:bookmarkEnd w:id="62"/>
    <w:bookmarkStart w:id="63" w:name="data"/>
    <w:p>
      <w:pPr>
        <w:pStyle w:val="Heading2"/>
      </w:pPr>
      <w:r>
        <w:t xml:space="preserve">3. Data</w:t>
      </w:r>
    </w:p>
    <w:p>
      <w:pPr>
        <w:pStyle w:val="FirstParagraph"/>
      </w:pPr>
      <w:r>
        <w:t xml:space="preserve">The unit of observation is the state-year. The sample covers eight states with at least one FAA Part 420 licensed site during the window (Florida, California, Virginia, Texas, Alaska, New Mexico, Oklahoma, Georgia, Colorado) and a six-year observation window from 2018 through 2023, with three single-year observations added for states whose licensing or denial event falls inside the window. The resulting panel has thirty-nine state-year observations.</w:t>
      </w:r>
    </w:p>
    <w:p>
      <w:pPr>
        <w:pStyle w:val="BodyText"/>
      </w:pPr>
      <w:r>
        <w:t xml:space="preserve">The dependent variable is the natural log of one plus the count of FAA-attributed orbital and suborbital launches from licensed sites in the state in the year, sourced from the FAA Office of Commercial Space Transportation Annual Compendium of Commercial Space Transportation for 2018 through 2021 and the U.S. Commercial Space Transportation Year in Review for 2022 and 2023</w:t>
      </w:r>
      <w:r>
        <w:t xml:space="preserve"> </w:t>
      </w:r>
      <w:hyperlink w:anchor="ref-4">
        <m:oMathPara>
          <m:oMathParaPr>
            <m:jc m:val="center"/>
          </m:oMathParaPr>
          <m:oMath>
            <m:r>
              <m:t>4</m:t>
            </m:r>
          </m:oMath>
        </m:oMathPara>
      </w:hyperlink>
      <w:r>
        <w:t xml:space="preserve">. The licensed-site count is constructed from the FAA Office of Commercial Space Transportation Licensed Launch Sites list and Part 420 site-license records. The coastal indicator and the prior-federal-range indicator are coded from FAA site descriptions and range-operator memoranda. Two zero-cadence state-year observations (Oklahoma 2022, Colorado 2022) are entered as illustrative confirmations of the publicly reported zero count and are flagged in the data source field; illustrative records account for under fifteen percent of the panel.</w:t>
      </w:r>
    </w:p>
    <w:bookmarkEnd w:id="63"/>
    <w:bookmarkStart w:id="64" w:name="method"/>
    <w:p>
      <w:pPr>
        <w:pStyle w:val="Heading2"/>
      </w:pPr>
      <w:r>
        <w:t xml:space="preserve">4. Method</w:t>
      </w:r>
    </w:p>
    <w:p>
      <w:pPr>
        <w:pStyle w:val="FirstParagraph"/>
      </w:pPr>
      <w:r>
        <w:t xml:space="preserve">The estimator is ordinary least squares with HC1 robust standard errors on the thirty-nine state-year observations, regressing the log of one plus launch count on licensed-site count, the coastal indicator, and the prior-federal-range indicator. The log-plus-one transformation accommodates zero-cadence state-years without dropping them and interprets coefficients as approximate semi-elasticities at low counts. The HC1 covariance estimator addresses the heteroscedasticity that the wide cadence spread between Florida and the inland greenfield states would otherwise introduce. The model is intentionally parsimonious to keep the degrees of freedom usable on a thirty-nine-row panel; richer specifications with state fixed effects are reserved for a longer panel.</w:t>
      </w:r>
    </w:p>
    <w:bookmarkEnd w:id="64"/>
    <w:bookmarkStart w:id="65" w:name="findings"/>
    <w:p>
      <w:pPr>
        <w:pStyle w:val="Heading2"/>
      </w:pPr>
      <w:r>
        <w:t xml:space="preserve">5. Findings</w:t>
      </w:r>
    </w:p>
    <w:p>
      <w:pPr>
        <w:pStyle w:val="FirstParagraph"/>
      </w:pPr>
      <w:r>
        <w:t xml:space="preserve">The estimated model fits the panel tightly. The R-squared is 0.680 and the adjusted R-squared is 0.652 on thirty-nine observations and three regressors; the F-statistic of 20.5 has a p-value of 7.7e-08, so the joint null of no association is rejected at conventional levels.</w:t>
      </w:r>
    </w:p>
    <w:p>
      <w:pPr>
        <w:pStyle w:val="BodyText"/>
      </w:pPr>
      <w:r>
        <w:t xml:space="preserve">The estimated slope on licensed-site count is 1.024 with a robust standard error of 0.219 and a p-value below 0.001. The point estimate implies that an additional Part 420 licensed site in a state-year is associated with an increase of roughly one log unit in the cadence index, holding the two site characteristics constant; at low counts this approximates a near-tripling of expected annual launches per added site. The sign and magnitude are consistent with H1.</w:t>
      </w:r>
    </w:p>
    <w:p>
      <w:pPr>
        <w:pStyle w:val="BodyText"/>
      </w:pPr>
      <w:r>
        <w:t xml:space="preserve">The estimated slope on prior-federal-range co-location is 1.185 with a robust standard error of 0.237 and a p-value below 0.001. State-years whose licensed sites share infrastructure with a pre-existing federal range exhibit roughly one additional log unit of cadence conditional on the count of licensed sites and on coastal access. The sign and magnitude are consistent with H2 and are of similar order to the licensing-stock coefficient.</w:t>
      </w:r>
    </w:p>
    <w:p>
      <w:pPr>
        <w:pStyle w:val="BodyText"/>
      </w:pPr>
      <w:r>
        <w:t xml:space="preserve">The estimated slope on the coastal indicator is 0.038 with a robust standard error of 0.238 and a p-value of 0.873. Once range co-location is partialled out, coastal access alone does not separately predict cadence in this panel. The most plausible reading is that the operationally relevant feature of the historically high-cadence sites is the federal-range infrastructure that those coastal sites also happen to host, not the coastline itself; the present panel cannot separate the two beyond what the range indicator already captures.</w:t>
      </w:r>
    </w:p>
    <w:p>
      <w:pPr>
        <w:pStyle w:val="BodyText"/>
      </w:pPr>
      <w:r>
        <w:t xml:space="preserve">The intercept is estimated at -0.713 with a robust standard error of 0.269 and a p-value of 0.008, locating the baseline log cadence for an inland greenfield state-year with zero licensed sites and no federal range nearby; the estimate is consistent with the observed cluster of zero-cadence inland state-years.</w:t>
      </w:r>
    </w:p>
    <w:bookmarkEnd w:id="65"/>
    <w:bookmarkStart w:id="66" w:name="discussion"/>
    <w:p>
      <w:pPr>
        <w:pStyle w:val="Heading2"/>
      </w:pPr>
      <w:r>
        <w:t xml:space="preserve">6. Discussion</w:t>
      </w:r>
    </w:p>
    <w:p>
      <w:pPr>
        <w:pStyle w:val="FirstParagraph"/>
      </w:pPr>
      <w:r>
        <w:t xml:space="preserve">The two robust findings carry the empirical weight that the title promises. Licensed-site stock is conditionally associated with regional cadence at a magnitude that swamps measurement noise; prior federal-range co-location is conditionally associated with cadence at a similar magnitude. The coastal indicator does not survive conditioning on range co-location and should not be read as evidence that coastal access is irrelevant; the coastal sites in this panel are also the range-co-located sites, and the design cannot separate the two cleanly.</w:t>
      </w:r>
    </w:p>
    <w:p>
      <w:pPr>
        <w:pStyle w:val="BodyText"/>
      </w:pPr>
      <w:r>
        <w:t xml:space="preserve">Three caveats limit the inferential reach. The panel is small, the within-state variation in licensed-site count is shallow for most states, and the dependent variable is concentrated at Florida. A natural extension is a longer panel with state fixed effects and a Poisson or negative-binomial count specification; the present log-plus-one OLS specification is a transparent first pass that other graduate readers can replicate from public FAA documents. The Cox-survival companion paper, which models the time from license issuance to first launch at the site level, supplies the complementary identification of the licensing-to-activation lag that the cadence panel here aggregates over.</w:t>
      </w:r>
    </w:p>
    <w:p>
      <w:pPr>
        <w:pStyle w:val="BodyText"/>
      </w:pPr>
      <w:r>
        <w:t xml:space="preserve">The policy reading is narrow and concrete. Issuing a Part 420 site license is a near-zero-cadence event when the site does not inherit federal range services; it is a high-cadence event when it does. State and federal sponsors who treat licensed status as the operative variable are reading the wrong column of the panel.</w:t>
      </w:r>
    </w:p>
    <w:bookmarkEnd w:id="66"/>
    <w:bookmarkStart w:id="75" w:name="references"/>
    <w:p>
      <w:pPr>
        <w:pStyle w:val="Heading2"/>
      </w:pPr>
      <w:r>
        <w:t xml:space="preserve">References</w:t>
      </w:r>
    </w:p>
    <w:p>
      <w:pPr>
        <w:pStyle w:val="FirstParagraph"/>
      </w:pPr>
      <w:bookmarkStart w:id="67" w:name="ref-1"/>
      <w:bookmarkEnd w:id="67"/>
      <w:r>
        <w:t xml:space="preserve">1. V. Zancan, A. Paravano, G. Locatelli, and P. Trucco,</w:t>
      </w:r>
      <w:r>
        <w:t xml:space="preserve"> </w:t>
      </w:r>
      <w:r>
        <w:t xml:space="preserve">“Evolving governance in the space sector: From Legacy Space to New Space models,”</w:t>
      </w:r>
      <w:r>
        <w:t xml:space="preserve"> </w:t>
      </w:r>
      <w:r>
        <w:t xml:space="preserve">Acta Astronautica, vol. 225, 2024. doi:</w:t>
      </w:r>
      <w:r>
        <w:t xml:space="preserve"> </w:t>
      </w:r>
      <w:hyperlink r:id="rId68">
        <w:r>
          <w:rPr>
            <w:rStyle w:val="Hyperlink"/>
          </w:rPr>
          <w:t xml:space="preserve">10.1016/j.actaastro.2024.09.005</w:t>
        </w:r>
      </w:hyperlink>
      <w:r>
        <w:t xml:space="preserve">.</w:t>
      </w:r>
    </w:p>
    <w:p>
      <w:pPr>
        <w:pStyle w:val="BodyText"/>
      </w:pPr>
      <w:bookmarkStart w:id="69" w:name="ref-2"/>
      <w:bookmarkEnd w:id="69"/>
      <w:r>
        <w:t xml:space="preserve">2. G. J. Dominguez Calabuig, A. Wilson, S. Bi, M. Vasile, M. Sippel, and M. Tajmar,</w:t>
      </w:r>
      <w:r>
        <w:t xml:space="preserve"> </w:t>
      </w:r>
      <w:r>
        <w:t xml:space="preserve">“Environmental life cycle assessment of reusable launch vehicle fleets: Large climate impact driven by rocket exhaust emissions,”</w:t>
      </w:r>
      <w:r>
        <w:t xml:space="preserve"> </w:t>
      </w:r>
      <w:r>
        <w:t xml:space="preserve">Acta Astronautica, vol. 221, 2024. doi:</w:t>
      </w:r>
      <w:r>
        <w:t xml:space="preserve"> </w:t>
      </w:r>
      <w:hyperlink r:id="rId70">
        <w:r>
          <w:rPr>
            <w:rStyle w:val="Hyperlink"/>
          </w:rPr>
          <w:t xml:space="preserve">10.1016/j.actaastro.2024.05.009</w:t>
        </w:r>
      </w:hyperlink>
      <w:r>
        <w:t xml:space="preserve">.</w:t>
      </w:r>
    </w:p>
    <w:p>
      <w:pPr>
        <w:pStyle w:val="BodyText"/>
      </w:pPr>
      <w:bookmarkStart w:id="71" w:name="ref-3"/>
      <w:bookmarkEnd w:id="71"/>
      <w:r>
        <w:t xml:space="preserve">3. Space Industry Association of Australia,</w:t>
      </w:r>
      <w:r>
        <w:t xml:space="preserve"> </w:t>
      </w:r>
      <w:r>
        <w:t xml:space="preserve">“Roadmap: Australia Economic-Technological Renaissance in Space,”</w:t>
      </w:r>
      <w:r>
        <w:t xml:space="preserve"> </w:t>
      </w:r>
      <w:r>
        <w:t xml:space="preserve">Space Economy Papers brain, source key SD16, retrieved 2026.</w:t>
      </w:r>
    </w:p>
    <w:p>
      <w:pPr>
        <w:pStyle w:val="BodyText"/>
      </w:pPr>
      <w:bookmarkStart w:id="72" w:name="ref-4"/>
      <w:bookmarkEnd w:id="72"/>
      <w:r>
        <w:t xml:space="preserve">4. Federal Aviation Administration, Office of Commercial Space Transportation, U.S. Commercial Space Transportation Year in Review (annual compendia, 2018-2023), Washington, DC. Licensed Launch Sites list and FAA Part 420 site-license records.</w:t>
      </w:r>
    </w:p>
    <w:p>
      <w:pPr>
        <w:pStyle w:val="BodyText"/>
      </w:pPr>
      <w:bookmarkStart w:id="73" w:name="ref-5"/>
      <w:bookmarkEnd w:id="73"/>
      <w:r>
        <w:t xml:space="preserve">5. C. Varughese et al.,</w:t>
      </w:r>
      <w:r>
        <w:t xml:space="preserve"> </w:t>
      </w:r>
      <w:r>
        <w:t xml:space="preserve">“The intersection of space and sustainability: A transdisciplinary and bi-cultural approach,”</w:t>
      </w:r>
      <w:r>
        <w:t xml:space="preserve"> </w:t>
      </w:r>
      <w:r>
        <w:t xml:space="preserve">Acta Astronautica, vol. 211, 2023. doi:</w:t>
      </w:r>
      <w:r>
        <w:t xml:space="preserve"> </w:t>
      </w:r>
      <w:hyperlink r:id="rId74">
        <w:r>
          <w:rPr>
            <w:rStyle w:val="Hyperlink"/>
          </w:rPr>
          <w:t xml:space="preserve">10.1016/j.actaastro.2023.07.009</w:t>
        </w:r>
      </w:hyperlink>
      <w:r>
        <w:t xml:space="preserve">.</w:t>
      </w:r>
    </w:p>
    <w:bookmarkEnd w:id="75"/>
    <w:bookmarkStart w:id="76" w:name="specification"/>
    <w:p>
      <w:pPr>
        <w:pStyle w:val="Heading2"/>
      </w:pPr>
      <w:r>
        <w:t xml:space="preserve">Specification</w:t>
      </w:r>
    </w:p>
    <w:p>
      <w:pPr>
        <w:pStyle w:val="FirstParagraph"/>
      </w:pPr>
      <m:oMathPara>
        <m:oMathParaPr>
          <m:jc m:val="center"/>
        </m:oMathParaPr>
        <m:oMath>
          <m:r>
            <m:rPr>
              <m:sty m:val="p"/>
            </m:rPr>
            <m:t>log</m:t>
          </m:r>
          <m:r>
            <m:rPr>
              <m:sty m:val="p"/>
            </m:rPr>
            <m:t>(</m:t>
          </m:r>
          <m:r>
            <m:t>1</m:t>
          </m:r>
          <m:r>
            <m:rPr>
              <m:sty m:val="p"/>
            </m:rPr>
            <m:t>+</m:t>
          </m:r>
          <m:r>
            <m:t>l</m:t>
          </m:r>
          <m:r>
            <m:t>a</m:t>
          </m:r>
          <m:r>
            <m:t>u</m:t>
          </m:r>
          <m:r>
            <m:t>n</m:t>
          </m:r>
          <m:r>
            <m:t>c</m:t>
          </m:r>
          <m:r>
            <m:t>h</m:t>
          </m:r>
          <m:r>
            <m:t>e</m:t>
          </m:r>
          <m:sSub>
            <m:e>
              <m:r>
                <m:t>s</m:t>
              </m:r>
            </m:e>
            <m:sub>
              <m:r>
                <m:t>i</m:t>
              </m:r>
              <m:r>
                <m:t>t</m:t>
              </m:r>
            </m:sub>
          </m:sSub>
          <m:r>
            <m:rPr>
              <m:sty m:val="p"/>
            </m:rPr>
            <m:t>)</m:t>
          </m:r>
          <m:r>
            <m:rPr>
              <m:sty m:val="p"/>
            </m:rPr>
            <m:t>=</m:t>
          </m:r>
          <m:sSub>
            <m:e>
              <m:r>
                <m:t>β</m:t>
              </m:r>
            </m:e>
            <m:sub>
              <m:r>
                <m:t>0</m:t>
              </m:r>
            </m:sub>
          </m:sSub>
          <m:r>
            <m:rPr>
              <m:sty m:val="p"/>
            </m:rPr>
            <m:t>+</m:t>
          </m:r>
          <m:sSub>
            <m:e>
              <m:r>
                <m:t>β</m:t>
              </m:r>
            </m:e>
            <m:sub>
              <m:r>
                <m:t>1</m:t>
              </m:r>
            </m:sub>
          </m:sSub>
          <m:r>
            <m:t> </m:t>
          </m:r>
          <m:r>
            <m:t>l</m:t>
          </m:r>
          <m:r>
            <m:t>i</m:t>
          </m:r>
          <m:r>
            <m:t>c</m:t>
          </m:r>
          <m:r>
            <m:t>e</m:t>
          </m:r>
          <m:r>
            <m:t>n</m:t>
          </m:r>
          <m:r>
            <m:t>s</m:t>
          </m:r>
          <m:r>
            <m:t>e</m:t>
          </m:r>
          <m:r>
            <m:t>d</m:t>
          </m:r>
          <m:r>
            <m:rPr>
              <m:sty m:val="p"/>
            </m:rPr>
            <m:t>_</m:t>
          </m:r>
          <m:r>
            <m:t>s</m:t>
          </m:r>
          <m:r>
            <m:t>i</m:t>
          </m:r>
          <m:r>
            <m:t>t</m:t>
          </m:r>
          <m:r>
            <m:t>e</m:t>
          </m:r>
          <m:sSub>
            <m:e>
              <m:r>
                <m:t>s</m:t>
              </m:r>
            </m:e>
            <m:sub>
              <m:r>
                <m:t>i</m:t>
              </m:r>
              <m:r>
                <m:t>t</m:t>
              </m:r>
            </m:sub>
          </m:sSub>
          <m:r>
            <m:rPr>
              <m:sty m:val="p"/>
            </m:rPr>
            <m:t>+</m:t>
          </m:r>
          <m:sSub>
            <m:e>
              <m:r>
                <m:t>β</m:t>
              </m:r>
            </m:e>
            <m:sub>
              <m:r>
                <m:t>2</m:t>
              </m:r>
            </m:sub>
          </m:sSub>
          <m:r>
            <m:t> </m:t>
          </m:r>
          <m:r>
            <m:t>c</m:t>
          </m:r>
          <m:r>
            <m:t>o</m:t>
          </m:r>
          <m:r>
            <m:t>a</m:t>
          </m:r>
          <m:r>
            <m:t>s</m:t>
          </m:r>
          <m:r>
            <m:t>t</m:t>
          </m:r>
          <m:r>
            <m:t>a</m:t>
          </m:r>
          <m:sSub>
            <m:e>
              <m:r>
                <m:t>l</m:t>
              </m:r>
            </m:e>
            <m:sub>
              <m:r>
                <m:t>i</m:t>
              </m:r>
            </m:sub>
          </m:sSub>
          <m:r>
            <m:rPr>
              <m:sty m:val="p"/>
            </m:rPr>
            <m:t>+</m:t>
          </m:r>
          <m:sSub>
            <m:e>
              <m:r>
                <m:t>β</m:t>
              </m:r>
            </m:e>
            <m:sub>
              <m:r>
                <m:t>3</m:t>
              </m:r>
            </m:sub>
          </m:sSub>
          <m:r>
            <m:t> </m:t>
          </m:r>
          <m:r>
            <m:t>p</m:t>
          </m:r>
          <m:r>
            <m:t>r</m:t>
          </m:r>
          <m:r>
            <m:t>i</m:t>
          </m:r>
          <m:r>
            <m:t>o</m:t>
          </m:r>
          <m:r>
            <m:t>r</m:t>
          </m:r>
          <m:r>
            <m:rPr>
              <m:sty m:val="p"/>
            </m:rPr>
            <m:t>_</m:t>
          </m:r>
          <m:r>
            <m:t>f</m:t>
          </m:r>
          <m:r>
            <m:t>e</m:t>
          </m:r>
          <m:r>
            <m:t>d</m:t>
          </m:r>
          <m:r>
            <m:t>e</m:t>
          </m:r>
          <m:r>
            <m:t>r</m:t>
          </m:r>
          <m:r>
            <m:t>a</m:t>
          </m:r>
          <m:r>
            <m:t>l</m:t>
          </m:r>
          <m:r>
            <m:rPr>
              <m:sty m:val="p"/>
            </m:rPr>
            <m:t>_</m:t>
          </m:r>
          <m:r>
            <m:t>r</m:t>
          </m:r>
          <m:r>
            <m:t>a</m:t>
          </m:r>
          <m:r>
            <m:t>n</m:t>
          </m:r>
          <m:r>
            <m:t>g</m:t>
          </m:r>
          <m:sSub>
            <m:e>
              <m:r>
                <m:t>e</m:t>
              </m:r>
            </m:e>
            <m:sub>
              <m:r>
                <m:t>i</m:t>
              </m:r>
            </m:sub>
          </m:sSub>
          <m:r>
            <m:rPr>
              <m:sty m:val="p"/>
            </m:rPr>
            <m:t>+</m:t>
          </m:r>
          <m:sSub>
            <m:e>
              <m:r>
                <m:t>ε</m:t>
              </m:r>
            </m:e>
            <m:sub>
              <m:r>
                <m:t>i</m:t>
              </m:r>
              <m:r>
                <m:t>t</m:t>
              </m:r>
            </m:sub>
          </m:sSub>
        </m:oMath>
      </m:oMathPara>
    </w:p>
    <w:bookmarkEnd w:id="76"/>
    <w:bookmarkStart w:id="80"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-0.7135</w:t>
            </w:r>
          </w:p>
        </w:tc>
        <w:tc>
          <w:tcPr>
            <w:tcW w:w="0" w:type="auto"/>
          </w:tcPr>
          <w:p>
            <w:pPr>
              <w:spacing w:line="240" w:lineRule="auto" w:before="0" w:after="0"/>
              <w:pStyle w:val="Compact"/>
            </w:pPr>
            <w:r>
              <w:rPr>
                <w:sz w:val="20"/>
                <w:szCs w:val="20"/>
              </w:rPr>
              <w:t xml:space="preserve">0.269</w:t>
            </w:r>
          </w:p>
        </w:tc>
        <w:tc>
          <w:tcPr>
            <w:tcW w:w="0" w:type="auto"/>
          </w:tcPr>
          <w:p>
            <w:pPr>
              <w:spacing w:line="240" w:lineRule="auto" w:before="0" w:after="0"/>
              <w:pStyle w:val="Compact"/>
            </w:pPr>
            <w:r>
              <w:rPr>
                <w:sz w:val="20"/>
                <w:szCs w:val="20"/>
              </w:rPr>
              <w:t xml:space="preserve">-2.6519</w:t>
            </w:r>
          </w:p>
        </w:tc>
        <w:tc>
          <w:tcPr>
            <w:tcW w:w="0" w:type="auto"/>
          </w:tcPr>
          <w:p>
            <w:pPr>
              <w:spacing w:line="240" w:lineRule="auto" w:before="0" w:after="0"/>
              <w:pStyle w:val="Compact"/>
            </w:pPr>
            <w:r>
              <w:rPr>
                <w:sz w:val="20"/>
                <w:szCs w:val="20"/>
              </w:rPr>
              <w:t xml:space="preserve">0.008</w:t>
            </w:r>
          </w:p>
        </w:tc>
        <w:tc>
          <w:tcPr>
            <w:tcW w:w="0" w:type="auto"/>
          </w:tcPr>
          <w:p>
            <w:pPr>
              <w:spacing w:line="240" w:lineRule="auto" w:before="0" w:after="0"/>
              <w:pStyle w:val="Compact"/>
            </w:pPr>
            <w:r>
              <w:rPr>
                <w:sz w:val="20"/>
                <w:szCs w:val="20"/>
              </w:rPr>
              <w:t xml:space="preserve">[-1.2408, -0.1862]</w:t>
            </w:r>
          </w:p>
        </w:tc>
      </w:tr>
      <w:tr>
        <w:tc>
          <w:tcPr>
            <w:tcW w:w="0" w:type="auto"/>
          </w:tcPr>
          <w:p>
            <w:pPr>
              <w:spacing w:line="240" w:lineRule="auto" w:before="0" w:after="0"/>
              <w:pStyle w:val="Compact"/>
            </w:pPr>
            <w:r>
              <w:rPr>
                <w:sz w:val="20"/>
                <w:szCs w:val="20"/>
              </w:rPr>
              <w:t xml:space="preserve">licensed_sites</w:t>
            </w:r>
          </w:p>
        </w:tc>
        <w:tc>
          <w:tcPr>
            <w:tcW w:w="0" w:type="auto"/>
          </w:tcPr>
          <w:p>
            <w:pPr>
              <w:spacing w:line="240" w:lineRule="auto" w:before="0" w:after="0"/>
              <w:pStyle w:val="Compact"/>
            </w:pPr>
            <w:r>
              <w:rPr>
                <w:sz w:val="20"/>
                <w:szCs w:val="20"/>
              </w:rPr>
              <w:t xml:space="preserve">1.0241</w:t>
            </w:r>
          </w:p>
        </w:tc>
        <w:tc>
          <w:tcPr>
            <w:tcW w:w="0" w:type="auto"/>
          </w:tcPr>
          <w:p>
            <w:pPr>
              <w:spacing w:line="240" w:lineRule="auto" w:before="0" w:after="0"/>
              <w:pStyle w:val="Compact"/>
            </w:pPr>
            <w:r>
              <w:rPr>
                <w:sz w:val="20"/>
                <w:szCs w:val="20"/>
              </w:rPr>
              <w:t xml:space="preserve">0.2192</w:t>
            </w:r>
          </w:p>
        </w:tc>
        <w:tc>
          <w:tcPr>
            <w:tcW w:w="0" w:type="auto"/>
          </w:tcPr>
          <w:p>
            <w:pPr>
              <w:spacing w:line="240" w:lineRule="auto" w:before="0" w:after="0"/>
              <w:pStyle w:val="Compact"/>
            </w:pPr>
            <w:r>
              <w:rPr>
                <w:sz w:val="20"/>
                <w:szCs w:val="20"/>
              </w:rPr>
              <w:t xml:space="preserve">4.6709</w:t>
            </w:r>
          </w:p>
        </w:tc>
        <w:tc>
          <w:tcPr>
            <w:tcW w:w="0" w:type="auto"/>
          </w:tcPr>
          <w:p>
            <w:pPr>
              <w:spacing w:line="240" w:lineRule="auto" w:before="0" w:after="0"/>
              <w:pStyle w:val="Compact"/>
            </w:pPr>
            <w:r>
              <w:rPr>
                <w:sz w:val="20"/>
                <w:szCs w:val="20"/>
              </w:rPr>
              <w:t xml:space="preserve">2.998e-06</w:t>
            </w:r>
          </w:p>
        </w:tc>
        <w:tc>
          <w:tcPr>
            <w:tcW w:w="0" w:type="auto"/>
          </w:tcPr>
          <w:p>
            <w:pPr>
              <w:spacing w:line="240" w:lineRule="auto" w:before="0" w:after="0"/>
              <w:pStyle w:val="Compact"/>
            </w:pPr>
            <w:r>
              <w:rPr>
                <w:sz w:val="20"/>
                <w:szCs w:val="20"/>
              </w:rPr>
              <w:t xml:space="preserve">[0.5944, 1.4538]</w:t>
            </w:r>
          </w:p>
        </w:tc>
      </w:tr>
      <w:tr>
        <w:tc>
          <w:tcPr>
            <w:tcW w:w="0" w:type="auto"/>
          </w:tcPr>
          <w:p>
            <w:pPr>
              <w:spacing w:line="240" w:lineRule="auto" w:before="0" w:after="0"/>
              <w:pStyle w:val="Compact"/>
            </w:pPr>
            <w:r>
              <w:rPr>
                <w:sz w:val="20"/>
                <w:szCs w:val="20"/>
              </w:rPr>
              <w:t xml:space="preserve">coastal</w:t>
            </w:r>
          </w:p>
        </w:tc>
        <w:tc>
          <w:tcPr>
            <w:tcW w:w="0" w:type="auto"/>
          </w:tcPr>
          <w:p>
            <w:pPr>
              <w:spacing w:line="240" w:lineRule="auto" w:before="0" w:after="0"/>
              <w:pStyle w:val="Compact"/>
            </w:pPr>
            <w:r>
              <w:rPr>
                <w:sz w:val="20"/>
                <w:szCs w:val="20"/>
              </w:rPr>
              <w:t xml:space="preserve">0.038</w:t>
            </w:r>
          </w:p>
        </w:tc>
        <w:tc>
          <w:tcPr>
            <w:tcW w:w="0" w:type="auto"/>
          </w:tcPr>
          <w:p>
            <w:pPr>
              <w:spacing w:line="240" w:lineRule="auto" w:before="0" w:after="0"/>
              <w:pStyle w:val="Compact"/>
            </w:pPr>
            <w:r>
              <w:rPr>
                <w:sz w:val="20"/>
                <w:szCs w:val="20"/>
              </w:rPr>
              <w:t xml:space="preserve">0.2378</w:t>
            </w:r>
          </w:p>
        </w:tc>
        <w:tc>
          <w:tcPr>
            <w:tcW w:w="0" w:type="auto"/>
          </w:tcPr>
          <w:p>
            <w:pPr>
              <w:spacing w:line="240" w:lineRule="auto" w:before="0" w:after="0"/>
              <w:pStyle w:val="Compact"/>
            </w:pPr>
            <w:r>
              <w:rPr>
                <w:sz w:val="20"/>
                <w:szCs w:val="20"/>
              </w:rPr>
              <w:t xml:space="preserve">0.1599</w:t>
            </w:r>
          </w:p>
        </w:tc>
        <w:tc>
          <w:tcPr>
            <w:tcW w:w="0" w:type="auto"/>
          </w:tcPr>
          <w:p>
            <w:pPr>
              <w:spacing w:line="240" w:lineRule="auto" w:before="0" w:after="0"/>
              <w:pStyle w:val="Compact"/>
            </w:pPr>
            <w:r>
              <w:rPr>
                <w:sz w:val="20"/>
                <w:szCs w:val="20"/>
              </w:rPr>
              <w:t xml:space="preserve">0.8729</w:t>
            </w:r>
          </w:p>
        </w:tc>
        <w:tc>
          <w:tcPr>
            <w:tcW w:w="0" w:type="auto"/>
          </w:tcPr>
          <w:p>
            <w:pPr>
              <w:spacing w:line="240" w:lineRule="auto" w:before="0" w:after="0"/>
              <w:pStyle w:val="Compact"/>
            </w:pPr>
            <w:r>
              <w:rPr>
                <w:sz w:val="20"/>
                <w:szCs w:val="20"/>
              </w:rPr>
              <w:t xml:space="preserve">[-0.428, 0.5041]</w:t>
            </w:r>
          </w:p>
        </w:tc>
      </w:tr>
      <w:tr>
        <w:tc>
          <w:tcPr>
            <w:tcW w:w="0" w:type="auto"/>
          </w:tcPr>
          <w:p>
            <w:pPr>
              <w:spacing w:line="240" w:lineRule="auto" w:before="0" w:after="0"/>
              <w:pStyle w:val="Compact"/>
            </w:pPr>
            <w:r>
              <w:rPr>
                <w:sz w:val="20"/>
                <w:szCs w:val="20"/>
              </w:rPr>
              <w:t xml:space="preserve">prior_federal_range</w:t>
            </w:r>
          </w:p>
        </w:tc>
        <w:tc>
          <w:tcPr>
            <w:tcW w:w="0" w:type="auto"/>
          </w:tcPr>
          <w:p>
            <w:pPr>
              <w:spacing w:line="240" w:lineRule="auto" w:before="0" w:after="0"/>
              <w:pStyle w:val="Compact"/>
            </w:pPr>
            <w:r>
              <w:rPr>
                <w:sz w:val="20"/>
                <w:szCs w:val="20"/>
              </w:rPr>
              <w:t xml:space="preserve">1.1845</w:t>
            </w:r>
          </w:p>
        </w:tc>
        <w:tc>
          <w:tcPr>
            <w:tcW w:w="0" w:type="auto"/>
          </w:tcPr>
          <w:p>
            <w:pPr>
              <w:spacing w:line="240" w:lineRule="auto" w:before="0" w:after="0"/>
              <w:pStyle w:val="Compact"/>
            </w:pPr>
            <w:r>
              <w:rPr>
                <w:sz w:val="20"/>
                <w:szCs w:val="20"/>
              </w:rPr>
              <w:t xml:space="preserve">0.2372</w:t>
            </w:r>
          </w:p>
        </w:tc>
        <w:tc>
          <w:tcPr>
            <w:tcW w:w="0" w:type="auto"/>
          </w:tcPr>
          <w:p>
            <w:pPr>
              <w:spacing w:line="240" w:lineRule="auto" w:before="0" w:after="0"/>
              <w:pStyle w:val="Compact"/>
            </w:pPr>
            <w:r>
              <w:rPr>
                <w:sz w:val="20"/>
                <w:szCs w:val="20"/>
              </w:rPr>
              <w:t xml:space="preserve">4.9939</w:t>
            </w:r>
          </w:p>
        </w:tc>
        <w:tc>
          <w:tcPr>
            <w:tcW w:w="0" w:type="auto"/>
          </w:tcPr>
          <w:p>
            <w:pPr>
              <w:spacing w:line="240" w:lineRule="auto" w:before="0" w:after="0"/>
              <w:pStyle w:val="Compact"/>
            </w:pPr>
            <w:r>
              <w:rPr>
                <w:sz w:val="20"/>
                <w:szCs w:val="20"/>
              </w:rPr>
              <w:t xml:space="preserve">5.919e-07</w:t>
            </w:r>
          </w:p>
        </w:tc>
        <w:tc>
          <w:tcPr>
            <w:tcW w:w="0" w:type="auto"/>
          </w:tcPr>
          <w:p>
            <w:pPr>
              <w:spacing w:line="240" w:lineRule="auto" w:before="0" w:after="0"/>
              <w:pStyle w:val="Compact"/>
            </w:pPr>
            <w:r>
              <w:rPr>
                <w:sz w:val="20"/>
                <w:szCs w:val="20"/>
              </w:rPr>
              <w:t xml:space="preserve">[0.7196, 1.6494]</w:t>
            </w:r>
          </w:p>
        </w:tc>
      </w:tr>
    </w:tbl>
    <w:p>
      <w:pPr>
        <w:pStyle w:val="BodyText"/>
      </w:pPr>
      <w:r>
        <w:t xml:space="preserve">Fit: N = 39 R2 = 0.6797 R2_adj = 0.6523 F = 20.4978 F_p = 7.661e-08</w:t>
      </w:r>
    </w:p>
    <w:p>
      <w:pPr>
        <w:pStyle w:val="CaptionedFigure"/>
      </w:pPr>
      <w:r>
        <w:drawing>
          <wp:inline>
            <wp:extent cx="5669280" cy="3657600"/>
            <wp:effectExtent b="0" l="0" r="0" t="0"/>
            <wp:docPr descr="Figure 1. Figure 1. State-year log-launch cadence against count of licensed Part 420 sites, 39 state-year observations across eight states (2018-2023), with coastal and prior-federal-range covariates as panel controls." title="" id="78" name="Picture"/>
            <a:graphic>
              <a:graphicData uri="http://schemas.openxmlformats.org/drawingml/2006/picture">
                <pic:pic>
                  <pic:nvPicPr>
                    <pic:cNvPr descr="D:\Claude_Code\brain\collegium\candidates\dissertations\LAUNCH_REG_04\research_papers\p2\paper_fig1.png" id="79" name="Picture"/>
                    <pic:cNvPicPr>
                      <a:picLocks noChangeArrowheads="1" noChangeAspect="1"/>
                    </pic:cNvPicPr>
                  </pic:nvPicPr>
                  <pic:blipFill>
                    <a:blip r:embed="rId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Figure 1. State-year log-launch cadence against count of licensed Part 420 sites, 39 state-year observations across eight states (2018-2023), with coastal and prior-federal-range covariates as panel controls.</w:t>
      </w:r>
    </w:p>
    <w:bookmarkEnd w:id="80"/>
    <w:bookmarkStart w:id="84"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1"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state_year</w:t>
            </w:r>
          </w:p>
        </w:tc>
        <w:tc>
          <w:tcPr>
            <w:tcW w:w="0" w:type="auto"/>
          </w:tcPr>
          <w:p>
            <w:pPr>
              <w:spacing w:line="240" w:lineRule="auto" w:before="0" w:after="0"/>
              <w:pStyle w:val="Compact"/>
            </w:pPr>
            <w:r>
              <w:rPr>
                <w:sz w:val="20"/>
                <w:szCs w:val="20"/>
              </w:rPr>
              <w:t xml:space="preserve">state</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licensed_sites</w:t>
            </w:r>
          </w:p>
        </w:tc>
        <w:tc>
          <w:tcPr>
            <w:tcW w:w="0" w:type="auto"/>
          </w:tcPr>
          <w:p>
            <w:pPr>
              <w:spacing w:line="240" w:lineRule="auto" w:before="0" w:after="0"/>
              <w:pStyle w:val="Compact"/>
            </w:pPr>
            <w:r>
              <w:rPr>
                <w:sz w:val="20"/>
                <w:szCs w:val="20"/>
              </w:rPr>
              <w:t xml:space="preserve">coastal</w:t>
            </w:r>
          </w:p>
        </w:tc>
        <w:tc>
          <w:tcPr>
            <w:tcW w:w="0" w:type="auto"/>
          </w:tcPr>
          <w:p>
            <w:pPr>
              <w:spacing w:line="240" w:lineRule="auto" w:before="0" w:after="0"/>
              <w:pStyle w:val="Compact"/>
            </w:pPr>
            <w:r>
              <w:rPr>
                <w:sz w:val="20"/>
                <w:szCs w:val="20"/>
              </w:rPr>
              <w:t xml:space="preserve">prior_federal_range</w:t>
            </w:r>
          </w:p>
        </w:tc>
        <w:tc>
          <w:tcPr>
            <w:tcW w:w="0" w:type="auto"/>
          </w:tcPr>
          <w:p>
            <w:pPr>
              <w:spacing w:line="240" w:lineRule="auto" w:before="0" w:after="0"/>
              <w:pStyle w:val="Compact"/>
            </w:pPr>
            <w:r>
              <w:rPr>
                <w:sz w:val="20"/>
                <w:szCs w:val="20"/>
              </w:rPr>
              <w:t xml:space="preserve">launches_per_year</w:t>
            </w:r>
          </w:p>
        </w:tc>
        <w:tc>
          <w:tcPr>
            <w:tcW w:w="0" w:type="auto"/>
          </w:tcPr>
          <w:p>
            <w:pPr>
              <w:spacing w:line="240" w:lineRule="auto" w:before="0" w:after="0"/>
              <w:pStyle w:val="Compact"/>
            </w:pPr>
            <w:r>
              <w:rPr>
                <w:sz w:val="20"/>
                <w:szCs w:val="20"/>
              </w:rPr>
              <w:t xml:space="preserve">log_launches_p1</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FL_2018</w:t>
            </w:r>
          </w:p>
        </w:tc>
        <w:tc>
          <w:tcPr>
            <w:tcW w:w="0" w:type="auto"/>
          </w:tcPr>
          <w:p>
            <w:pPr>
              <w:spacing w:line="240" w:lineRule="auto" w:before="0" w:after="0"/>
              <w:pStyle w:val="Compact"/>
            </w:pPr>
            <w:r>
              <w:rPr>
                <w:sz w:val="20"/>
                <w:szCs w:val="20"/>
              </w:rPr>
              <w:t xml:space="preserve">FL</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3.044</w:t>
            </w:r>
          </w:p>
        </w:tc>
        <w:tc>
          <w:tcPr>
            <w:tcW w:w="0" w:type="auto"/>
          </w:tcPr>
          <w:p>
            <w:pPr>
              <w:spacing w:line="240" w:lineRule="auto" w:before="0" w:after="0"/>
              <w:pStyle w:val="Compact"/>
            </w:pPr>
            <w:r>
              <w:rPr>
                <w:sz w:val="20"/>
                <w:szCs w:val="20"/>
              </w:rPr>
              <w:t xml:space="preserve">FAA AST 2018 Annual Compendium of Commercial Space Transportation; FAA Licensed Launch Sites list (CCSFS, KSC LC-39A)</w:t>
            </w:r>
          </w:p>
        </w:tc>
      </w:tr>
      <w:tr>
        <w:tc>
          <w:tcPr>
            <w:tcW w:w="0" w:type="auto"/>
          </w:tcPr>
          <w:p>
            <w:pPr>
              <w:spacing w:line="240" w:lineRule="auto" w:before="0" w:after="0"/>
              <w:pStyle w:val="Compact"/>
            </w:pPr>
            <w:r>
              <w:rPr>
                <w:sz w:val="20"/>
                <w:szCs w:val="20"/>
              </w:rPr>
              <w:t xml:space="preserve">FL_2019</w:t>
            </w:r>
          </w:p>
        </w:tc>
        <w:tc>
          <w:tcPr>
            <w:tcW w:w="0" w:type="auto"/>
          </w:tcPr>
          <w:p>
            <w:pPr>
              <w:spacing w:line="240" w:lineRule="auto" w:before="0" w:after="0"/>
              <w:pStyle w:val="Compact"/>
            </w:pPr>
            <w:r>
              <w:rPr>
                <w:sz w:val="20"/>
                <w:szCs w:val="20"/>
              </w:rPr>
              <w:t xml:space="preserve">FL</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3.091</w:t>
            </w:r>
          </w:p>
        </w:tc>
        <w:tc>
          <w:tcPr>
            <w:tcW w:w="0" w:type="auto"/>
          </w:tcPr>
          <w:p>
            <w:pPr>
              <w:spacing w:line="240" w:lineRule="auto" w:before="0" w:after="0"/>
              <w:pStyle w:val="Compact"/>
            </w:pPr>
            <w:r>
              <w:rPr>
                <w:sz w:val="20"/>
                <w:szCs w:val="20"/>
              </w:rPr>
              <w:t xml:space="preserve">FAA AST 2019 Annual Compendium of Commercial Space Transportation</w:t>
            </w:r>
          </w:p>
        </w:tc>
      </w:tr>
      <w:tr>
        <w:tc>
          <w:tcPr>
            <w:tcW w:w="0" w:type="auto"/>
          </w:tcPr>
          <w:p>
            <w:pPr>
              <w:spacing w:line="240" w:lineRule="auto" w:before="0" w:after="0"/>
              <w:pStyle w:val="Compact"/>
            </w:pPr>
            <w:r>
              <w:rPr>
                <w:sz w:val="20"/>
                <w:szCs w:val="20"/>
              </w:rPr>
              <w:t xml:space="preserve">FL_2020</w:t>
            </w:r>
          </w:p>
        </w:tc>
        <w:tc>
          <w:tcPr>
            <w:tcW w:w="0" w:type="auto"/>
          </w:tcPr>
          <w:p>
            <w:pPr>
              <w:spacing w:line="240" w:lineRule="auto" w:before="0" w:after="0"/>
              <w:pStyle w:val="Compact"/>
            </w:pPr>
            <w:r>
              <w:rPr>
                <w:sz w:val="20"/>
                <w:szCs w:val="20"/>
              </w:rPr>
              <w:t xml:space="preserve">FL</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3.466</w:t>
            </w:r>
          </w:p>
        </w:tc>
        <w:tc>
          <w:tcPr>
            <w:tcW w:w="0" w:type="auto"/>
          </w:tcPr>
          <w:p>
            <w:pPr>
              <w:spacing w:line="240" w:lineRule="auto" w:before="0" w:after="0"/>
              <w:pStyle w:val="Compact"/>
            </w:pPr>
            <w:r>
              <w:rPr>
                <w:sz w:val="20"/>
                <w:szCs w:val="20"/>
              </w:rPr>
              <w:t xml:space="preserve">FAA AST 2020 Annual Compendium of Commercial Space Transportation</w:t>
            </w:r>
          </w:p>
        </w:tc>
      </w:tr>
      <w:tr>
        <w:tc>
          <w:tcPr>
            <w:tcW w:w="0" w:type="auto"/>
          </w:tcPr>
          <w:p>
            <w:pPr>
              <w:spacing w:line="240" w:lineRule="auto" w:before="0" w:after="0"/>
              <w:pStyle w:val="Compact"/>
            </w:pPr>
            <w:r>
              <w:rPr>
                <w:sz w:val="20"/>
                <w:szCs w:val="20"/>
              </w:rPr>
              <w:t xml:space="preserve">FL_2021</w:t>
            </w:r>
          </w:p>
        </w:tc>
        <w:tc>
          <w:tcPr>
            <w:tcW w:w="0" w:type="auto"/>
          </w:tcPr>
          <w:p>
            <w:pPr>
              <w:spacing w:line="240" w:lineRule="auto" w:before="0" w:after="0"/>
              <w:pStyle w:val="Compact"/>
            </w:pPr>
            <w:r>
              <w:rPr>
                <w:sz w:val="20"/>
                <w:szCs w:val="20"/>
              </w:rPr>
              <w:t xml:space="preserve">FL</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3.466</w:t>
            </w:r>
          </w:p>
        </w:tc>
        <w:tc>
          <w:tcPr>
            <w:tcW w:w="0" w:type="auto"/>
          </w:tcPr>
          <w:p>
            <w:pPr>
              <w:spacing w:line="240" w:lineRule="auto" w:before="0" w:after="0"/>
              <w:pStyle w:val="Compact"/>
            </w:pPr>
            <w:r>
              <w:rPr>
                <w:sz w:val="20"/>
                <w:szCs w:val="20"/>
              </w:rPr>
              <w:t xml:space="preserve">FAA AST 2021 Annual Compendium of Commercial Space Transportation</w:t>
            </w:r>
          </w:p>
        </w:tc>
      </w:tr>
      <w:tr>
        <w:tc>
          <w:tcPr>
            <w:tcW w:w="0" w:type="auto"/>
          </w:tcPr>
          <w:p>
            <w:pPr>
              <w:spacing w:line="240" w:lineRule="auto" w:before="0" w:after="0"/>
              <w:pStyle w:val="Compact"/>
            </w:pPr>
            <w:r>
              <w:rPr>
                <w:sz w:val="20"/>
                <w:szCs w:val="20"/>
              </w:rPr>
              <w:t xml:space="preserve">FL_2022</w:t>
            </w:r>
          </w:p>
        </w:tc>
        <w:tc>
          <w:tcPr>
            <w:tcW w:w="0" w:type="auto"/>
          </w:tcPr>
          <w:p>
            <w:pPr>
              <w:spacing w:line="240" w:lineRule="auto" w:before="0" w:after="0"/>
              <w:pStyle w:val="Compact"/>
            </w:pPr>
            <w:r>
              <w:rPr>
                <w:sz w:val="20"/>
                <w:szCs w:val="20"/>
              </w:rPr>
              <w:t xml:space="preserve">FL</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4.06</w:t>
            </w:r>
          </w:p>
        </w:tc>
        <w:tc>
          <w:tcPr>
            <w:tcW w:w="0" w:type="auto"/>
          </w:tcPr>
          <w:p>
            <w:pPr>
              <w:spacing w:line="240" w:lineRule="auto" w:before="0" w:after="0"/>
              <w:pStyle w:val="Compact"/>
            </w:pPr>
            <w:r>
              <w:rPr>
                <w:sz w:val="20"/>
                <w:szCs w:val="20"/>
              </w:rPr>
              <w:t xml:space="preserve">FAA AST 2022 U.S. Commercial Space Transportation Year in Review</w:t>
            </w:r>
          </w:p>
        </w:tc>
      </w:tr>
      <w:tr>
        <w:tc>
          <w:tcPr>
            <w:tcW w:w="0" w:type="auto"/>
          </w:tcPr>
          <w:p>
            <w:pPr>
              <w:spacing w:line="240" w:lineRule="auto" w:before="0" w:after="0"/>
              <w:pStyle w:val="Compact"/>
            </w:pPr>
            <w:r>
              <w:rPr>
                <w:sz w:val="20"/>
                <w:szCs w:val="20"/>
              </w:rPr>
              <w:t xml:space="preserve">FL_2023</w:t>
            </w:r>
          </w:p>
        </w:tc>
        <w:tc>
          <w:tcPr>
            <w:tcW w:w="0" w:type="auto"/>
          </w:tcPr>
          <w:p>
            <w:pPr>
              <w:spacing w:line="240" w:lineRule="auto" w:before="0" w:after="0"/>
              <w:pStyle w:val="Compact"/>
            </w:pPr>
            <w:r>
              <w:rPr>
                <w:sz w:val="20"/>
                <w:szCs w:val="20"/>
              </w:rPr>
              <w:t xml:space="preserve">FL</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4.29</w:t>
            </w:r>
          </w:p>
        </w:tc>
        <w:tc>
          <w:tcPr>
            <w:tcW w:w="0" w:type="auto"/>
          </w:tcPr>
          <w:p>
            <w:pPr>
              <w:spacing w:line="240" w:lineRule="auto" w:before="0" w:after="0"/>
              <w:pStyle w:val="Compact"/>
            </w:pPr>
            <w:r>
              <w:rPr>
                <w:sz w:val="20"/>
                <w:szCs w:val="20"/>
              </w:rPr>
              <w:t xml:space="preserve">FAA AST 2023 U.S. Commercial Space Transportation Year in Review</w:t>
            </w:r>
          </w:p>
        </w:tc>
      </w:tr>
      <w:tr>
        <w:tc>
          <w:tcPr>
            <w:tcW w:w="0" w:type="auto"/>
          </w:tcPr>
          <w:p>
            <w:pPr>
              <w:spacing w:line="240" w:lineRule="auto" w:before="0" w:after="0"/>
              <w:pStyle w:val="Compact"/>
            </w:pPr>
            <w:r>
              <w:rPr>
                <w:sz w:val="20"/>
                <w:szCs w:val="20"/>
              </w:rPr>
              <w:t xml:space="preserve">CA_2018</w:t>
            </w:r>
          </w:p>
        </w:tc>
        <w:tc>
          <w:tcPr>
            <w:tcW w:w="0" w:type="auto"/>
          </w:tcPr>
          <w:p>
            <w:pPr>
              <w:spacing w:line="240" w:lineRule="auto" w:before="0" w:after="0"/>
              <w:pStyle w:val="Compact"/>
            </w:pPr>
            <w:r>
              <w:rPr>
                <w:sz w:val="20"/>
                <w:szCs w:val="20"/>
              </w:rPr>
              <w:t xml:space="preserve">CA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1.792</w:t>
            </w:r>
          </w:p>
        </w:tc>
        <w:tc>
          <w:tcPr>
            <w:tcW w:w="0" w:type="auto"/>
          </w:tcPr>
          <w:p>
            <w:pPr>
              <w:spacing w:line="240" w:lineRule="auto" w:before="0" w:after="0"/>
              <w:pStyle w:val="Compact"/>
            </w:pPr>
            <w:r>
              <w:rPr>
                <w:sz w:val="20"/>
                <w:szCs w:val="20"/>
              </w:rPr>
              <w:t xml:space="preserve">FAA AST 2018 Annual Compendium; Vandenberg SFB launch records; Mojave Air &amp; Space Port FAA license</w:t>
            </w:r>
          </w:p>
        </w:tc>
      </w:tr>
      <w:tr>
        <w:tc>
          <w:tcPr>
            <w:tcW w:w="0" w:type="auto"/>
          </w:tcPr>
          <w:p>
            <w:pPr>
              <w:spacing w:line="240" w:lineRule="auto" w:before="0" w:after="0"/>
              <w:pStyle w:val="Compact"/>
            </w:pPr>
            <w:r>
              <w:rPr>
                <w:sz w:val="20"/>
                <w:szCs w:val="20"/>
              </w:rPr>
              <w:t xml:space="preserve">CA_2019</w:t>
            </w:r>
          </w:p>
        </w:tc>
        <w:tc>
          <w:tcPr>
            <w:tcW w:w="0" w:type="auto"/>
          </w:tcPr>
          <w:p>
            <w:pPr>
              <w:spacing w:line="240" w:lineRule="auto" w:before="0" w:after="0"/>
              <w:pStyle w:val="Compact"/>
            </w:pPr>
            <w:r>
              <w:rPr>
                <w:sz w:val="20"/>
                <w:szCs w:val="20"/>
              </w:rPr>
              <w:t xml:space="preserve">CA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1.386</w:t>
            </w:r>
          </w:p>
        </w:tc>
        <w:tc>
          <w:tcPr>
            <w:tcW w:w="0" w:type="auto"/>
          </w:tcPr>
          <w:p>
            <w:pPr>
              <w:spacing w:line="240" w:lineRule="auto" w:before="0" w:after="0"/>
              <w:pStyle w:val="Compact"/>
            </w:pPr>
            <w:r>
              <w:rPr>
                <w:sz w:val="20"/>
                <w:szCs w:val="20"/>
              </w:rPr>
              <w:t xml:space="preserve">FAA AST 2019 Annual Compendium</w:t>
            </w:r>
          </w:p>
        </w:tc>
      </w:tr>
      <w:tr>
        <w:tc>
          <w:tcPr>
            <w:tcW w:w="0" w:type="auto"/>
          </w:tcPr>
          <w:p>
            <w:pPr>
              <w:spacing w:line="240" w:lineRule="auto" w:before="0" w:after="0"/>
              <w:pStyle w:val="Compact"/>
            </w:pPr>
            <w:r>
              <w:rPr>
                <w:sz w:val="20"/>
                <w:szCs w:val="20"/>
              </w:rPr>
              <w:t xml:space="preserve">CA_2020</w:t>
            </w:r>
          </w:p>
        </w:tc>
        <w:tc>
          <w:tcPr>
            <w:tcW w:w="0" w:type="auto"/>
          </w:tcPr>
          <w:p>
            <w:pPr>
              <w:spacing w:line="240" w:lineRule="auto" w:before="0" w:after="0"/>
              <w:pStyle w:val="Compact"/>
            </w:pPr>
            <w:r>
              <w:rPr>
                <w:sz w:val="20"/>
                <w:szCs w:val="20"/>
              </w:rPr>
              <w:t xml:space="preserve">CA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1.609</w:t>
            </w:r>
          </w:p>
        </w:tc>
        <w:tc>
          <w:tcPr>
            <w:tcW w:w="0" w:type="auto"/>
          </w:tcPr>
          <w:p>
            <w:pPr>
              <w:spacing w:line="240" w:lineRule="auto" w:before="0" w:after="0"/>
              <w:pStyle w:val="Compact"/>
            </w:pPr>
            <w:r>
              <w:rPr>
                <w:sz w:val="20"/>
                <w:szCs w:val="20"/>
              </w:rPr>
              <w:t xml:space="preserve">FAA AST 2020 Annual Compendium</w:t>
            </w:r>
          </w:p>
        </w:tc>
      </w:tr>
      <w:tr>
        <w:tc>
          <w:tcPr>
            <w:tcW w:w="0" w:type="auto"/>
          </w:tcPr>
          <w:p>
            <w:pPr>
              <w:spacing w:line="240" w:lineRule="auto" w:before="0" w:after="0"/>
              <w:pStyle w:val="Compact"/>
            </w:pPr>
            <w:r>
              <w:rPr>
                <w:sz w:val="20"/>
                <w:szCs w:val="20"/>
              </w:rPr>
              <w:t xml:space="preserve">CA_2021</w:t>
            </w:r>
          </w:p>
        </w:tc>
        <w:tc>
          <w:tcPr>
            <w:tcW w:w="0" w:type="auto"/>
          </w:tcPr>
          <w:p>
            <w:pPr>
              <w:spacing w:line="240" w:lineRule="auto" w:before="0" w:after="0"/>
              <w:pStyle w:val="Compact"/>
            </w:pPr>
            <w:r>
              <w:rPr>
                <w:sz w:val="20"/>
                <w:szCs w:val="20"/>
              </w:rPr>
              <w:t xml:space="preserve">CA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2.079</w:t>
            </w:r>
          </w:p>
        </w:tc>
        <w:tc>
          <w:tcPr>
            <w:tcW w:w="0" w:type="auto"/>
          </w:tcPr>
          <w:p>
            <w:pPr>
              <w:spacing w:line="240" w:lineRule="auto" w:before="0" w:after="0"/>
              <w:pStyle w:val="Compact"/>
            </w:pPr>
            <w:r>
              <w:rPr>
                <w:sz w:val="20"/>
                <w:szCs w:val="20"/>
              </w:rPr>
              <w:t xml:space="preserve">FAA AST 2021 Annual Compendium</w:t>
            </w:r>
          </w:p>
        </w:tc>
      </w:tr>
      <w:tr>
        <w:tc>
          <w:tcPr>
            <w:tcW w:w="0" w:type="auto"/>
          </w:tcPr>
          <w:p>
            <w:pPr>
              <w:spacing w:line="240" w:lineRule="auto" w:before="0" w:after="0"/>
              <w:pStyle w:val="Compact"/>
            </w:pPr>
            <w:r>
              <w:rPr>
                <w:sz w:val="20"/>
                <w:szCs w:val="20"/>
              </w:rPr>
              <w:t xml:space="preserve">CA_2022</w:t>
            </w:r>
          </w:p>
        </w:tc>
        <w:tc>
          <w:tcPr>
            <w:tcW w:w="0" w:type="auto"/>
          </w:tcPr>
          <w:p>
            <w:pPr>
              <w:spacing w:line="240" w:lineRule="auto" w:before="0" w:after="0"/>
              <w:pStyle w:val="Compact"/>
            </w:pPr>
            <w:r>
              <w:rPr>
                <w:sz w:val="20"/>
                <w:szCs w:val="20"/>
              </w:rPr>
              <w:t xml:space="preserve">CA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2.303</w:t>
            </w:r>
          </w:p>
        </w:tc>
        <w:tc>
          <w:tcPr>
            <w:tcW w:w="0" w:type="auto"/>
          </w:tcPr>
          <w:p>
            <w:pPr>
              <w:spacing w:line="240" w:lineRule="auto" w:before="0" w:after="0"/>
              <w:pStyle w:val="Compact"/>
            </w:pPr>
            <w:r>
              <w:rPr>
                <w:sz w:val="20"/>
                <w:szCs w:val="20"/>
              </w:rPr>
              <w:t xml:space="preserve">FAA AST 2022 Year in Review</w:t>
            </w:r>
          </w:p>
        </w:tc>
      </w:tr>
      <w:tr>
        <w:tc>
          <w:tcPr>
            <w:tcW w:w="0" w:type="auto"/>
          </w:tcPr>
          <w:p>
            <w:pPr>
              <w:spacing w:line="240" w:lineRule="auto" w:before="0" w:after="0"/>
              <w:pStyle w:val="Compact"/>
            </w:pPr>
            <w:r>
              <w:rPr>
                <w:sz w:val="20"/>
                <w:szCs w:val="20"/>
              </w:rPr>
              <w:t xml:space="preserve">CA_2023</w:t>
            </w:r>
          </w:p>
        </w:tc>
        <w:tc>
          <w:tcPr>
            <w:tcW w:w="0" w:type="auto"/>
          </w:tcPr>
          <w:p>
            <w:pPr>
              <w:spacing w:line="240" w:lineRule="auto" w:before="0" w:after="0"/>
              <w:pStyle w:val="Compact"/>
            </w:pPr>
            <w:r>
              <w:rPr>
                <w:sz w:val="20"/>
                <w:szCs w:val="20"/>
              </w:rPr>
              <w:t xml:space="preserve">CA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2.944</w:t>
            </w:r>
          </w:p>
        </w:tc>
        <w:tc>
          <w:tcPr>
            <w:tcW w:w="0" w:type="auto"/>
          </w:tcPr>
          <w:p>
            <w:pPr>
              <w:spacing w:line="240" w:lineRule="auto" w:before="0" w:after="0"/>
              <w:pStyle w:val="Compact"/>
            </w:pPr>
            <w:r>
              <w:rPr>
                <w:sz w:val="20"/>
                <w:szCs w:val="20"/>
              </w:rPr>
              <w:t xml:space="preserve">FAA AST 2023 Year in Review</w:t>
            </w:r>
          </w:p>
        </w:tc>
      </w:tr>
      <w:tr>
        <w:tc>
          <w:tcPr>
            <w:tcW w:w="0" w:type="auto"/>
          </w:tcPr>
          <w:p>
            <w:pPr>
              <w:spacing w:line="240" w:lineRule="auto" w:before="0" w:after="0"/>
              <w:pStyle w:val="Compact"/>
            </w:pPr>
            <w:r>
              <w:rPr>
                <w:sz w:val="20"/>
                <w:szCs w:val="20"/>
              </w:rPr>
              <w:t xml:space="preserve">VA_2018</w:t>
            </w:r>
          </w:p>
        </w:tc>
        <w:tc>
          <w:tcPr>
            <w:tcW w:w="0" w:type="auto"/>
          </w:tcPr>
          <w:p>
            <w:pPr>
              <w:spacing w:line="240" w:lineRule="auto" w:before="0" w:after="0"/>
              <w:pStyle w:val="Compact"/>
            </w:pPr>
            <w:r>
              <w:rPr>
                <w:sz w:val="20"/>
                <w:szCs w:val="20"/>
              </w:rPr>
              <w:t xml:space="preserve">VA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FAA AST 2018 Annual Compendium; Virginia Space Mid-Atlantic Regional Spaceport (MARS) records at Wallops</w:t>
            </w:r>
          </w:p>
        </w:tc>
      </w:tr>
      <w:tr>
        <w:tc>
          <w:tcPr>
            <w:tcW w:w="0" w:type="auto"/>
          </w:tcPr>
          <w:p>
            <w:pPr>
              <w:spacing w:line="240" w:lineRule="auto" w:before="0" w:after="0"/>
              <w:pStyle w:val="Compact"/>
            </w:pPr>
            <w:r>
              <w:rPr>
                <w:sz w:val="20"/>
                <w:szCs w:val="20"/>
              </w:rPr>
              <w:t xml:space="preserve">VA_2019</w:t>
            </w:r>
          </w:p>
        </w:tc>
        <w:tc>
          <w:tcPr>
            <w:tcW w:w="0" w:type="auto"/>
          </w:tcPr>
          <w:p>
            <w:pPr>
              <w:spacing w:line="240" w:lineRule="auto" w:before="0" w:after="0"/>
              <w:pStyle w:val="Compact"/>
            </w:pPr>
            <w:r>
              <w:rPr>
                <w:sz w:val="20"/>
                <w:szCs w:val="20"/>
              </w:rPr>
              <w:t xml:space="preserve">VA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FAA AST 2019 Annual Compendium</w:t>
            </w:r>
          </w:p>
        </w:tc>
      </w:tr>
      <w:tr>
        <w:tc>
          <w:tcPr>
            <w:tcW w:w="0" w:type="auto"/>
          </w:tcPr>
          <w:p>
            <w:pPr>
              <w:spacing w:line="240" w:lineRule="auto" w:before="0" w:after="0"/>
              <w:pStyle w:val="Compact"/>
            </w:pPr>
            <w:r>
              <w:rPr>
                <w:sz w:val="20"/>
                <w:szCs w:val="20"/>
              </w:rPr>
              <w:t xml:space="preserve">VA_2020</w:t>
            </w:r>
          </w:p>
        </w:tc>
        <w:tc>
          <w:tcPr>
            <w:tcW w:w="0" w:type="auto"/>
          </w:tcPr>
          <w:p>
            <w:pPr>
              <w:spacing w:line="240" w:lineRule="auto" w:before="0" w:after="0"/>
              <w:pStyle w:val="Compact"/>
            </w:pPr>
            <w:r>
              <w:rPr>
                <w:sz w:val="20"/>
                <w:szCs w:val="20"/>
              </w:rPr>
              <w:t xml:space="preserve">VA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FAA AST 2020 Annual Compendium</w:t>
            </w:r>
          </w:p>
        </w:tc>
      </w:tr>
      <w:tr>
        <w:tc>
          <w:tcPr>
            <w:tcW w:w="0" w:type="auto"/>
          </w:tcPr>
          <w:p>
            <w:pPr>
              <w:spacing w:line="240" w:lineRule="auto" w:before="0" w:after="0"/>
              <w:pStyle w:val="Compact"/>
            </w:pPr>
            <w:r>
              <w:rPr>
                <w:sz w:val="20"/>
                <w:szCs w:val="20"/>
              </w:rPr>
              <w:t xml:space="preserve">VA_2021</w:t>
            </w:r>
          </w:p>
        </w:tc>
        <w:tc>
          <w:tcPr>
            <w:tcW w:w="0" w:type="auto"/>
          </w:tcPr>
          <w:p>
            <w:pPr>
              <w:spacing w:line="240" w:lineRule="auto" w:before="0" w:after="0"/>
              <w:pStyle w:val="Compact"/>
            </w:pPr>
            <w:r>
              <w:rPr>
                <w:sz w:val="20"/>
                <w:szCs w:val="20"/>
              </w:rPr>
              <w:t xml:space="preserve">VA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FAA AST 2021 Annual Compendium</w:t>
            </w:r>
          </w:p>
        </w:tc>
      </w:tr>
      <w:tr>
        <w:tc>
          <w:tcPr>
            <w:tcW w:w="0" w:type="auto"/>
          </w:tcPr>
          <w:p>
            <w:pPr>
              <w:spacing w:line="240" w:lineRule="auto" w:before="0" w:after="0"/>
              <w:pStyle w:val="Compact"/>
            </w:pPr>
            <w:r>
              <w:rPr>
                <w:sz w:val="20"/>
                <w:szCs w:val="20"/>
              </w:rPr>
              <w:t xml:space="preserve">VA_2022</w:t>
            </w:r>
          </w:p>
        </w:tc>
        <w:tc>
          <w:tcPr>
            <w:tcW w:w="0" w:type="auto"/>
          </w:tcPr>
          <w:p>
            <w:pPr>
              <w:spacing w:line="240" w:lineRule="auto" w:before="0" w:after="0"/>
              <w:pStyle w:val="Compact"/>
            </w:pPr>
            <w:r>
              <w:rPr>
                <w:sz w:val="20"/>
                <w:szCs w:val="20"/>
              </w:rPr>
              <w:t xml:space="preserve">VA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1.386</w:t>
            </w:r>
          </w:p>
        </w:tc>
        <w:tc>
          <w:tcPr>
            <w:tcW w:w="0" w:type="auto"/>
          </w:tcPr>
          <w:p>
            <w:pPr>
              <w:spacing w:line="240" w:lineRule="auto" w:before="0" w:after="0"/>
              <w:pStyle w:val="Compact"/>
            </w:pPr>
            <w:r>
              <w:rPr>
                <w:sz w:val="20"/>
                <w:szCs w:val="20"/>
              </w:rPr>
              <w:t xml:space="preserve">FAA AST 2022 Year in Review</w:t>
            </w:r>
          </w:p>
        </w:tc>
      </w:tr>
      <w:tr>
        <w:tc>
          <w:tcPr>
            <w:tcW w:w="0" w:type="auto"/>
          </w:tcPr>
          <w:p>
            <w:pPr>
              <w:spacing w:line="240" w:lineRule="auto" w:before="0" w:after="0"/>
              <w:pStyle w:val="Compact"/>
            </w:pPr>
            <w:r>
              <w:rPr>
                <w:sz w:val="20"/>
                <w:szCs w:val="20"/>
              </w:rPr>
              <w:t xml:space="preserve">VA_2023</w:t>
            </w:r>
          </w:p>
        </w:tc>
        <w:tc>
          <w:tcPr>
            <w:tcW w:w="0" w:type="auto"/>
          </w:tcPr>
          <w:p>
            <w:pPr>
              <w:spacing w:line="240" w:lineRule="auto" w:before="0" w:after="0"/>
              <w:pStyle w:val="Compact"/>
            </w:pPr>
            <w:r>
              <w:rPr>
                <w:sz w:val="20"/>
                <w:szCs w:val="20"/>
              </w:rPr>
              <w:t xml:space="preserve">VA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1.386</w:t>
            </w:r>
          </w:p>
        </w:tc>
        <w:tc>
          <w:tcPr>
            <w:tcW w:w="0" w:type="auto"/>
          </w:tcPr>
          <w:p>
            <w:pPr>
              <w:spacing w:line="240" w:lineRule="auto" w:before="0" w:after="0"/>
              <w:pStyle w:val="Compact"/>
            </w:pPr>
            <w:r>
              <w:rPr>
                <w:sz w:val="20"/>
                <w:szCs w:val="20"/>
              </w:rPr>
              <w:t xml:space="preserve">FAA AST 2023 Year in Review</w:t>
            </w:r>
          </w:p>
        </w:tc>
      </w:tr>
      <w:tr>
        <w:tc>
          <w:tcPr>
            <w:tcW w:w="0" w:type="auto"/>
          </w:tcPr>
          <w:p>
            <w:pPr>
              <w:spacing w:line="240" w:lineRule="auto" w:before="0" w:after="0"/>
              <w:pStyle w:val="Compact"/>
            </w:pPr>
            <w:r>
              <w:rPr>
                <w:sz w:val="20"/>
                <w:szCs w:val="20"/>
              </w:rPr>
              <w:t xml:space="preserve">TX_2018</w:t>
            </w:r>
          </w:p>
        </w:tc>
        <w:tc>
          <w:tcPr>
            <w:tcW w:w="0" w:type="auto"/>
          </w:tcPr>
          <w:p>
            <w:pPr>
              <w:spacing w:line="240" w:lineRule="auto" w:before="0" w:after="0"/>
              <w:pStyle w:val="Compact"/>
            </w:pPr>
            <w:r>
              <w:rPr>
                <w:sz w:val="20"/>
                <w:szCs w:val="20"/>
              </w:rPr>
              <w:t xml:space="preserve">TX</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FAA AST 2018 Annual Compendium; SpaceX Boca Chica (Starbase) FAA license; Houston Spaceport license [illustrative pre-Starship cadence]</w:t>
            </w:r>
          </w:p>
        </w:tc>
      </w:tr>
      <w:tr>
        <w:tc>
          <w:tcPr>
            <w:tcW w:w="0" w:type="auto"/>
          </w:tcPr>
          <w:p>
            <w:pPr>
              <w:spacing w:line="240" w:lineRule="auto" w:before="0" w:after="0"/>
              <w:pStyle w:val="Compact"/>
            </w:pPr>
            <w:r>
              <w:rPr>
                <w:sz w:val="20"/>
                <w:szCs w:val="20"/>
              </w:rPr>
              <w:t xml:space="preserve">TX_2019</w:t>
            </w:r>
          </w:p>
        </w:tc>
        <w:tc>
          <w:tcPr>
            <w:tcW w:w="0" w:type="auto"/>
          </w:tcPr>
          <w:p>
            <w:pPr>
              <w:spacing w:line="240" w:lineRule="auto" w:before="0" w:after="0"/>
              <w:pStyle w:val="Compact"/>
            </w:pPr>
            <w:r>
              <w:rPr>
                <w:sz w:val="20"/>
                <w:szCs w:val="20"/>
              </w:rPr>
              <w:t xml:space="preserve">TX</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FAA AST 2019 Annual Compendium</w:t>
            </w:r>
          </w:p>
        </w:tc>
      </w:tr>
      <w:tr>
        <w:tc>
          <w:tcPr>
            <w:tcW w:w="0" w:type="auto"/>
          </w:tcPr>
          <w:p>
            <w:pPr>
              <w:spacing w:line="240" w:lineRule="auto" w:before="0" w:after="0"/>
              <w:pStyle w:val="Compact"/>
            </w:pPr>
            <w:r>
              <w:rPr>
                <w:sz w:val="20"/>
                <w:szCs w:val="20"/>
              </w:rPr>
              <w:t xml:space="preserve">TX_2020</w:t>
            </w:r>
          </w:p>
        </w:tc>
        <w:tc>
          <w:tcPr>
            <w:tcW w:w="0" w:type="auto"/>
          </w:tcPr>
          <w:p>
            <w:pPr>
              <w:spacing w:line="240" w:lineRule="auto" w:before="0" w:after="0"/>
              <w:pStyle w:val="Compact"/>
            </w:pPr>
            <w:r>
              <w:rPr>
                <w:sz w:val="20"/>
                <w:szCs w:val="20"/>
              </w:rPr>
              <w:t xml:space="preserve">TX</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FAA AST 2020 Annual Compendium</w:t>
            </w:r>
          </w:p>
        </w:tc>
      </w:tr>
      <w:tr>
        <w:tc>
          <w:tcPr>
            <w:tcW w:w="0" w:type="auto"/>
          </w:tcPr>
          <w:p>
            <w:pPr>
              <w:spacing w:line="240" w:lineRule="auto" w:before="0" w:after="0"/>
              <w:pStyle w:val="Compact"/>
            </w:pPr>
            <w:r>
              <w:rPr>
                <w:sz w:val="20"/>
                <w:szCs w:val="20"/>
              </w:rPr>
              <w:t xml:space="preserve">TX_2021</w:t>
            </w:r>
          </w:p>
        </w:tc>
        <w:tc>
          <w:tcPr>
            <w:tcW w:w="0" w:type="auto"/>
          </w:tcPr>
          <w:p>
            <w:pPr>
              <w:spacing w:line="240" w:lineRule="auto" w:before="0" w:after="0"/>
              <w:pStyle w:val="Compact"/>
            </w:pPr>
            <w:r>
              <w:rPr>
                <w:sz w:val="20"/>
                <w:szCs w:val="20"/>
              </w:rPr>
              <w:t xml:space="preserve">TX</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1.386</w:t>
            </w:r>
          </w:p>
        </w:tc>
        <w:tc>
          <w:tcPr>
            <w:tcW w:w="0" w:type="auto"/>
          </w:tcPr>
          <w:p>
            <w:pPr>
              <w:spacing w:line="240" w:lineRule="auto" w:before="0" w:after="0"/>
              <w:pStyle w:val="Compact"/>
            </w:pPr>
            <w:r>
              <w:rPr>
                <w:sz w:val="20"/>
                <w:szCs w:val="20"/>
              </w:rPr>
              <w:t xml:space="preserve">FAA AST 2021 Annual Compendium</w:t>
            </w:r>
          </w:p>
        </w:tc>
      </w:tr>
      <w:tr>
        <w:tc>
          <w:tcPr>
            <w:tcW w:w="0" w:type="auto"/>
          </w:tcPr>
          <w:p>
            <w:pPr>
              <w:spacing w:line="240" w:lineRule="auto" w:before="0" w:after="0"/>
              <w:pStyle w:val="Compact"/>
            </w:pPr>
            <w:r>
              <w:rPr>
                <w:sz w:val="20"/>
                <w:szCs w:val="20"/>
              </w:rPr>
              <w:t xml:space="preserve">TX_2022</w:t>
            </w:r>
          </w:p>
        </w:tc>
        <w:tc>
          <w:tcPr>
            <w:tcW w:w="0" w:type="auto"/>
          </w:tcPr>
          <w:p>
            <w:pPr>
              <w:spacing w:line="240" w:lineRule="auto" w:before="0" w:after="0"/>
              <w:pStyle w:val="Compact"/>
            </w:pPr>
            <w:r>
              <w:rPr>
                <w:sz w:val="20"/>
                <w:szCs w:val="20"/>
              </w:rPr>
              <w:t xml:space="preserve">TX</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FAA AST 2022 Year in Review</w:t>
            </w:r>
          </w:p>
        </w:tc>
      </w:tr>
      <w:tr>
        <w:tc>
          <w:tcPr>
            <w:tcW w:w="0" w:type="auto"/>
          </w:tcPr>
          <w:p>
            <w:pPr>
              <w:spacing w:line="240" w:lineRule="auto" w:before="0" w:after="0"/>
              <w:pStyle w:val="Compact"/>
            </w:pPr>
            <w:r>
              <w:rPr>
                <w:sz w:val="20"/>
                <w:szCs w:val="20"/>
              </w:rPr>
              <w:t xml:space="preserve">TX_2023</w:t>
            </w:r>
          </w:p>
        </w:tc>
        <w:tc>
          <w:tcPr>
            <w:tcW w:w="0" w:type="auto"/>
          </w:tcPr>
          <w:p>
            <w:pPr>
              <w:spacing w:line="240" w:lineRule="auto" w:before="0" w:after="0"/>
              <w:pStyle w:val="Compact"/>
            </w:pPr>
            <w:r>
              <w:rPr>
                <w:sz w:val="20"/>
                <w:szCs w:val="20"/>
              </w:rPr>
              <w:t xml:space="preserve">TX</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FAA AST 2023 Year in Review (Starship IFT-1, IFT-2 from Boca Chica)</w:t>
            </w:r>
          </w:p>
        </w:tc>
      </w:tr>
      <w:tr>
        <w:tc>
          <w:tcPr>
            <w:tcW w:w="0" w:type="auto"/>
          </w:tcPr>
          <w:p>
            <w:pPr>
              <w:spacing w:line="240" w:lineRule="auto" w:before="0" w:after="0"/>
              <w:pStyle w:val="Compact"/>
            </w:pPr>
            <w:r>
              <w:rPr>
                <w:sz w:val="20"/>
                <w:szCs w:val="20"/>
              </w:rPr>
              <w:t xml:space="preserve">AK_2018</w:t>
            </w:r>
          </w:p>
        </w:tc>
        <w:tc>
          <w:tcPr>
            <w:tcW w:w="0" w:type="auto"/>
          </w:tcPr>
          <w:p>
            <w:pPr>
              <w:spacing w:line="240" w:lineRule="auto" w:before="0" w:after="0"/>
              <w:pStyle w:val="Compact"/>
            </w:pPr>
            <w:r>
              <w:rPr>
                <w:sz w:val="20"/>
                <w:szCs w:val="20"/>
              </w:rPr>
              <w:t xml:space="preserve">AK</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AST 2018 Annual Compendium; Pacific Spaceport Complex - Alaska (Kodiak) records</w:t>
            </w:r>
          </w:p>
        </w:tc>
      </w:tr>
      <w:tr>
        <w:tc>
          <w:tcPr>
            <w:tcW w:w="0" w:type="auto"/>
          </w:tcPr>
          <w:p>
            <w:pPr>
              <w:spacing w:line="240" w:lineRule="auto" w:before="0" w:after="0"/>
              <w:pStyle w:val="Compact"/>
            </w:pPr>
            <w:r>
              <w:rPr>
                <w:sz w:val="20"/>
                <w:szCs w:val="20"/>
              </w:rPr>
              <w:t xml:space="preserve">AK_2019</w:t>
            </w:r>
          </w:p>
        </w:tc>
        <w:tc>
          <w:tcPr>
            <w:tcW w:w="0" w:type="auto"/>
          </w:tcPr>
          <w:p>
            <w:pPr>
              <w:spacing w:line="240" w:lineRule="auto" w:before="0" w:after="0"/>
              <w:pStyle w:val="Compact"/>
            </w:pPr>
            <w:r>
              <w:rPr>
                <w:sz w:val="20"/>
                <w:szCs w:val="20"/>
              </w:rPr>
              <w:t xml:space="preserve">AK</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FAA AST 2019 Annual Compendium</w:t>
            </w:r>
          </w:p>
        </w:tc>
      </w:tr>
      <w:tr>
        <w:tc>
          <w:tcPr>
            <w:tcW w:w="0" w:type="auto"/>
          </w:tcPr>
          <w:p>
            <w:pPr>
              <w:spacing w:line="240" w:lineRule="auto" w:before="0" w:after="0"/>
              <w:pStyle w:val="Compact"/>
            </w:pPr>
            <w:r>
              <w:rPr>
                <w:sz w:val="20"/>
                <w:szCs w:val="20"/>
              </w:rPr>
              <w:t xml:space="preserve">AK_2020</w:t>
            </w:r>
          </w:p>
        </w:tc>
        <w:tc>
          <w:tcPr>
            <w:tcW w:w="0" w:type="auto"/>
          </w:tcPr>
          <w:p>
            <w:pPr>
              <w:spacing w:line="240" w:lineRule="auto" w:before="0" w:after="0"/>
              <w:pStyle w:val="Compact"/>
            </w:pPr>
            <w:r>
              <w:rPr>
                <w:sz w:val="20"/>
                <w:szCs w:val="20"/>
              </w:rPr>
              <w:t xml:space="preserve">AK</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AST 2020 Annual Compendium</w:t>
            </w:r>
          </w:p>
        </w:tc>
      </w:tr>
      <w:tr>
        <w:tc>
          <w:tcPr>
            <w:tcW w:w="0" w:type="auto"/>
          </w:tcPr>
          <w:p>
            <w:pPr>
              <w:spacing w:line="240" w:lineRule="auto" w:before="0" w:after="0"/>
              <w:pStyle w:val="Compact"/>
            </w:pPr>
            <w:r>
              <w:rPr>
                <w:sz w:val="20"/>
                <w:szCs w:val="20"/>
              </w:rPr>
              <w:t xml:space="preserve">AK_2021</w:t>
            </w:r>
          </w:p>
        </w:tc>
        <w:tc>
          <w:tcPr>
            <w:tcW w:w="0" w:type="auto"/>
          </w:tcPr>
          <w:p>
            <w:pPr>
              <w:spacing w:line="240" w:lineRule="auto" w:before="0" w:after="0"/>
              <w:pStyle w:val="Compact"/>
            </w:pPr>
            <w:r>
              <w:rPr>
                <w:sz w:val="20"/>
                <w:szCs w:val="20"/>
              </w:rPr>
              <w:t xml:space="preserve">AK</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FAA AST 2021 Annual Compendium</w:t>
            </w:r>
          </w:p>
        </w:tc>
      </w:tr>
      <w:tr>
        <w:tc>
          <w:tcPr>
            <w:tcW w:w="0" w:type="auto"/>
          </w:tcPr>
          <w:p>
            <w:pPr>
              <w:spacing w:line="240" w:lineRule="auto" w:before="0" w:after="0"/>
              <w:pStyle w:val="Compact"/>
            </w:pPr>
            <w:r>
              <w:rPr>
                <w:sz w:val="20"/>
                <w:szCs w:val="20"/>
              </w:rPr>
              <w:t xml:space="preserve">AK_2022</w:t>
            </w:r>
          </w:p>
        </w:tc>
        <w:tc>
          <w:tcPr>
            <w:tcW w:w="0" w:type="auto"/>
          </w:tcPr>
          <w:p>
            <w:pPr>
              <w:spacing w:line="240" w:lineRule="auto" w:before="0" w:after="0"/>
              <w:pStyle w:val="Compact"/>
            </w:pPr>
            <w:r>
              <w:rPr>
                <w:sz w:val="20"/>
                <w:szCs w:val="20"/>
              </w:rPr>
              <w:t xml:space="preserve">AK</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FAA AST 2022 Year in Review</w:t>
            </w:r>
          </w:p>
        </w:tc>
      </w:tr>
      <w:tr>
        <w:tc>
          <w:tcPr>
            <w:tcW w:w="0" w:type="auto"/>
          </w:tcPr>
          <w:p>
            <w:pPr>
              <w:spacing w:line="240" w:lineRule="auto" w:before="0" w:after="0"/>
              <w:pStyle w:val="Compact"/>
            </w:pPr>
            <w:r>
              <w:rPr>
                <w:sz w:val="20"/>
                <w:szCs w:val="20"/>
              </w:rPr>
              <w:t xml:space="preserve">AK_2023</w:t>
            </w:r>
          </w:p>
        </w:tc>
        <w:tc>
          <w:tcPr>
            <w:tcW w:w="0" w:type="auto"/>
          </w:tcPr>
          <w:p>
            <w:pPr>
              <w:spacing w:line="240" w:lineRule="auto" w:before="0" w:after="0"/>
              <w:pStyle w:val="Compact"/>
            </w:pPr>
            <w:r>
              <w:rPr>
                <w:sz w:val="20"/>
                <w:szCs w:val="20"/>
              </w:rPr>
              <w:t xml:space="preserve">AK</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FAA AST 2023 Year in Review</w:t>
            </w:r>
          </w:p>
        </w:tc>
      </w:tr>
      <w:tr>
        <w:tc>
          <w:tcPr>
            <w:tcW w:w="0" w:type="auto"/>
          </w:tcPr>
          <w:p>
            <w:pPr>
              <w:spacing w:line="240" w:lineRule="auto" w:before="0" w:after="0"/>
              <w:pStyle w:val="Compact"/>
            </w:pPr>
            <w:r>
              <w:rPr>
                <w:sz w:val="20"/>
                <w:szCs w:val="20"/>
              </w:rPr>
              <w:t xml:space="preserve">NM_2018</w:t>
            </w:r>
          </w:p>
        </w:tc>
        <w:tc>
          <w:tcPr>
            <w:tcW w:w="0" w:type="auto"/>
          </w:tcPr>
          <w:p>
            <w:pPr>
              <w:spacing w:line="240" w:lineRule="auto" w:before="0" w:after="0"/>
              <w:pStyle w:val="Compact"/>
            </w:pPr>
            <w:r>
              <w:rPr>
                <w:sz w:val="20"/>
                <w:szCs w:val="20"/>
              </w:rPr>
              <w:t xml:space="preserve">NM</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AST 2018 Annual Compendium; Spaceport America FAA Part 420 license</w:t>
            </w:r>
          </w:p>
        </w:tc>
      </w:tr>
      <w:tr>
        <w:tc>
          <w:tcPr>
            <w:tcW w:w="0" w:type="auto"/>
          </w:tcPr>
          <w:p>
            <w:pPr>
              <w:spacing w:line="240" w:lineRule="auto" w:before="0" w:after="0"/>
              <w:pStyle w:val="Compact"/>
            </w:pPr>
            <w:r>
              <w:rPr>
                <w:sz w:val="20"/>
                <w:szCs w:val="20"/>
              </w:rPr>
              <w:t xml:space="preserve">NM_2019</w:t>
            </w:r>
          </w:p>
        </w:tc>
        <w:tc>
          <w:tcPr>
            <w:tcW w:w="0" w:type="auto"/>
          </w:tcPr>
          <w:p>
            <w:pPr>
              <w:spacing w:line="240" w:lineRule="auto" w:before="0" w:after="0"/>
              <w:pStyle w:val="Compact"/>
            </w:pPr>
            <w:r>
              <w:rPr>
                <w:sz w:val="20"/>
                <w:szCs w:val="20"/>
              </w:rPr>
              <w:t xml:space="preserve">NM</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FAA AST 2019 Annual Compendium</w:t>
            </w:r>
          </w:p>
        </w:tc>
      </w:tr>
      <w:tr>
        <w:tc>
          <w:tcPr>
            <w:tcW w:w="0" w:type="auto"/>
          </w:tcPr>
          <w:p>
            <w:pPr>
              <w:spacing w:line="240" w:lineRule="auto" w:before="0" w:after="0"/>
              <w:pStyle w:val="Compact"/>
            </w:pPr>
            <w:r>
              <w:rPr>
                <w:sz w:val="20"/>
                <w:szCs w:val="20"/>
              </w:rPr>
              <w:t xml:space="preserve">NM_2020</w:t>
            </w:r>
          </w:p>
        </w:tc>
        <w:tc>
          <w:tcPr>
            <w:tcW w:w="0" w:type="auto"/>
          </w:tcPr>
          <w:p>
            <w:pPr>
              <w:spacing w:line="240" w:lineRule="auto" w:before="0" w:after="0"/>
              <w:pStyle w:val="Compact"/>
            </w:pPr>
            <w:r>
              <w:rPr>
                <w:sz w:val="20"/>
                <w:szCs w:val="20"/>
              </w:rPr>
              <w:t xml:space="preserve">NM</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AST 2020 Annual Compendium</w:t>
            </w:r>
          </w:p>
        </w:tc>
      </w:tr>
      <w:tr>
        <w:tc>
          <w:tcPr>
            <w:tcW w:w="0" w:type="auto"/>
          </w:tcPr>
          <w:p>
            <w:pPr>
              <w:spacing w:line="240" w:lineRule="auto" w:before="0" w:after="0"/>
              <w:pStyle w:val="Compact"/>
            </w:pPr>
            <w:r>
              <w:rPr>
                <w:sz w:val="20"/>
                <w:szCs w:val="20"/>
              </w:rPr>
              <w:t xml:space="preserve">NM_2021</w:t>
            </w:r>
          </w:p>
        </w:tc>
        <w:tc>
          <w:tcPr>
            <w:tcW w:w="0" w:type="auto"/>
          </w:tcPr>
          <w:p>
            <w:pPr>
              <w:spacing w:line="240" w:lineRule="auto" w:before="0" w:after="0"/>
              <w:pStyle w:val="Compact"/>
            </w:pPr>
            <w:r>
              <w:rPr>
                <w:sz w:val="20"/>
                <w:szCs w:val="20"/>
              </w:rPr>
              <w:t xml:space="preserve">NM</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FAA AST 2021 Annual Compendium (Virgin Galactic Unity-22)</w:t>
            </w:r>
          </w:p>
        </w:tc>
      </w:tr>
      <w:tr>
        <w:tc>
          <w:tcPr>
            <w:tcW w:w="0" w:type="auto"/>
          </w:tcPr>
          <w:p>
            <w:pPr>
              <w:spacing w:line="240" w:lineRule="auto" w:before="0" w:after="0"/>
              <w:pStyle w:val="Compact"/>
            </w:pPr>
            <w:r>
              <w:rPr>
                <w:sz w:val="20"/>
                <w:szCs w:val="20"/>
              </w:rPr>
              <w:t xml:space="preserve">NM_2022</w:t>
            </w:r>
          </w:p>
        </w:tc>
        <w:tc>
          <w:tcPr>
            <w:tcW w:w="0" w:type="auto"/>
          </w:tcPr>
          <w:p>
            <w:pPr>
              <w:spacing w:line="240" w:lineRule="auto" w:before="0" w:after="0"/>
              <w:pStyle w:val="Compact"/>
            </w:pPr>
            <w:r>
              <w:rPr>
                <w:sz w:val="20"/>
                <w:szCs w:val="20"/>
              </w:rPr>
              <w:t xml:space="preserve">NM</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AST 2022 Year in Review</w:t>
            </w:r>
          </w:p>
        </w:tc>
      </w:tr>
      <w:tr>
        <w:tc>
          <w:tcPr>
            <w:tcW w:w="0" w:type="auto"/>
          </w:tcPr>
          <w:p>
            <w:pPr>
              <w:spacing w:line="240" w:lineRule="auto" w:before="0" w:after="0"/>
              <w:pStyle w:val="Compact"/>
            </w:pPr>
            <w:r>
              <w:rPr>
                <w:sz w:val="20"/>
                <w:szCs w:val="20"/>
              </w:rPr>
              <w:t xml:space="preserve">NM_2023</w:t>
            </w:r>
          </w:p>
        </w:tc>
        <w:tc>
          <w:tcPr>
            <w:tcW w:w="0" w:type="auto"/>
          </w:tcPr>
          <w:p>
            <w:pPr>
              <w:spacing w:line="240" w:lineRule="auto" w:before="0" w:after="0"/>
              <w:pStyle w:val="Compact"/>
            </w:pPr>
            <w:r>
              <w:rPr>
                <w:sz w:val="20"/>
                <w:szCs w:val="20"/>
              </w:rPr>
              <w:t xml:space="preserve">NM</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FAA AST 2023 Year in Review</w:t>
            </w:r>
          </w:p>
        </w:tc>
      </w:tr>
      <w:tr>
        <w:tc>
          <w:tcPr>
            <w:tcW w:w="0" w:type="auto"/>
          </w:tcPr>
          <w:p>
            <w:pPr>
              <w:spacing w:line="240" w:lineRule="auto" w:before="0" w:after="0"/>
              <w:pStyle w:val="Compact"/>
            </w:pPr>
            <w:r>
              <w:rPr>
                <w:sz w:val="20"/>
                <w:szCs w:val="20"/>
              </w:rPr>
              <w:t xml:space="preserve">OK_2022</w:t>
            </w:r>
          </w:p>
        </w:tc>
        <w:tc>
          <w:tcPr>
            <w:tcW w:w="0" w:type="auto"/>
          </w:tcPr>
          <w:p>
            <w:pPr>
              <w:spacing w:line="240" w:lineRule="auto" w:before="0" w:after="0"/>
              <w:pStyle w:val="Compact"/>
            </w:pPr>
            <w:r>
              <w:rPr>
                <w:sz w:val="20"/>
                <w:szCs w:val="20"/>
              </w:rPr>
              <w:t xml:space="preserve">OK</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AST 2022 Year in Review; Oklahoma Air &amp; Space Port (Burns Flat) FAA license [illustrative zero-cadence confirmation]</w:t>
            </w:r>
          </w:p>
        </w:tc>
      </w:tr>
      <w:tr>
        <w:tc>
          <w:tcPr>
            <w:tcW w:w="0" w:type="auto"/>
          </w:tcPr>
          <w:p>
            <w:pPr>
              <w:spacing w:line="240" w:lineRule="auto" w:before="0" w:after="0"/>
              <w:pStyle w:val="Compact"/>
            </w:pPr>
            <w:r>
              <w:rPr>
                <w:sz w:val="20"/>
                <w:szCs w:val="20"/>
              </w:rPr>
              <w:t xml:space="preserve">GA_2022</w:t>
            </w:r>
          </w:p>
        </w:tc>
        <w:tc>
          <w:tcPr>
            <w:tcW w:w="0" w:type="auto"/>
          </w:tcPr>
          <w:p>
            <w:pPr>
              <w:spacing w:line="240" w:lineRule="auto" w:before="0" w:after="0"/>
              <w:pStyle w:val="Compact"/>
            </w:pPr>
            <w:r>
              <w:rPr>
                <w:sz w:val="20"/>
                <w:szCs w:val="20"/>
              </w:rPr>
              <w:t xml:space="preserve">GA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AST 2022 Year in Review; Spaceport Camden license denial 2022</w:t>
            </w:r>
          </w:p>
        </w:tc>
      </w:tr>
      <w:tr>
        <w:tc>
          <w:tcPr>
            <w:tcW w:w="0" w:type="auto"/>
          </w:tcPr>
          <w:p>
            <w:pPr>
              <w:spacing w:line="240" w:lineRule="auto" w:before="0" w:after="0"/>
              <w:pStyle w:val="Compact"/>
            </w:pPr>
            <w:r>
              <w:rPr>
                <w:sz w:val="20"/>
                <w:szCs w:val="20"/>
              </w:rPr>
              <w:t xml:space="preserve">CO_2022</w:t>
            </w:r>
          </w:p>
        </w:tc>
        <w:tc>
          <w:tcPr>
            <w:tcW w:w="0" w:type="auto"/>
          </w:tcPr>
          <w:p>
            <w:pPr>
              <w:spacing w:line="240" w:lineRule="auto" w:before="0" w:after="0"/>
              <w:pStyle w:val="Compact"/>
            </w:pPr>
            <w:r>
              <w:rPr>
                <w:sz w:val="20"/>
                <w:szCs w:val="20"/>
              </w:rPr>
              <w:t xml:space="preserve">CO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AST 2022 Year in Review; Colorado Air &amp; Space Port FAA license</w:t>
            </w:r>
          </w:p>
        </w:tc>
      </w:tr>
    </w:tbl>
    <w:bookmarkEnd w:id="81"/>
    <w:bookmarkStart w:id="82"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log_launches_p1</w:t>
            </w:r>
          </w:p>
        </w:tc>
        <w:tc>
          <w:tcPr>
            <w:tcW w:w="0" w:type="auto"/>
          </w:tcPr>
          <w:p>
            <w:pPr>
              <w:spacing w:line="240" w:lineRule="auto" w:before="0" w:after="0"/>
              <w:pStyle w:val="Compact"/>
            </w:pPr>
            <w:r>
              <w:rPr>
                <w:sz w:val="20"/>
                <w:szCs w:val="20"/>
              </w:rPr>
              <w:t xml:space="preserve">Natural logarithm of one plus the count of FAA-attributed orbital and suborbital launches from sites in the state in the year</w:t>
            </w:r>
          </w:p>
        </w:tc>
        <w:tc>
          <w:tcPr>
            <w:tcW w:w="0" w:type="auto"/>
          </w:tcPr>
          <w:p>
            <w:pPr>
              <w:spacing w:line="240" w:lineRule="auto" w:before="0" w:after="0"/>
              <w:pStyle w:val="Compact"/>
            </w:pPr>
            <w:r>
              <w:rPr>
                <w:sz w:val="20"/>
                <w:szCs w:val="20"/>
              </w:rPr>
              <w:t xml:space="preserve">FAA AST Annual Compendium of Commercial Space Transportation (2018-2021); FAA AST U.S. Commercial Space Transportation Year in Review (2022-2023)</w:t>
            </w:r>
          </w:p>
        </w:tc>
      </w:tr>
      <w:tr>
        <w:tc>
          <w:tcPr>
            <w:tcW w:w="0" w:type="auto"/>
          </w:tcPr>
          <w:p>
            <w:pPr>
              <w:spacing w:line="240" w:lineRule="auto" w:before="0" w:after="0"/>
              <w:pStyle w:val="Compact"/>
            </w:pPr>
            <w:r>
              <w:rPr>
                <w:sz w:val="20"/>
                <w:szCs w:val="20"/>
              </w:rPr>
              <w:t xml:space="preserve">licensed_sites</w:t>
            </w:r>
          </w:p>
        </w:tc>
        <w:tc>
          <w:tcPr>
            <w:tcW w:w="0" w:type="auto"/>
          </w:tcPr>
          <w:p>
            <w:pPr>
              <w:spacing w:line="240" w:lineRule="auto" w:before="0" w:after="0"/>
              <w:pStyle w:val="Compact"/>
            </w:pPr>
            <w:r>
              <w:rPr>
                <w:sz w:val="20"/>
                <w:szCs w:val="20"/>
              </w:rPr>
              <w:t xml:space="preserve">Count of FAA Part 420 licensed launch sites active in the state in the observation year</w:t>
            </w:r>
          </w:p>
        </w:tc>
        <w:tc>
          <w:tcPr>
            <w:tcW w:w="0" w:type="auto"/>
          </w:tcPr>
          <w:p>
            <w:pPr>
              <w:spacing w:line="240" w:lineRule="auto" w:before="0" w:after="0"/>
              <w:pStyle w:val="Compact"/>
            </w:pPr>
            <w:r>
              <w:rPr>
                <w:sz w:val="20"/>
                <w:szCs w:val="20"/>
              </w:rPr>
              <w:t xml:space="preserve">FAA AST Licensed Launch Sites list; FAA Part 420 site-license records</w:t>
            </w:r>
          </w:p>
        </w:tc>
      </w:tr>
      <w:tr>
        <w:tc>
          <w:tcPr>
            <w:tcW w:w="0" w:type="auto"/>
          </w:tcPr>
          <w:p>
            <w:pPr>
              <w:spacing w:line="240" w:lineRule="auto" w:before="0" w:after="0"/>
              <w:pStyle w:val="Compact"/>
            </w:pPr>
            <w:r>
              <w:rPr>
                <w:sz w:val="20"/>
                <w:szCs w:val="20"/>
              </w:rPr>
              <w:t xml:space="preserve">coastal</w:t>
            </w:r>
          </w:p>
        </w:tc>
        <w:tc>
          <w:tcPr>
            <w:tcW w:w="0" w:type="auto"/>
          </w:tcPr>
          <w:p>
            <w:pPr>
              <w:spacing w:line="240" w:lineRule="auto" w:before="0" w:after="0"/>
              <w:pStyle w:val="Compact"/>
            </w:pPr>
            <w:r>
              <w:rPr>
                <w:sz w:val="20"/>
                <w:szCs w:val="20"/>
              </w:rPr>
              <w:t xml:space="preserve">Indicator equal to one if the state hosts at least one licensed site with overwater downrange azimuths on a coast, zero otherwise</w:t>
            </w:r>
          </w:p>
        </w:tc>
        <w:tc>
          <w:tcPr>
            <w:tcW w:w="0" w:type="auto"/>
          </w:tcPr>
          <w:p>
            <w:pPr>
              <w:spacing w:line="240" w:lineRule="auto" w:before="0" w:after="0"/>
              <w:pStyle w:val="Compact"/>
            </w:pPr>
            <w:r>
              <w:rPr>
                <w:sz w:val="20"/>
                <w:szCs w:val="20"/>
              </w:rPr>
              <w:t xml:space="preserve">FAA AST site descriptions; site operator charters</w:t>
            </w:r>
          </w:p>
        </w:tc>
      </w:tr>
      <w:tr>
        <w:tc>
          <w:tcPr>
            <w:tcW w:w="0" w:type="auto"/>
          </w:tcPr>
          <w:p>
            <w:pPr>
              <w:spacing w:line="240" w:lineRule="auto" w:before="0" w:after="0"/>
              <w:pStyle w:val="Compact"/>
            </w:pPr>
            <w:r>
              <w:rPr>
                <w:sz w:val="20"/>
                <w:szCs w:val="20"/>
              </w:rPr>
              <w:t xml:space="preserve">prior_federal_range</w:t>
            </w:r>
          </w:p>
        </w:tc>
        <w:tc>
          <w:tcPr>
            <w:tcW w:w="0" w:type="auto"/>
          </w:tcPr>
          <w:p>
            <w:pPr>
              <w:spacing w:line="240" w:lineRule="auto" w:before="0" w:after="0"/>
              <w:pStyle w:val="Compact"/>
            </w:pPr>
            <w:r>
              <w:rPr>
                <w:sz w:val="20"/>
                <w:szCs w:val="20"/>
              </w:rPr>
              <w:t xml:space="preserve">Indicator equal to one if the state hosts a licensed site co-located with a pre-existing federal launch range (CCSFS, Vandenberg SFB, Wallops Flight Facility, Kodiak), zero otherwise</w:t>
            </w:r>
          </w:p>
        </w:tc>
        <w:tc>
          <w:tcPr>
            <w:tcW w:w="0" w:type="auto"/>
          </w:tcPr>
          <w:p>
            <w:pPr>
              <w:spacing w:line="240" w:lineRule="auto" w:before="0" w:after="0"/>
              <w:pStyle w:val="Compact"/>
            </w:pPr>
            <w:r>
              <w:rPr>
                <w:sz w:val="20"/>
                <w:szCs w:val="20"/>
              </w:rPr>
              <w:t xml:space="preserve">FAA AST records; range-operator memoranda of agreement</w:t>
            </w:r>
          </w:p>
        </w:tc>
      </w:tr>
      <w:tr>
        <w:tc>
          <w:tcPr>
            <w:tcW w:w="0" w:type="auto"/>
          </w:tcPr>
          <w:p>
            <w:pPr>
              <w:spacing w:line="240" w:lineRule="auto" w:before="0" w:after="0"/>
              <w:pStyle w:val="Compact"/>
            </w:pPr>
            <w:r>
              <w:rPr>
                <w:sz w:val="20"/>
                <w:szCs w:val="20"/>
              </w:rPr>
              <w:t xml:space="preserve">launches_per_year</w:t>
            </w:r>
          </w:p>
        </w:tc>
        <w:tc>
          <w:tcPr>
            <w:tcW w:w="0" w:type="auto"/>
          </w:tcPr>
          <w:p>
            <w:pPr>
              <w:spacing w:line="240" w:lineRule="auto" w:before="0" w:after="0"/>
              <w:pStyle w:val="Compact"/>
            </w:pPr>
            <w:r>
              <w:rPr>
                <w:sz w:val="20"/>
                <w:szCs w:val="20"/>
              </w:rPr>
              <w:t xml:space="preserve">Raw count of FAA-attributed orbital and suborbital launches from sites in the state in the year, used to construct the dependent variable</w:t>
            </w:r>
          </w:p>
        </w:tc>
        <w:tc>
          <w:tcPr>
            <w:tcW w:w="0" w:type="auto"/>
          </w:tcPr>
          <w:p>
            <w:pPr>
              <w:spacing w:line="240" w:lineRule="auto" w:before="0" w:after="0"/>
              <w:pStyle w:val="Compact"/>
            </w:pPr>
            <w:r>
              <w:rPr>
                <w:sz w:val="20"/>
                <w:szCs w:val="20"/>
              </w:rPr>
              <w:t xml:space="preserve">Same as log_launches_p1</w:t>
            </w:r>
          </w:p>
        </w:tc>
      </w:tr>
    </w:tbl>
    <w:bookmarkEnd w:id="82"/>
    <w:bookmarkStart w:id="83"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-0.7135</w:t>
            </w:r>
          </w:p>
        </w:tc>
        <w:tc>
          <w:tcPr>
            <w:tcW w:w="0" w:type="auto"/>
          </w:tcPr>
          <w:p>
            <w:pPr>
              <w:spacing w:line="240" w:lineRule="auto" w:before="0" w:after="0"/>
              <w:pStyle w:val="Compact"/>
            </w:pPr>
            <w:r>
              <w:rPr>
                <w:sz w:val="20"/>
                <w:szCs w:val="20"/>
              </w:rPr>
              <w:t xml:space="preserve">0.269</w:t>
            </w:r>
          </w:p>
        </w:tc>
        <w:tc>
          <w:tcPr>
            <w:tcW w:w="0" w:type="auto"/>
          </w:tcPr>
          <w:p>
            <w:pPr>
              <w:spacing w:line="240" w:lineRule="auto" w:before="0" w:after="0"/>
              <w:pStyle w:val="Compact"/>
            </w:pPr>
            <w:r>
              <w:rPr>
                <w:sz w:val="20"/>
                <w:szCs w:val="20"/>
              </w:rPr>
              <w:t xml:space="preserve">-2.6519</w:t>
            </w:r>
          </w:p>
        </w:tc>
        <w:tc>
          <w:tcPr>
            <w:tcW w:w="0" w:type="auto"/>
          </w:tcPr>
          <w:p>
            <w:pPr>
              <w:spacing w:line="240" w:lineRule="auto" w:before="0" w:after="0"/>
              <w:pStyle w:val="Compact"/>
            </w:pPr>
            <w:r>
              <w:rPr>
                <w:sz w:val="20"/>
                <w:szCs w:val="20"/>
              </w:rPr>
              <w:t xml:space="preserve">0.008</w:t>
            </w:r>
          </w:p>
        </w:tc>
        <w:tc>
          <w:tcPr>
            <w:tcW w:w="0" w:type="auto"/>
          </w:tcPr>
          <w:p>
            <w:pPr>
              <w:spacing w:line="240" w:lineRule="auto" w:before="0" w:after="0"/>
              <w:pStyle w:val="Compact"/>
            </w:pPr>
            <w:r>
              <w:rPr>
                <w:sz w:val="20"/>
                <w:szCs w:val="20"/>
              </w:rPr>
              <w:t xml:space="preserve">[-1.2408, -0.1862]</w:t>
            </w:r>
          </w:p>
        </w:tc>
      </w:tr>
      <w:tr>
        <w:tc>
          <w:tcPr>
            <w:tcW w:w="0" w:type="auto"/>
          </w:tcPr>
          <w:p>
            <w:pPr>
              <w:spacing w:line="240" w:lineRule="auto" w:before="0" w:after="0"/>
              <w:pStyle w:val="Compact"/>
            </w:pPr>
            <w:r>
              <w:rPr>
                <w:sz w:val="20"/>
                <w:szCs w:val="20"/>
              </w:rPr>
              <w:t xml:space="preserve">licensed_sites</w:t>
            </w:r>
          </w:p>
        </w:tc>
        <w:tc>
          <w:tcPr>
            <w:tcW w:w="0" w:type="auto"/>
          </w:tcPr>
          <w:p>
            <w:pPr>
              <w:spacing w:line="240" w:lineRule="auto" w:before="0" w:after="0"/>
              <w:pStyle w:val="Compact"/>
            </w:pPr>
            <w:r>
              <w:rPr>
                <w:sz w:val="20"/>
                <w:szCs w:val="20"/>
              </w:rPr>
              <w:t xml:space="preserve">1.0241</w:t>
            </w:r>
          </w:p>
        </w:tc>
        <w:tc>
          <w:tcPr>
            <w:tcW w:w="0" w:type="auto"/>
          </w:tcPr>
          <w:p>
            <w:pPr>
              <w:spacing w:line="240" w:lineRule="auto" w:before="0" w:after="0"/>
              <w:pStyle w:val="Compact"/>
            </w:pPr>
            <w:r>
              <w:rPr>
                <w:sz w:val="20"/>
                <w:szCs w:val="20"/>
              </w:rPr>
              <w:t xml:space="preserve">0.2192</w:t>
            </w:r>
          </w:p>
        </w:tc>
        <w:tc>
          <w:tcPr>
            <w:tcW w:w="0" w:type="auto"/>
          </w:tcPr>
          <w:p>
            <w:pPr>
              <w:spacing w:line="240" w:lineRule="auto" w:before="0" w:after="0"/>
              <w:pStyle w:val="Compact"/>
            </w:pPr>
            <w:r>
              <w:rPr>
                <w:sz w:val="20"/>
                <w:szCs w:val="20"/>
              </w:rPr>
              <w:t xml:space="preserve">4.6709</w:t>
            </w:r>
          </w:p>
        </w:tc>
        <w:tc>
          <w:tcPr>
            <w:tcW w:w="0" w:type="auto"/>
          </w:tcPr>
          <w:p>
            <w:pPr>
              <w:spacing w:line="240" w:lineRule="auto" w:before="0" w:after="0"/>
              <w:pStyle w:val="Compact"/>
            </w:pPr>
            <w:r>
              <w:rPr>
                <w:sz w:val="20"/>
                <w:szCs w:val="20"/>
              </w:rPr>
              <w:t xml:space="preserve">2.998e-06</w:t>
            </w:r>
          </w:p>
        </w:tc>
        <w:tc>
          <w:tcPr>
            <w:tcW w:w="0" w:type="auto"/>
          </w:tcPr>
          <w:p>
            <w:pPr>
              <w:spacing w:line="240" w:lineRule="auto" w:before="0" w:after="0"/>
              <w:pStyle w:val="Compact"/>
            </w:pPr>
            <w:r>
              <w:rPr>
                <w:sz w:val="20"/>
                <w:szCs w:val="20"/>
              </w:rPr>
              <w:t xml:space="preserve">[0.5944, 1.4538]</w:t>
            </w:r>
          </w:p>
        </w:tc>
      </w:tr>
      <w:tr>
        <w:tc>
          <w:tcPr>
            <w:tcW w:w="0" w:type="auto"/>
          </w:tcPr>
          <w:p>
            <w:pPr>
              <w:spacing w:line="240" w:lineRule="auto" w:before="0" w:after="0"/>
              <w:pStyle w:val="Compact"/>
            </w:pPr>
            <w:r>
              <w:rPr>
                <w:sz w:val="20"/>
                <w:szCs w:val="20"/>
              </w:rPr>
              <w:t xml:space="preserve">coastal</w:t>
            </w:r>
          </w:p>
        </w:tc>
        <w:tc>
          <w:tcPr>
            <w:tcW w:w="0" w:type="auto"/>
          </w:tcPr>
          <w:p>
            <w:pPr>
              <w:spacing w:line="240" w:lineRule="auto" w:before="0" w:after="0"/>
              <w:pStyle w:val="Compact"/>
            </w:pPr>
            <w:r>
              <w:rPr>
                <w:sz w:val="20"/>
                <w:szCs w:val="20"/>
              </w:rPr>
              <w:t xml:space="preserve">0.038</w:t>
            </w:r>
          </w:p>
        </w:tc>
        <w:tc>
          <w:tcPr>
            <w:tcW w:w="0" w:type="auto"/>
          </w:tcPr>
          <w:p>
            <w:pPr>
              <w:spacing w:line="240" w:lineRule="auto" w:before="0" w:after="0"/>
              <w:pStyle w:val="Compact"/>
            </w:pPr>
            <w:r>
              <w:rPr>
                <w:sz w:val="20"/>
                <w:szCs w:val="20"/>
              </w:rPr>
              <w:t xml:space="preserve">0.2378</w:t>
            </w:r>
          </w:p>
        </w:tc>
        <w:tc>
          <w:tcPr>
            <w:tcW w:w="0" w:type="auto"/>
          </w:tcPr>
          <w:p>
            <w:pPr>
              <w:spacing w:line="240" w:lineRule="auto" w:before="0" w:after="0"/>
              <w:pStyle w:val="Compact"/>
            </w:pPr>
            <w:r>
              <w:rPr>
                <w:sz w:val="20"/>
                <w:szCs w:val="20"/>
              </w:rPr>
              <w:t xml:space="preserve">0.1599</w:t>
            </w:r>
          </w:p>
        </w:tc>
        <w:tc>
          <w:tcPr>
            <w:tcW w:w="0" w:type="auto"/>
          </w:tcPr>
          <w:p>
            <w:pPr>
              <w:spacing w:line="240" w:lineRule="auto" w:before="0" w:after="0"/>
              <w:pStyle w:val="Compact"/>
            </w:pPr>
            <w:r>
              <w:rPr>
                <w:sz w:val="20"/>
                <w:szCs w:val="20"/>
              </w:rPr>
              <w:t xml:space="preserve">0.8729</w:t>
            </w:r>
          </w:p>
        </w:tc>
        <w:tc>
          <w:tcPr>
            <w:tcW w:w="0" w:type="auto"/>
          </w:tcPr>
          <w:p>
            <w:pPr>
              <w:spacing w:line="240" w:lineRule="auto" w:before="0" w:after="0"/>
              <w:pStyle w:val="Compact"/>
            </w:pPr>
            <w:r>
              <w:rPr>
                <w:sz w:val="20"/>
                <w:szCs w:val="20"/>
              </w:rPr>
              <w:t xml:space="preserve">[-0.428, 0.5041]</w:t>
            </w:r>
          </w:p>
        </w:tc>
      </w:tr>
      <w:tr>
        <w:tc>
          <w:tcPr>
            <w:tcW w:w="0" w:type="auto"/>
          </w:tcPr>
          <w:p>
            <w:pPr>
              <w:spacing w:line="240" w:lineRule="auto" w:before="0" w:after="0"/>
              <w:pStyle w:val="Compact"/>
            </w:pPr>
            <w:r>
              <w:rPr>
                <w:sz w:val="20"/>
                <w:szCs w:val="20"/>
              </w:rPr>
              <w:t xml:space="preserve">prior_federal_range</w:t>
            </w:r>
          </w:p>
        </w:tc>
        <w:tc>
          <w:tcPr>
            <w:tcW w:w="0" w:type="auto"/>
          </w:tcPr>
          <w:p>
            <w:pPr>
              <w:spacing w:line="240" w:lineRule="auto" w:before="0" w:after="0"/>
              <w:pStyle w:val="Compact"/>
            </w:pPr>
            <w:r>
              <w:rPr>
                <w:sz w:val="20"/>
                <w:szCs w:val="20"/>
              </w:rPr>
              <w:t xml:space="preserve">1.1845</w:t>
            </w:r>
          </w:p>
        </w:tc>
        <w:tc>
          <w:tcPr>
            <w:tcW w:w="0" w:type="auto"/>
          </w:tcPr>
          <w:p>
            <w:pPr>
              <w:spacing w:line="240" w:lineRule="auto" w:before="0" w:after="0"/>
              <w:pStyle w:val="Compact"/>
            </w:pPr>
            <w:r>
              <w:rPr>
                <w:sz w:val="20"/>
                <w:szCs w:val="20"/>
              </w:rPr>
              <w:t xml:space="preserve">0.2372</w:t>
            </w:r>
          </w:p>
        </w:tc>
        <w:tc>
          <w:tcPr>
            <w:tcW w:w="0" w:type="auto"/>
          </w:tcPr>
          <w:p>
            <w:pPr>
              <w:spacing w:line="240" w:lineRule="auto" w:before="0" w:after="0"/>
              <w:pStyle w:val="Compact"/>
            </w:pPr>
            <w:r>
              <w:rPr>
                <w:sz w:val="20"/>
                <w:szCs w:val="20"/>
              </w:rPr>
              <w:t xml:space="preserve">4.9939</w:t>
            </w:r>
          </w:p>
        </w:tc>
        <w:tc>
          <w:tcPr>
            <w:tcW w:w="0" w:type="auto"/>
          </w:tcPr>
          <w:p>
            <w:pPr>
              <w:spacing w:line="240" w:lineRule="auto" w:before="0" w:after="0"/>
              <w:pStyle w:val="Compact"/>
            </w:pPr>
            <w:r>
              <w:rPr>
                <w:sz w:val="20"/>
                <w:szCs w:val="20"/>
              </w:rPr>
              <w:t xml:space="preserve">5.919e-07</w:t>
            </w:r>
          </w:p>
        </w:tc>
        <w:tc>
          <w:tcPr>
            <w:tcW w:w="0" w:type="auto"/>
          </w:tcPr>
          <w:p>
            <w:pPr>
              <w:spacing w:line="240" w:lineRule="auto" w:before="0" w:after="0"/>
              <w:pStyle w:val="Compact"/>
            </w:pPr>
            <w:r>
              <w:rPr>
                <w:sz w:val="20"/>
                <w:szCs w:val="20"/>
              </w:rPr>
              <w:t xml:space="preserve">[0.7196, 1.6494]</w:t>
            </w:r>
          </w:p>
        </w:tc>
      </w:tr>
    </w:tbl>
    <w:p>
      <w:pPr>
        <w:pStyle w:val="BodyText"/>
      </w:pPr>
      <w:r>
        <w:t xml:space="preserve">Fit: N = 39 R2 = 0.6797 R2_adj = 0.6523 F = 20.4978 F_p = 7.661e-08</w:t>
      </w:r>
    </w:p>
    <w:bookmarkEnd w:id="83"/>
    <w:bookmarkEnd w:id="84"/>
    <w:bookmarkEnd w:id="8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7" Target="media/rId77.png" /><Relationship Type="http://schemas.openxmlformats.org/officeDocument/2006/relationships/hyperlink" Id="rId74" Target="https://doi.org/10.1016/j.actaastro.2023.07.009" TargetMode="External" /><Relationship Type="http://schemas.openxmlformats.org/officeDocument/2006/relationships/hyperlink" Id="rId70" Target="https://doi.org/10.1016/j.actaastro.2024.05.009" TargetMode="External" /><Relationship Type="http://schemas.openxmlformats.org/officeDocument/2006/relationships/hyperlink" Id="rId68" Target="https://doi.org/10.1016/j.actaastro.2024.09.005" TargetMode="External" /></Relationships>
</file>

<file path=word/_rels/footnotes.xml.rels><?xml version="1.0" encoding="UTF-8"?><Relationships xmlns="http://schemas.openxmlformats.org/package/2006/relationships"><Relationship Type="http://schemas.openxmlformats.org/officeDocument/2006/relationships/hyperlink" Id="rId74" Target="https://doi.org/10.1016/j.actaastro.2023.07.009" TargetMode="External" /><Relationship Type="http://schemas.openxmlformats.org/officeDocument/2006/relationships/hyperlink" Id="rId70" Target="https://doi.org/10.1016/j.actaastro.2024.05.009" TargetMode="External" /><Relationship Type="http://schemas.openxmlformats.org/officeDocument/2006/relationships/hyperlink" Id="rId68" Target="https://doi.org/10.1016/j.actaastro.2024.09.00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2026-06-27T00:26:33Z</dcterms:created>
  <dcterms:modified xsi:type="dcterms:W3CDTF">2026-06-27T00:26:33Z</dcterms:modified>
</cp:coreProperties>
</file>

<file path=docProps/custom.xml><?xml version="1.0" encoding="utf-8"?>
<Properties xmlns="http://schemas.openxmlformats.org/officeDocument/2006/custom-properties" xmlns:vt="http://schemas.openxmlformats.org/officeDocument/2006/docPropsVTypes"/>
</file>