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0c5695b10fb18f09b73dabb439b2ab34d9370de"/>
    <w:p>
      <w:pPr>
        <w:pStyle w:val="Heading1"/>
      </w:pPr>
      <w:r>
        <w:t xml:space="preserve">Does Site Licensing Predict Site Cadence? A Pooled OLS Panel Analysis of FAA Part 420 Spaceport Site-Years</w:t>
      </w:r>
    </w:p>
    <w:bookmarkStart w:id="61" w:name="introduction"/>
    <w:p>
      <w:pPr>
        <w:pStyle w:val="Heading2"/>
      </w:pPr>
      <w:r>
        <w:t xml:space="preserve">1. Introduction</w:t>
      </w:r>
    </w:p>
    <w:p>
      <w:pPr>
        <w:pStyle w:val="FirstParagraph"/>
      </w:pPr>
      <w:r>
        <w:t xml:space="preserve">The Federal Aviation Administration administers a launch-site operator license under 14 CFR Part 420 that confers on a site authority the legal capacity to host launches by separately licensed vehicle operators. Over the last quarter century the population of FAA-licensed launch sites has expanded from a small set of federal-range adjuncts to a network of state authorities, airport districts, and operator-owned pads distributed across coastal and inland geographies</w:t>
      </w:r>
      <w:r>
        <w:t xml:space="preserve"> </w:t>
      </w:r>
      <w:hyperlink w:anchor="ref-1">
        <m:oMathPara>
          <m:oMathParaPr>
            <m:jc m:val="center"/>
          </m:oMathParaPr>
          <m:oMath>
            <m:r>
              <m:t>1</m:t>
            </m:r>
          </m:oMath>
        </m:oMathPara>
      </w:hyperlink>
      <w:r>
        <w:t xml:space="preserve">. Policy framings of this expansion treat site licensing as the operative precondition for regional launch cadence. Whether the licensure event actually predicts subsequent launch activity at the site level is the empirical question this paper addresses. The unit of analysis is the site-year. The clock is calendar time. The outcome is the count of FAA-attributed launches from the site in the year. The contribution is to convert the policy assertion that licensing produces cadence into a testable site-year prediction estimated on a panel of FAA-licensed and not-licensed sites, with each row of the panel traceable to a public source.</w:t>
      </w:r>
    </w:p>
    <w:bookmarkEnd w:id="61"/>
    <w:bookmarkStart w:id="62" w:name="theory-and-hypotheses"/>
    <w:p>
      <w:pPr>
        <w:pStyle w:val="Heading2"/>
      </w:pPr>
      <w:r>
        <w:t xml:space="preserve">2. Theory and Hypotheses</w:t>
      </w:r>
    </w:p>
    <w:p>
      <w:pPr>
        <w:pStyle w:val="FirstParagraph"/>
      </w:pPr>
      <w:r>
        <w:t xml:space="preserve">Two strands of the retrieved literature motivate the specification. Shockley and Bettinger frame the population of FAA-licensed launch sites as the relevant policy object for launch-on-demand and document the geographic dispersion of the licensed network</w:t>
      </w:r>
      <w:r>
        <w:t xml:space="preserve"> </w:t>
      </w:r>
      <w:hyperlink w:anchor="ref-1">
        <m:oMathPara>
          <m:oMathParaPr>
            <m:jc m:val="center"/>
          </m:oMathParaPr>
          <m:oMath>
            <m:r>
              <m:t>1</m:t>
            </m:r>
          </m:oMath>
        </m:oMathPara>
      </w:hyperlink>
      <w:r>
        <w:t xml:space="preserve">. The space-economy synthesis observes that increases in launch volume drive economies of scale in launch operations, so that sites entering the cadence regime earlier accrue scale advantages that further compress launch-to-launch intervals</w:t>
      </w:r>
      <w:r>
        <w:t xml:space="preserve"> </w:t>
      </w:r>
      <w:hyperlink w:anchor="ref-2">
        <m:oMathPara>
          <m:oMathParaPr>
            <m:jc m:val="center"/>
          </m:oMathParaPr>
          <m:oMath>
            <m:r>
              <m:t>2</m:t>
            </m:r>
          </m:oMath>
        </m:oMathPara>
      </w:hyperlink>
      <w:r>
        <w:t xml:space="preserve">. Roberts and Linares attribute spacecraft of GEO origin to specific licensed sites and document that operational use of the licensed network is concentrated rather than uniform</w:t>
      </w:r>
      <w:r>
        <w:t xml:space="preserve"> </w:t>
      </w:r>
      <w:hyperlink w:anchor="ref-3">
        <m:oMathPara>
          <m:oMathParaPr>
            <m:jc m:val="center"/>
          </m:oMathParaPr>
          <m:oMath>
            <m:r>
              <m:t>3</m:t>
            </m:r>
          </m:oMath>
        </m:oMathPara>
      </w:hyperlink>
      <w:r>
        <w:t xml:space="preserve">. Together these observations imply two directional predictions about the site-year. First, conditional on national demand and site geography, the indicator for post-license status should be positively associated with the count of launches at the site. Second, sites co-located with a federal range should exhibit higher counts than greenfield inland sites because they inherit telemetry, downrange clearance, and hazard-analysis infrastructure rather than having to build them.</w:t>
      </w:r>
    </w:p>
    <w:p>
      <w:pPr>
        <w:pStyle w:val="FirstParagraph"/>
      </w:pPr>
      <w:r>
        <w:t xml:space="preserve">The estimated equation includes the post-license indicator as the variable of interest, two time-invariant site characteristics (coastal location and federal-range co-location) as geography controls, and the national U.S. launch count for the year as a demand control. The directional hypothesis on post-license is positive. The directional hypothesis on federal range is positive. Coastal status enters as an additional geography control whose direction is treated as empirical rather than predicted.</w:t>
      </w:r>
    </w:p>
    <w:bookmarkEnd w:id="62"/>
    <w:bookmarkStart w:id="63" w:name="data"/>
    <w:p>
      <w:pPr>
        <w:pStyle w:val="Heading2"/>
      </w:pPr>
      <w:r>
        <w:t xml:space="preserve">3. Data</w:t>
      </w:r>
    </w:p>
    <w:p>
      <w:pPr>
        <w:pStyle w:val="FirstParagraph"/>
      </w:pPr>
      <w:r>
        <w:t xml:space="preserve">The dataset is a pooled site-year panel of twelve FAA-licensed or applied-for spaceport sites observed in selected years from 1996 through 2023, for a total of thirty-nine site-year observations. The treatment variable is the post-license indicator, set to one in and after the calendar year of Part 420 site operator license issuance for each licensed site and to zero before issuance, drawn from the FAA Office of Commercial Space Transportation Licensed Launch Sites list. Spaceport Camden is included as a never-treated control because its application was not approved during the observation window. The outcome variable is the count of FAA-attributed orbital and suborbital launches from the site in the calendar year, drawn from the FAA Commercial Space Transportation annual compendium and the corresponding Year in Review reports. Two time-invariant site covariates are coded from FAA Office of Commercial Space Transportation site descriptions and the published site-authority charters. The coastal indicator equals one for sites whose published downrange azimuths include open-water corridors and zero otherwise. The federal-range indicator equals one for sites co-located with the Eastern Range, the Western Range, the Wallops Flight Facility, or the Pacific Spaceport Complex Alaska, and zero otherwise. The national U.S. launch count for the year is taken from the FAA Year in Review and Annual Compendium series. Each row of the data file records its public source in the source column.</w:t>
      </w:r>
    </w:p>
    <w:bookmarkEnd w:id="63"/>
    <w:bookmarkStart w:id="64" w:name="method"/>
    <w:p>
      <w:pPr>
        <w:pStyle w:val="Heading2"/>
      </w:pPr>
      <w:r>
        <w:t xml:space="preserve">4. Method</w:t>
      </w:r>
    </w:p>
    <w:p>
      <w:pPr>
        <w:pStyle w:val="FirstParagraph"/>
      </w:pPr>
      <w:r>
        <w:t xml:space="preserve">The estimator is pooled ordinary least squares on the site-year panel with robust standard errors of the HC1 form. The dependent variable is the launch count for the site-year. The independent variables are the post-license indicator, the coastal indicator, the federal-range indicator, and the national U.S. launch count for the year. The intercept is retained. Standard errors of the HC1 form are reported because the dispersion of the launch count is non-trivial and homoskedasticity is not asserted. The test statistic on each coefficient is a t-statistic with the HC1 variance estimator. The full panel of thirty-nine site-year observations is used; no observations are dropped.</w:t>
      </w:r>
    </w:p>
    <w:bookmarkEnd w:id="64"/>
    <w:bookmarkStart w:id="65" w:name="findings"/>
    <w:p>
      <w:pPr>
        <w:pStyle w:val="Heading2"/>
      </w:pPr>
      <w:r>
        <w:t xml:space="preserve">5. Findings</w:t>
      </w:r>
    </w:p>
    <w:p>
      <w:pPr>
        <w:pStyle w:val="FirstParagraph"/>
      </w:pPr>
      <w:r>
        <w:t xml:space="preserve">The fitted model uses all thirty-nine site-year observations. The R-squared is 0.26 and the adjusted R-squared is 0.18, so the four right-hand-side variables jointly account for roughly one quarter of the cross-site-year variance in launch count. The F-statistic on the joint significance of the slope coefficients is 0.98 with an associated p-value of 0.43, so the joint null that the four coefficients are zero is not rejected at the conventional five-percent threshold.</w:t>
      </w:r>
    </w:p>
    <w:p>
      <w:pPr>
        <w:pStyle w:val="BodyText"/>
      </w:pPr>
      <w:r>
        <w:t xml:space="preserve">The coefficient of interest is the post-license indicator. The point estimate is 1.10 with a robust standard error of 1.56, yielding a t-statistic of about 0.70 and a p-value of 0.48. The point estimate is in the predicted direction (post-license site-years exhibit more launches than pre-license site-years) but the confidence interval comfortably contains zero. The coastal indicator has a coefficient of -3.21 with a standard error of 3.21 and a p-value of 0.32, so it is not distinguishable from zero in this sample. The federal-range indicator has the largest point estimate among the site characteristics, at 8.12 with a standard error of 5.38 and a p-value of 0.13. The direction is positive, consistent with the inheritance-of-infrastructure prediction, and the implied magnitude (federal-range sites average roughly eight additional launches per site-year relative to non-range sites) is the substantive headline of the cross-site comparison even though the standard error is wide. The coefficient on national U.S. launches is 0.14 with a standard error of 0.12 and a p-value of 0.22. The point estimate implies that an additional ten launches in the national total are associated with roughly 1.4 additional launches at the average site in the panel, which is a defensible scale relationship.</w:t>
      </w:r>
    </w:p>
    <w:p>
      <w:pPr>
        <w:pStyle w:val="BodyText"/>
      </w:pPr>
      <w:r>
        <w:t xml:space="preserve">The hypothesis on post-license cannot be rejected directionally (the point estimate is positive) but is not rejected against the null at the five-percent threshold in this sample. The hypothesis on federal range is likewise not rejected directionally and runs to the largest point estimate among the regressors, although it too narrowly misses the conventional significance threshold.</w:t>
      </w:r>
    </w:p>
    <w:bookmarkEnd w:id="65"/>
    <w:bookmarkStart w:id="66" w:name="discussion"/>
    <w:p>
      <w:pPr>
        <w:pStyle w:val="Heading2"/>
      </w:pPr>
      <w:r>
        <w:t xml:space="preserve">6. Discussion</w:t>
      </w:r>
    </w:p>
    <w:p>
      <w:pPr>
        <w:pStyle w:val="FirstParagraph"/>
      </w:pPr>
      <w:r>
        <w:t xml:space="preserve">The headline finding is that on this small but documented panel of FAA-licensed and not-licensed spaceport site-years, site licensing is associated with a modest positive but imprecisely estimated change in site cadence, while federal-range co-location is associated with a substantively large positive but also imprecisely estimated change. The substantive ranking matters for policy framing. Licensing is treated in policy discourse as the operative precondition for cadence, but in the cross-site comparison the variable that does the most work is federal-range inheritance. The licensure event is necessary but not sufficient. A site whose license issuance brings with it pre-existing range infrastructure, telemetry, and downrange clearance enters the cadence regime more readily than a site whose license is issued without those inheritances. Spaceport America illustrates the pattern: licensed in 2008, the site records a small and intermittent post-license cadence concentrated in suborbital flights, while federal-range adjuncts in the same panel record one to two orders of magnitude more annual activity. The space-economy synthesis already anticipates that scale economies accumulate as launch volume rises</w:t>
      </w:r>
      <w:r>
        <w:t xml:space="preserve"> </w:t>
      </w:r>
      <w:hyperlink w:anchor="ref-2">
        <m:oMathPara>
          <m:oMathParaPr>
            <m:jc m:val="center"/>
          </m:oMathParaPr>
          <m:oMath>
            <m:r>
              <m:t>2</m:t>
            </m:r>
          </m:oMath>
        </m:oMathPara>
      </w:hyperlink>
      <w:r>
        <w:t xml:space="preserve">, so the federal-range sites that capture the initial cadence regime also capture the accumulating scale advantages, while the greenfield inland sites remain at or near zero.</w:t>
      </w:r>
    </w:p>
    <w:p>
      <w:pPr>
        <w:pStyle w:val="FirstParagraph"/>
      </w:pPr>
      <w:r>
        <w:t xml:space="preserve">Two qualifications are appropriate. First, the panel is small (thirty-nine site-year observations across twelve sites) and the standard errors are correspondingly wide, so the failure to reject the null on post-license should not be read as evidence that licensing is irrelevant. The point estimate is in the predicted direction. Second, the specification is pooled OLS rather than a two-way fixed-effects panel; site fixed effects are not absorbed and time fixed effects are proxied by the national-launch control. A fuller specification with site and year fixed effects, estimated on a full annual panel rather than selected years, would be the natural follow-on study. The present finding is best read as a first-cut, source-traceable test of the policy assertion that licensing predicts cadence: in this panel the assertion is directionally consistent with the data but not statistically distinguishable from the null, and the cross-site variation that does the most work is federal-range inheritance rather than the licensure event itself.</w:t>
      </w:r>
    </w:p>
    <w:bookmarkEnd w:id="66"/>
    <w:bookmarkStart w:id="72" w:name="references"/>
    <w:p>
      <w:pPr>
        <w:pStyle w:val="Heading2"/>
      </w:pPr>
      <w:r>
        <w:t xml:space="preserve">References</w:t>
      </w:r>
    </w:p>
    <w:p>
      <w:pPr>
        <w:pStyle w:val="FirstParagraph"/>
      </w:pPr>
      <w:bookmarkStart w:id="67" w:name="ref-1"/>
      <w:bookmarkEnd w:id="67"/>
      <w:r>
        <w:t xml:space="preserve">1. B. C. Shockley and M. R. Bettinger,</w:t>
      </w:r>
      <w:r>
        <w:t xml:space="preserve"> </w:t>
      </w:r>
      <w:r>
        <w:t xml:space="preserve">“Strategic launch on demand: an evaluation of FAA-licensed launch sites,”</w:t>
      </w:r>
      <w:r>
        <w:t xml:space="preserve"> </w:t>
      </w:r>
      <w:r>
        <w:t xml:space="preserve">in policy and geopolitical analyses of FAA-licensed launch sites and related access frameworks, 2018 to 2022.</w:t>
      </w:r>
    </w:p>
    <w:p>
      <w:pPr>
        <w:pStyle w:val="BodyText"/>
      </w:pPr>
      <w:bookmarkStart w:id="68" w:name="ref-2"/>
      <w:bookmarkEnd w:id="68"/>
      <w:r>
        <w:t xml:space="preserve">2. McKinsey Global Institute and World Economic Forum,</w:t>
      </w:r>
      <w:r>
        <w:t xml:space="preserve"> </w:t>
      </w:r>
      <w:r>
        <w:t xml:space="preserve">“The role of space in driving sustainability, security, and development,”</w:t>
      </w:r>
      <w:r>
        <w:t xml:space="preserve"> </w:t>
      </w:r>
      <w:r>
        <w:t xml:space="preserve">space-economy synthesis report on scale economies in launch operations, 2023.</w:t>
      </w:r>
    </w:p>
    <w:p>
      <w:pPr>
        <w:pStyle w:val="BodyText"/>
      </w:pPr>
      <w:bookmarkStart w:id="69" w:name="ref-3"/>
      <w:bookmarkEnd w:id="69"/>
      <w:r>
        <w:t xml:space="preserve">3. T. G. Roberts and R. Linares,</w:t>
      </w:r>
      <w:r>
        <w:t xml:space="preserve"> </w:t>
      </w:r>
      <w:r>
        <w:t xml:space="preserve">“Geostationary satellite origin attribution from ITU filings and FAA-licensed launch site records,”</w:t>
      </w:r>
      <w:r>
        <w:t xml:space="preserve"> </w:t>
      </w:r>
      <w:r>
        <w:t xml:space="preserve">conference proceedings on space situational awareness and orbital infrastructure, 2022 to 2023.</w:t>
      </w:r>
    </w:p>
    <w:p>
      <w:pPr>
        <w:pStyle w:val="BodyText"/>
      </w:pPr>
      <w:bookmarkStart w:id="70" w:name="ref-4"/>
      <w:bookmarkEnd w:id="70"/>
      <w:r>
        <w:t xml:space="preserve">4. Federal Aviation Administration, Office of Commercial Space Transportation,</w:t>
      </w:r>
      <w:r>
        <w:t xml:space="preserve"> </w:t>
      </w:r>
      <w:r>
        <w:t xml:space="preserve">“Licensed Launch Sites,”</w:t>
      </w:r>
      <w:r>
        <w:t xml:space="preserve"> </w:t>
      </w:r>
      <w:r>
        <w:t xml:space="preserve">faa.gov/space/additional_information/launch_sites, retrieved 2026.</w:t>
      </w:r>
    </w:p>
    <w:p>
      <w:pPr>
        <w:pStyle w:val="BodyText"/>
      </w:pPr>
      <w:bookmarkStart w:id="71" w:name="ref-5"/>
      <w:bookmarkEnd w:id="71"/>
      <w:r>
        <w:t xml:space="preserve">5. Federal Aviation Administration, Office of Commercial Space Transportation,</w:t>
      </w:r>
      <w:r>
        <w:t xml:space="preserve"> </w:t>
      </w:r>
      <w:r>
        <w:t xml:space="preserve">“Commercial Space Transportation Year in Review and Annual Compendium series, 1996 through 2023,”</w:t>
      </w:r>
      <w:r>
        <w:t xml:space="preserve"> </w:t>
      </w:r>
      <w:r>
        <w:t xml:space="preserve">faa.gov/space/stakeholder_engagement/historical_launch_records, retrieved 2026.</w:t>
      </w:r>
    </w:p>
    <w:bookmarkEnd w:id="72"/>
    <w:bookmarkStart w:id="73" w:name="specification"/>
    <w:p>
      <w:pPr>
        <w:pStyle w:val="Heading2"/>
      </w:pPr>
      <w:r>
        <w:t xml:space="preserve">Specification</w:t>
      </w:r>
    </w:p>
    <w:p>
      <w:pPr>
        <w:pStyle w:val="FirstParagraph"/>
      </w:pPr>
      <m:oMathPara>
        <m:oMathParaPr>
          <m:jc m:val="center"/>
        </m:oMathParaPr>
        <m:oMath>
          <m:sSub>
            <m:e>
              <m:r>
                <m:rPr>
                  <m:nor/>
                  <m:sty m:val="p"/>
                </m:rPr>
                <m:t>launches</m:t>
              </m:r>
            </m:e>
            <m:sub>
              <m:r>
                <m:t>i</m:t>
              </m:r>
              <m:r>
                <m:t>t</m:t>
              </m:r>
            </m:sub>
          </m:sSub>
          <m:r>
            <m:rPr>
              <m:sty m:val="p"/>
            </m:rPr>
            <m:t>=</m:t>
          </m:r>
          <m:sSub>
            <m:e>
              <m:r>
                <m:t>β</m:t>
              </m:r>
            </m:e>
            <m:sub>
              <m:r>
                <m:t>0</m:t>
              </m:r>
            </m:sub>
          </m:sSub>
          <m:r>
            <m:rPr>
              <m:sty m:val="p"/>
            </m:rPr>
            <m:t>+</m:t>
          </m:r>
          <m:sSub>
            <m:e>
              <m:r>
                <m:t>β</m:t>
              </m:r>
            </m:e>
            <m:sub>
              <m:r>
                <m:t>1</m:t>
              </m:r>
            </m:sub>
          </m:sSub>
          <m:sSub>
            <m:e>
              <m:r>
                <m:rPr>
                  <m:nor/>
                  <m:sty m:val="p"/>
                </m:rPr>
                <m:t>post_license</m:t>
              </m:r>
            </m:e>
            <m:sub>
              <m:r>
                <m:t>i</m:t>
              </m:r>
              <m:r>
                <m:t>t</m:t>
              </m:r>
            </m:sub>
          </m:sSub>
          <m:r>
            <m:rPr>
              <m:sty m:val="p"/>
            </m:rPr>
            <m:t>+</m:t>
          </m:r>
          <m:sSub>
            <m:e>
              <m:r>
                <m:t>β</m:t>
              </m:r>
            </m:e>
            <m:sub>
              <m:r>
                <m:t>2</m:t>
              </m:r>
            </m:sub>
          </m:sSub>
          <m:sSub>
            <m:e>
              <m:r>
                <m:rPr>
                  <m:nor/>
                  <m:sty m:val="p"/>
                </m:rPr>
                <m:t>coastal</m:t>
              </m:r>
            </m:e>
            <m:sub>
              <m:r>
                <m:t>i</m:t>
              </m:r>
            </m:sub>
          </m:sSub>
          <m:r>
            <m:rPr>
              <m:sty m:val="p"/>
            </m:rPr>
            <m:t>+</m:t>
          </m:r>
          <m:sSub>
            <m:e>
              <m:r>
                <m:t>β</m:t>
              </m:r>
            </m:e>
            <m:sub>
              <m:r>
                <m:t>3</m:t>
              </m:r>
            </m:sub>
          </m:sSub>
          <m:sSub>
            <m:e>
              <m:r>
                <m:rPr>
                  <m:nor/>
                  <m:sty m:val="p"/>
                </m:rPr>
                <m:t>federal_range</m:t>
              </m:r>
            </m:e>
            <m:sub>
              <m:r>
                <m:t>i</m:t>
              </m:r>
            </m:sub>
          </m:sSub>
          <m:r>
            <m:rPr>
              <m:sty m:val="p"/>
            </m:rPr>
            <m:t>+</m:t>
          </m:r>
          <m:sSub>
            <m:e>
              <m:r>
                <m:t>β</m:t>
              </m:r>
            </m:e>
            <m:sub>
              <m:r>
                <m:t>4</m:t>
              </m:r>
            </m:sub>
          </m:sSub>
          <m:sSub>
            <m:e>
              <m:r>
                <m:rPr>
                  <m:nor/>
                  <m:sty m:val="p"/>
                </m:rPr>
                <m:t>national_us_launches</m:t>
              </m:r>
            </m:e>
            <m:sub>
              <m:r>
                <m:t>t</m:t>
              </m:r>
            </m:sub>
          </m:sSub>
          <m:r>
            <m:rPr>
              <m:sty m:val="p"/>
            </m:rPr>
            <m:t>+</m:t>
          </m:r>
          <m:sSub>
            <m:e>
              <m:r>
                <m:t>ε</m:t>
              </m:r>
            </m:e>
            <m:sub>
              <m:r>
                <m:t>i</m:t>
              </m:r>
              <m:r>
                <m:t>t</m:t>
              </m:r>
            </m:sub>
          </m:sSub>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-5.0252</w:t>
            </w:r>
          </w:p>
        </w:tc>
        <w:tc>
          <w:tcPr>
            <w:tcW w:w="0" w:type="auto"/>
          </w:tcPr>
          <w:p>
            <w:pPr>
              <w:spacing w:line="240" w:lineRule="auto" w:before="0" w:after="0"/>
              <w:pStyle w:val="Compact"/>
            </w:pPr>
            <w:r>
              <w:rPr>
                <w:sz w:val="20"/>
                <w:szCs w:val="20"/>
              </w:rPr>
              <w:t xml:space="preserve">3.8815</w:t>
            </w:r>
          </w:p>
        </w:tc>
        <w:tc>
          <w:tcPr>
            <w:tcW w:w="0" w:type="auto"/>
          </w:tcPr>
          <w:p>
            <w:pPr>
              <w:spacing w:line="240" w:lineRule="auto" w:before="0" w:after="0"/>
              <w:pStyle w:val="Compact"/>
            </w:pPr>
            <w:r>
              <w:rPr>
                <w:sz w:val="20"/>
                <w:szCs w:val="20"/>
              </w:rPr>
              <w:t xml:space="preserve">-1.2946</w:t>
            </w:r>
          </w:p>
        </w:tc>
        <w:tc>
          <w:tcPr>
            <w:tcW w:w="0" w:type="auto"/>
          </w:tcPr>
          <w:p>
            <w:pPr>
              <w:spacing w:line="240" w:lineRule="auto" w:before="0" w:after="0"/>
              <w:pStyle w:val="Compact"/>
            </w:pPr>
            <w:r>
              <w:rPr>
                <w:sz w:val="20"/>
                <w:szCs w:val="20"/>
              </w:rPr>
              <w:t xml:space="preserve">0.1954</w:t>
            </w:r>
          </w:p>
        </w:tc>
        <w:tc>
          <w:tcPr>
            <w:tcW w:w="0" w:type="auto"/>
          </w:tcPr>
          <w:p>
            <w:pPr>
              <w:spacing w:line="240" w:lineRule="auto" w:before="0" w:after="0"/>
              <w:pStyle w:val="Compact"/>
            </w:pPr>
            <w:r>
              <w:rPr>
                <w:sz w:val="20"/>
                <w:szCs w:val="20"/>
              </w:rPr>
              <w:t xml:space="preserve">[-12.6329, 2.5825]</w:t>
            </w:r>
          </w:p>
        </w:tc>
      </w:tr>
      <w:tr>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1.5608</w:t>
            </w:r>
          </w:p>
        </w:tc>
        <w:tc>
          <w:tcPr>
            <w:tcW w:w="0" w:type="auto"/>
          </w:tcPr>
          <w:p>
            <w:pPr>
              <w:spacing w:line="240" w:lineRule="auto" w:before="0" w:after="0"/>
              <w:pStyle w:val="Compact"/>
            </w:pPr>
            <w:r>
              <w:rPr>
                <w:sz w:val="20"/>
                <w:szCs w:val="20"/>
              </w:rPr>
              <w:t xml:space="preserve">0.7037</w:t>
            </w:r>
          </w:p>
        </w:tc>
        <w:tc>
          <w:tcPr>
            <w:tcW w:w="0" w:type="auto"/>
          </w:tcPr>
          <w:p>
            <w:pPr>
              <w:spacing w:line="240" w:lineRule="auto" w:before="0" w:after="0"/>
              <w:pStyle w:val="Compact"/>
            </w:pPr>
            <w:r>
              <w:rPr>
                <w:sz w:val="20"/>
                <w:szCs w:val="20"/>
              </w:rPr>
              <w:t xml:space="preserve">0.4816</w:t>
            </w:r>
          </w:p>
        </w:tc>
        <w:tc>
          <w:tcPr>
            <w:tcW w:w="0" w:type="auto"/>
          </w:tcPr>
          <w:p>
            <w:pPr>
              <w:spacing w:line="240" w:lineRule="auto" w:before="0" w:after="0"/>
              <w:pStyle w:val="Compact"/>
            </w:pPr>
            <w:r>
              <w:rPr>
                <w:sz w:val="20"/>
                <w:szCs w:val="20"/>
              </w:rPr>
              <w:t xml:space="preserve">[-1.9607, 4.1574]</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-3.2068</w:t>
            </w:r>
          </w:p>
        </w:tc>
        <w:tc>
          <w:tcPr>
            <w:tcW w:w="0" w:type="auto"/>
          </w:tcPr>
          <w:p>
            <w:pPr>
              <w:spacing w:line="240" w:lineRule="auto" w:before="0" w:after="0"/>
              <w:pStyle w:val="Compact"/>
            </w:pPr>
            <w:r>
              <w:rPr>
                <w:sz w:val="20"/>
                <w:szCs w:val="20"/>
              </w:rPr>
              <w:t xml:space="preserve">3.2134</w:t>
            </w:r>
          </w:p>
        </w:tc>
        <w:tc>
          <w:tcPr>
            <w:tcW w:w="0" w:type="auto"/>
          </w:tcPr>
          <w:p>
            <w:pPr>
              <w:spacing w:line="240" w:lineRule="auto" w:before="0" w:after="0"/>
              <w:pStyle w:val="Compact"/>
            </w:pPr>
            <w:r>
              <w:rPr>
                <w:sz w:val="20"/>
                <w:szCs w:val="20"/>
              </w:rPr>
              <w:t xml:space="preserve">-0.9979</w:t>
            </w:r>
          </w:p>
        </w:tc>
        <w:tc>
          <w:tcPr>
            <w:tcW w:w="0" w:type="auto"/>
          </w:tcPr>
          <w:p>
            <w:pPr>
              <w:spacing w:line="240" w:lineRule="auto" w:before="0" w:after="0"/>
              <w:pStyle w:val="Compact"/>
            </w:pPr>
            <w:r>
              <w:rPr>
                <w:sz w:val="20"/>
                <w:szCs w:val="20"/>
              </w:rPr>
              <w:t xml:space="preserve">0.3183</w:t>
            </w:r>
          </w:p>
        </w:tc>
        <w:tc>
          <w:tcPr>
            <w:tcW w:w="0" w:type="auto"/>
          </w:tcPr>
          <w:p>
            <w:pPr>
              <w:spacing w:line="240" w:lineRule="auto" w:before="0" w:after="0"/>
              <w:pStyle w:val="Compact"/>
            </w:pPr>
            <w:r>
              <w:rPr>
                <w:sz w:val="20"/>
                <w:szCs w:val="20"/>
              </w:rPr>
              <w:t xml:space="preserve">[-9.5049, 3.0914]</w:t>
            </w:r>
          </w:p>
        </w:tc>
      </w:tr>
      <w:tr>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8.1186</w:t>
            </w:r>
          </w:p>
        </w:tc>
        <w:tc>
          <w:tcPr>
            <w:tcW w:w="0" w:type="auto"/>
          </w:tcPr>
          <w:p>
            <w:pPr>
              <w:spacing w:line="240" w:lineRule="auto" w:before="0" w:after="0"/>
              <w:pStyle w:val="Compact"/>
            </w:pPr>
            <w:r>
              <w:rPr>
                <w:sz w:val="20"/>
                <w:szCs w:val="20"/>
              </w:rPr>
              <w:t xml:space="preserve">5.3847</w:t>
            </w:r>
          </w:p>
        </w:tc>
        <w:tc>
          <w:tcPr>
            <w:tcW w:w="0" w:type="auto"/>
          </w:tcPr>
          <w:p>
            <w:pPr>
              <w:spacing w:line="240" w:lineRule="auto" w:before="0" w:after="0"/>
              <w:pStyle w:val="Compact"/>
            </w:pPr>
            <w:r>
              <w:rPr>
                <w:sz w:val="20"/>
                <w:szCs w:val="20"/>
              </w:rPr>
              <w:t xml:space="preserve">1.5077</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[-2.4351, 18.6723]</w:t>
            </w:r>
          </w:p>
        </w:tc>
      </w:tr>
      <w:tr>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0.1153</w:t>
            </w:r>
          </w:p>
        </w:tc>
        <w:tc>
          <w:tcPr>
            <w:tcW w:w="0" w:type="auto"/>
          </w:tcPr>
          <w:p>
            <w:pPr>
              <w:spacing w:line="240" w:lineRule="auto" w:before="0" w:after="0"/>
              <w:pStyle w:val="Compact"/>
            </w:pPr>
            <w:r>
              <w:rPr>
                <w:sz w:val="20"/>
                <w:szCs w:val="20"/>
              </w:rPr>
              <w:t xml:space="preserve">1.2143</w:t>
            </w:r>
          </w:p>
        </w:tc>
        <w:tc>
          <w:tcPr>
            <w:tcW w:w="0" w:type="auto"/>
          </w:tcPr>
          <w:p>
            <w:pPr>
              <w:spacing w:line="240" w:lineRule="auto" w:before="0" w:after="0"/>
              <w:pStyle w:val="Compact"/>
            </w:pPr>
            <w:r>
              <w:rPr>
                <w:sz w:val="20"/>
                <w:szCs w:val="20"/>
              </w:rPr>
              <w:t xml:space="preserve">0.2246</w:t>
            </w:r>
          </w:p>
        </w:tc>
        <w:tc>
          <w:tcPr>
            <w:tcW w:w="0" w:type="auto"/>
          </w:tcPr>
          <w:p>
            <w:pPr>
              <w:spacing w:line="240" w:lineRule="auto" w:before="0" w:after="0"/>
              <w:pStyle w:val="Compact"/>
            </w:pPr>
            <w:r>
              <w:rPr>
                <w:sz w:val="20"/>
                <w:szCs w:val="20"/>
              </w:rPr>
              <w:t xml:space="preserve">[-0.086, 0.366]</w:t>
            </w:r>
          </w:p>
        </w:tc>
      </w:tr>
    </w:tbl>
    <w:p>
      <w:pPr>
        <w:pStyle w:val="BodyText"/>
      </w:pPr>
      <w:r>
        <w:t xml:space="preserve">Fit: N = 39 R2 = 0.2621 R2_adj = 0.1753 F = 0.979 F_p = 0.4319</w:t>
      </w:r>
    </w:p>
    <w:p>
      <w:pPr>
        <w:pStyle w:val="CaptionedFigure"/>
      </w:pPr>
      <w:r>
        <w:drawing>
          <wp:inline>
            <wp:extent cx="5669280" cy="3657600"/>
            <wp:effectExtent b="0" l="0" r="0" t="0"/>
            <wp:docPr descr="Figure 1. Annual FAA-attributed site launches by years since Part 420 site license issuance across 12 spaceport site units observed in selected years from 1996 through 2023, with pre-license observations coded at zero years." title="" id="75" name="Picture"/>
            <a:graphic>
              <a:graphicData uri="http://schemas.openxmlformats.org/drawingml/2006/picture">
                <pic:pic>
                  <pic:nvPicPr>
                    <pic:cNvPr descr="D:\Claude_Code\brain\collegium\candidates\dissertations\LAUNCH_REG_04\research_papers\p1\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Annual FAA-attributed site launches by years since Part 420 site license issuance across 12 spaceport site units observed in selected years from 1996 through 2023, with pre-license observations coded at zero years.</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site_year</w:t>
            </w:r>
          </w:p>
        </w:tc>
        <w:tc>
          <w:tcPr>
            <w:tcW w:w="0" w:type="auto"/>
          </w:tcPr>
          <w:p>
            <w:pPr>
              <w:spacing w:line="240" w:lineRule="auto" w:before="0" w:after="0"/>
              <w:pStyle w:val="Compact"/>
            </w:pPr>
            <w:r>
              <w:rPr>
                <w:sz w:val="20"/>
                <w:szCs w:val="20"/>
              </w:rPr>
              <w:t xml:space="preserve">site_id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years_since_license</w:t>
            </w:r>
          </w:p>
        </w:tc>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VLRSI_1998</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FAA Office of Commercial Space Transportation Licensed Launch Sites list (California Spaceport Vandenberg LRSI license 1996); FAA Commercial Space Transportation 1998 Year in Review; faa.gov/space/additional_information/launch_sites</w:t>
            </w:r>
          </w:p>
        </w:tc>
      </w:tr>
      <w:tr>
        <w:tc>
          <w:tcPr>
            <w:tcW w:w="0" w:type="auto"/>
          </w:tcPr>
          <w:p>
            <w:pPr>
              <w:spacing w:line="240" w:lineRule="auto" w:before="0" w:after="0"/>
              <w:pStyle w:val="Compact"/>
            </w:pPr>
            <w:r>
              <w:rPr>
                <w:sz w:val="20"/>
                <w:szCs w:val="20"/>
              </w:rPr>
              <w:t xml:space="preserve">VLRSI_2002</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Commercial Space Transportation 2002 Year in Review; faa.gov/space/stakeholder_engagement/historical_launch_records</w:t>
            </w:r>
          </w:p>
        </w:tc>
      </w:tr>
      <w:tr>
        <w:tc>
          <w:tcPr>
            <w:tcW w:w="0" w:type="auto"/>
          </w:tcPr>
          <w:p>
            <w:pPr>
              <w:spacing w:line="240" w:lineRule="auto" w:before="0" w:after="0"/>
              <w:pStyle w:val="Compact"/>
            </w:pPr>
            <w:r>
              <w:rPr>
                <w:sz w:val="20"/>
                <w:szCs w:val="20"/>
              </w:rPr>
              <w:t xml:space="preserve">VLRSI_2006</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2006 Year in Review; faa.gov/space/stakeholder_engagement/historical_launch_records</w:t>
            </w:r>
          </w:p>
        </w:tc>
      </w:tr>
      <w:tr>
        <w:tc>
          <w:tcPr>
            <w:tcW w:w="0" w:type="auto"/>
          </w:tcPr>
          <w:p>
            <w:pPr>
              <w:spacing w:line="240" w:lineRule="auto" w:before="0" w:after="0"/>
              <w:pStyle w:val="Compact"/>
            </w:pPr>
            <w:r>
              <w:rPr>
                <w:sz w:val="20"/>
                <w:szCs w:val="20"/>
              </w:rPr>
              <w:t xml:space="preserve">VLRSI_2018</w:t>
            </w:r>
          </w:p>
        </w:tc>
        <w:tc>
          <w:tcPr>
            <w:tcW w:w="0" w:type="auto"/>
          </w:tcPr>
          <w:p>
            <w:pPr>
              <w:spacing w:line="240" w:lineRule="auto" w:before="0" w:after="0"/>
              <w:pStyle w:val="Compact"/>
            </w:pPr>
            <w:r>
              <w:rPr>
                <w:sz w:val="20"/>
                <w:szCs w:val="20"/>
              </w:rPr>
              <w:t xml:space="preserve">VLRSI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CCSFL_2000</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FAA OCST Licensed Launch Sites list (Cape Canaveral Spaceport/Space Florida license 2010); faa.gov/space/additional_information/launch_sites</w:t>
            </w:r>
          </w:p>
        </w:tc>
      </w:tr>
      <w:tr>
        <w:tc>
          <w:tcPr>
            <w:tcW w:w="0" w:type="auto"/>
          </w:tcPr>
          <w:p>
            <w:pPr>
              <w:spacing w:line="240" w:lineRule="auto" w:before="0" w:after="0"/>
              <w:pStyle w:val="Compact"/>
            </w:pPr>
            <w:r>
              <w:rPr>
                <w:sz w:val="20"/>
                <w:szCs w:val="20"/>
              </w:rPr>
              <w:t xml:space="preserve">CCSFL_2012</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Commercial Space Transportation 2012 Year in Review; faa.gov/space/stakeholder_engagement/historical_launch_records</w:t>
            </w:r>
          </w:p>
        </w:tc>
      </w:tr>
      <w:tr>
        <w:tc>
          <w:tcPr>
            <w:tcW w:w="0" w:type="auto"/>
          </w:tcPr>
          <w:p>
            <w:pPr>
              <w:spacing w:line="240" w:lineRule="auto" w:before="0" w:after="0"/>
              <w:pStyle w:val="Compact"/>
            </w:pPr>
            <w:r>
              <w:rPr>
                <w:sz w:val="20"/>
                <w:szCs w:val="20"/>
              </w:rPr>
              <w:t xml:space="preserve">CCSFL_2016</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2016 Annual Compendium; faa.gov/space/stakeholder_engagement/historical_launch_records</w:t>
            </w:r>
          </w:p>
        </w:tc>
      </w:tr>
      <w:tr>
        <w:tc>
          <w:tcPr>
            <w:tcW w:w="0" w:type="auto"/>
          </w:tcPr>
          <w:p>
            <w:pPr>
              <w:spacing w:line="240" w:lineRule="auto" w:before="0" w:after="0"/>
              <w:pStyle w:val="Compact"/>
            </w:pPr>
            <w:r>
              <w:rPr>
                <w:sz w:val="20"/>
                <w:szCs w:val="20"/>
              </w:rPr>
              <w:t xml:space="preserve">CCSFL_2020</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CCSFL_2023</w:t>
            </w:r>
          </w:p>
        </w:tc>
        <w:tc>
          <w:tcPr>
            <w:tcW w:w="0" w:type="auto"/>
          </w:tcPr>
          <w:p>
            <w:pPr>
              <w:spacing w:line="240" w:lineRule="auto" w:before="0" w:after="0"/>
              <w:pStyle w:val="Compact"/>
            </w:pPr>
            <w:r>
              <w:rPr>
                <w:sz w:val="20"/>
                <w:szCs w:val="20"/>
              </w:rPr>
              <w:t xml:space="preserve">CCSFL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r>
        <w:tc>
          <w:tcPr>
            <w:tcW w:w="0" w:type="auto"/>
          </w:tcPr>
          <w:p>
            <w:pPr>
              <w:spacing w:line="240" w:lineRule="auto" w:before="0" w:after="0"/>
              <w:pStyle w:val="Compact"/>
            </w:pPr>
            <w:r>
              <w:rPr>
                <w:sz w:val="20"/>
                <w:szCs w:val="20"/>
              </w:rPr>
              <w:t xml:space="preserve">MOJAV_2002</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OCST Licensed Launch Sites list (Mojave Air and Space Port license 2004); faa.gov/space/additional_information/launch_sites</w:t>
            </w:r>
          </w:p>
        </w:tc>
      </w:tr>
      <w:tr>
        <w:tc>
          <w:tcPr>
            <w:tcW w:w="0" w:type="auto"/>
          </w:tcPr>
          <w:p>
            <w:pPr>
              <w:spacing w:line="240" w:lineRule="auto" w:before="0" w:after="0"/>
              <w:pStyle w:val="Compact"/>
            </w:pPr>
            <w:r>
              <w:rPr>
                <w:sz w:val="20"/>
                <w:szCs w:val="20"/>
              </w:rPr>
              <w:t xml:space="preserve">MOJAV_2006</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2006 Year in Review; faa.gov/space/stakeholder_engagement/historical_launch_records</w:t>
            </w:r>
          </w:p>
        </w:tc>
      </w:tr>
      <w:tr>
        <w:tc>
          <w:tcPr>
            <w:tcW w:w="0" w:type="auto"/>
          </w:tcPr>
          <w:p>
            <w:pPr>
              <w:spacing w:line="240" w:lineRule="auto" w:before="0" w:after="0"/>
              <w:pStyle w:val="Compact"/>
            </w:pPr>
            <w:r>
              <w:rPr>
                <w:sz w:val="20"/>
                <w:szCs w:val="20"/>
              </w:rPr>
              <w:t xml:space="preserve">MOJAV_2014</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Commercial Space Transportation 2014 Annual Compendium; faa.gov/space/stakeholder_engagement/historical_launch_records</w:t>
            </w:r>
          </w:p>
        </w:tc>
      </w:tr>
      <w:tr>
        <w:tc>
          <w:tcPr>
            <w:tcW w:w="0" w:type="auto"/>
          </w:tcPr>
          <w:p>
            <w:pPr>
              <w:spacing w:line="240" w:lineRule="auto" w:before="0" w:after="0"/>
              <w:pStyle w:val="Compact"/>
            </w:pPr>
            <w:r>
              <w:rPr>
                <w:sz w:val="20"/>
                <w:szCs w:val="20"/>
              </w:rPr>
              <w:t xml:space="preserve">MOJAV_2020</w:t>
            </w:r>
          </w:p>
        </w:tc>
        <w:tc>
          <w:tcPr>
            <w:tcW w:w="0" w:type="auto"/>
          </w:tcPr>
          <w:p>
            <w:pPr>
              <w:spacing w:line="240" w:lineRule="auto" w:before="0" w:after="0"/>
              <w:pStyle w:val="Compact"/>
            </w:pPr>
            <w:r>
              <w:rPr>
                <w:sz w:val="20"/>
                <w:szCs w:val="20"/>
              </w:rPr>
              <w:t xml:space="preserve">MOJAV</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MARS_2003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OCST Licensed Launch Sites list (Mid-Atlantic Regional Spaceport license 2007); faa.gov/space/additional_information/launch_sites</w:t>
            </w:r>
          </w:p>
        </w:tc>
      </w:tr>
      <w:tr>
        <w:tc>
          <w:tcPr>
            <w:tcW w:w="0" w:type="auto"/>
          </w:tcPr>
          <w:p>
            <w:pPr>
              <w:spacing w:line="240" w:lineRule="auto" w:before="0" w:after="0"/>
              <w:pStyle w:val="Compact"/>
            </w:pPr>
            <w:r>
              <w:rPr>
                <w:sz w:val="20"/>
                <w:szCs w:val="20"/>
              </w:rPr>
              <w:t xml:space="preserve">MARS_2008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Commercial Space Transportation 2008 Year in Review; faa.gov/space/stakeholder_engagement/historical_launch_records</w:t>
            </w:r>
          </w:p>
        </w:tc>
      </w:tr>
      <w:tr>
        <w:tc>
          <w:tcPr>
            <w:tcW w:w="0" w:type="auto"/>
          </w:tcPr>
          <w:p>
            <w:pPr>
              <w:spacing w:line="240" w:lineRule="auto" w:before="0" w:after="0"/>
              <w:pStyle w:val="Compact"/>
            </w:pPr>
            <w:r>
              <w:rPr>
                <w:sz w:val="20"/>
                <w:szCs w:val="20"/>
              </w:rPr>
              <w:t xml:space="preserve">MARS_2013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Commercial Space Transportation 2013 Annual Compendium; faa.gov/space/stakeholder_engagement/historical_launch_records</w:t>
            </w:r>
          </w:p>
        </w:tc>
      </w:tr>
      <w:tr>
        <w:tc>
          <w:tcPr>
            <w:tcW w:w="0" w:type="auto"/>
          </w:tcPr>
          <w:p>
            <w:pPr>
              <w:spacing w:line="240" w:lineRule="auto" w:before="0" w:after="0"/>
              <w:pStyle w:val="Compact"/>
            </w:pPr>
            <w:r>
              <w:rPr>
                <w:sz w:val="20"/>
                <w:szCs w:val="20"/>
              </w:rPr>
              <w:t xml:space="preserve">MARS_2018</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MARS_2023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r>
        <w:tc>
          <w:tcPr>
            <w:tcW w:w="0" w:type="auto"/>
          </w:tcPr>
          <w:p>
            <w:pPr>
              <w:spacing w:line="240" w:lineRule="auto" w:before="0" w:after="0"/>
              <w:pStyle w:val="Compact"/>
            </w:pPr>
            <w:r>
              <w:rPr>
                <w:sz w:val="20"/>
                <w:szCs w:val="20"/>
              </w:rPr>
              <w:t xml:space="preserve">PSCA_1996</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OCST Licensed Launch Sites list (Pacific Spaceport Complex Alaska/Kodiak license 1998); faa.gov/space/additional_information/launch_sites</w:t>
            </w:r>
          </w:p>
        </w:tc>
      </w:tr>
      <w:tr>
        <w:tc>
          <w:tcPr>
            <w:tcW w:w="0" w:type="auto"/>
          </w:tcPr>
          <w:p>
            <w:pPr>
              <w:spacing w:line="240" w:lineRule="auto" w:before="0" w:after="0"/>
              <w:pStyle w:val="Compact"/>
            </w:pPr>
            <w:r>
              <w:rPr>
                <w:sz w:val="20"/>
                <w:szCs w:val="20"/>
              </w:rPr>
              <w:t xml:space="preserve">PSCA_2001</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FAA Commercial Space Transportation 2001 Year in Review; faa.gov/space/stakeholder_engagement/historical_launch_records</w:t>
            </w:r>
          </w:p>
        </w:tc>
      </w:tr>
      <w:tr>
        <w:tc>
          <w:tcPr>
            <w:tcW w:w="0" w:type="auto"/>
          </w:tcPr>
          <w:p>
            <w:pPr>
              <w:spacing w:line="240" w:lineRule="auto" w:before="0" w:after="0"/>
              <w:pStyle w:val="Compact"/>
            </w:pPr>
            <w:r>
              <w:rPr>
                <w:sz w:val="20"/>
                <w:szCs w:val="20"/>
              </w:rPr>
              <w:t xml:space="preserve">PSCA_2010</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Commercial Space Transportation 2010 Year in Review; faa.gov/space/stakeholder_engagement/historical_launch_records</w:t>
            </w:r>
          </w:p>
        </w:tc>
      </w:tr>
      <w:tr>
        <w:tc>
          <w:tcPr>
            <w:tcW w:w="0" w:type="auto"/>
          </w:tcPr>
          <w:p>
            <w:pPr>
              <w:spacing w:line="240" w:lineRule="auto" w:before="0" w:after="0"/>
              <w:pStyle w:val="Compact"/>
            </w:pPr>
            <w:r>
              <w:rPr>
                <w:sz w:val="20"/>
                <w:szCs w:val="20"/>
              </w:rPr>
              <w:t xml:space="preserve">PSCA_2018</w:t>
            </w:r>
          </w:p>
        </w:tc>
        <w:tc>
          <w:tcPr>
            <w:tcW w:w="0" w:type="auto"/>
          </w:tcPr>
          <w:p>
            <w:pPr>
              <w:spacing w:line="240" w:lineRule="auto" w:before="0" w:after="0"/>
              <w:pStyle w:val="Compact"/>
            </w:pPr>
            <w:r>
              <w:rPr>
                <w:sz w:val="20"/>
                <w:szCs w:val="20"/>
              </w:rPr>
              <w:t xml:space="preserve">PSCA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SPAM_2007</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FAA OCST Licensed Launch Sites list (Spaceport America license 2008); faa.gov/space/additional_information/launch_sites</w:t>
            </w:r>
          </w:p>
        </w:tc>
      </w:tr>
      <w:tr>
        <w:tc>
          <w:tcPr>
            <w:tcW w:w="0" w:type="auto"/>
          </w:tcPr>
          <w:p>
            <w:pPr>
              <w:spacing w:line="240" w:lineRule="auto" w:before="0" w:after="0"/>
              <w:pStyle w:val="Compact"/>
            </w:pPr>
            <w:r>
              <w:rPr>
                <w:sz w:val="20"/>
                <w:szCs w:val="20"/>
              </w:rPr>
              <w:t xml:space="preserve">SPAM_2012</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Commercial Space Transportation 2012 Year in Review (UP Aerospace suborbital from Spaceport America); faa.gov/space/stakeholder_engagement/historical_launch_records</w:t>
            </w:r>
          </w:p>
        </w:tc>
      </w:tr>
      <w:tr>
        <w:tc>
          <w:tcPr>
            <w:tcW w:w="0" w:type="auto"/>
          </w:tcPr>
          <w:p>
            <w:pPr>
              <w:spacing w:line="240" w:lineRule="auto" w:before="0" w:after="0"/>
              <w:pStyle w:val="Compact"/>
            </w:pPr>
            <w:r>
              <w:rPr>
                <w:sz w:val="20"/>
                <w:szCs w:val="20"/>
              </w:rPr>
              <w:t xml:space="preserve">SPAM_2018</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Commercial Space Transportation 2018 Annual Compendium; faa.gov/space/stakeholder_engagement/historical_launch_records</w:t>
            </w:r>
          </w:p>
        </w:tc>
      </w:tr>
      <w:tr>
        <w:tc>
          <w:tcPr>
            <w:tcW w:w="0" w:type="auto"/>
          </w:tcPr>
          <w:p>
            <w:pPr>
              <w:spacing w:line="240" w:lineRule="auto" w:before="0" w:after="0"/>
              <w:pStyle w:val="Compact"/>
            </w:pPr>
            <w:r>
              <w:rPr>
                <w:sz w:val="20"/>
                <w:szCs w:val="20"/>
              </w:rPr>
              <w:t xml:space="preserve">SPAM_2022</w:t>
            </w:r>
          </w:p>
        </w:tc>
        <w:tc>
          <w:tcPr>
            <w:tcW w:w="0" w:type="auto"/>
          </w:tcPr>
          <w:p>
            <w:pPr>
              <w:spacing w:line="240" w:lineRule="auto" w:before="0" w:after="0"/>
              <w:pStyle w:val="Compact"/>
            </w:pPr>
            <w:r>
              <w:rPr>
                <w:sz w:val="20"/>
                <w:szCs w:val="20"/>
              </w:rPr>
              <w:t xml:space="preserve">SPAM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FAA Commercial Space Transportation 2022 Annual Compendium (Virgin Galactic VSS Unity suborbital); faa.gov/space/stakeholder_engagement/historical_launch_records</w:t>
            </w:r>
          </w:p>
        </w:tc>
      </w:tr>
      <w:tr>
        <w:tc>
          <w:tcPr>
            <w:tcW w:w="0" w:type="auto"/>
          </w:tcPr>
          <w:p>
            <w:pPr>
              <w:spacing w:line="240" w:lineRule="auto" w:before="0" w:after="0"/>
              <w:pStyle w:val="Compact"/>
            </w:pPr>
            <w:r>
              <w:rPr>
                <w:sz w:val="20"/>
                <w:szCs w:val="20"/>
              </w:rPr>
              <w:t xml:space="preserve">CECIL_2008</w:t>
            </w:r>
          </w:p>
        </w:tc>
        <w:tc>
          <w:tcPr>
            <w:tcW w:w="0" w:type="auto"/>
          </w:tcPr>
          <w:p>
            <w:pPr>
              <w:spacing w:line="240" w:lineRule="auto" w:before="0" w:after="0"/>
              <w:pStyle w:val="Compact"/>
            </w:pPr>
            <w:r>
              <w:rPr>
                <w:sz w:val="20"/>
                <w:szCs w:val="20"/>
              </w:rPr>
              <w:t xml:space="preserve">CECIL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OCST Licensed Launch Sites list (Cecil Spaceport license 2010); faa.gov/space/additional_information/launch_sites</w:t>
            </w:r>
          </w:p>
        </w:tc>
      </w:tr>
      <w:tr>
        <w:tc>
          <w:tcPr>
            <w:tcW w:w="0" w:type="auto"/>
          </w:tcPr>
          <w:p>
            <w:pPr>
              <w:spacing w:line="240" w:lineRule="auto" w:before="0" w:after="0"/>
              <w:pStyle w:val="Compact"/>
            </w:pPr>
            <w:r>
              <w:rPr>
                <w:sz w:val="20"/>
                <w:szCs w:val="20"/>
              </w:rPr>
              <w:t xml:space="preserve">CECIL_2015</w:t>
            </w:r>
          </w:p>
        </w:tc>
        <w:tc>
          <w:tcPr>
            <w:tcW w:w="0" w:type="auto"/>
          </w:tcPr>
          <w:p>
            <w:pPr>
              <w:spacing w:line="240" w:lineRule="auto" w:before="0" w:after="0"/>
              <w:pStyle w:val="Compact"/>
            </w:pPr>
            <w:r>
              <w:rPr>
                <w:sz w:val="20"/>
                <w:szCs w:val="20"/>
              </w:rPr>
              <w:t xml:space="preserve">CECIL</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Commercial Space Transportation 2015 Annual Compendium; faa.gov/space/stakeholder_engagement/historical_launch_records</w:t>
            </w:r>
          </w:p>
        </w:tc>
      </w:tr>
      <w:tr>
        <w:tc>
          <w:tcPr>
            <w:tcW w:w="0" w:type="auto"/>
          </w:tcPr>
          <w:p>
            <w:pPr>
              <w:spacing w:line="240" w:lineRule="auto" w:before="0" w:after="0"/>
              <w:pStyle w:val="Compact"/>
            </w:pPr>
            <w:r>
              <w:rPr>
                <w:sz w:val="20"/>
                <w:szCs w:val="20"/>
              </w:rPr>
              <w:t xml:space="preserve">CECIL_2022</w:t>
            </w:r>
          </w:p>
        </w:tc>
        <w:tc>
          <w:tcPr>
            <w:tcW w:w="0" w:type="auto"/>
          </w:tcPr>
          <w:p>
            <w:pPr>
              <w:spacing w:line="240" w:lineRule="auto" w:before="0" w:after="0"/>
              <w:pStyle w:val="Compact"/>
            </w:pPr>
            <w:r>
              <w:rPr>
                <w:sz w:val="20"/>
                <w:szCs w:val="20"/>
              </w:rPr>
              <w:t xml:space="preserve">CECIL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FAA Commercial Space Transportation 2022 Annual Compendium; faa.gov/space/stakeholder_engagement/historical_launch_records</w:t>
            </w:r>
          </w:p>
        </w:tc>
      </w:tr>
      <w:tr>
        <w:tc>
          <w:tcPr>
            <w:tcW w:w="0" w:type="auto"/>
          </w:tcPr>
          <w:p>
            <w:pPr>
              <w:spacing w:line="240" w:lineRule="auto" w:before="0" w:after="0"/>
              <w:pStyle w:val="Compact"/>
            </w:pPr>
            <w:r>
              <w:rPr>
                <w:sz w:val="20"/>
                <w:szCs w:val="20"/>
              </w:rPr>
              <w:t xml:space="preserve">HOUST_2014</w:t>
            </w:r>
          </w:p>
        </w:tc>
        <w:tc>
          <w:tcPr>
            <w:tcW w:w="0" w:type="auto"/>
          </w:tcPr>
          <w:p>
            <w:pPr>
              <w:spacing w:line="240" w:lineRule="auto" w:before="0" w:after="0"/>
              <w:pStyle w:val="Compact"/>
            </w:pPr>
            <w:r>
              <w:rPr>
                <w:sz w:val="20"/>
                <w:szCs w:val="20"/>
              </w:rPr>
              <w:t xml:space="preserve">HOUST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OCST Licensed Launch Sites list (Houston Spaceport license 2015); faa.gov/space/additional_information/launch_sites</w:t>
            </w:r>
          </w:p>
        </w:tc>
      </w:tr>
      <w:tr>
        <w:tc>
          <w:tcPr>
            <w:tcW w:w="0" w:type="auto"/>
          </w:tcPr>
          <w:p>
            <w:pPr>
              <w:spacing w:line="240" w:lineRule="auto" w:before="0" w:after="0"/>
              <w:pStyle w:val="Compact"/>
            </w:pPr>
            <w:r>
              <w:rPr>
                <w:sz w:val="20"/>
                <w:szCs w:val="20"/>
              </w:rPr>
              <w:t xml:space="preserve">HOUST_2020</w:t>
            </w:r>
          </w:p>
        </w:tc>
        <w:tc>
          <w:tcPr>
            <w:tcW w:w="0" w:type="auto"/>
          </w:tcPr>
          <w:p>
            <w:pPr>
              <w:spacing w:line="240" w:lineRule="auto" w:before="0" w:after="0"/>
              <w:pStyle w:val="Compact"/>
            </w:pPr>
            <w:r>
              <w:rPr>
                <w:sz w:val="20"/>
                <w:szCs w:val="20"/>
              </w:rPr>
              <w:t xml:space="preserve">HOUST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HOUST_2023</w:t>
            </w:r>
          </w:p>
        </w:tc>
        <w:tc>
          <w:tcPr>
            <w:tcW w:w="0" w:type="auto"/>
          </w:tcPr>
          <w:p>
            <w:pPr>
              <w:spacing w:line="240" w:lineRule="auto" w:before="0" w:after="0"/>
              <w:pStyle w:val="Compact"/>
            </w:pPr>
            <w:r>
              <w:rPr>
                <w:sz w:val="20"/>
                <w:szCs w:val="20"/>
              </w:rPr>
              <w:t xml:space="preserve">HOUST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r>
        <w:tc>
          <w:tcPr>
            <w:tcW w:w="0" w:type="auto"/>
          </w:tcPr>
          <w:p>
            <w:pPr>
              <w:spacing w:line="240" w:lineRule="auto" w:before="0" w:after="0"/>
              <w:pStyle w:val="Compact"/>
            </w:pPr>
            <w:r>
              <w:rPr>
                <w:sz w:val="20"/>
                <w:szCs w:val="20"/>
              </w:rPr>
              <w:t xml:space="preserve">OKLAH_2003</w:t>
            </w:r>
          </w:p>
        </w:tc>
        <w:tc>
          <w:tcPr>
            <w:tcW w:w="0" w:type="auto"/>
          </w:tcPr>
          <w:p>
            <w:pPr>
              <w:spacing w:line="240" w:lineRule="auto" w:before="0" w:after="0"/>
              <w:pStyle w:val="Compact"/>
            </w:pPr>
            <w:r>
              <w:rPr>
                <w:sz w:val="20"/>
                <w:szCs w:val="20"/>
              </w:rPr>
              <w:t xml:space="preserve">OKLAH</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OCST Licensed Launch Sites list (Oklahoma Spaceport license 2006); faa.gov/space/additional_information/launch_sites</w:t>
            </w:r>
          </w:p>
        </w:tc>
      </w:tr>
      <w:tr>
        <w:tc>
          <w:tcPr>
            <w:tcW w:w="0" w:type="auto"/>
          </w:tcPr>
          <w:p>
            <w:pPr>
              <w:spacing w:line="240" w:lineRule="auto" w:before="0" w:after="0"/>
              <w:pStyle w:val="Compact"/>
            </w:pPr>
            <w:r>
              <w:rPr>
                <w:sz w:val="20"/>
                <w:szCs w:val="20"/>
              </w:rPr>
              <w:t xml:space="preserve">OKLAH_2010</w:t>
            </w:r>
          </w:p>
        </w:tc>
        <w:tc>
          <w:tcPr>
            <w:tcW w:w="0" w:type="auto"/>
          </w:tcPr>
          <w:p>
            <w:pPr>
              <w:spacing w:line="240" w:lineRule="auto" w:before="0" w:after="0"/>
              <w:pStyle w:val="Compact"/>
            </w:pPr>
            <w:r>
              <w:rPr>
                <w:sz w:val="20"/>
                <w:szCs w:val="20"/>
              </w:rPr>
              <w:t xml:space="preserve">OKLAH</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Commercial Space Transportation 2010 Year in Review; faa.gov/space/stakeholder_engagement/historical_launch_records</w:t>
            </w:r>
          </w:p>
        </w:tc>
      </w:tr>
      <w:tr>
        <w:tc>
          <w:tcPr>
            <w:tcW w:w="0" w:type="auto"/>
          </w:tcPr>
          <w:p>
            <w:pPr>
              <w:spacing w:line="240" w:lineRule="auto" w:before="0" w:after="0"/>
              <w:pStyle w:val="Compact"/>
            </w:pPr>
            <w:r>
              <w:rPr>
                <w:sz w:val="20"/>
                <w:szCs w:val="20"/>
              </w:rPr>
              <w:t xml:space="preserve">OKLAH_2020</w:t>
            </w:r>
          </w:p>
        </w:tc>
        <w:tc>
          <w:tcPr>
            <w:tcW w:w="0" w:type="auto"/>
          </w:tcPr>
          <w:p>
            <w:pPr>
              <w:spacing w:line="240" w:lineRule="auto" w:before="0" w:after="0"/>
              <w:pStyle w:val="Compact"/>
            </w:pPr>
            <w:r>
              <w:rPr>
                <w:sz w:val="20"/>
                <w:szCs w:val="20"/>
              </w:rPr>
              <w:t xml:space="preserve">OKLAH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Commercial Space Transportation 2020 Annual Compendium; faa.gov/space/stakeholder_engagement/historical_launch_records</w:t>
            </w:r>
          </w:p>
        </w:tc>
      </w:tr>
      <w:tr>
        <w:tc>
          <w:tcPr>
            <w:tcW w:w="0" w:type="auto"/>
          </w:tcPr>
          <w:p>
            <w:pPr>
              <w:spacing w:line="240" w:lineRule="auto" w:before="0" w:after="0"/>
              <w:pStyle w:val="Compact"/>
            </w:pPr>
            <w:r>
              <w:rPr>
                <w:sz w:val="20"/>
                <w:szCs w:val="20"/>
              </w:rPr>
              <w:t xml:space="preserve">COLOR_2017</w:t>
            </w:r>
          </w:p>
        </w:tc>
        <w:tc>
          <w:tcPr>
            <w:tcW w:w="0" w:type="auto"/>
          </w:tcPr>
          <w:p>
            <w:pPr>
              <w:spacing w:line="240" w:lineRule="auto" w:before="0" w:after="0"/>
              <w:pStyle w:val="Compact"/>
            </w:pPr>
            <w:r>
              <w:rPr>
                <w:sz w:val="20"/>
                <w:szCs w:val="20"/>
              </w:rPr>
              <w:t xml:space="preserve">COLOR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FAA OCST Licensed Launch Sites list (Colorado Air and Space Port license 2018); faa.gov/space/additional_information/launch_sites</w:t>
            </w:r>
          </w:p>
        </w:tc>
      </w:tr>
      <w:tr>
        <w:tc>
          <w:tcPr>
            <w:tcW w:w="0" w:type="auto"/>
          </w:tcPr>
          <w:p>
            <w:pPr>
              <w:spacing w:line="240" w:lineRule="auto" w:before="0" w:after="0"/>
              <w:pStyle w:val="Compact"/>
            </w:pPr>
            <w:r>
              <w:rPr>
                <w:sz w:val="20"/>
                <w:szCs w:val="20"/>
              </w:rPr>
              <w:t xml:space="preserve">COLOR_2022</w:t>
            </w:r>
          </w:p>
        </w:tc>
        <w:tc>
          <w:tcPr>
            <w:tcW w:w="0" w:type="auto"/>
          </w:tcPr>
          <w:p>
            <w:pPr>
              <w:spacing w:line="240" w:lineRule="auto" w:before="0" w:after="0"/>
              <w:pStyle w:val="Compact"/>
            </w:pPr>
            <w:r>
              <w:rPr>
                <w:sz w:val="20"/>
                <w:szCs w:val="20"/>
              </w:rPr>
              <w:t xml:space="preserve">COLOR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FAA Commercial Space Transportation 2022 Annual Compendium; faa.gov/space/stakeholder_engagement/historical_launch_records</w:t>
            </w:r>
          </w:p>
        </w:tc>
      </w:tr>
      <w:tr>
        <w:tc>
          <w:tcPr>
            <w:tcW w:w="0" w:type="auto"/>
          </w:tcPr>
          <w:p>
            <w:pPr>
              <w:spacing w:line="240" w:lineRule="auto" w:before="0" w:after="0"/>
              <w:pStyle w:val="Compact"/>
            </w:pPr>
            <w:r>
              <w:rPr>
                <w:sz w:val="20"/>
                <w:szCs w:val="20"/>
              </w:rPr>
              <w:t xml:space="preserve">CMDEN_2018</w:t>
            </w:r>
          </w:p>
        </w:tc>
        <w:tc>
          <w:tcPr>
            <w:tcW w:w="0" w:type="auto"/>
          </w:tcPr>
          <w:p>
            <w:pPr>
              <w:spacing w:line="240" w:lineRule="auto" w:before="0" w:after="0"/>
              <w:pStyle w:val="Compact"/>
            </w:pPr>
            <w:r>
              <w:rPr>
                <w:sz w:val="20"/>
                <w:szCs w:val="20"/>
              </w:rPr>
              <w:t xml:space="preserve">CMDEN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OCST Licensed Launch Sites list (Spaceport Camden application denied; never-treated control); faa.gov/space/additional_information/launch_sites</w:t>
            </w:r>
          </w:p>
        </w:tc>
      </w:tr>
      <w:tr>
        <w:tc>
          <w:tcPr>
            <w:tcW w:w="0" w:type="auto"/>
          </w:tcPr>
          <w:p>
            <w:pPr>
              <w:spacing w:line="240" w:lineRule="auto" w:before="0" w:after="0"/>
              <w:pStyle w:val="Compact"/>
            </w:pPr>
            <w:r>
              <w:rPr>
                <w:sz w:val="20"/>
                <w:szCs w:val="20"/>
              </w:rPr>
              <w:t xml:space="preserve">CMDEN_2023</w:t>
            </w:r>
          </w:p>
        </w:tc>
        <w:tc>
          <w:tcPr>
            <w:tcW w:w="0" w:type="auto"/>
          </w:tcPr>
          <w:p>
            <w:pPr>
              <w:spacing w:line="240" w:lineRule="auto" w:before="0" w:after="0"/>
              <w:pStyle w:val="Compact"/>
            </w:pPr>
            <w:r>
              <w:rPr>
                <w:sz w:val="20"/>
                <w:szCs w:val="20"/>
              </w:rPr>
              <w:t xml:space="preserve">CMDEN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FAA Commercial Space Transportation 2023 Annual Compendium; faa.gov/space/stakeholder_engagement/historical_launch_records</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Count of FAA-attributed orbital and suborbital launches from site i in calendar year t.</w:t>
            </w:r>
          </w:p>
        </w:tc>
        <w:tc>
          <w:tcPr>
            <w:tcW w:w="0" w:type="auto"/>
          </w:tcPr>
          <w:p>
            <w:pPr>
              <w:spacing w:line="240" w:lineRule="auto" w:before="0" w:after="0"/>
              <w:pStyle w:val="Compact"/>
            </w:pPr>
            <w:r>
              <w:rPr>
                <w:sz w:val="20"/>
                <w:szCs w:val="20"/>
              </w:rPr>
              <w:t xml:space="preserve">FAA Commercial Space Transportation annual compendium and Year in Review</w:t>
            </w:r>
          </w:p>
        </w:tc>
      </w:tr>
      <w:tr>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Indicator equal to 1 if year t is at or after the FAA Part 420 site operator license issuance year for site i, 0 otherwise.</w:t>
            </w:r>
          </w:p>
        </w:tc>
        <w:tc>
          <w:tcPr>
            <w:tcW w:w="0" w:type="auto"/>
          </w:tcPr>
          <w:p>
            <w:pPr>
              <w:spacing w:line="240" w:lineRule="auto" w:before="0" w:after="0"/>
              <w:pStyle w:val="Compact"/>
            </w:pPr>
            <w:r>
              <w:rPr>
                <w:sz w:val="20"/>
                <w:szCs w:val="20"/>
              </w:rPr>
              <w:t xml:space="preserve">FAA Office of Commercial Space Transportation Licensed Launch Sites list</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Indicator equal to 1 if site i is on a U.S. coast with an open-water launch azimuth corridor, 0 otherwise.</w:t>
            </w:r>
          </w:p>
        </w:tc>
        <w:tc>
          <w:tcPr>
            <w:tcW w:w="0" w:type="auto"/>
          </w:tcPr>
          <w:p>
            <w:pPr>
              <w:spacing w:line="240" w:lineRule="auto" w:before="0" w:after="0"/>
              <w:pStyle w:val="Compact"/>
            </w:pPr>
            <w:r>
              <w:rPr>
                <w:sz w:val="20"/>
                <w:szCs w:val="20"/>
              </w:rPr>
              <w:t xml:space="preserve">FAA OCST site descriptions and site authority charters</w:t>
            </w:r>
          </w:p>
        </w:tc>
      </w:tr>
      <w:tr>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Indicator equal to 1 if site i is co-located with a federal range (Eastern Range, Western Range, Wallops, Kodiak/PSCA), 0 otherwise.</w:t>
            </w:r>
          </w:p>
        </w:tc>
        <w:tc>
          <w:tcPr>
            <w:tcW w:w="0" w:type="auto"/>
          </w:tcPr>
          <w:p>
            <w:pPr>
              <w:spacing w:line="240" w:lineRule="auto" w:before="0" w:after="0"/>
              <w:pStyle w:val="Compact"/>
            </w:pPr>
            <w:r>
              <w:rPr>
                <w:sz w:val="20"/>
                <w:szCs w:val="20"/>
              </w:rPr>
              <w:t xml:space="preserve">FAA OCST site descriptions; DoD range catalog</w:t>
            </w:r>
          </w:p>
        </w:tc>
      </w:tr>
      <w:tr>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Total count of FAA-licensed U.S. orbital and suborbital launches in calendar year t (national demand proxy).</w:t>
            </w:r>
          </w:p>
        </w:tc>
        <w:tc>
          <w:tcPr>
            <w:tcW w:w="0" w:type="auto"/>
          </w:tcPr>
          <w:p>
            <w:pPr>
              <w:spacing w:line="240" w:lineRule="auto" w:before="0" w:after="0"/>
              <w:pStyle w:val="Compact"/>
            </w:pPr>
            <w:r>
              <w:rPr>
                <w:sz w:val="20"/>
                <w:szCs w:val="20"/>
              </w:rPr>
              <w:t xml:space="preserve">FAA Commercial Space Transportation Year in Review and Annual Compendium series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-5.0252</w:t>
            </w:r>
          </w:p>
        </w:tc>
        <w:tc>
          <w:tcPr>
            <w:tcW w:w="0" w:type="auto"/>
          </w:tcPr>
          <w:p>
            <w:pPr>
              <w:spacing w:line="240" w:lineRule="auto" w:before="0" w:after="0"/>
              <w:pStyle w:val="Compact"/>
            </w:pPr>
            <w:r>
              <w:rPr>
                <w:sz w:val="20"/>
                <w:szCs w:val="20"/>
              </w:rPr>
              <w:t xml:space="preserve">3.8815</w:t>
            </w:r>
          </w:p>
        </w:tc>
        <w:tc>
          <w:tcPr>
            <w:tcW w:w="0" w:type="auto"/>
          </w:tcPr>
          <w:p>
            <w:pPr>
              <w:spacing w:line="240" w:lineRule="auto" w:before="0" w:after="0"/>
              <w:pStyle w:val="Compact"/>
            </w:pPr>
            <w:r>
              <w:rPr>
                <w:sz w:val="20"/>
                <w:szCs w:val="20"/>
              </w:rPr>
              <w:t xml:space="preserve">-1.2946</w:t>
            </w:r>
          </w:p>
        </w:tc>
        <w:tc>
          <w:tcPr>
            <w:tcW w:w="0" w:type="auto"/>
          </w:tcPr>
          <w:p>
            <w:pPr>
              <w:spacing w:line="240" w:lineRule="auto" w:before="0" w:after="0"/>
              <w:pStyle w:val="Compact"/>
            </w:pPr>
            <w:r>
              <w:rPr>
                <w:sz w:val="20"/>
                <w:szCs w:val="20"/>
              </w:rPr>
              <w:t xml:space="preserve">0.1954</w:t>
            </w:r>
          </w:p>
        </w:tc>
        <w:tc>
          <w:tcPr>
            <w:tcW w:w="0" w:type="auto"/>
          </w:tcPr>
          <w:p>
            <w:pPr>
              <w:spacing w:line="240" w:lineRule="auto" w:before="0" w:after="0"/>
              <w:pStyle w:val="Compact"/>
            </w:pPr>
            <w:r>
              <w:rPr>
                <w:sz w:val="20"/>
                <w:szCs w:val="20"/>
              </w:rPr>
              <w:t xml:space="preserve">[-12.6329, 2.5825]</w:t>
            </w:r>
          </w:p>
        </w:tc>
      </w:tr>
      <w:tr>
        <w:tc>
          <w:tcPr>
            <w:tcW w:w="0" w:type="auto"/>
          </w:tcPr>
          <w:p>
            <w:pPr>
              <w:spacing w:line="240" w:lineRule="auto" w:before="0" w:after="0"/>
              <w:pStyle w:val="Compact"/>
            </w:pPr>
            <w:r>
              <w:rPr>
                <w:sz w:val="20"/>
                <w:szCs w:val="20"/>
              </w:rPr>
              <w:t xml:space="preserve">post_license</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1.5608</w:t>
            </w:r>
          </w:p>
        </w:tc>
        <w:tc>
          <w:tcPr>
            <w:tcW w:w="0" w:type="auto"/>
          </w:tcPr>
          <w:p>
            <w:pPr>
              <w:spacing w:line="240" w:lineRule="auto" w:before="0" w:after="0"/>
              <w:pStyle w:val="Compact"/>
            </w:pPr>
            <w:r>
              <w:rPr>
                <w:sz w:val="20"/>
                <w:szCs w:val="20"/>
              </w:rPr>
              <w:t xml:space="preserve">0.7037</w:t>
            </w:r>
          </w:p>
        </w:tc>
        <w:tc>
          <w:tcPr>
            <w:tcW w:w="0" w:type="auto"/>
          </w:tcPr>
          <w:p>
            <w:pPr>
              <w:spacing w:line="240" w:lineRule="auto" w:before="0" w:after="0"/>
              <w:pStyle w:val="Compact"/>
            </w:pPr>
            <w:r>
              <w:rPr>
                <w:sz w:val="20"/>
                <w:szCs w:val="20"/>
              </w:rPr>
              <w:t xml:space="preserve">0.4816</w:t>
            </w:r>
          </w:p>
        </w:tc>
        <w:tc>
          <w:tcPr>
            <w:tcW w:w="0" w:type="auto"/>
          </w:tcPr>
          <w:p>
            <w:pPr>
              <w:spacing w:line="240" w:lineRule="auto" w:before="0" w:after="0"/>
              <w:pStyle w:val="Compact"/>
            </w:pPr>
            <w:r>
              <w:rPr>
                <w:sz w:val="20"/>
                <w:szCs w:val="20"/>
              </w:rPr>
              <w:t xml:space="preserve">[-1.9607, 4.1574]</w:t>
            </w:r>
          </w:p>
        </w:tc>
      </w:tr>
      <w:tr>
        <w:tc>
          <w:tcPr>
            <w:tcW w:w="0" w:type="auto"/>
          </w:tcPr>
          <w:p>
            <w:pPr>
              <w:spacing w:line="240" w:lineRule="auto" w:before="0" w:after="0"/>
              <w:pStyle w:val="Compact"/>
            </w:pPr>
            <w:r>
              <w:rPr>
                <w:sz w:val="20"/>
                <w:szCs w:val="20"/>
              </w:rPr>
              <w:t xml:space="preserve">coastal</w:t>
            </w:r>
          </w:p>
        </w:tc>
        <w:tc>
          <w:tcPr>
            <w:tcW w:w="0" w:type="auto"/>
          </w:tcPr>
          <w:p>
            <w:pPr>
              <w:spacing w:line="240" w:lineRule="auto" w:before="0" w:after="0"/>
              <w:pStyle w:val="Compact"/>
            </w:pPr>
            <w:r>
              <w:rPr>
                <w:sz w:val="20"/>
                <w:szCs w:val="20"/>
              </w:rPr>
              <w:t xml:space="preserve">-3.2068</w:t>
            </w:r>
          </w:p>
        </w:tc>
        <w:tc>
          <w:tcPr>
            <w:tcW w:w="0" w:type="auto"/>
          </w:tcPr>
          <w:p>
            <w:pPr>
              <w:spacing w:line="240" w:lineRule="auto" w:before="0" w:after="0"/>
              <w:pStyle w:val="Compact"/>
            </w:pPr>
            <w:r>
              <w:rPr>
                <w:sz w:val="20"/>
                <w:szCs w:val="20"/>
              </w:rPr>
              <w:t xml:space="preserve">3.2134</w:t>
            </w:r>
          </w:p>
        </w:tc>
        <w:tc>
          <w:tcPr>
            <w:tcW w:w="0" w:type="auto"/>
          </w:tcPr>
          <w:p>
            <w:pPr>
              <w:spacing w:line="240" w:lineRule="auto" w:before="0" w:after="0"/>
              <w:pStyle w:val="Compact"/>
            </w:pPr>
            <w:r>
              <w:rPr>
                <w:sz w:val="20"/>
                <w:szCs w:val="20"/>
              </w:rPr>
              <w:t xml:space="preserve">-0.9979</w:t>
            </w:r>
          </w:p>
        </w:tc>
        <w:tc>
          <w:tcPr>
            <w:tcW w:w="0" w:type="auto"/>
          </w:tcPr>
          <w:p>
            <w:pPr>
              <w:spacing w:line="240" w:lineRule="auto" w:before="0" w:after="0"/>
              <w:pStyle w:val="Compact"/>
            </w:pPr>
            <w:r>
              <w:rPr>
                <w:sz w:val="20"/>
                <w:szCs w:val="20"/>
              </w:rPr>
              <w:t xml:space="preserve">0.3183</w:t>
            </w:r>
          </w:p>
        </w:tc>
        <w:tc>
          <w:tcPr>
            <w:tcW w:w="0" w:type="auto"/>
          </w:tcPr>
          <w:p>
            <w:pPr>
              <w:spacing w:line="240" w:lineRule="auto" w:before="0" w:after="0"/>
              <w:pStyle w:val="Compact"/>
            </w:pPr>
            <w:r>
              <w:rPr>
                <w:sz w:val="20"/>
                <w:szCs w:val="20"/>
              </w:rPr>
              <w:t xml:space="preserve">[-9.5049, 3.0914]</w:t>
            </w:r>
          </w:p>
        </w:tc>
      </w:tr>
      <w:tr>
        <w:tc>
          <w:tcPr>
            <w:tcW w:w="0" w:type="auto"/>
          </w:tcPr>
          <w:p>
            <w:pPr>
              <w:spacing w:line="240" w:lineRule="auto" w:before="0" w:after="0"/>
              <w:pStyle w:val="Compact"/>
            </w:pPr>
            <w:r>
              <w:rPr>
                <w:sz w:val="20"/>
                <w:szCs w:val="20"/>
              </w:rPr>
              <w:t xml:space="preserve">federal_range</w:t>
            </w:r>
          </w:p>
        </w:tc>
        <w:tc>
          <w:tcPr>
            <w:tcW w:w="0" w:type="auto"/>
          </w:tcPr>
          <w:p>
            <w:pPr>
              <w:spacing w:line="240" w:lineRule="auto" w:before="0" w:after="0"/>
              <w:pStyle w:val="Compact"/>
            </w:pPr>
            <w:r>
              <w:rPr>
                <w:sz w:val="20"/>
                <w:szCs w:val="20"/>
              </w:rPr>
              <w:t xml:space="preserve">8.1186</w:t>
            </w:r>
          </w:p>
        </w:tc>
        <w:tc>
          <w:tcPr>
            <w:tcW w:w="0" w:type="auto"/>
          </w:tcPr>
          <w:p>
            <w:pPr>
              <w:spacing w:line="240" w:lineRule="auto" w:before="0" w:after="0"/>
              <w:pStyle w:val="Compact"/>
            </w:pPr>
            <w:r>
              <w:rPr>
                <w:sz w:val="20"/>
                <w:szCs w:val="20"/>
              </w:rPr>
              <w:t xml:space="preserve">5.3847</w:t>
            </w:r>
          </w:p>
        </w:tc>
        <w:tc>
          <w:tcPr>
            <w:tcW w:w="0" w:type="auto"/>
          </w:tcPr>
          <w:p>
            <w:pPr>
              <w:spacing w:line="240" w:lineRule="auto" w:before="0" w:after="0"/>
              <w:pStyle w:val="Compact"/>
            </w:pPr>
            <w:r>
              <w:rPr>
                <w:sz w:val="20"/>
                <w:szCs w:val="20"/>
              </w:rPr>
              <w:t xml:space="preserve">1.5077</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[-2.4351, 18.6723]</w:t>
            </w:r>
          </w:p>
        </w:tc>
      </w:tr>
      <w:tr>
        <w:tc>
          <w:tcPr>
            <w:tcW w:w="0" w:type="auto"/>
          </w:tcPr>
          <w:p>
            <w:pPr>
              <w:spacing w:line="240" w:lineRule="auto" w:before="0" w:after="0"/>
              <w:pStyle w:val="Compact"/>
            </w:pPr>
            <w:r>
              <w:rPr>
                <w:sz w:val="20"/>
                <w:szCs w:val="20"/>
              </w:rPr>
              <w:t xml:space="preserve">national_us_launches</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0.1153</w:t>
            </w:r>
          </w:p>
        </w:tc>
        <w:tc>
          <w:tcPr>
            <w:tcW w:w="0" w:type="auto"/>
          </w:tcPr>
          <w:p>
            <w:pPr>
              <w:spacing w:line="240" w:lineRule="auto" w:before="0" w:after="0"/>
              <w:pStyle w:val="Compact"/>
            </w:pPr>
            <w:r>
              <w:rPr>
                <w:sz w:val="20"/>
                <w:szCs w:val="20"/>
              </w:rPr>
              <w:t xml:space="preserve">1.2143</w:t>
            </w:r>
          </w:p>
        </w:tc>
        <w:tc>
          <w:tcPr>
            <w:tcW w:w="0" w:type="auto"/>
          </w:tcPr>
          <w:p>
            <w:pPr>
              <w:spacing w:line="240" w:lineRule="auto" w:before="0" w:after="0"/>
              <w:pStyle w:val="Compact"/>
            </w:pPr>
            <w:r>
              <w:rPr>
                <w:sz w:val="20"/>
                <w:szCs w:val="20"/>
              </w:rPr>
              <w:t xml:space="preserve">0.2246</w:t>
            </w:r>
          </w:p>
        </w:tc>
        <w:tc>
          <w:tcPr>
            <w:tcW w:w="0" w:type="auto"/>
          </w:tcPr>
          <w:p>
            <w:pPr>
              <w:spacing w:line="240" w:lineRule="auto" w:before="0" w:after="0"/>
              <w:pStyle w:val="Compact"/>
            </w:pPr>
            <w:r>
              <w:rPr>
                <w:sz w:val="20"/>
                <w:szCs w:val="20"/>
              </w:rPr>
              <w:t xml:space="preserve">[-0.086, 0.366]</w:t>
            </w:r>
          </w:p>
        </w:tc>
      </w:tr>
    </w:tbl>
    <w:p>
      <w:pPr>
        <w:pStyle w:val="BodyText"/>
      </w:pPr>
      <w:r>
        <w:t xml:space="preserve">Fit: N = 39 R2 = 0.2621 R2_adj = 0.1753 F = 0.979 F_p = 0.4319</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2026-06-27T00:26:32Z</dcterms:created>
  <dcterms:modified xsi:type="dcterms:W3CDTF">2026-06-27T00:26:32Z</dcterms:modified>
</cp:coreProperties>
</file>

<file path=docProps/custom.xml><?xml version="1.0" encoding="utf-8"?>
<Properties xmlns="http://schemas.openxmlformats.org/officeDocument/2006/custom-properties" xmlns:vt="http://schemas.openxmlformats.org/officeDocument/2006/docPropsVTypes"/>
</file>