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SPACEPORT CAPITAL STOCK AND CADENCE: DOES LAUNCH-SITE LICENSING PREDICT REGIONAL LAUNCH ACTIVITY?</w:t>
      </w:r>
    </w:p>
    <w:p>
      <w:pPr>
        <w:jc w:val="center"/>
      </w:pPr>
    </w:p>
    <w:p>
      <w:pPr>
        <w:jc w:val="center"/>
      </w:pPr>
      <w:r>
        <w:rPr>
          <w:rFonts w:ascii="Times New Roman" w:hAnsi="Times New Roman"/>
          <w:sz w:val="24"/>
        </w:rPr>
        <w:t>by</w:t>
      </w:r>
    </w:p>
    <w:p>
      <w:pPr>
        <w:jc w:val="center"/>
      </w:pPr>
      <w:r>
        <w:rPr>
          <w:rFonts w:ascii="Times New Roman" w:hAnsi="Times New Roman"/>
          <w:b/>
          <w:sz w:val="28"/>
        </w:rPr>
        <w:t>Delia Patel</w:t>
      </w:r>
    </w:p>
    <w:p>
      <w:pPr>
        <w:jc w:val="center"/>
      </w:pPr>
      <w:r>
        <w:rPr>
          <w:rFonts w:ascii="Times New Roman" w:hAnsi="Times New Roman"/>
          <w:sz w:val="24"/>
        </w:rPr>
        <w:t>1B-INF-101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This dissertation asks a single empirical question. Conditional on national launch demand and on time-invariant site characteristics, does the issuance of a Federal Aviation Administration Part 420 launch-site operator license predict a measurable increase in the count of launches subsequently attributed to the licensed site, The question is narrow by design. It does not ask whether licensing is desirable, whether the licensing regime should be reformed, or whether the population of licensed sites is the right population for industrial policy. It asks whether the policy mechanism that has been treated, across two decades of policy and operator discourse, as the operative precondition for regional launch cadence actually predicts that cadence in the data.</w:t>
      </w:r>
    </w:p>
    <w:p>
      <w:pPr>
        <w:pStyle w:val="BodyText"/>
        <w:spacing w:line="480" w:lineRule="auto"/>
        <w:ind w:firstLine="720"/>
      </w:pPr>
      <w:r>
        <w:t xml:space="preserve">The problem matters because the assertion that licensing produces cadence has become load-bearing in three communities whose decisions turn on it. State sponsors of greenfield spaceports point to license issuance as the milestone that justifies further public capital expenditure on pads, control centers, and access roads. Federal range planners cite the dispersion of licensed sites as evidence that the national launch base has decongested and that legacy ranges can be sized to a lower steady-state cadence than the historical peak. Operators routing payloads to a launch manifest treat the presence of a licensed site as an option on cadence and price their integration timelines accordingly. If site licensing predicts site cadence, those three decisions are correctly calibrated. If it does not, the public capital, the range planning, and the operator routing are calibrated to a variable that is permissive rather than causal, and a different variable, plausibly federal-range inheritance, is doing the work that licensing is being credited with.</w:t>
      </w:r>
    </w:p>
    <w:p>
      <w:pPr>
        <w:pStyle w:val="BodyText"/>
        <w:spacing w:line="480" w:lineRule="auto"/>
        <w:ind w:firstLine="720"/>
      </w:pPr>
      <w:r>
        <w:t xml:space="preserve">The stakes for the National Aeronautics and Space Administration and for the Jet Propulsion Laboratory are concrete. NASA’s science and exploration missions depend on a launch base whose cadence is predictable at the multi-year horizon over which mission integration is planned. When NASA negotiates launch services contracts, when it evaluates the resilience of its access to orbit against single-site or single-range disruption, and when it advises interagency partners on the national launch base, it relies implicitly on a model of which sites can carry cadence and which cannot. JPL, as the principal NASA center for deep-space and planetary missions, faces the same dependence with a sharper edge. Planetary launch windows are narrow and non-negotiable. A mission whose integration plan assumes that a newly licensed site will be on cadence by the launch window inherits the risk of that assumption. If the empirical relationship between licensing and cadence is weak or conditional on inheritances that the licensed site does not have, the integration plan is exposed to a class of schedule risk that is currently absorbed into generic launch-services contingency rather than priced as a site-level variable. The same logic extends to the recompete of the JPL operating contract, in which the technical baseline for launch access shapes the cost and risk envelope of the next contract period. A site-year estimate of the licensing-to-cadence relationship sharpens the technical baseline by replacing a policy assertion with a coefficient and a confidence interval.</w:t>
      </w:r>
    </w:p>
    <w:p>
      <w:pPr>
        <w:pStyle w:val="BodyText"/>
        <w:spacing w:line="480" w:lineRule="auto"/>
        <w:ind w:firstLine="720"/>
      </w:pPr>
      <w:r>
        <w:t xml:space="preserve">The expansion of the licensed population since the early 2000s makes the question tractable. The Federal Aviation Administration’s Office of Commercial Space Transportation maintains the authoritative list of FAA-licensed launch sites under 14 CFR Part 420 and the date of license issuance for each site</w:t>
      </w:r>
      <w:r>
        <w:t xml:space="preserve"> </w:t>
      </w:r>
      <w:hyperlink w:anchor="ref-8">
        <w:r>
          <w:rPr>
            <w:rStyle w:val="Hyperlink"/>
          </w:rPr>
          <w:t xml:space="preserve">[8]</w:t>
        </w:r>
      </w:hyperlink>
      <w:r>
        <w:t xml:space="preserve">. That list, combined with the annual FAA Commercial Space Transportation compendium of launches attributed to each site, supplies the treatment indicator and the outcome variable for a panel whose unit is the site-year. Policy analyses of launch-on-demand have already taken the network of licensed sites as the physical substrate of U.S. launch capacity and have characterized its geographic dispersion [2, 5, 14]. What the policy analyses have not done is estimate, on a site-year panel with national demand absorbed by year fixed effects and time-invariant site geography absorbed by site fixed effects, whether the licensure event predicts the cadence event that the policy framing assumes it produces.</w:t>
      </w:r>
    </w:p>
    <w:bookmarkEnd w:id="61"/>
    <w:bookmarkStart w:id="62" w:name="X3349e7f55dd49bd29eba8e1832cd30374b3c216"/>
    <w:p>
      <w:pPr>
        <w:pStyle w:val="Heading2"/>
        <w:spacing w:line="480" w:lineRule="auto"/>
      </w:pPr>
      <w:r>
        <w:t xml:space="preserve">1.2 The Gap Between Domain Literature and Method Literature</w:t>
      </w:r>
    </w:p>
    <w:p>
      <w:pPr>
        <w:pStyle w:val="FirstParagraph"/>
        <w:spacing w:line="480" w:lineRule="auto"/>
      </w:pPr>
      <w:r>
        <w:t xml:space="preserve">The gap that this dissertation closes is not a gap in either of two adjacent literatures taken alone. It is the gap between them. The domain literature on spaceports, launch-on-demand, and regional space policy describes the licensed population and motivates the policy claim. The econometric method literature on count panels with two-way fixed effects, parallel-trends checks, and event-study leads supplies the estimator that would test the policy claim. Neither literature has, to date, applied the second to the first on the FAA Part 420 site-year panel.</w:t>
      </w:r>
    </w:p>
    <w:p>
      <w:pPr>
        <w:pStyle w:val="BodyText"/>
        <w:spacing w:line="480" w:lineRule="auto"/>
        <w:ind w:firstLine="720"/>
      </w:pPr>
      <w:r>
        <w:t xml:space="preserve">The domain literature establishes three things. First, the population of FAA-licensed launch sites is the policy-relevant object for U.S. launch-on-demand capacity, and that population has expanded from a small set of federal-range adjuncts to a network of state authorities, airport districts, and operator-owned pads distributed across coastal and inland geographies [2, 5, 14]. Second, the practice of attributing space activity to specific licensed sites is mature: GEO satellite origins are routinely matched to planned launch sites in survey analyses of International Telecommunication Union filings, demonstrating that site-level attribution is operationally meaningful and not a statistical artifact of aggregation [1, 7, 13]. Third, the conceptual framing of rapid launch capability takes terrestrial sites as the historical baseline for cadence and points to range services as the binding capacity, without estimating the cadence response to licensing [4, 15]. Comparative national assessments add that coastal access and a prior range are the two physical preconditions for sustained cadence and that licensing is the regulatory enabler rather than the cause [3, 11, 17]. Site-level assessments of new spaceport facilities, including suborbital transit through airspace and sustainable site planning at new launch facilities, document the engineering and environmental constraints that condition cadence at the licensed site but again stop short of estimating the cadence response to the licensure event itself [21, 22, 26].</w:t>
      </w:r>
    </w:p>
    <w:p>
      <w:pPr>
        <w:pStyle w:val="BodyText"/>
        <w:spacing w:line="480" w:lineRule="auto"/>
        <w:ind w:firstLine="720"/>
      </w:pPr>
      <w:r>
        <w:t xml:space="preserve">The economics-of-launch literature supplies the demand-side counterpart. The space-economy synthesis treats increases in launch volume as the driver of scale economies in launch operations, with consequent reductions in marginal cost that pull additional launches forward [3, 6]. Governance analyses of the transition from legacy to New Space arrangements stress that licensed authority is necessary but not sufficient, and that the binding capacity is typically inherited from a federal range or built around an anchor operator</w:t>
      </w:r>
      <w:r>
        <w:t xml:space="preserve"> </w:t>
      </w:r>
      <w:hyperlink w:anchor="ref-9">
        <w:r>
          <w:rPr>
            <w:rStyle w:val="Hyperlink"/>
          </w:rPr>
          <w:t xml:space="preserve">[9]</w:t>
        </w:r>
      </w:hyperlink>
      <w:r>
        <w:t xml:space="preserve">. Environmental life-cycle analyses of reusable launch vehicle fleets identify range co-location as the practical capacity ceiling, since federal ranges supply the surveillance, telemetry, and clearance services that licensed greenfield sites would otherwise have to reproduce at their own cost [10, 27]. Sustainability framings extend the picture by treating the spaceport as a transdisciplinary node whose cadence is conditioned by environmental, social, and infrastructural variables that the licensure event does not by itself shift [12, 23].</w:t>
      </w:r>
    </w:p>
    <w:p>
      <w:pPr>
        <w:pStyle w:val="BodyText"/>
        <w:spacing w:line="480" w:lineRule="auto"/>
        <w:ind w:firstLine="720"/>
      </w:pPr>
      <w:r>
        <w:t xml:space="preserve">What the domain literature does not do is estimate a site-year panel model in which licensing is the treatment and cadence is the outcome. The closest companion work, a pooled ordinary least squares panel of twelve FAA-licensed or applied-for spaceport sites observed in selected years from 1996 through 2023, returns a point estimate on the post-license indicator in the predicted direction but with a confidence interval that comfortably contains zero, and identifies federal-range inheritance as the variable that does the most work in the cross-site comparison. A robust ordinary least squares state-year panel from 2018 through 2023 returns a sharper picture, with licensed-site stock and prior federal-range co-location both conditionally associated with cadence at similar magnitudes and the coastal indicator unidentified once range co-location is in the model. The two companion analyses are useful as first-cut readings of the policy assertion. They are not adequate as the test of it. They aggregate over the timing of license issuance, they do not absorb site fixed effects, and they do not condition on the count nature of the outcome with a likelihood-consistent estimator. The work that this dissertation undertakes is to apply the method literature that the domain literature has not yet drawn on.</w:t>
      </w:r>
    </w:p>
    <w:p>
      <w:pPr>
        <w:pStyle w:val="BodyText"/>
        <w:spacing w:line="480" w:lineRule="auto"/>
        <w:ind w:firstLine="720"/>
      </w:pPr>
      <w:r>
        <w:t xml:space="preserve">The method literature is mature and stable. Conditional Poisson fixed-effects estimation on count panels is consistent under weak distributional assumptions, supports two-way fixed effects in a manner that absorbs national demand by year and site geography by site, and admits cluster-robust standard errors at the site level. Event-study specifications with leads and lags of the treatment indicator support pre-trends checks and detect anticipation. Application-date robustness specifications, in which the date of license application is substituted for the date of license issuance, gauge whether a measured effect reflects anticipation rather than the license itself. None of these tools is novel. What is novel is the application of them to the population of FAA-licensed launch sites, the construction of the site-year panel from the FAA-published treatment and outcome series, and the disciplined statement of the contribution as a single falsifiable prediction.</w:t>
      </w:r>
    </w:p>
    <w:p>
      <w:pPr>
        <w:pStyle w:val="BodyText"/>
        <w:spacing w:line="480" w:lineRule="auto"/>
        <w:ind w:firstLine="720"/>
      </w:pPr>
      <w:r>
        <w:t xml:space="preserve">The closing of the gap is therefore not a matter of inventing an estimator or coining a framework. It is a matter of disciplined construction. The domain literature has the policy claim and the data; the method literature has the estimator and the inference; this dissertation joins them on a site-year panel of the FAA-licensed population.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of this dissertation is a single falsifiable prediction stated precisely on a site-year panel and tested with a pre-specified estimator and a pre-registered data chain. The prediction is the following. On the panel of all FAA Part 420 licensed launch sites and an explicit set of comparison sites that file but do not receive a license during the window, observed annually from 2000 through the most recent complete calendar year, the issuance of a Part 420 launch-site operator license is associated with a positive and statistically distinguishable increase in the count of launches subsequently attributed to that site within five calendar years of license issuance, conditional on national launch demand absorbed by year fixed effects and site geography absorbed by site fixed effects.</w:t>
      </w:r>
    </w:p>
    <w:p>
      <w:pPr>
        <w:pStyle w:val="BodyText"/>
        <w:spacing w:line="480" w:lineRule="auto"/>
        <w:ind w:firstLine="720"/>
      </w:pPr>
      <w:r>
        <w:t xml:space="preserve">The null hypothesis is the complement. Conditional on the same fixed effects, the issuance of a Part 420 license has no measurable effect on the count of launches subsequently attributed to that site within five calendar years of license issuance. The null is rejected or not rejected on the coefficient on the post-license indicator in the conditional Poisson fixed-effects specification at the site-clustered five-percent threshold.</w:t>
      </w:r>
    </w:p>
    <w:p>
      <w:pPr>
        <w:pStyle w:val="BodyText"/>
        <w:spacing w:line="480" w:lineRule="auto"/>
        <w:ind w:firstLine="720"/>
      </w:pPr>
      <w:r>
        <w:t xml:space="preserve">The estimand is the average percentage change in annual site launch count attributable to licensing. The estimator is the conditional Poisson fixed-effects panel regression of annual launch count at site i in year t on a post-license indicator that takes the value one in and after the year of license issuance and zero otherwise, with site fixed effects and year fixed effects. Pre-trends are tested with leads of the treatment indicator in an event-study specification around the year of license issuance. Anticipation is addressed by a robustness specification in which the date of license application is substituted for the date of license issuance. Redistribution across sites is detected by year fixed effects and by the comparison group of not-yet-licensed sites. Attribution is disciplined by coding each launch to a Part 420 site only when the FAA compendium attributes it to that site, with ambiguous cases dropped and reported. Each row of the data file records its public source.</w:t>
      </w:r>
    </w:p>
    <w:p>
      <w:pPr>
        <w:pStyle w:val="BodyText"/>
        <w:spacing w:line="480" w:lineRule="auto"/>
        <w:ind w:firstLine="720"/>
      </w:pPr>
      <w:r>
        <w:t xml:space="preserve">The contribution is exactly one number with a confidence interval, accompanied by the pre-specified leads, the robustness specification, and the data file. It is a falsifiable contribution in the precise sense that the null hypothesis can be stated in advance, the estimator can be pre-specified, the data can be assembled from public sources</w:t>
      </w:r>
      <w:r>
        <w:t xml:space="preserve"> </w:t>
      </w:r>
      <w:hyperlink w:anchor="ref-8">
        <w:r>
          <w:rPr>
            <w:rStyle w:val="Hyperlink"/>
          </w:rPr>
          <w:t xml:space="preserve">[8]</w:t>
        </w:r>
      </w:hyperlink>
      <w:r>
        <w:t xml:space="preserve">, and the test can be run. If the coefficient on the post-license indicator is positive and statistically distinguishable from zero at the site-clustered five-percent threshold, the policy assertion that licensing predicts cadence is consistent with the data. If it is not, the assertion is not consistent with the data on this panel, and the variables that do the work in the cross-site comparison, plausibly federal-range inheritance, are identified as the operative ones. Either outcome is informative. Neither outcome requires the assertion of a causal mechanism beyond the conditional prediction that the panel actually tests.</w:t>
      </w:r>
    </w:p>
    <w:p>
      <w:pPr>
        <w:pStyle w:val="BodyText"/>
        <w:spacing w:line="480" w:lineRule="auto"/>
        <w:ind w:firstLine="720"/>
      </w:pPr>
      <w:r>
        <w:t xml:space="preserve">The contribution is intentionally narrow. It does not estimate the effect of licensing on regional economic activity, on launch services prices, or on operator entry. It does not model the supply of site licenses or the political economy of license issuance. It does not extend to non-FAA launch sites or to international comparators. The narrowness is the point. A single coefficient, on a clearly specified panel, with a clearly stated null, supplies the kind of finding that NASA mission integrators, JPL launch-access planners, and federal range planners can read directly into their schedule and capacity models. The breadth that the policy literature has covered well is left to the policy literature; the empirical discipline that the method literature supplies is the contribution that this dissertation adds.</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is organized as follows.</w:t>
      </w:r>
    </w:p>
    <w:p>
      <w:pPr>
        <w:pStyle w:val="BodyText"/>
        <w:spacing w:line="480" w:lineRule="auto"/>
        <w:ind w:firstLine="720"/>
      </w:pPr>
      <w:r>
        <w:t xml:space="preserve">Chapter 2 develops the literature in two parallel strands. The first strand traces the domain literature on the FAA Part 420 licensed population, on launch-on-demand, and on the engineering and environmental constraints that condition cadence at the licensed site [2, 4, 5, 14, 15, 21, 22, 26]. The second strand traces the economics-of-launch and governance literatures on scale economies, on the transition from legacy to New Space arrangements, and on the role of range co-location as the binding capacity [3, 6, 9, 10, 27]. The chapter closes by stating the empirical gap as the intersection of the two strands and as the absence of a site-year panel test of the policy claim.</w:t>
      </w:r>
    </w:p>
    <w:p>
      <w:pPr>
        <w:pStyle w:val="BodyText"/>
        <w:spacing w:line="480" w:lineRule="auto"/>
        <w:ind w:firstLine="720"/>
      </w:pPr>
      <w:r>
        <w:t xml:space="preserve">Chapter 3 specifies the estimator and the identifying assumptions. The conditional Poisson fixed-effects specification, the parallel-trends assumption, the event-study leads, the application-date robustness specification, and the ever-treated restriction are stated in full. The chapter justifies the count likelihood by the non-negative integer character of the outcome and the non-trivial mass at zero, and justifies the site-clustered inference by the within-site dependence that geography and operator strategy induce.</w:t>
      </w:r>
    </w:p>
    <w:p>
      <w:pPr>
        <w:pStyle w:val="BodyText"/>
        <w:spacing w:line="480" w:lineRule="auto"/>
        <w:ind w:firstLine="720"/>
      </w:pPr>
      <w:r>
        <w:t xml:space="preserve">Chapter 4 documents the data and provenance. The FAA Office of Commercial Space Transportation Licensed Launch Sites list supplies the treatment variable</w:t>
      </w:r>
      <w:r>
        <w:t xml:space="preserve"> </w:t>
      </w:r>
      <w:hyperlink w:anchor="ref-8">
        <w:r>
          <w:rPr>
            <w:rStyle w:val="Hyperlink"/>
          </w:rPr>
          <w:t xml:space="preserve">[8]</w:t>
        </w:r>
      </w:hyperlink>
      <w:r>
        <w:t xml:space="preserve">. The FAA Commercial Space Transportation annual compendium supplies the outcome variable, cross-checked against the FAA launch-and-reentry record. Suborbital and orbital launches are coded separately so that the specification can be re-estimated on each sub-outcome. The chapter records the panel structure, the source URL for each annual extract, and the rules for dropping ambiguous attributions.</w:t>
      </w:r>
    </w:p>
    <w:p>
      <w:pPr>
        <w:pStyle w:val="BodyText"/>
        <w:spacing w:line="480" w:lineRule="auto"/>
        <w:ind w:firstLine="720"/>
      </w:pPr>
      <w:r>
        <w:t xml:space="preserve">Chapter 5 presents the companion analyses that prepare the ground for the principal estimation. A pooled ordinary least squares panel of twelve site-years frames the cross-site comparison and isolates the federal-range inheritance variable as the dominant cross-site predictor. A robust ordinary least squares state-year panel from 2018 through 2023 establishes that licensed-site stock and prior federal-range co-location are both conditionally associated with cadence at similar magnitudes once coastal access is partialled out. The two companions are reported in full so that the principal estimation in Chapter 6 inherits their framing.</w:t>
      </w:r>
    </w:p>
    <w:p>
      <w:pPr>
        <w:pStyle w:val="BodyText"/>
        <w:spacing w:line="480" w:lineRule="auto"/>
        <w:ind w:firstLine="720"/>
      </w:pPr>
      <w:r>
        <w:t xml:space="preserve">Chapter 6 reports the principal estimation. The conditional Poisson fixed-effects coefficient on the post-license indicator is reported with its site-clustered standard error and its event-study leads. The pre-trends check, the application-date robustness specification, and the ever-treated restriction are reported in the same table. The coefficient is interpreted as the average percentage change in annual site launch count attributable to licensing, and the null hypothesis is rejected or not rejected at the site-clustered five-percent threshold.</w:t>
      </w:r>
    </w:p>
    <w:p>
      <w:pPr>
        <w:pStyle w:val="BodyText"/>
        <w:spacing w:line="480" w:lineRule="auto"/>
        <w:ind w:firstLine="720"/>
      </w:pPr>
      <w:r>
        <w:t xml:space="preserve">Chapter 7 reads the principal estimation into three decisions whose calibration depends on it: NASA’s launch-services contracting, JPL’s planetary mission integration, and federal range planning. The chapter is deliberately narrow. It does not extend the coefficient beyond the panel on which it is estimated, and it does not assert a causal mechanism beyond the conditional prediction. It does identify the decisions whose schedule risk and capacity assumptions are sharpened by replacing the policy assertion with the coefficient.</w:t>
      </w:r>
    </w:p>
    <w:p>
      <w:pPr>
        <w:pStyle w:val="BodyText"/>
        <w:spacing w:line="480" w:lineRule="auto"/>
        <w:ind w:firstLine="720"/>
      </w:pPr>
      <w:r>
        <w:t xml:space="preserve">Chapter 8 closes with the limitations of the design, the natural extensions to a richer count likelihood, a longer panel, and an explicit instrument for the timing of license issuance, and the open questions that a single site-year panel cannot answer. The dissertation ends where it began: with a single coefficient on a single panel, a single null hypothesis, and a single data file whose every row records its public source</w:t>
      </w:r>
      <w:r>
        <w:t xml:space="preserve"> </w:t>
      </w:r>
      <w:hyperlink w:anchor="ref-8">
        <w:r>
          <w:rPr>
            <w:rStyle w:val="Hyperlink"/>
          </w:rPr>
          <w:t xml:space="preserve">[8]</w:t>
        </w:r>
      </w:hyperlink>
      <w:r>
        <w:t xml:space="preserve">.</w:t>
      </w:r>
    </w:p>
    <w:bookmarkEnd w:id="64"/>
    <w:bookmarkEnd w:id="65"/>
    <w:bookmarkStart w:id="83" w:name="chapter-2.-literature-review"/>
    <w:p>
      <w:pPr>
        <w:pStyle w:val="Heading1"/>
        <w:spacing w:line="480" w:lineRule="auto"/>
      </w:pPr>
      <w:r>
        <w:t xml:space="preserve">Chapter 2. Literature Review</w:t>
      </w:r>
    </w:p>
    <w:bookmarkStart w:id="66" w:name="orientation-and-scope-of-the-review"/>
    <w:p>
      <w:pPr>
        <w:pStyle w:val="Heading2"/>
        <w:spacing w:line="480" w:lineRule="auto"/>
      </w:pPr>
      <w:r>
        <w:t xml:space="preserve">2.1 Orientation and Scope of the Review</w:t>
      </w:r>
    </w:p>
    <w:p>
      <w:pPr>
        <w:pStyle w:val="FirstParagraph"/>
        <w:spacing w:line="480" w:lineRule="auto"/>
      </w:pPr>
      <w:r>
        <w:t xml:space="preserve">The empirical question that organizes this dissertation is whether the issuance of a Federal Aviation Administration (FAA) Part 420 launch-site operator license predicts subsequent regional launch cadence at the licensed site. That question sits at the intersection of two largely unjoined bodies of scholarship. The first is a domain-technical and policy literature on launch infrastructure, spaceport governance, range services, and the operational economics of launch operations. The second is a methodological literature on cliometric and econometric panel inference, in which discrete administrative events are treated as quasi-experimental interventions whose conditional effect on outcomes can be estimated under explicit identifying assumptions. The two literatures have, to date, run in parallel rather than in conversation. The domain literature has accumulated rich descriptive and conceptual material on the licensed-site population but has rarely framed licensure as an estimable treatment. The methodological literature has matured a toolkit for panel-event analysis but has not, in the retrieved corpus, been applied to the FAA Part 420 site population.</w:t>
      </w:r>
    </w:p>
    <w:p>
      <w:pPr>
        <w:pStyle w:val="BodyText"/>
        <w:spacing w:line="480" w:lineRule="auto"/>
        <w:ind w:firstLine="720"/>
      </w:pPr>
      <w:r>
        <w:t xml:space="preserve">This chapter reviews each strand in turn and then identifies the analytic gap that the dissertation enters. Section 2.2 reviews the domain-technical literature on FAA-licensed sites, range services, and the geography of the U.S. launch base. Section 2.3 reviews the broader governance and sustainability scholarship that situates licensing within the Legacy-to-New-Space transition. Section 2.4 reviews the space-economy literature on cadence, scale economies, and the economic structure of launch operations. Section 2.5 reviews the cliometric and panel-econometric literature relevant to the dissertation’s identification strategy, drawing the methodological inheritance from comparable site-year and event-time designs that appear, in adjacent form, in the retrieved technical and policy corpus. Section 2.6 synthesizes the two literatures and states the gap that the prospectus targets [1, 2, 3, 4].</w:t>
      </w:r>
    </w:p>
    <w:bookmarkEnd w:id="66"/>
    <w:bookmarkStart w:id="73" w:name="X5a0ef14343cff8f7d7bbf4afcc936c60f084dc9"/>
    <w:p>
      <w:pPr>
        <w:pStyle w:val="Heading2"/>
        <w:spacing w:line="480" w:lineRule="auto"/>
      </w:pPr>
      <w:r>
        <w:t xml:space="preserve">2.2 The Domain-Technical Literature on FAA-Licensed Launch Sites</w:t>
      </w:r>
    </w:p>
    <w:bookmarkStart w:id="67" w:name="X0f4fd9f47fcb33fd771050f9122ea95111f7e99"/>
    <w:p>
      <w:pPr>
        <w:pStyle w:val="Heading3"/>
        <w:spacing w:line="480" w:lineRule="auto"/>
      </w:pPr>
      <w:r>
        <w:t xml:space="preserve">2.2.1 The licensed-site population as a policy object</w:t>
      </w:r>
    </w:p>
    <w:p>
      <w:pPr>
        <w:pStyle w:val="FirstParagraph"/>
        <w:spacing w:line="480" w:lineRule="auto"/>
      </w:pPr>
      <w:r>
        <w:t xml:space="preserve">The point of departure for the domain literature is the recognition that the FAA Part 420 launch-site operator license is an administrative object that delineates a population of sites with the legal capacity to host launches by separately licensed vehicle operators. Shockley and Bettinger establish this framing in their analysis of launch-on-demand capabilities, treating the network of FAA-licensed sites as the physical and regulatory substrate of U.S. launch capacity, and observing that the licensed network has expanded materially over the last two decades [2, 5]. Their analysis is descriptive and policy-oriented rather than econometric; the licensed-site population is enumerated, geographic patterns are observed, and the operational implications for launch-on-demand are inferred from the dispersion of the network across coastal and inland geographies. The companion strategic-launch-on-demand evaluation extends the same population-level framing through a comparative reading of the FAA-licensed sites and adjacent access frameworks [5, 14]. The list-of-sites itself is maintained by the FAA Office of Commercial Space Transportation and is the canonical source from which the population is drawn</w:t>
      </w:r>
      <w:r>
        <w:t xml:space="preserve"> </w:t>
      </w:r>
      <w:hyperlink w:anchor="ref-8">
        <w:r>
          <w:rPr>
            <w:rStyle w:val="Hyperlink"/>
          </w:rPr>
          <w:t xml:space="preserve">[8]</w:t>
        </w:r>
      </w:hyperlink>
      <w:r>
        <w:t xml:space="preserve">.</w:t>
      </w:r>
    </w:p>
    <w:p>
      <w:pPr>
        <w:pStyle w:val="BodyText"/>
        <w:spacing w:line="480" w:lineRule="auto"/>
        <w:ind w:firstLine="720"/>
      </w:pPr>
      <w:r>
        <w:t xml:space="preserve">Two analytic features of this literature deserve emphasis. First, the licensed-site population is treated as enumerable and bounded. The set of sites is finite, the date of license issuance is administratively recorded, and the population can be observed in panel form across years. Second, the literature is interpretive rather than inferential. The connection between licensing and subsequent activity is taken as conceptually plausible, and the dispersion of the licensed network is read as an indicator of cadence potential, but the conditional effect of licensure on cadence is not estimated. The licensure event is described but not measured against an explicit counterfactual.</w:t>
      </w:r>
    </w:p>
    <w:bookmarkEnd w:id="67"/>
    <w:bookmarkStart w:id="68" w:name="X41f47f05c14375281b21713c477f6ff5d4884ca"/>
    <w:p>
      <w:pPr>
        <w:pStyle w:val="Heading3"/>
        <w:spacing w:line="480" w:lineRule="auto"/>
      </w:pPr>
      <w:r>
        <w:t xml:space="preserve">2.2.2 Attribution of activity to licensed sites</w:t>
      </w:r>
    </w:p>
    <w:p>
      <w:pPr>
        <w:pStyle w:val="FirstParagraph"/>
        <w:spacing w:line="480" w:lineRule="auto"/>
      </w:pPr>
      <w:r>
        <w:t xml:space="preserve">A second strand of the domain literature concerns the attribution of launch and on-orbit activity to specific licensed sites. Roberts and Linares’ survey of International Telecommunication Union (ITU) geosynchronous filings establishes one such attribution chain, in which spacecraft of GEO origin can be matched, through their filings and operator records, to specific launch sites of departure [1, 7, 13]. The substantive aim of that work is to characterize the GEO regime rather than the launch base, but the methodological inheritance for the present dissertation is that the practice of mapping observed space activity onto specific licensed sites is already established in the retrieved literature. Where Roberts and Linares attribute spacecraft origin from ITU records to FAA-licensed site of departure, the present study attributes annual launch counts from the FAA compendium to FAA-licensed sites. The attribution chain is operationally similar, even if the outcome variable differs.</w:t>
      </w:r>
    </w:p>
    <w:bookmarkEnd w:id="68"/>
    <w:bookmarkStart w:id="69" w:name="X9e4707d8f25d5a43cbd5a7e67cd0f7e8ca002b4"/>
    <w:p>
      <w:pPr>
        <w:pStyle w:val="Heading3"/>
        <w:spacing w:line="480" w:lineRule="auto"/>
      </w:pPr>
      <w:r>
        <w:t xml:space="preserve">2.2.3 Site infrastructure, range co-location, and the inheritance of capacity</w:t>
      </w:r>
    </w:p>
    <w:p>
      <w:pPr>
        <w:pStyle w:val="FirstParagraph"/>
        <w:spacing w:line="480" w:lineRule="auto"/>
      </w:pPr>
      <w:r>
        <w:t xml:space="preserve">A third strand of the domain literature concerns the physical infrastructure that the licensure does and does not supply. Santoro and colleagues analyze spaceport and ground-segment assessment for suborbital transportation in the Italian context, identifying the constellation of telemetry, range surveillance, downrange clearance, and ground-support functions that any sustained cadence requires</w:t>
      </w:r>
      <w:r>
        <w:t xml:space="preserve"> </w:t>
      </w:r>
      <w:hyperlink w:anchor="ref-21">
        <w:r>
          <w:rPr>
            <w:rStyle w:val="Hyperlink"/>
          </w:rPr>
          <w:t xml:space="preserve">[21]</w:t>
        </w:r>
      </w:hyperlink>
      <w:r>
        <w:t xml:space="preserve">. The Italian assessment is national rather than U.S.-specific, but the structural observation transfers directly: the licensure event confers regulatory authority, while the infrastructure that operationalizes that authority is supplied either by a co-located federal range or by capital investment at the site itself. Melo and colleagues extend the same observation in their sustainability analysis of new launch facility planning, in which the siting decision is shown to be conditioned on inherited environmental, hazard, and clearance infrastructure as much as on regulatory standing</w:t>
      </w:r>
      <w:r>
        <w:t xml:space="preserve"> </w:t>
      </w:r>
      <w:hyperlink w:anchor="ref-22">
        <w:r>
          <w:rPr>
            <w:rStyle w:val="Hyperlink"/>
          </w:rPr>
          <w:t xml:space="preserve">[22]</w:t>
        </w:r>
      </w:hyperlink>
      <w:r>
        <w:t xml:space="preserve">. Baiocco and colleagues survey the context and perspectives of suborbital activities and the airspace and ground-support framework that surrounds them, again documenting that the operational substrate of cadence is multidimensional and only partially captured by the licensure event</w:t>
      </w:r>
      <w:r>
        <w:t xml:space="preserve"> </w:t>
      </w:r>
      <w:hyperlink w:anchor="ref-26">
        <w:r>
          <w:rPr>
            <w:rStyle w:val="Hyperlink"/>
          </w:rPr>
          <w:t xml:space="preserve">[26]</w:t>
        </w:r>
      </w:hyperlink>
      <w:r>
        <w:t xml:space="preserve">. Fusaro, Saccone and Viola’s conceptual-design treatment of air-breathing reusable access to space contributes a further structural observation, in which the operational ceiling of any high-cadence concept is set by the integrated capacity of the airspace, range, and ground-support stack rather than by regulatory authority alone</w:t>
      </w:r>
      <w:r>
        <w:t xml:space="preserve"> </w:t>
      </w:r>
      <w:hyperlink w:anchor="ref-27">
        <w:r>
          <w:rPr>
            <w:rStyle w:val="Hyperlink"/>
          </w:rPr>
          <w:t xml:space="preserve">[27]</w:t>
        </w:r>
      </w:hyperlink>
      <w:r>
        <w:t xml:space="preserve">.</w:t>
      </w:r>
    </w:p>
    <w:p>
      <w:pPr>
        <w:pStyle w:val="BodyText"/>
        <w:spacing w:line="480" w:lineRule="auto"/>
        <w:ind w:firstLine="720"/>
      </w:pPr>
      <w:r>
        <w:t xml:space="preserve">The cumulative message of this strand is that licensure and cadence are connected by a chain whose intermediate links are infrastructural. A licensed greenfield inland site and a licensed federal-range adjunct are not equivalent treatments. The first inherits regulatory authority and little else; the second inherits regulatory authority together with the infrastructural stack that operationalizes it. The point is conceptually familiar to the domain literature but has not been translated into a panel-econometric specification in which the two are separately identified.</w:t>
      </w:r>
    </w:p>
    <w:bookmarkEnd w:id="69"/>
    <w:bookmarkStart w:id="70" w:name="X4320766e9fb4aa2362f4023d7baeef2ac1195a2"/>
    <w:p>
      <w:pPr>
        <w:pStyle w:val="Heading3"/>
        <w:spacing w:line="480" w:lineRule="auto"/>
      </w:pPr>
      <w:r>
        <w:t xml:space="preserve">2.2.4 Rapid-launch concepts and the cadence ceiling</w:t>
      </w:r>
    </w:p>
    <w:p>
      <w:pPr>
        <w:pStyle w:val="FirstParagraph"/>
        <w:spacing w:line="480" w:lineRule="auto"/>
      </w:pPr>
      <w:r>
        <w:t xml:space="preserve">A fourth strand of the domain literature concerns conceptual frameworks for rapid launch and the cadence ceiling that physical infrastructure imposes. Reid’s conceptual framework for a rapid space launch capability is the most directly relevant retrieved source [4, 15]. Reid treats terrestrial sites as the historical baseline for cadence and elaborates the constraints that licensed-site infrastructure imposes on the achievable launch interval. The framework is conceptual rather than estimative; the question of whether observed sites in fact realize the cadence that the framework conceives is left open. The dissertation’s hypothesis can be read, in part, as an empirical interrogation of Reid’s framework: if the licensed-site population is the substrate on which rapid-launch concepts are to be built, then the conditional effect of licensure on cadence is the first quantity that must be measured. The framework also clarifies that the licensure event is one of several constraints on cadence and that range co-location, operator strategy, and payload availability are co-equal in the conceptual model. Translating the conceptual model into an estimable specification requires conditioning on the co-equal constraints, which is the move that the dissertation’s two-way fixed-effects design is designed to make.</w:t>
      </w:r>
    </w:p>
    <w:bookmarkEnd w:id="70"/>
    <w:bookmarkStart w:id="71" w:name="comparative-and-national-assessments"/>
    <w:p>
      <w:pPr>
        <w:pStyle w:val="Heading3"/>
        <w:spacing w:line="480" w:lineRule="auto"/>
      </w:pPr>
      <w:r>
        <w:t xml:space="preserve">2.2.5 Comparative and national assessments</w:t>
      </w:r>
    </w:p>
    <w:p>
      <w:pPr>
        <w:pStyle w:val="FirstParagraph"/>
        <w:spacing w:line="480" w:lineRule="auto"/>
      </w:pPr>
      <w:r>
        <w:t xml:space="preserve">A fifth strand reaches outside the U.S. context for comparative leverage. Davis’ analysis of Australia’s emerging space policy and burden-sharing posture treats spaceport development as a policy variable embedded in defense, sustainability, and industrial considerations, with siting and licensure as the levers through which the state shapes cadence potential</w:t>
      </w:r>
      <w:r>
        <w:t xml:space="preserve"> </w:t>
      </w:r>
      <w:hyperlink w:anchor="ref-17">
        <w:r>
          <w:rPr>
            <w:rStyle w:val="Hyperlink"/>
          </w:rPr>
          <w:t xml:space="preserve">[17]</w:t>
        </w:r>
      </w:hyperlink>
      <w:r>
        <w:t xml:space="preserve">. The Space Industry Association of Australia’s roadmap for an economic-technological renaissance in space takes the comparative argument further, identifying coastal access and prior range presence as the two physical preconditions for sustained cadence and treating licensure as the regulatory enabler rather than the cadence driver</w:t>
      </w:r>
      <w:r>
        <w:t xml:space="preserve"> </w:t>
      </w:r>
      <w:hyperlink w:anchor="ref-11">
        <w:r>
          <w:rPr>
            <w:rStyle w:val="Hyperlink"/>
          </w:rPr>
          <w:t xml:space="preserve">[11]</w:t>
        </w:r>
      </w:hyperlink>
      <w:r>
        <w:t xml:space="preserve">. The cumulative implication of the comparative literature is that the U.S. licensed-site population sits within a broader international pattern in which licensure is a necessary but non-sufficient determinant of cadence, and in which physical-infrastructure inheritance does much of the substantive work. Sundberg, Nylund and Rasmusson’s treatment of Swedish national interests in space situational awareness, while focused on SSA rather than on launch operations, supplies an additional comparative case in which national infrastructure and regulatory authority are jointly read as the structural conditions of national space activity</w:t>
      </w:r>
      <w:r>
        <w:t xml:space="preserve"> </w:t>
      </w:r>
      <w:hyperlink w:anchor="ref-20">
        <w:r>
          <w:rPr>
            <w:rStyle w:val="Hyperlink"/>
          </w:rPr>
          <w:t xml:space="preserve">[20]</w:t>
        </w:r>
      </w:hyperlink>
      <w:r>
        <w:t xml:space="preserve">.</w:t>
      </w:r>
    </w:p>
    <w:bookmarkEnd w:id="71"/>
    <w:bookmarkStart w:id="72" w:name="Xe6fe17302eeec5ced73e2dbe7ebaa86dd1f7c0c"/>
    <w:p>
      <w:pPr>
        <w:pStyle w:val="Heading3"/>
        <w:spacing w:line="480" w:lineRule="auto"/>
      </w:pPr>
      <w:r>
        <w:t xml:space="preserve">2.2.6 What the domain-technical literature does and does not deliver</w:t>
      </w:r>
    </w:p>
    <w:p>
      <w:pPr>
        <w:pStyle w:val="FirstParagraph"/>
        <w:spacing w:line="480" w:lineRule="auto"/>
      </w:pPr>
      <w:r>
        <w:t xml:space="preserve">Taken together, the domain-technical literature delivers four assets to the dissertation. It enumerates the licensed-site population [2, 5, 8]. It establishes the practice of attributing observed activity to specific licensed sites [1, 7, 13]. It identifies the infrastructural and range-co-location variables that condition cadence [21, 22, 26, 27]. It supplies a conceptual framework against which the empirical question can be posed [4, 15]. What it does not deliver is an estimated conditional effect of licensure on cadence on a panel of licensed sites. The treatment-and-outcome framing is conceptually available but methodologically absent. The gap is not one of substantive ignorance but of inferential ambition. The domain literature has accumulated the materials from which the test can be constructed without itself constructing the test.</w:t>
      </w:r>
    </w:p>
    <w:bookmarkEnd w:id="72"/>
    <w:bookmarkEnd w:id="73"/>
    <w:bookmarkStart w:id="74" w:name="X4b033a1c4104c7b53c6ad90665f38b931e34964"/>
    <w:p>
      <w:pPr>
        <w:pStyle w:val="Heading2"/>
        <w:spacing w:line="480" w:lineRule="auto"/>
      </w:pPr>
      <w:r>
        <w:t xml:space="preserve">2.3 The Governance Literature on the Legacy-to-New-Space Transition</w:t>
      </w:r>
    </w:p>
    <w:p>
      <w:pPr>
        <w:pStyle w:val="FirstParagraph"/>
        <w:spacing w:line="480" w:lineRule="auto"/>
      </w:pPr>
      <w:r>
        <w:t xml:space="preserve">The governance literature situates the licensed-site population within the broader transition from Legacy Space to New Space institutional arrangements. Zancan, Paravano, Locatelli and Trucco offer the most explicit retrieved framing of this transition, characterizing the governance shift from state-anchored, range-co-located cadence to dispersed, operator-owned, and state-authority-hosted cadence</w:t>
      </w:r>
      <w:r>
        <w:t xml:space="preserve"> </w:t>
      </w:r>
      <w:hyperlink w:anchor="ref-9">
        <w:r>
          <w:rPr>
            <w:rStyle w:val="Hyperlink"/>
          </w:rPr>
          <w:t xml:space="preserve">[9]</w:t>
        </w:r>
      </w:hyperlink>
      <w:r>
        <w:t xml:space="preserve">. Their analysis is theoretical and conceptual; the empirical content is illustrative rather than estimative. The dissertation inherits from Zancan and colleagues the framing that licensure is a governance instrument whose effect on cadence is mediated by the inherited infrastructural stack, and that the Legacy-to-New-Space transition is properly characterized not as a wholesale replacement of one governance form by another but as the emergence of a dispersed licensed-site network atop the inherited federal-range base.</w:t>
      </w:r>
    </w:p>
    <w:p>
      <w:pPr>
        <w:pStyle w:val="BodyText"/>
        <w:spacing w:line="480" w:lineRule="auto"/>
        <w:ind w:firstLine="720"/>
      </w:pPr>
      <w:r>
        <w:t xml:space="preserve">Allison’s treatment of WRC-19 and the new space law enabling LEO sustainability extends the governance framing into the spectrum and orbital-regime domain, where licensure is again the governance instrument whose effect on activity is conditioned on inherited capacity and on operator strategy</w:t>
      </w:r>
      <w:r>
        <w:t xml:space="preserve"> </w:t>
      </w:r>
      <w:hyperlink w:anchor="ref-19">
        <w:r>
          <w:rPr>
            <w:rStyle w:val="Hyperlink"/>
          </w:rPr>
          <w:t xml:space="preserve">[19]</w:t>
        </w:r>
      </w:hyperlink>
      <w:r>
        <w:t xml:space="preserve">. Harrison’s analysis of international perspectives on space weapons supplies the strategic background against which national licensing regimes are read, in which the dispersion of the licensed-site network is interpreted in part as a strategic-resilience choice</w:t>
      </w:r>
      <w:r>
        <w:t xml:space="preserve"> </w:t>
      </w:r>
      <w:hyperlink w:anchor="ref-18">
        <w:r>
          <w:rPr>
            <w:rStyle w:val="Hyperlink"/>
          </w:rPr>
          <w:t xml:space="preserve">[18]</w:t>
        </w:r>
      </w:hyperlink>
      <w:r>
        <w:t xml:space="preserve">. Young and Thadani’s analysis of low-orbit broadband competition characterizes the demand environment that licensed sites are expected to serve, in which the cadence ceiling implied by the licensed-site population must accommodate the constellation-deployment cadence that LEO broadband requires</w:t>
      </w:r>
      <w:r>
        <w:t xml:space="preserve"> </w:t>
      </w:r>
      <w:hyperlink w:anchor="ref-16">
        <w:r>
          <w:rPr>
            <w:rStyle w:val="Hyperlink"/>
          </w:rPr>
          <w:t xml:space="preserve">[16]</w:t>
        </w:r>
      </w:hyperlink>
      <w:r>
        <w:t xml:space="preserve">. The governance literature does not, in any retrieved source, estimate the conditional effect of licensure on site cadence; what it supplies is a structural account of the governance environment within which the licensed-site population is embedded, and an explicit recognition that licensure and cadence are connected by mechanisms whose empirical character is open.</w:t>
      </w:r>
    </w:p>
    <w:p>
      <w:pPr>
        <w:pStyle w:val="BodyText"/>
        <w:spacing w:line="480" w:lineRule="auto"/>
        <w:ind w:firstLine="720"/>
      </w:pPr>
      <w:r>
        <w:t xml:space="preserve">Sustainability scholarship reinforces the governance framing from a different angle. Varughese and colleagues’ transdisciplinary and bi-cultural treatment of the intersection of space and sustainability frames licensure within a sustainability discourse in which the social license to operate is partly conferred by the regulatory license and partly by the surrounding institutional, environmental, and community arrangements [12, 23]. Dominguez Calabuig and colleagues’ environmental life-cycle assessment of reusable launch-vehicle fleets translates the sustainability framing into a quantitative analysis of exhaust-emission climate impact, with the implication that cadence growth at licensed sites carries environmental externalities whose measurement and governance are at stake in the cadence question itself</w:t>
      </w:r>
      <w:r>
        <w:t xml:space="preserve"> </w:t>
      </w:r>
      <w:hyperlink w:anchor="ref-10">
        <w:r>
          <w:rPr>
            <w:rStyle w:val="Hyperlink"/>
          </w:rPr>
          <w:t xml:space="preserve">[10]</w:t>
        </w:r>
      </w:hyperlink>
      <w:r>
        <w:t xml:space="preserve">. Chavy-Macdonald, Oizumi, Kneib and Aoyama’s cis-lunar ecosystem model situates the licensed-site cadence question within the longer-horizon trajectory of a cis-lunar resource industry, in which licensed-site cadence on Earth conditions the achievable cis-lunar architecture</w:t>
      </w:r>
      <w:r>
        <w:t xml:space="preserve"> </w:t>
      </w:r>
      <w:hyperlink w:anchor="ref-24">
        <w:r>
          <w:rPr>
            <w:rStyle w:val="Hyperlink"/>
          </w:rPr>
          <w:t xml:space="preserve">[24]</w:t>
        </w:r>
      </w:hyperlink>
      <w:r>
        <w:t xml:space="preserve">. Menges and Cannon’s analysis of natural landing pads on the Moon and Mars extends the same observation into the lunar and Martian operational environment, reinforcing the structural argument that licensed-site cadence on Earth is the cadence floor that the broader cis-lunar architecture inherits</w:t>
      </w:r>
      <w:r>
        <w:t xml:space="preserve"> </w:t>
      </w:r>
      <w:hyperlink w:anchor="ref-28">
        <w:r>
          <w:rPr>
            <w:rStyle w:val="Hyperlink"/>
          </w:rPr>
          <w:t xml:space="preserve">[28]</w:t>
        </w:r>
      </w:hyperlink>
      <w:r>
        <w:t xml:space="preserve">.</w:t>
      </w:r>
    </w:p>
    <w:p>
      <w:pPr>
        <w:pStyle w:val="BodyText"/>
        <w:spacing w:line="480" w:lineRule="auto"/>
        <w:ind w:firstLine="720"/>
      </w:pPr>
      <w:r>
        <w:t xml:space="preserve">The governance literature, in sum, supplies the institutional and sustainability context within which the licensed-site cadence question is meaningful. It does not itself estimate the conditional effect that the dissertation seeks to measure.</w:t>
      </w:r>
    </w:p>
    <w:bookmarkEnd w:id="74"/>
    <w:bookmarkStart w:id="75" w:name="X9194cfb282fa22ef1b58d2fdc876549be1299a3"/>
    <w:p>
      <w:pPr>
        <w:pStyle w:val="Heading2"/>
        <w:spacing w:line="480" w:lineRule="auto"/>
      </w:pPr>
      <w:r>
        <w:t xml:space="preserve">2.4 The Space-Economy Literature on Cadence, Scale, and Operations</w:t>
      </w:r>
    </w:p>
    <w:p>
      <w:pPr>
        <w:pStyle w:val="FirstParagraph"/>
        <w:spacing w:line="480" w:lineRule="auto"/>
      </w:pPr>
      <w:r>
        <w:t xml:space="preserve">The space-economy literature supplies the third strand of the domain context. The McKinsey Global Institute and World Economic Forum synthesis on the role of space in driving sustainability, security, and development articulates the central economic mechanism that the dissertation’s hypothesis must accommodate: increases in launch volume drive economies of scale in launch operations, lowering marginal cost and pulling additional launches forward, with the result that sites that enter the cadence regime earlier accrue compounding scale advantages [3, 6]. The synthesis is descriptive and aggregative rather than site-specific; the unit of analysis is the global launch sector rather than the FAA-licensed site. The implication for the dissertation is that the cadence response to licensure cannot be read as a simple step function. A licensed site that enters the cadence regime accrues, in addition to the immediate cadence effect of regulatory authority, the secondary cadence effect of scale economies that compound as launch volume rises. The estimator must therefore accommodate the possibility that the post-license cadence path is non-linear, that early-entrant sites realize the cadence response more readily than late-entrant sites, and that the never-treated comparison group provides the appropriate counterfactual for the conditional effect.</w:t>
      </w:r>
    </w:p>
    <w:p>
      <w:pPr>
        <w:pStyle w:val="BodyText"/>
        <w:spacing w:line="480" w:lineRule="auto"/>
        <w:ind w:firstLine="720"/>
      </w:pPr>
      <w:r>
        <w:t xml:space="preserve">The Space Industry Association of Australia’s roadmap and related comparative national assessments supplement the synthesis by identifying the structural co-determinants of the cadence response: coastal access, prior range presence, anchor-tenant demand, and the institutional capacity of the sponsoring authority</w:t>
      </w:r>
      <w:r>
        <w:t xml:space="preserve"> </w:t>
      </w:r>
      <w:hyperlink w:anchor="ref-11">
        <w:r>
          <w:rPr>
            <w:rStyle w:val="Hyperlink"/>
          </w:rPr>
          <w:t xml:space="preserve">[11]</w:t>
        </w:r>
      </w:hyperlink>
      <w:r>
        <w:t xml:space="preserve">. The cadence question is again framed as conditional on inherited capacity rather than as a function of licensure alone. The Selvamurgan, Lightsey and Ho treatment of time-optimal trajectory design for distributed space systems supplies, from the operational side, the observation that the demand for launches is itself shaped by the trajectory and constellation architectures that are operationally feasible, with cadence at the licensed site as one of the upstream constraints in the architecture</w:t>
      </w:r>
      <w:r>
        <w:t xml:space="preserve"> </w:t>
      </w:r>
      <w:hyperlink w:anchor="ref-25">
        <w:r>
          <w:rPr>
            <w:rStyle w:val="Hyperlink"/>
          </w:rPr>
          <w:t xml:space="preserve">[25]</w:t>
        </w:r>
      </w:hyperlink>
      <w:r>
        <w:t xml:space="preserve">. The space-economy literature does not, in any retrieved source, estimate the conditional effect of site licensure on site cadence. What it supplies is the economic mechanism that the empirical test must accommodate and the structural co-determinants that the specification must condition on.</w:t>
      </w:r>
    </w:p>
    <w:bookmarkEnd w:id="75"/>
    <w:bookmarkStart w:id="81" w:name="Xa08acf9d8dde0d1057ff7818eceb492ba14a694"/>
    <w:p>
      <w:pPr>
        <w:pStyle w:val="Heading2"/>
        <w:spacing w:line="480" w:lineRule="auto"/>
      </w:pPr>
      <w:r>
        <w:t xml:space="preserve">2.5 The Cliometric and Panel-Econometric Methodological Literature</w:t>
      </w:r>
    </w:p>
    <w:p>
      <w:pPr>
        <w:pStyle w:val="FirstParagraph"/>
        <w:spacing w:line="480" w:lineRule="auto"/>
      </w:pPr>
      <w:r>
        <w:t xml:space="preserve">The methodological literature relevant to the dissertation is, in the retrieved corpus, distributed across the domain sources rather than concentrated in a single methodological corpus. The cliometric and panel-econometric inheritance is therefore reconstructed from the methodological choices made in adjacent empirical work and from the conceptual framing supplied by the domain literature itself. Four methodological themes organize the inheritance.</w:t>
      </w:r>
    </w:p>
    <w:bookmarkStart w:id="76" w:name="X094251d222aff8f9bc1cc0f8bbd4b00d12ba7de"/>
    <w:p>
      <w:pPr>
        <w:pStyle w:val="Heading3"/>
        <w:spacing w:line="480" w:lineRule="auto"/>
      </w:pPr>
      <w:r>
        <w:t xml:space="preserve">2.5.1 The site-year panel as a unit of analysis</w:t>
      </w:r>
    </w:p>
    <w:p>
      <w:pPr>
        <w:pStyle w:val="FirstParagraph"/>
        <w:spacing w:line="480" w:lineRule="auto"/>
      </w:pPr>
      <w:r>
        <w:t xml:space="preserve">The first methodological theme is the treatment of the site-year as the appropriate unit of analysis. The domain literature on FAA-licensed sites enumerates the population at the site level and observes activity at the annual level, so the site-year is the natural unit at which the licensure event and the cadence outcome can be jointly measured [2, 5, 8]. The companion papers of this dissertation operationalize the site-year and the state-year, respectively, drawing the unit of analysis from the structure of the available administrative data rather than from a methodological argument first principles. The methodological literature, where it is implicit in the retrieved domain sources, supports this choice: the licensure event is administratively dated at the site level and the cadence outcome is administratively reported at the site-year level, so any estimator that respects the structure of the data must take the site-year as its unit. The site-year framing inherits from the broader cliometric tradition the recognition that the appropriate unit is the unit at which both treatment and outcome are observed, and that aggregation above or disaggregation below that unit introduces inferential cost without inferential gain.</w:t>
      </w:r>
    </w:p>
    <w:bookmarkEnd w:id="76"/>
    <w:bookmarkStart w:id="77" w:name="X5745a37086e94fe1b01a1bcfe4be0e3fe463073"/>
    <w:p>
      <w:pPr>
        <w:pStyle w:val="Heading3"/>
        <w:spacing w:line="480" w:lineRule="auto"/>
      </w:pPr>
      <w:r>
        <w:t xml:space="preserve">2.5.2 Discrete administrative events as quasi-experimental treatments</w:t>
      </w:r>
    </w:p>
    <w:p>
      <w:pPr>
        <w:pStyle w:val="FirstParagraph"/>
        <w:spacing w:line="480" w:lineRule="auto"/>
      </w:pPr>
      <w:r>
        <w:t xml:space="preserve">The second methodological theme is the treatment of discrete administrative events as quasi-experimental interventions. The licensure event is a discrete state change: a site that did not have Part 420 authority on a given date has it on the date of issuance. The cliometric tradition recognizes such administrative state changes as candidates for difference-in-differences and event-study designs, in which the conditional effect of the state change on a panel outcome is identified by the comparison of the treated unit’s outcome trajectory to that of the not-yet-treated and never-treated units [2, 5]. The retrieved domain literature does not itself estimate such a design on the licensed-site population, but the structural ingredients are present in the policy framing. The dissertation’s two-way fixed-effects design inherits this framing and supplements it with the recognition, drawn from the domain literature, that the treatment is heterogeneous across treated units: a licensed site that is co-located with a federal range receives a different effective treatment from a licensed greenfield inland site, and the specification must condition on the heterogeneity if the conditional effect is to be cleanly identified [21, 22, 27].</w:t>
      </w:r>
    </w:p>
    <w:bookmarkEnd w:id="77"/>
    <w:bookmarkStart w:id="78" w:name="Xa201bed6cac20600a5c069b296f95cc796bf358"/>
    <w:p>
      <w:pPr>
        <w:pStyle w:val="Heading3"/>
        <w:spacing w:line="480" w:lineRule="auto"/>
      </w:pPr>
      <w:r>
        <w:t xml:space="preserve">2.5.3 Counts, zeros, and conditional-fixed-effects estimators</w:t>
      </w:r>
    </w:p>
    <w:p>
      <w:pPr>
        <w:pStyle w:val="FirstParagraph"/>
        <w:spacing w:line="480" w:lineRule="auto"/>
      </w:pPr>
      <w:r>
        <w:t xml:space="preserve">The third methodological theme is the choice of estimator for a count outcome with a non-trivial mass at zero. The cadence outcome is a non-negative count: annual launch counts at most licensed sites are zero or low, and the distribution is right-skewed at the high-cadence federal-range adjuncts. The cliometric tradition recognizes that ordinary least squares on such an outcome is unbiased but inefficient, and that the conditional Poisson fixed-effects estimator is consistent under weak distributional assumptions while accommodating the zero mass and the panel structure jointly. The two companion papers of this dissertation illustrate the trade-off. The site-year pooled-OLS paper recovers a positive but imprecisely estimated post-license coefficient on a thirty-nine-row panel, with site fixed effects unabsorbed and time fixed effects proxied by a national-launch control. The state-year robust-OLS paper, working with the log of one plus the count, recovers a positive and tightly estimated coefficient on licensed-site stock alongside a similarly positive coefficient on prior federal-range co-location, with the coastal indicator collapsing once range co-location is partialled out. The methodological inheritance is that the choice of functional form matters: the log-plus-one transformation is a transparent first pass that tolerates the zero mass without dropping observations, while the conditional Poisson fixed-effects specification is the more efficient estimator for the count outcome and the design that the dissertation adopts.</w:t>
      </w:r>
    </w:p>
    <w:bookmarkEnd w:id="78"/>
    <w:bookmarkStart w:id="79" w:name="X0451d10d28f43c699cb6cef24eb50b2c0f4aade"/>
    <w:p>
      <w:pPr>
        <w:pStyle w:val="Heading3"/>
        <w:spacing w:line="480" w:lineRule="auto"/>
      </w:pPr>
      <w:r>
        <w:t xml:space="preserve">2.5.4 Parallel trends, anticipation, and event-study leads</w:t>
      </w:r>
    </w:p>
    <w:p>
      <w:pPr>
        <w:pStyle w:val="FirstParagraph"/>
        <w:spacing w:line="480" w:lineRule="auto"/>
      </w:pPr>
      <w:r>
        <w:t xml:space="preserve">The fourth methodological theme is the identification assumption that supports the conditional-effect estimate. The parallel-trends assumption, in the standard cliometric formulation, requires that the licensed sites would, absent the licensure event, have evolved on the same cadence trajectory as the not-yet-licensed sites in the panel. The retrieved domain literature does not test this assumption directly, but it supplies several reasons to suspect that the assumption is non-trivial. Operators may relocate activity in advance of licensure, biasing the post-license estimate downward and inflating the pre-licensure trend; the licensure event may follow rather than precede the cadence response, so that the observed post-license cadence is partly the recognition of a pre-existing trajectory; the licensure decision itself may be endogenous to the anticipated cadence of the site, so that the treatment is selected on the outcome [4, 15, 21]. The methodological inheritance from the cliometric tradition is the event-study specification, in which leads of the treatment indicator are estimated alongside the post-license indicator and the parallel-trends assumption is interrogated by inspecting the leads. The dissertation’s design incorporates the event-study check as a first-line robustness exercise, supplemented by the application-date substitution that gauges anticipation directly. The retrieved domain literature is consistent with these checks but does not itself perform them on the FAA-licensed-site population.</w:t>
      </w:r>
    </w:p>
    <w:bookmarkEnd w:id="79"/>
    <w:bookmarkStart w:id="80" w:name="X46e5fabe0686b408867531287cbfad43bcb9b98"/>
    <w:p>
      <w:pPr>
        <w:pStyle w:val="Heading3"/>
        <w:spacing w:line="480" w:lineRule="auto"/>
      </w:pPr>
      <w:r>
        <w:t xml:space="preserve">2.5.5 Heterogeneous treatment effects and the substantive ranking</w:t>
      </w:r>
    </w:p>
    <w:p>
      <w:pPr>
        <w:pStyle w:val="FirstParagraph"/>
        <w:spacing w:line="480" w:lineRule="auto"/>
      </w:pPr>
      <w:r>
        <w:t xml:space="preserve">A further methodological theme that arises from the retrieved literature is the recognition that the cadence response to licensure is heterogeneous across treated units, and that the substantive ranking of the heterogeneity matters as much as the average treatment effect. The state-year companion paper identifies the prior-federal-range coefficient as comparable in magnitude to the licensed-site-stock coefficient, with the implication that the cadence response is concentrated in the subset of licensed sites that inherit range infrastructure [9, 21, 22, 27]. The site-year companion paper recovers the same pattern in attenuated form, with the federal-range coefficient as the largest point estimate among the regressors though wide-of-significance on the small panel. The methodological inheritance is that the conditional-effect estimate is informative but partial, and that the heterogeneity decomposition is required to translate the estimate into a policy-relevant statement. The dissertation’s specification therefore retains the federal-range and coastal indicators as conditioning variables and interprets the average post-license effect against the background of the heterogeneity.</w:t>
      </w:r>
    </w:p>
    <w:bookmarkEnd w:id="80"/>
    <w:bookmarkEnd w:id="81"/>
    <w:bookmarkStart w:id="82" w:name="synthesis-and-the-unjoined-gap"/>
    <w:p>
      <w:pPr>
        <w:pStyle w:val="Heading2"/>
        <w:spacing w:line="480" w:lineRule="auto"/>
      </w:pPr>
      <w:r>
        <w:t xml:space="preserve">2.6 Synthesis and the Unjoined Gap</w:t>
      </w:r>
    </w:p>
    <w:p>
      <w:pPr>
        <w:pStyle w:val="FirstParagraph"/>
        <w:spacing w:line="480" w:lineRule="auto"/>
      </w:pPr>
      <w:r>
        <w:t xml:space="preserve">The two literatures, read side by side, deliver a complementary but unjoined account of the licensed-site cadence question. The domain-technical literature enumerates the licensed-site population, attributes observed activity to specific sites, identifies the infrastructural and range-co-location variables that condition cadence, supplies a conceptual framework for rapid launch, and situates the licensed-site population within a governance and sustainability discourse [1, 2, 4, 5, 7, 8, 9, 11, 12, 13, 15, 17, 18, 19, 20, 21, 22, 23, 26, 27]. The space-economy literature articulates the scale-economy mechanism that the cadence response must accommodate and identifies the structural co-determinants of cadence at the sectoral level [3, 6, 11, 16, 24, 25, 28]. The methodological inheritance, distributed across the domain corpus, supplies the cliometric framing within which the licensure event is read as a discrete administrative state change and the site-year is read as the panel unit at which the conditional effect can be estimated.</w:t>
      </w:r>
    </w:p>
    <w:p>
      <w:pPr>
        <w:pStyle w:val="BodyText"/>
        <w:spacing w:line="480" w:lineRule="auto"/>
        <w:ind w:firstLine="720"/>
      </w:pPr>
      <w:r>
        <w:t xml:space="preserve">What the retrieved corpus does not deliver is the estimated conditional effect itself. No retrieved source estimates a site-year panel model in which Part 420 licensure is the treatment and cadence is the outcome, conditional on the infrastructural and demand variables that the domain literature identifies as co-determinants. The two companion papers of this dissertation supply the first such estimates on the available data, with the site-year pooled-OLS specification recovering a directionally positive but statistically indistinguishable post-license effect on a thirty-nine-row site-year panel, and the state-year robust-OLS specification recovering a positive and tightly estimated effect on licensed-site stock alongside a comparably positive effect on prior federal-range co-location. The two specifications, taken together, suggest that the cadence response is real but heterogeneous, concentrated in the subset of licensed sites that inherit federal-range infrastructure, and not cleanly identifiable on small panels without conditioning on the inherited capacity.</w:t>
      </w:r>
    </w:p>
    <w:p>
      <w:pPr>
        <w:pStyle w:val="BodyText"/>
        <w:spacing w:line="480" w:lineRule="auto"/>
        <w:ind w:firstLine="720"/>
      </w:pPr>
      <w:r>
        <w:t xml:space="preserve">The gap that the dissertation enters is therefore the joining of the two literatures at the level of an estimated conditional effect on the licensed-site population, with the heterogeneity decomposition that the domain literature requires and the panel-econometric discipline that the cliometric tradition requires. The dissertation’s two-way fixed-effects Poisson specification, estimated on the full annual site-year panel from 2000 forward, with site fixed effects absorbing the inherited infrastructural and geographic capacity, year fixed effects absorbing national demand and common shocks, and event-study leads interrogating the parallel-trends assumption, is the instrument through which the join is to be made. The conceptual framing inherited from the domain literature [2, 4, 5, 21, 22, 27] supplies the variables that the specification conditions on. The methodological framing inherited from the cliometric tradition, as it appears in the adjacent applied work, supplies the discipline through which the conditional effect is identified. The substantive contribution is the conversion of the policy assertion that licensing produces cadence into a testable site-year prediction with a pre-registered estimator, an auditable data chain, and an explicit decomposition of the heterogeneity that the domain literature anticipates [3, 6, 9, 11].</w:t>
      </w:r>
    </w:p>
    <w:p>
      <w:pPr>
        <w:pStyle w:val="BodyText"/>
        <w:spacing w:line="480" w:lineRule="auto"/>
        <w:ind w:firstLine="720"/>
      </w:pPr>
      <w:r>
        <w:t xml:space="preserve">The remaining chapters of the dissertation execute the join. Chapter 3 specifies the data and the provenance chain that the auditable data requirement implies. Chapter 4 specifies the estimator and the identifying assumptions in detail. Chapter 5 reports the estimated conditional effect and the event-study and robustness exercises that interrogate it. Chapter 6 returns the estimated effect to the policy framing that the domain literature supplies, with explicit attention to the heterogeneity decomposition and the substantive ranking of licensure against federal-range inheritance as determinants of the cadence response.</w:t>
      </w:r>
    </w:p>
    <w:bookmarkEnd w:id="82"/>
    <w:bookmarkEnd w:id="83"/>
    <w:bookmarkStart w:id="90" w:name="Xcfcc00a3ded59aed0c781c16bfc121f2a509603"/>
    <w:p>
      <w:pPr>
        <w:pStyle w:val="Heading1"/>
        <w:spacing w:line="480" w:lineRule="auto"/>
      </w:pPr>
      <w:r>
        <w:t xml:space="preserve">Chapter 3. Theoretical Framework and Hypotheses</w:t>
      </w:r>
    </w:p>
    <w:bookmarkStart w:id="84" w:name="purpose-of-the-chapter"/>
    <w:p>
      <w:pPr>
        <w:pStyle w:val="Heading2"/>
        <w:spacing w:line="480" w:lineRule="auto"/>
      </w:pPr>
      <w:r>
        <w:t xml:space="preserve">3.1 Purpose of the Chapter</w:t>
      </w:r>
    </w:p>
    <w:p>
      <w:pPr>
        <w:pStyle w:val="FirstParagraph"/>
        <w:spacing w:line="480" w:lineRule="auto"/>
      </w:pPr>
      <w:r>
        <w:t xml:space="preserve">This chapter specifies the theoretical apparatus that converts a policy assertion into a falsifiable empirical claim. The policy assertion is familiar: a Federal Aviation Administration (FAA) launch-site operator license issued under 14 CFR Part 420 enables regional launch cadence, and the expansion of the licensed-site network is, by that logic, an expansion of national launch capacity [2, 8]. The empirical claim that follows is narrower and harder. It is that, conditional on national launch demand and on time-invariant site characteristics, the discrete event of license issuance predicts a positive change in the count of launches subsequently attributed to the licensed site. The two propositions are not interchangeable. The policy assertion is structural and aspirational; the empirical claim is conditional and measurable. The role of this chapter is to construct the bridge between them.</w:t>
      </w:r>
    </w:p>
    <w:p>
      <w:pPr>
        <w:pStyle w:val="BodyText"/>
        <w:spacing w:line="480" w:lineRule="auto"/>
        <w:ind w:firstLine="720"/>
      </w:pPr>
      <w:r>
        <w:t xml:space="preserve">The chapter proceeds in five steps. Section 3.2 specifies the theoretical mechanism by which a site-operator license can be expected to alter regional launch cadence, drawing on the governance, infrastructure, and space-economy literatures retrieved for this study. Section 3.3 articulates the causal logic and the auxiliary conditions under which the mechanism is expected to operate, including the necessary-but-not-sufficient structure of site licensing, the role of federal-range inheritance, and the scale-economy dynamics that compound initial cadence advantages. Section 3.4 states the formal hypotheses H0 and H1 as they will be tested in Chapter 5 and explains why a null hypothesis stated at the conventional five-percent threshold on a site-year panel is the appropriate inferential target. Section 3.5 considers the boundary conditions of the framework, the auxiliary hypotheses that flow from it but that are not the primary test, and the threats to the underlying mechanism that the design will need to absorb. Section 3.6 closes by tracing how the framework maps onto the panel specification in Chapter 4 and the estimands in Chapter 5.</w:t>
      </w:r>
    </w:p>
    <w:p>
      <w:pPr>
        <w:pStyle w:val="BodyText"/>
        <w:spacing w:line="480" w:lineRule="auto"/>
        <w:ind w:firstLine="720"/>
      </w:pPr>
      <w:r>
        <w:t xml:space="preserve">The chapter draws on, but does not duplicate, the two pilot studies reported in earlier chapters. The site-year pooled analysis on twelve FAA-licensed and applied-for sites returned a positive but imprecisely estimated coefficient on the post-license indicator and a substantively large positive coefficient on federal-range co-location, neither distinguishable from zero at the conventional threshold on thirty-nine observations. The state-year analysis on the same window returned a positive and precisely estimated coefficient on licensed-site stock and a coefficient of similar magnitude on prior federal-range co-location, with coastal access not separately identified once range co-location was conditioned on. The two pilots motivate two features of the theoretical apparatus laid down in this chapter. First, the theoretical mechanism must distinguish between the licensure event itself and the pre-existing range infrastructure that some licensed sites inherit. Second, the hypotheses must be stated at the site-year level, because that is the level at which the licensure event is observable as a discrete state change and at which the cadence response can be measured without aggregating away the variation of interest.</w:t>
      </w:r>
    </w:p>
    <w:bookmarkEnd w:id="84"/>
    <w:bookmarkStart w:id="85" w:name="the-theoretical-mechanism"/>
    <w:p>
      <w:pPr>
        <w:pStyle w:val="Heading2"/>
        <w:spacing w:line="480" w:lineRule="auto"/>
      </w:pPr>
      <w:r>
        <w:t xml:space="preserve">3.2 The Theoretical Mechanism</w:t>
      </w:r>
    </w:p>
    <w:p>
      <w:pPr>
        <w:pStyle w:val="FirstParagraph"/>
        <w:spacing w:line="480" w:lineRule="auto"/>
      </w:pPr>
      <w:r>
        <w:t xml:space="preserve">The theoretical mechanism is built from three observations in the retrieved literature, each of which contributes one component of the proposed causal chain.</w:t>
      </w:r>
    </w:p>
    <w:p>
      <w:pPr>
        <w:pStyle w:val="BodyText"/>
        <w:spacing w:line="480" w:lineRule="auto"/>
        <w:ind w:firstLine="720"/>
      </w:pPr>
      <w:r>
        <w:t xml:space="preserve">The first observation is regulatory. Under 14 CFR Part 420, the FAA Office of Commercial Space Transportation issues a launch-site operator license to a site authority on the basis of an environmental review, an explosive-siting analysis, an agreement with the relevant air-traffic and range authorities, and a demonstration that the site can host launches by separately licensed vehicle operators [2, 8]. The license confers legal capacity to host launches; it does not confer pad infrastructure, propellant logistics, downrange clearance, or anchor-tenant demand. The licensure event is therefore a discrete change in the regulatory state of the site, observable in the FAA Licensed Launch Sites list with a specific date of issuance</w:t>
      </w:r>
      <w:r>
        <w:t xml:space="preserve"> </w:t>
      </w:r>
      <w:hyperlink w:anchor="ref-8">
        <w:r>
          <w:rPr>
            <w:rStyle w:val="Hyperlink"/>
          </w:rPr>
          <w:t xml:space="preserve">[8]</w:t>
        </w:r>
      </w:hyperlink>
      <w:r>
        <w:t xml:space="preserve">. The policy and geopolitical analysis of FAA-licensed launch sites by Shockley and Bettinger treats this population of licensed sites as the policy-relevant substrate of U.S. launch capacity and argues that launch-on-demand frameworks rest on the existence and geographic dispersion of that licensed network [2, 5, 14]. The licensure event, on this account, is necessary for any subsequent regional cadence: a site that is not licensed cannot host an FAA-licensed launch, and any cadence attributed to it would be a regulatory anomaly rather than the operation of the policy mechanism.</w:t>
      </w:r>
    </w:p>
    <w:p>
      <w:pPr>
        <w:pStyle w:val="BodyText"/>
        <w:spacing w:line="480" w:lineRule="auto"/>
        <w:ind w:firstLine="720"/>
      </w:pPr>
      <w:r>
        <w:t xml:space="preserve">The second observation is infrastructural. The governance literature on the transition from legacy to New Space arrangements documents that the binding capacity for sustained cadence is rarely the license itself; it is the underlying range, telemetry, downrange clearance, and hazard-analysis infrastructure that the site inherits or must build</w:t>
      </w:r>
      <w:r>
        <w:t xml:space="preserve"> </w:t>
      </w:r>
      <w:hyperlink w:anchor="ref-9">
        <w:r>
          <w:rPr>
            <w:rStyle w:val="Hyperlink"/>
          </w:rPr>
          <w:t xml:space="preserve">[9]</w:t>
        </w:r>
      </w:hyperlink>
      <w:r>
        <w:t xml:space="preserve">. Where a Part 420 site is co-located with a federal range, those services are inherited at near-zero marginal cost to the site authority, and the licensure event reads as the regulatory recognition of capacity that already exists. Where a Part 420 site is greenfield and inland, the licensure event reads as the regulatory recognition of a capacity that must still be assembled, often over a period of years and at substantial public expense. Sustainability and life-cycle analyses of high-cadence launch operations similarly identify range services as the practical capacity ceiling on cadence, because surveillance, telemetry, and clearance services scale with launch volume and are costly to reproduce away from a federal range</w:t>
      </w:r>
      <w:r>
        <w:t xml:space="preserve"> </w:t>
      </w:r>
      <w:hyperlink w:anchor="ref-10">
        <w:r>
          <w:rPr>
            <w:rStyle w:val="Hyperlink"/>
          </w:rPr>
          <w:t xml:space="preserve">[10]</w:t>
        </w:r>
      </w:hyperlink>
      <w:r>
        <w:t xml:space="preserve">. Spaceport-assessment work in adjacent national settings reaches the same conclusion in a different jurisdiction: coastal access and prior range presence are the two physical preconditions for sustained cadence, and licensing is the regulatory enabler rather than the cause [21, 22]. The infrastructural component of the mechanism is therefore that the licensure event interacts with the inherited infrastructure of the site: at federal-range sites the license activates pre-existing capacity, while at greenfield sites the license starts a clock on capacity yet to be built.</w:t>
      </w:r>
    </w:p>
    <w:p>
      <w:pPr>
        <w:pStyle w:val="BodyText"/>
        <w:spacing w:line="480" w:lineRule="auto"/>
        <w:ind w:firstLine="720"/>
      </w:pPr>
      <w:r>
        <w:t xml:space="preserve">The third observation is economic. The space-economy synthesis observes that increases in launch volume drive economies of scale in launch operations, lowering marginal cost and pulling additional launches forward [3, 6]. The mechanism is familiar from industrial economics: fixed costs of pad refurbishment, range scheduling, and operations crew are amortized over a larger number of launches, and the resulting cost reduction either expands operator margins or is passed through to customers in lower per-launch prices that induce additional demand [3, 6, 11]. The implication for site-level cadence is dynamic. A site that enters the cadence regime earlier accumulates scale advantages that further compress launch-to-launch intervals, while a site that enters later or never enters foregoes those advantages. Roberts and Linares document, in a related but distinct setting, that operational use of the licensed network is concentrated rather than uniform: a small number of sites account for a disproportionate share of the activity attributed to the network as a whole [1, 13]. The concentration pattern is consistent with scale-economy dynamics in which the sites that capture the initial cadence regime also capture the subsequent gains.</w:t>
      </w:r>
    </w:p>
    <w:p>
      <w:pPr>
        <w:pStyle w:val="BodyText"/>
        <w:spacing w:line="480" w:lineRule="auto"/>
        <w:ind w:firstLine="720"/>
      </w:pPr>
      <w:r>
        <w:t xml:space="preserve">These three observations, taken together, specify the proposed mechanism. The licensure event is a discrete change in the regulatory state of the site that, conditional on inherited infrastructure, activates the site for cadence. The site that enters the cadence regime accumulates scale economies that compound the initial activation into a sustained cadence path. The site that does not enter the cadence regime, either because it lacks the inherited infrastructure or because it cannot attract anchor-tenant demand, remains at or near zero. The mechanism is therefore neither a simple on-off switch nor a smooth dose-response curve. It is a state change conditional on an interaction with the physical and demand-side substrate of the site.</w:t>
      </w:r>
    </w:p>
    <w:bookmarkEnd w:id="85"/>
    <w:bookmarkStart w:id="86" w:name="the-causal-logic"/>
    <w:p>
      <w:pPr>
        <w:pStyle w:val="Heading2"/>
        <w:spacing w:line="480" w:lineRule="auto"/>
      </w:pPr>
      <w:r>
        <w:t xml:space="preserve">3.3 The Causal Logic</w:t>
      </w:r>
    </w:p>
    <w:p>
      <w:pPr>
        <w:pStyle w:val="FirstParagraph"/>
        <w:spacing w:line="480" w:lineRule="auto"/>
      </w:pPr>
      <w:r>
        <w:t xml:space="preserve">The causal logic that the empirical strategy will test follows from the mechanism in three steps.</w:t>
      </w:r>
    </w:p>
    <w:p>
      <w:pPr>
        <w:pStyle w:val="BodyText"/>
        <w:spacing w:line="480" w:lineRule="auto"/>
        <w:ind w:firstLine="720"/>
      </w:pPr>
      <w:r>
        <w:t xml:space="preserve">Step one is the identification of licensing as a treatment. The Part 420 licensure event is a discrete and dated administrative action [2, 8]. It is observable in a public registry and is unambiguous in its timing: each licensed site has a date of license issuance, before which the site is in the untreated state and after which the site is in the treated state. Treating the licensure event as a treatment requires the auxiliary assumption that, absent the license, the site would have remained in the untreated state with respect to FAA-attributed launches. This assumption is institutionally well-supported: an unlicensed site cannot host an FAA-licensed launch, and the FAA-attributed launch count for an unlicensed site is structurally zero. The treatment is therefore not a counterfactual that depends on operator strategy or market entry; it is a regulatory boundary on the outcome space.</w:t>
      </w:r>
    </w:p>
    <w:p>
      <w:pPr>
        <w:pStyle w:val="BodyText"/>
        <w:spacing w:line="480" w:lineRule="auto"/>
        <w:ind w:firstLine="720"/>
      </w:pPr>
      <w:r>
        <w:t xml:space="preserve">Step two is the specification of the outcome. The outcome variable is the count of FAA-attributed orbital and suborbital launches from the site in the year. The outcome is non-negative, integer-valued, and concentrated at zero for the majority of site-years in the panel. The concentration at zero is itself a feature of the mechanism rather than a measurement artifact: pre-license site-years are structurally zero, and post-license site-years at greenfield inland sites are often empirically zero as well [21, 22]. The pilot studies reported in earlier chapters confirm the concentration: Spaceport America, licensed in 2008, records a small and intermittent suborbital cadence, while federal-range adjuncts record one to two orders of magnitude more annual activity over the same window. The outcome therefore supports a count-data specification rather than a Gaussian one, and the test of the mechanism must accommodate the zero mass without dropping the zero observations.</w:t>
      </w:r>
    </w:p>
    <w:p>
      <w:pPr>
        <w:pStyle w:val="BodyText"/>
        <w:spacing w:line="480" w:lineRule="auto"/>
        <w:ind w:firstLine="720"/>
      </w:pPr>
      <w:r>
        <w:t xml:space="preserve">Step three is the partialling-out of confounders. The mechanism predicts that licensing predicts cadence conditional on two classes of confounders. The first class is time-varying and common to all sites: national launch demand, vehicle availability, and aggregate shocks to the launch sector. These are absorbed by year fixed effects in the planned specification, and their absorption is necessary because the post-2010 expansion of national launch volume would otherwise be loaded onto the licensure event by virtue of the temporal alignment between the licensing wave and the volume expansion. The second class is time-invariant and specific to the site: federal-range co-location, coastal access, downrange azimuth, and the institutional capacity of the site authority. These are absorbed by site fixed effects in the planned specification, and their absorption is necessary because, as the pilot state-year analysis showed, prior federal-range co-location carries a coefficient of similar magnitude to the licensing variable and is correlated with the timing of licensure in the early period of the panel.</w:t>
      </w:r>
    </w:p>
    <w:p>
      <w:pPr>
        <w:pStyle w:val="BodyText"/>
        <w:spacing w:line="480" w:lineRule="auto"/>
        <w:ind w:firstLine="720"/>
      </w:pPr>
      <w:r>
        <w:t xml:space="preserve">The causal logic, expressed in a single sentence, is that the issuance of a Part 420 launch-site operator license to a site that would otherwise have remained unlicensed produces an increase in the count of FAA-attributed launches at that site, conditional on the national demand environment and on the time-invariant site characteristics that determine its physical and institutional capacity to host launches. The test of the logic is whether the conditional association between the post-license indicator and the site-year launch count is positive and statistically distinguishable from zero on the full panel of FAA-licensed and not-yet-licensed sites.</w:t>
      </w:r>
    </w:p>
    <w:bookmarkEnd w:id="86"/>
    <w:bookmarkStart w:id="87" w:name="formal-hypotheses"/>
    <w:p>
      <w:pPr>
        <w:pStyle w:val="Heading2"/>
        <w:spacing w:line="480" w:lineRule="auto"/>
      </w:pPr>
      <w:r>
        <w:t xml:space="preserve">3.4 Formal Hypotheses</w:t>
      </w:r>
    </w:p>
    <w:p>
      <w:pPr>
        <w:pStyle w:val="FirstParagraph"/>
        <w:spacing w:line="480" w:lineRule="auto"/>
      </w:pPr>
      <w:r>
        <w:t xml:space="preserve">The study tests one falsifiable hypothesis on the site-year panel. The hypothesis is stated at the level at which the treatment is observed and at which the cadence response can be measured without aggregation.</w:t>
      </w:r>
    </w:p>
    <w:p>
      <w:pPr>
        <w:pStyle w:val="BodyText"/>
        <w:spacing w:line="480" w:lineRule="auto"/>
        <w:ind w:firstLine="720"/>
      </w:pPr>
      <w:r>
        <w:rPr>
          <w:b/>
          <w:bCs/>
        </w:rPr>
        <w:t xml:space="preserve">H0 (null).</w:t>
      </w:r>
      <w:r>
        <w:t xml:space="preserve"> </w:t>
      </w:r>
      <w:r>
        <w:t xml:space="preserve">Conditional on national launch demand absorbed by year fixed effects and on time-invariant site characteristics absorbed by site fixed effects, the issuance of a Part 420 launch-site operator license has no measurable effect on the count of FAA-attributed orbital and suborbital launches subsequently attributed to that site within five calendar years of license issuance. Formally, in the planned two-way fixed-effects Poisson specification of annual launch count at site i in year t on a post-license indicator with site and year fixed effects, the coefficient on the post-license indicator is zero.</w:t>
      </w:r>
    </w:p>
    <w:p>
      <w:pPr>
        <w:pStyle w:val="BodyText"/>
        <w:spacing w:line="480" w:lineRule="auto"/>
        <w:ind w:firstLine="720"/>
      </w:pPr>
      <w:r>
        <w:rPr>
          <w:b/>
          <w:bCs/>
        </w:rPr>
        <w:t xml:space="preserve">H1 (alternative).</w:t>
      </w:r>
      <w:r>
        <w:t xml:space="preserve"> </w:t>
      </w:r>
      <w:r>
        <w:t xml:space="preserve">Conditional on national launch demand absorbed by year fixed effects and on time-invariant site characteristics absorbed by site fixed effects, the issuance of a Part 420 launch-site operator license is associated with a positive and statistically distinguishable increase in the count of FAA-attributed orbital and suborbital launches subsequently attributed to that site within five calendar years of license issuance. Formally, in the planned two-way fixed-effects Poisson specification, the coefficient on the post-license indicator is strictly positive and the conventional two-sided test of the null at the five-percent threshold rejects.</w:t>
      </w:r>
    </w:p>
    <w:p>
      <w:pPr>
        <w:pStyle w:val="BodyText"/>
        <w:spacing w:line="480" w:lineRule="auto"/>
        <w:ind w:firstLine="720"/>
      </w:pPr>
      <w:r>
        <w:t xml:space="preserve">Three features of the hypothesis statement deserve explicit comment.</w:t>
      </w:r>
    </w:p>
    <w:p>
      <w:pPr>
        <w:pStyle w:val="BodyText"/>
        <w:spacing w:line="480" w:lineRule="auto"/>
        <w:ind w:firstLine="720"/>
      </w:pPr>
      <w:r>
        <w:t xml:space="preserve">First, the hypothesis is one-sided in its theoretical content and two-sided in its inferential implementation. The theoretical mechanism predicts a non-negative cadence response: an unlicensed site cannot host an FAA-licensed launch, so the lower bound on the treatment effect is zero by construction, and the prediction of the mechanism is that the effect is strictly above zero rather than at it. The inferential implementation is two-sided because the conventional Wald test on the Poisson coefficient is two-sided and because a negative point estimate, while not predicted by the mechanism, would itself be a finding of interest (it would suggest that licensing is associated with redistribution of cadence away from the site, an outcome that would require a separate causal account). The hypothesis as stated therefore allows the data to falsify the mechanism in either direction.</w:t>
      </w:r>
    </w:p>
    <w:p>
      <w:pPr>
        <w:pStyle w:val="BodyText"/>
        <w:spacing w:line="480" w:lineRule="auto"/>
        <w:ind w:firstLine="720"/>
      </w:pPr>
      <w:r>
        <w:t xml:space="preserve">Second, the hypothesis is bounded in time. The five-calendar-year window after license issuance is chosen for two reasons. The first is theoretical: the scale-economy dynamics described in the space-economy synthesis [3, 6] are expected to unfold over a multi-year horizon rather than a single year, but the policy mechanism is not expected to require a full decade to manifest. The second is empirical: the post-2010 licensing wave is recent enough that imposing a longer post-license window would truncate the panel at the right edge and leave the most recently licensed sites with zero or one post-license year of data. The five-year window is the longest window that preserves a balanced post-license observation set for the bulk of the licensed cohort.</w:t>
      </w:r>
    </w:p>
    <w:p>
      <w:pPr>
        <w:pStyle w:val="BodyText"/>
        <w:spacing w:line="480" w:lineRule="auto"/>
        <w:ind w:firstLine="720"/>
      </w:pPr>
      <w:r>
        <w:t xml:space="preserve">Third, the hypothesis is stated on the count outcome rather than on a normalized rate. The choice is deliberate. A rate normalization (launches per licensed year, or launches per dollar of pad investment) would either impute the denominator from sources that are not uniformly available across sites or would convert the outcome into a ratio whose denominator is itself a function of the treatment. The count outcome, by contrast, is uniformly reported in the FAA Annual Compendium and Year in Review series and is the variable on which the policy claim is most directly stated</w:t>
      </w:r>
      <w:r>
        <w:t xml:space="preserve"> </w:t>
      </w:r>
      <w:hyperlink w:anchor="ref-8">
        <w:r>
          <w:rPr>
            <w:rStyle w:val="Hyperlink"/>
          </w:rPr>
          <w:t xml:space="preserve">[8]</w:t>
        </w:r>
      </w:hyperlink>
      <w:r>
        <w:t xml:space="preserve">. The conditional Poisson fixed-effects estimator is consistent for the percentage change in the count under weak distributional assumptions and is the natural inferential object for a hypothesis stated on the count.</w:t>
      </w:r>
    </w:p>
    <w:bookmarkEnd w:id="87"/>
    <w:bookmarkStart w:id="88" w:name="X8c60e9a698cd296f11b55a36491edb3adb7edbc"/>
    <w:p>
      <w:pPr>
        <w:pStyle w:val="Heading2"/>
        <w:spacing w:line="480" w:lineRule="auto"/>
      </w:pPr>
      <w:r>
        <w:t xml:space="preserve">3.5 Boundary Conditions and Auxiliary Hypotheses</w:t>
      </w:r>
    </w:p>
    <w:p>
      <w:pPr>
        <w:pStyle w:val="FirstParagraph"/>
        <w:spacing w:line="480" w:lineRule="auto"/>
      </w:pPr>
      <w:r>
        <w:t xml:space="preserve">The theoretical framework carries four boundary conditions that constrain the scope of the test and three auxiliary hypotheses that follow from the mechanism but that are not the primary test.</w:t>
      </w:r>
    </w:p>
    <w:p>
      <w:pPr>
        <w:pStyle w:val="BodyText"/>
        <w:spacing w:line="480" w:lineRule="auto"/>
        <w:ind w:firstLine="720"/>
      </w:pPr>
      <w:r>
        <w:t xml:space="preserve">The first boundary condition is institutional. The framework applies to FAA-licensed launch sites under 14 CFR Part 420 and to launches that the FAA attributes to those sites in the Annual Compendium and Year in Review series. It does not apply to federal launches from federal ranges that are not attributed to a Part 420 site, to suborbital flights that fall below the FAA-licensable threshold, or to launches from non-U.S. sites that operators may substitute for U.S. sites in response to domestic constraints. The Roberts and Linares attribution work documents the difficulty of cleanly assigning space activity to specific sites when the attribution can shift between a range and a Part 420 site mid-panel [1, 7, 13]. The framework accommodates the institutional boundary by treating ambiguous attributions as missing rather than as zero.</w:t>
      </w:r>
    </w:p>
    <w:p>
      <w:pPr>
        <w:pStyle w:val="BodyText"/>
        <w:spacing w:line="480" w:lineRule="auto"/>
        <w:ind w:firstLine="720"/>
      </w:pPr>
      <w:r>
        <w:t xml:space="preserve">The second boundary condition is temporal. The framework applies to the period in which the Part 420 licensing regime is in steady administrative form, which the FAA dates to the early 2000s</w:t>
      </w:r>
      <w:r>
        <w:t xml:space="preserve"> </w:t>
      </w:r>
      <w:hyperlink w:anchor="ref-8">
        <w:r>
          <w:rPr>
            <w:rStyle w:val="Hyperlink"/>
          </w:rPr>
          <w:t xml:space="preserve">[8]</w:t>
        </w:r>
      </w:hyperlink>
      <w:r>
        <w:t xml:space="preserve">. Pre-2000 launches and the historical federal-range cadence that preceded the Part 420 regime are outside the scope of the test. The choice of a 2000 start date for the panel is conservative and avoids the regulatory discontinuity that the introduction of Part 420 itself produced.</w:t>
      </w:r>
    </w:p>
    <w:p>
      <w:pPr>
        <w:pStyle w:val="BodyText"/>
        <w:spacing w:line="480" w:lineRule="auto"/>
        <w:ind w:firstLine="720"/>
      </w:pPr>
      <w:r>
        <w:t xml:space="preserve">The third boundary condition is geographic. The framework applies to U.S. launch sites licensed under FAA Part 420. Comparative spaceport work in Australia, Italy, and other jurisdictions [11, 17, 21] is informative for the mechanism but is not directly within the scope of the empirical test, because the licensing instrument and the attribution conventions differ across jurisdictions.</w:t>
      </w:r>
    </w:p>
    <w:p>
      <w:pPr>
        <w:pStyle w:val="BodyText"/>
        <w:spacing w:line="480" w:lineRule="auto"/>
        <w:ind w:firstLine="720"/>
      </w:pPr>
      <w:r>
        <w:t xml:space="preserve">The fourth boundary condition is mechanism-specific. The framework assumes that the licensure event is exogenous to the contemporaneous launch demand at the site. This assumption is institutionally plausible because the Part 420 review process is conducted on the site authority’s application and the FAA’s environmental and safety analyses, neither of which is directly indexed to short-run launch demand. The assumption is empirically testable by the application-date robustness specification described in the prospectus and reprised in Chapter 4: substituting the date of license application for the date of license issuance gauges whether the measured effect reflects anticipation rather than the licensing event itself.</w:t>
      </w:r>
    </w:p>
    <w:p>
      <w:pPr>
        <w:pStyle w:val="BodyText"/>
        <w:spacing w:line="480" w:lineRule="auto"/>
        <w:ind w:firstLine="720"/>
      </w:pPr>
      <w:r>
        <w:t xml:space="preserve">Three auxiliary hypotheses follow from the mechanism. The first is that the cadence response to licensing is larger at sites that inherit federal-range services than at greenfield sites, because the inherited infrastructure converts the licensure event from a regulatory recognition of capacity-to-be-built into a regulatory recognition of capacity-already-built [9, 10, 22]. The pilot state-year analysis is consistent with this auxiliary hypothesis, although it was estimated at a level of aggregation at which the licensing variable and the range variable carry coefficients of similar magnitude rather than the former being a multiple of the latter. The second auxiliary hypothesis is that the cadence response unfolds over the post-license window rather than appearing in full in the first post-license year, consistent with the scale-economy dynamics described in the space-economy synthesis [3, 6, 11]. An event-study specification with leads and lags of the treatment indicator will provide the test. The third auxiliary hypothesis is that the cadence response is concentrated in a small number of licensed sites, consistent with the concentration of operational use that Roberts and Linares document at the network level [1, 7, 13]. A site-by-site decomposition of the estimated effect will provide the test.</w:t>
      </w:r>
    </w:p>
    <w:p>
      <w:pPr>
        <w:pStyle w:val="BodyText"/>
        <w:spacing w:line="480" w:lineRule="auto"/>
        <w:ind w:firstLine="720"/>
      </w:pPr>
      <w:r>
        <w:t xml:space="preserve">Three threats to the underlying mechanism are recognized and require absorption by the empirical design. Anticipation, in which operators relocate activity in advance of license issuance, would bias the post-license estimate downward and the pre-license trend upward; the application-date robustness specification is designed to detect it. Demand spillover, in which national launch demand is redistributed across sites rather than expanded, would produce a positive site-level effect that is in fact a redistribution rather than a net increase; the year fixed effects absorb the level of national demand, and the never-treated comparison group provides the counterfactual against which redistribution would be detected. Attribution drift, in which launches shift between a range and a Part 420 site mid-panel without a corresponding change in physical operations, would introduce measurement error in the outcome; the construction step codes each launch to a Part 420 site only when the FAA Compendium attributes it to that site, and ambiguous cases are dropped and reported.</w:t>
      </w:r>
    </w:p>
    <w:bookmarkEnd w:id="88"/>
    <w:bookmarkStart w:id="89" w:name="from-framework-to-specification"/>
    <w:p>
      <w:pPr>
        <w:pStyle w:val="Heading2"/>
        <w:spacing w:line="480" w:lineRule="auto"/>
      </w:pPr>
      <w:r>
        <w:t xml:space="preserve">3.6 From Framework to Specification</w:t>
      </w:r>
    </w:p>
    <w:p>
      <w:pPr>
        <w:pStyle w:val="FirstParagraph"/>
        <w:spacing w:line="480" w:lineRule="auto"/>
      </w:pPr>
      <w:r>
        <w:t xml:space="preserve">The hypotheses stated in Section 3.4 map onto the empirical specification in Chapter 4 in a one-to-one fashion. The unit of observation in the planned specification is the site-year, matching the unit at which the hypothesis is stated. The treatment variable is the post-license indicator, equal to one in and after the calendar year of Part 420 site-operator license issuance and zero otherwise, matching the discrete licensure event that the mechanism identifies. The outcome variable is the count of FAA-attributed orbital and suborbital launches from the site in the year, matching the count on which the policy claim is most directly stated. The site and year fixed effects absorb the two classes of confounders identified in Section 3.3. The conditional Poisson fixed-effects estimator delivers a consistent estimate of the percentage change in the count attributable to licensing, and the cluster-robust standard errors at the site level deliver the inferential object on which the Wald test of H0 is conducted.</w:t>
      </w:r>
    </w:p>
    <w:p>
      <w:pPr>
        <w:pStyle w:val="BodyText"/>
        <w:spacing w:line="480" w:lineRule="auto"/>
        <w:ind w:firstLine="720"/>
      </w:pPr>
      <w:r>
        <w:t xml:space="preserve">The estimand corresponding to H1 is the average percentage change in the annual site launch count attributable to licensing, evaluated within the five-year post-license window. The estimand corresponding to H0 is the same coefficient under the restriction that the percentage change is zero. The Wald test of the coefficient at the conventional five-percent threshold is the decision rule for rejecting or failing to reject H0. The event-study specification with leads of the treatment indicator delivers the pre-trends check on which the parallel-trends identifying assumption rests, and the application-date and ever-treated robustness specifications absorb the anticipation and never-treated-comparison threats.</w:t>
      </w:r>
    </w:p>
    <w:p>
      <w:pPr>
        <w:pStyle w:val="BodyText"/>
        <w:spacing w:line="480" w:lineRule="auto"/>
        <w:ind w:firstLine="720"/>
      </w:pPr>
      <w:r>
        <w:t xml:space="preserve">The framework therefore commits the study, in advance, to a single primary test stated on the count outcome at the site-year level with site and year fixed effects, a five-year post-license window, and a conventional two-sided Wald test at the five-percent threshold. The pilot studies reported in earlier chapters established that the directional prediction is consistent with the available evidence and that the cross-sectional variation is dominated by an interaction with federal-range inheritance that the present specification absorbs into site fixed effects. The contribution of the full test, conducted in Chapter 5, is to determine whether the conditional association predicted by the mechanism survives that absorption on the full population of FAA-licensed launch sites, or whether the policy assertion that licensing predicts cadence is, in the data, indistinguishable from the null.</w:t>
      </w:r>
    </w:p>
    <w:bookmarkEnd w:id="89"/>
    <w:bookmarkEnd w:id="90"/>
    <w:bookmarkStart w:id="103" w:name="chapter-4.-data-and-measurement"/>
    <w:p>
      <w:pPr>
        <w:pStyle w:val="Heading1"/>
        <w:spacing w:line="480" w:lineRule="auto"/>
      </w:pPr>
      <w:r>
        <w:t xml:space="preserve">Chapter 4. Data and Measurement</w:t>
      </w:r>
    </w:p>
    <w:bookmarkStart w:id="91" w:name="purpose-of-the-chapter-1"/>
    <w:p>
      <w:pPr>
        <w:pStyle w:val="Heading2"/>
        <w:spacing w:line="480" w:lineRule="auto"/>
      </w:pPr>
      <w:r>
        <w:t xml:space="preserve">4.1 Purpose of the Chapter</w:t>
      </w:r>
    </w:p>
    <w:p>
      <w:pPr>
        <w:pStyle w:val="FirstParagraph"/>
        <w:spacing w:line="480" w:lineRule="auto"/>
      </w:pPr>
      <w:r>
        <w:t xml:space="preserve">This chapter specifies the empirical substrate on which the two papers in the body of the dissertation are estimated. It identifies the primary documentary sources that supply the treatment, the outcome, and the conditioning covariates; it states the unit of analysis used in each paper; and it walks step by step from the raw public record to the analytic variable as it appears in the regression file. Two design commitments organize the chapter. The first is documentary primacy: every analytic variable resolves to a record published by the Federal Aviation Administration Office of Commercial Space Transportation or to an equally authoritative published instrument, and the resolution is traceable through the provenance file that travels with the replication archive</w:t>
      </w:r>
      <w:r>
        <w:t xml:space="preserve"> </w:t>
      </w:r>
      <w:hyperlink w:anchor="ref-8">
        <w:r>
          <w:rPr>
            <w:rStyle w:val="Hyperlink"/>
          </w:rPr>
          <w:t xml:space="preserve">[8]</w:t>
        </w:r>
      </w:hyperlink>
      <w:r>
        <w:t xml:space="preserve">. The second is parsimony: the two papers share a common data spine and diverge only where the unit of analysis or the estimation window requires divergence. The shared spine is documented once here so that the chapter on each paper does not have to re-prove its data, and so that the dissertation as a whole rests on one auditable construction rather than two competing ones.</w:t>
      </w:r>
    </w:p>
    <w:p>
      <w:pPr>
        <w:pStyle w:val="BodyText"/>
        <w:spacing w:line="480" w:lineRule="auto"/>
        <w:ind w:firstLine="720"/>
      </w:pPr>
      <w:r>
        <w:t xml:space="preserve">The chapter proceeds as follows. Section 4.2 fixes the conceptual frame within which licensing is treated as an observable state change and cadence as an observable count. Section 4.3 catalogues the primary sources. Section 4.4 specifies the two units of analysis: the site-year for the first paper and the state-year for the second. Section 4.5 documents the construction of the treatment variable, the post-license indicator and the licensed-site count. Section 4.6 documents the construction of the outcome, the count of launches attributed to a site in a calendar year. Section 4.7 documents the geography covariates, coastal access and federal-range co-location. Section 4.8 documents the national demand control. Section 4.9 sets out coding rules for ambiguous attributions, illustrative records, and missingness. Section 4.10 describes the provenance file and the replication archive. Section 4.11 reports the measurement-validity checks that the construction pipeline runs at build time. Section 4.12 acknowledges the limits of the resulting data and signals which limits the design exercises in Chapters 5 and 6 are calibrated to absorb.</w:t>
      </w:r>
    </w:p>
    <w:bookmarkEnd w:id="91"/>
    <w:bookmarkStart w:id="92" w:name="Xadbf7145da5571f0331d2c5966dee57d8444544"/>
    <w:p>
      <w:pPr>
        <w:pStyle w:val="Heading2"/>
        <w:spacing w:line="480" w:lineRule="auto"/>
      </w:pPr>
      <w:r>
        <w:t xml:space="preserve">4.2 Conceptual Frame: Licensing as Observable State Change, Cadence as Observable Count</w:t>
      </w:r>
    </w:p>
    <w:p>
      <w:pPr>
        <w:pStyle w:val="FirstParagraph"/>
        <w:spacing w:line="480" w:lineRule="auto"/>
      </w:pPr>
      <w:r>
        <w:t xml:space="preserve">The two empirical objects in this dissertation are administratively observable. Many policy variables are not. A launch-site operator license under 14 CFR Part 420 is a discrete administrative act: the FAA Office of Commercial Space Transportation issues a license to a named site authority on a known date, and the license persists, is amended, or is allowed to lapse on subsequent known dates</w:t>
      </w:r>
      <w:r>
        <w:t xml:space="preserve"> </w:t>
      </w:r>
      <w:hyperlink w:anchor="ref-8">
        <w:r>
          <w:rPr>
            <w:rStyle w:val="Hyperlink"/>
          </w:rPr>
          <w:t xml:space="preserve">[8]</w:t>
        </w:r>
      </w:hyperlink>
      <w:r>
        <w:t xml:space="preserve">. The cadence of launches at a Part 420 site is also discrete and dated: each licensed launch is recorded with a calendar date, a vehicle, a payload, and an attributed site of origin in the FAA Annual Compendium and the U.S. Commercial Space Transportation Year in Review</w:t>
      </w:r>
      <w:r>
        <w:t xml:space="preserve"> </w:t>
      </w:r>
      <w:hyperlink w:anchor="ref-8">
        <w:r>
          <w:rPr>
            <w:rStyle w:val="Hyperlink"/>
          </w:rPr>
          <w:t xml:space="preserve">[8]</w:t>
        </w:r>
      </w:hyperlink>
      <w:r>
        <w:t xml:space="preserve">. Together these two streams give the analyst an observable treatment and an observable outcome on the same agency record, which is unusual for an industrial-policy question and is the practical reason the dissertation can be estimated at all.</w:t>
      </w:r>
    </w:p>
    <w:p>
      <w:pPr>
        <w:pStyle w:val="BodyText"/>
        <w:spacing w:line="480" w:lineRule="auto"/>
        <w:ind w:firstLine="720"/>
      </w:pPr>
      <w:r>
        <w:t xml:space="preserve">The conceptual content of the treatment is the conferral of legal capacity to host launches by separately licensed vehicle operators. Shockley and Bettinger frame the population of FAA-licensed launch sites as the relevant policy object for launch-on-demand and document the geographic dispersion of the network that the licensing regime has produced [2, 5, 14]. The conceptual content of the outcome is regional launch activity expressed as a non-negative count. The space-economy synthesis treats increases in launch volume as the engine of accumulating scale economies in launch operations and therefore the variable on which industrial-policy expectations converge [3, 6]. The two papers measure that count at different geographic resolutions, but both treat it as the same underlying construct: the licensed activity that the FAA itself attributes to a Part 420 site in a year.</w:t>
      </w:r>
    </w:p>
    <w:bookmarkEnd w:id="92"/>
    <w:bookmarkStart w:id="93" w:name="catalogue-of-primary-sources"/>
    <w:p>
      <w:pPr>
        <w:pStyle w:val="Heading2"/>
        <w:spacing w:line="480" w:lineRule="auto"/>
      </w:pPr>
      <w:r>
        <w:t xml:space="preserve">4.3 Catalogue of Primary Sources</w:t>
      </w:r>
    </w:p>
    <w:p>
      <w:pPr>
        <w:pStyle w:val="FirstParagraph"/>
        <w:spacing w:line="480" w:lineRule="auto"/>
      </w:pPr>
      <w:r>
        <w:t xml:space="preserve">Five primary documentary sources are used. The first is the FAA Office of Commercial Space Transportation Licensed Launch Sites list, which enumerates the population of sites holding a current or historical Part 420 license, together with the date of license issuance, the site authority, and the location of the licensed footprint</w:t>
      </w:r>
      <w:r>
        <w:t xml:space="preserve"> </w:t>
      </w:r>
      <w:hyperlink w:anchor="ref-8">
        <w:r>
          <w:rPr>
            <w:rStyle w:val="Hyperlink"/>
          </w:rPr>
          <w:t xml:space="preserve">[8]</w:t>
        </w:r>
      </w:hyperlink>
      <w:r>
        <w:t xml:space="preserve">. The list is published by the FAA and is the canonical source for the treatment variable and for the membership of the panel. The second is the U.S. Commercial Space Transportation Annual Compendium for years 2018 through 2021, which reports each licensed launch by date, vehicle, payload class, and attributed site, together with summary totals by site and by year</w:t>
      </w:r>
      <w:r>
        <w:t xml:space="preserve"> </w:t>
      </w:r>
      <w:hyperlink w:anchor="ref-4">
        <w:r>
          <w:rPr>
            <w:rStyle w:val="Hyperlink"/>
          </w:rPr>
          <w:t xml:space="preserve">[4]</w:t>
        </w:r>
      </w:hyperlink>
      <w:r>
        <w:t xml:space="preserve">. The third is the U.S. Commercial Space Transportation Year in Review for years 2022 and 2023, which extends the same per-launch and per-site reporting through the most recent complete calendar year in the dissertation window</w:t>
      </w:r>
      <w:r>
        <w:t xml:space="preserve"> </w:t>
      </w:r>
      <w:hyperlink w:anchor="ref-4">
        <w:r>
          <w:rPr>
            <w:rStyle w:val="Hyperlink"/>
          </w:rPr>
          <w:t xml:space="preserve">[4]</w:t>
        </w:r>
      </w:hyperlink>
      <w:r>
        <w:t xml:space="preserve">. The fourth is the FAA Year in Review and Annual Compendium series for years 1996 through 2017, which supplies the historical extension of the per-site count used by the first paper to construct site-years for older sites such as the Eastern Range, the Western Range, and Wallops Flight Facility</w:t>
      </w:r>
      <w:r>
        <w:t xml:space="preserve"> </w:t>
      </w:r>
      <w:hyperlink w:anchor="ref-5">
        <w:r>
          <w:rPr>
            <w:rStyle w:val="Hyperlink"/>
          </w:rPr>
          <w:t xml:space="preserve">[5]</w:t>
        </w:r>
      </w:hyperlink>
      <w:r>
        <w:t xml:space="preserve">. The fifth is the set of FAA Office of Commercial Space Transportation site descriptions and the corresponding range-operator memoranda, which supply the geographic covariates, namely the coastal indicator and the federal-range indicator</w:t>
      </w:r>
      <w:r>
        <w:t xml:space="preserve"> </w:t>
      </w:r>
      <w:hyperlink w:anchor="ref-8">
        <w:r>
          <w:rPr>
            <w:rStyle w:val="Hyperlink"/>
          </w:rPr>
          <w:t xml:space="preserve">[8]</w:t>
        </w:r>
      </w:hyperlink>
      <w:r>
        <w:t xml:space="preserve">.</w:t>
      </w:r>
    </w:p>
    <w:p>
      <w:pPr>
        <w:pStyle w:val="BodyText"/>
        <w:spacing w:line="480" w:lineRule="auto"/>
        <w:ind w:firstLine="720"/>
      </w:pPr>
      <w:r>
        <w:t xml:space="preserve">Two secondary sources frame and corroborate the construction without contributing analytic values to the regression file. Roberts and Linares attribute geostationary satellite origin to specific licensed sites and confirm that the attribution practice the FAA uses for licensed launches is consistent with the attribution practice the international satellite-registration system uses for orbital end states [1, 7, 13]. The governance literature on the transition from Legacy Space to New Space arrangements supplies the conceptual ground for treating licensing as a state change rather than as a continuous regulatory variable</w:t>
      </w:r>
      <w:r>
        <w:t xml:space="preserve"> </w:t>
      </w:r>
      <w:hyperlink w:anchor="ref-9">
        <w:r>
          <w:rPr>
            <w:rStyle w:val="Hyperlink"/>
          </w:rPr>
          <w:t xml:space="preserve">[9]</w:t>
        </w:r>
      </w:hyperlink>
      <w:r>
        <w:t xml:space="preserve">. Neither secondary source supplies a measured value that enters the data file.</w:t>
      </w:r>
    </w:p>
    <w:p>
      <w:pPr>
        <w:pStyle w:val="BodyText"/>
        <w:spacing w:line="480" w:lineRule="auto"/>
        <w:ind w:firstLine="720"/>
      </w:pPr>
      <w:r>
        <w:t xml:space="preserve">No retrieved source supplies an alternative to the FAA records for the treatment or the outcome. The dissertation does not splice in industry trade-press counts or commercial launch databases because doing so would corrupt the documentary chain that the design depends on. Where a launch in the historical period is reported by a non-FAA source but is absent from the FAA record, the launch is not counted; the coding rule is conservative and is documented in Section 4.9.</w:t>
      </w:r>
    </w:p>
    <w:bookmarkEnd w:id="93"/>
    <w:bookmarkStart w:id="94" w:name="units-of-analysis"/>
    <w:p>
      <w:pPr>
        <w:pStyle w:val="Heading2"/>
        <w:spacing w:line="480" w:lineRule="auto"/>
      </w:pPr>
      <w:r>
        <w:t xml:space="preserve">4.4 Units of Analysis</w:t>
      </w:r>
    </w:p>
    <w:p>
      <w:pPr>
        <w:pStyle w:val="FirstParagraph"/>
        <w:spacing w:line="480" w:lineRule="auto"/>
      </w:pPr>
      <w:r>
        <w:t xml:space="preserve">The dissertation uses two units of analysis, one per paper, both built from the same primary sources.</w:t>
      </w:r>
    </w:p>
    <w:p>
      <w:pPr>
        <w:pStyle w:val="BodyText"/>
        <w:spacing w:line="480" w:lineRule="auto"/>
        <w:ind w:firstLine="720"/>
      </w:pPr>
      <w:r>
        <w:t xml:space="preserve">The first paper takes the site-year as the unit. A site is a single FAA Part 420 licensed launch site as enumerated on the Licensed Launch Sites list, together with a small set of comparison sites that file a Part 420 application but do not receive a license during the observation window. Spaceport Camden is the illustrative never-treated comparison case; its application was not approved during the window and it therefore enters the panel as an unlicensed site with a zero-valued post-license indicator throughout. The site-year panel for the first paper covers twelve sites observed in selected years from 1996 through 2023, yielding thirty-nine site-year observations. The site-year resolution is the natural resolution at which licensing is administered (the license attaches to the site authority) and at which the FAA attribution of the launch operates (each launch is coded to a Part 420 site).</w:t>
      </w:r>
    </w:p>
    <w:p>
      <w:pPr>
        <w:pStyle w:val="BodyText"/>
        <w:spacing w:line="480" w:lineRule="auto"/>
        <w:ind w:firstLine="720"/>
      </w:pPr>
      <w:r>
        <w:t xml:space="preserve">The second paper aggregates the site-year up to the state-year. A state is one of the eight states with at least one FAA Part 420 licensed site during the window, namely Florida, California, Virginia, Texas, Alaska, New Mexico, Oklahoma, Georgia, and Colorado; three single-year observations are added for states whose licensing or denial event falls inside the window. The aggregation rule is straightforward: the launch count for the state-year is the sum of the FAA-attributed launch counts across all Part 420 sites in that state and year, and the licensed-site count for the state-year is the number of Part 420 site licenses held by site authorities physically located in that state on the last day of the year. The state-year panel for the second paper has thirty-nine state-year observations covering 2018 through 2023. The state-year resolution is the natural resolution at which the policy reading of the dissertation is articulated, since state and federal sponsors operate on state-level industrial-policy variables rather than on individual site authorities.</w:t>
      </w:r>
    </w:p>
    <w:p>
      <w:pPr>
        <w:pStyle w:val="BodyText"/>
        <w:spacing w:line="480" w:lineRule="auto"/>
        <w:ind w:firstLine="720"/>
      </w:pPr>
      <w:r>
        <w:t xml:space="preserve">The two units share a common construction. The state-year file is built deterministically from the site-year file by the aggregation rule above, so that the two papers cannot disagree about the underlying counts. Where a launch is dropped from the site-year file for attribution ambiguity, it is dropped from the state-year file as well.</w:t>
      </w:r>
    </w:p>
    <w:bookmarkEnd w:id="94"/>
    <w:bookmarkStart w:id="95" w:name="Xeb2d5f334bf2fd3773afdf07e4cfaaeb6ab3311"/>
    <w:p>
      <w:pPr>
        <w:pStyle w:val="Heading2"/>
        <w:spacing w:line="480" w:lineRule="auto"/>
      </w:pPr>
      <w:r>
        <w:t xml:space="preserve">4.5 Treatment Variable: Post-License Indicator and Licensed-Site Count</w:t>
      </w:r>
    </w:p>
    <w:p>
      <w:pPr>
        <w:pStyle w:val="FirstParagraph"/>
        <w:spacing w:line="480" w:lineRule="auto"/>
      </w:pPr>
      <w:r>
        <w:t xml:space="preserve">The treatment variable in the first paper is the post-license indicator. For each site i and calendar year t, the indicator equals one if the FAA Office of Commercial Space Transportation issued a Part 420 launch-site operator license to the site authority for site i in a calendar year on or before t, and equals zero otherwise. The date of license issuance is read from the Licensed Launch Sites list and is cross-checked against the license-action history maintained by the FAA</w:t>
      </w:r>
      <w:r>
        <w:t xml:space="preserve"> </w:t>
      </w:r>
      <w:hyperlink w:anchor="ref-8">
        <w:r>
          <w:rPr>
            <w:rStyle w:val="Hyperlink"/>
          </w:rPr>
          <w:t xml:space="preserve">[8]</w:t>
        </w:r>
      </w:hyperlink>
      <w:r>
        <w:t xml:space="preserve">. For sites that lapse and re-license, the indicator follows the FAA record: the indicator returns to zero in the year following lapse and returns to one in the year of re-issuance. For Spaceport Camden the indicator is zero in every year of the panel because the application was not approved during the window.</w:t>
      </w:r>
    </w:p>
    <w:p>
      <w:pPr>
        <w:pStyle w:val="BodyText"/>
        <w:spacing w:line="480" w:lineRule="auto"/>
        <w:ind w:firstLine="720"/>
      </w:pPr>
      <w:r>
        <w:t xml:space="preserve">The treatment variable in the second paper is the licensed-site count. For each state s and calendar year t, the count is the integer number of Part 420 site licenses held by site authorities located in state s on 31 December of year t. The count is constructed from the same Licensed Launch Sites list that supplies the site-year indicator, and the construction is mechanical: for each state-year the file enumerates the licensed sites in that state on the closing date and reports the cardinality. The count enters the regression file as a non-negative integer; the regression in the second paper transforms the outcome rather than the treatment.</w:t>
      </w:r>
    </w:p>
    <w:p>
      <w:pPr>
        <w:pStyle w:val="BodyText"/>
        <w:spacing w:line="480" w:lineRule="auto"/>
        <w:ind w:firstLine="720"/>
      </w:pPr>
      <w:r>
        <w:t xml:space="preserve">Two robustness operationalizations of the treatment are documented in the provenance file and reserved for sensitivity analysis in the empirical chapters. The first substitutes the date of license application for the date of license issuance, in order to gauge whether the measured effect reflects anticipation behavior by operators in advance of the administrative act. The second restricts the panel to sites that ever receive a license, removing the never-treated comparison group and re-estimating on the event-study window alone. Both robustness operationalizations are coded at the source-data layer so that the analytic file can switch between them without re-reading the FAA record.</w:t>
      </w:r>
    </w:p>
    <w:bookmarkEnd w:id="95"/>
    <w:bookmarkStart w:id="96" w:name="X0fd7bf8f4f612a2c0db7e660a26d8289ace3409"/>
    <w:p>
      <w:pPr>
        <w:pStyle w:val="Heading2"/>
        <w:spacing w:line="480" w:lineRule="auto"/>
      </w:pPr>
      <w:r>
        <w:t xml:space="preserve">4.6 Outcome Variable: Annual Launch Count at the Site and State Resolutions</w:t>
      </w:r>
    </w:p>
    <w:p>
      <w:pPr>
        <w:pStyle w:val="FirstParagraph"/>
        <w:spacing w:line="480" w:lineRule="auto"/>
      </w:pPr>
      <w:r>
        <w:t xml:space="preserve">The outcome variable is the count of FAA-attributed orbital and suborbital launches from licensed sites in the calendar year. For the first paper the count is reported at the site-year resolution; for the second paper it is reported at the state-year resolution, with the log-plus-one transformation applied at estimation time rather than at construction time. The raw count is constructed by reading each per-launch record in the Annual Compendium and Year in Review series, coding it to the Part 420 site to which the FAA attributes it, and aggregating per site-year [4, 5]. Suborbital and orbital launches are coded separately in the source file so that either sub-outcome can be estimated independently and so that the joint outcome is the deterministic sum of the two sub-counts.</w:t>
      </w:r>
    </w:p>
    <w:p>
      <w:pPr>
        <w:pStyle w:val="BodyText"/>
        <w:spacing w:line="480" w:lineRule="auto"/>
        <w:ind w:firstLine="720"/>
      </w:pPr>
      <w:r>
        <w:t xml:space="preserve">Three construction rules govern the coding of the per-launch record. First, a launch is counted in the site-year of the actual launch date, not in the site-year of vehicle delivery or of campaign initiation. Second, a launch is counted only if the FAA Annual Compendium or Year in Review attributes it to a Part 420 site; launches attributed to a federal range without an associated Part 420 site authority are not counted under the licensed-cadence outcome, even when the range and the site authority share a physical footprint. Third, a launch is counted as one event regardless of payload count or constellation grouping; the dissertation does not weight by payload mass or by launch-vehicle class. These three rules are documented in the provenance file and are enforced by the build script.</w:t>
      </w:r>
    </w:p>
    <w:p>
      <w:pPr>
        <w:pStyle w:val="BodyText"/>
        <w:spacing w:line="480" w:lineRule="auto"/>
        <w:ind w:firstLine="720"/>
      </w:pPr>
      <w:r>
        <w:t xml:space="preserve">Two zero-cadence state-year observations in the second paper, Oklahoma 2022 and Colorado 2022, are entered as illustrative confirmations of the publicly reported zero count and are flagged in the data source field of the provenance file. The flag exists because the FAA Year in Review reports the absence of licensed launches from these states for these years narratively rather than in a per-launch table, and the illustrative coding is the conservative reading of that absence. The two observations are retained because dropping them would introduce a selection bias in favor of state-years with positive cadence. The illustrative observations account for under fifteen percent of the state-year panel.</w:t>
      </w:r>
    </w:p>
    <w:bookmarkEnd w:id="96"/>
    <w:bookmarkStart w:id="97" w:name="X8edc4c566fef670acc91bb34818384dee480a1a"/>
    <w:p>
      <w:pPr>
        <w:pStyle w:val="Heading2"/>
        <w:spacing w:line="480" w:lineRule="auto"/>
      </w:pPr>
      <w:r>
        <w:t xml:space="preserve">4.7 Geography Covariates: Coastal Access and Federal-Range Co-Location</w:t>
      </w:r>
    </w:p>
    <w:p>
      <w:pPr>
        <w:pStyle w:val="FirstParagraph"/>
        <w:spacing w:line="480" w:lineRule="auto"/>
      </w:pPr>
      <w:r>
        <w:t xml:space="preserve">Two time-invariant site characteristics are coded for each Part 420 site. The first is the coastal indicator. The indicator equals one for a site whose FAA-published downrange azimuths include open-water corridors, that is, a site whose launch trajectories can be cleared into open ocean without an inland overflight that would require additional hazard analysis, and equals zero otherwise. The coding is read from the FAA Office of Commercial Space Transportation site description for each site and is cross-checked against the published site-authority charter</w:t>
      </w:r>
      <w:r>
        <w:t xml:space="preserve"> </w:t>
      </w:r>
      <w:hyperlink w:anchor="ref-8">
        <w:r>
          <w:rPr>
            <w:rStyle w:val="Hyperlink"/>
          </w:rPr>
          <w:t xml:space="preserve">[8]</w:t>
        </w:r>
      </w:hyperlink>
      <w:r>
        <w:t xml:space="preserve">. The second is the federal-range indicator. The indicator equals one for a site co-located with the Eastern Range, the Western Range, the Wallops Flight Facility, or the Pacific Spaceport Complex Alaska, and equals zero otherwise. The coding is read from the FAA site description and from the range-operator memoranda that govern the shared use of range services at the co-located site.</w:t>
      </w:r>
    </w:p>
    <w:p>
      <w:pPr>
        <w:pStyle w:val="BodyText"/>
        <w:spacing w:line="480" w:lineRule="auto"/>
        <w:ind w:firstLine="720"/>
      </w:pPr>
      <w:r>
        <w:t xml:space="preserve">The two indicators are time-invariant in the panel window because the underlying physical and institutional facts they record do not change during the window. The state-year file inherits the two indicators by majority rule across the state’s licensed sites: the state-year is coded one on the federal-range indicator if any of its licensed sites is co-located with a federal range, and one on the coastal indicator if any of its licensed sites has open-water downrange azimuths. The majority rule is documented in the provenance file. In the present sample, the inheritance is degenerate because each of the licensed sites in a given state shares the same range and coastal status, so the state-year inherits a single consistent value.</w:t>
      </w:r>
    </w:p>
    <w:p>
      <w:pPr>
        <w:pStyle w:val="BodyText"/>
        <w:spacing w:line="480" w:lineRule="auto"/>
        <w:ind w:firstLine="720"/>
      </w:pPr>
      <w:r>
        <w:t xml:space="preserve">The two indicators do the conceptual work that the literature on the transition from legacy to New Space arrangements has flagged as the binding capacity variables alongside licensing</w:t>
      </w:r>
      <w:r>
        <w:t xml:space="preserve"> </w:t>
      </w:r>
      <w:hyperlink w:anchor="ref-9">
        <w:r>
          <w:rPr>
            <w:rStyle w:val="Hyperlink"/>
          </w:rPr>
          <w:t xml:space="preserve">[9]</w:t>
        </w:r>
      </w:hyperlink>
      <w:r>
        <w:t xml:space="preserve">. Site licensing under FAA Part 420 confers operating authority but does not by itself supply pad infrastructure, range safety services, downrange clearance, or anchor-tenant demand; the practical capacity is typically inherited from a federal range or built around an anchor operator. The coastal indicator and the federal-range indicator are the dissertation’s measured proxies for that inheritance.</w:t>
      </w:r>
    </w:p>
    <w:bookmarkEnd w:id="97"/>
    <w:bookmarkStart w:id="98" w:name="national-demand-control"/>
    <w:p>
      <w:pPr>
        <w:pStyle w:val="Heading2"/>
        <w:spacing w:line="480" w:lineRule="auto"/>
      </w:pPr>
      <w:r>
        <w:t xml:space="preserve">4.8 National Demand Control</w:t>
      </w:r>
    </w:p>
    <w:p>
      <w:pPr>
        <w:pStyle w:val="FirstParagraph"/>
        <w:spacing w:line="480" w:lineRule="auto"/>
      </w:pPr>
      <w:r>
        <w:t xml:space="preserve">The first paper, in the cross-site comparison, enters the national U.S. launch count for the year as a demand control. The control is read from the FAA Year in Review and Annual Compendium series and is constructed by summing the per-launch records across all Part 420 sites in the country for the year [4, 5]. The control is a non-negative integer and enters the regression in levels. In the second paper, with a state-year panel restricted to 2018 through 2023, the national-demand control is not separately included because the six-year window is short relative to the level shift in national launch counts, and because the variation that the control would absorb is collinear with the licensed-site count once the state-year panel is restricted to states with at least one Part 420 site. The decision to omit the national control in the second paper is documented at the specification layer rather than at the data layer, and the underlying national count is nonetheless preserved in the provenance file so that a longer-window robustness specification can re-introduce it.</w:t>
      </w:r>
    </w:p>
    <w:bookmarkEnd w:id="98"/>
    <w:bookmarkStart w:id="99" w:name="Xc2d844e855a3b706d172ff0a7def34d6ed077bf"/>
    <w:p>
      <w:pPr>
        <w:pStyle w:val="Heading2"/>
        <w:spacing w:line="480" w:lineRule="auto"/>
      </w:pPr>
      <w:r>
        <w:t xml:space="preserve">4.9 Coding Rules for Ambiguous Attributions, Illustrative Records, and Missingness</w:t>
      </w:r>
    </w:p>
    <w:p>
      <w:pPr>
        <w:pStyle w:val="FirstParagraph"/>
        <w:spacing w:line="480" w:lineRule="auto"/>
      </w:pPr>
      <w:r>
        <w:t xml:space="preserve">Four coding rules govern the residual cases that the per-launch and per-site streams do not resolve mechanically. First, attribution ambiguity. Some launches in the historical period are attributed by the FAA to a range rather than to a specific Part 420 site, and the attribution can shift mid-panel when a Part 420 site authority is later established at the range. The coding rule is conservative: a launch is counted to a Part 420 site only when the FAA Annual Compendium or Year in Review for the year of the launch attributes it to that site. Pre-Part 420-authority launches at a footprint that is later licensed are not retroactively counted to the licensed site. Ambiguous cases are dropped from the analytic file and are recorded in the provenance file with the FAA citation and the reason for the drop.</w:t>
      </w:r>
    </w:p>
    <w:p>
      <w:pPr>
        <w:pStyle w:val="BodyText"/>
        <w:spacing w:line="480" w:lineRule="auto"/>
        <w:ind w:firstLine="720"/>
      </w:pPr>
      <w:r>
        <w:t xml:space="preserve">Second, illustrative records. Where the FAA reports the absence of licensed launches for a site-year or a state-year narratively rather than in a per-launch table, the absence is coded as a zero and the record is flagged as illustrative in the provenance file. Illustrative records account for under fifteen percent of the state-year panel in the second paper and a comparable share of the site-year panel in the first paper. The flag allows the empirical chapters to re-estimate without the illustrative records as a sensitivity check.</w:t>
      </w:r>
    </w:p>
    <w:p>
      <w:pPr>
        <w:pStyle w:val="BodyText"/>
        <w:spacing w:line="480" w:lineRule="auto"/>
        <w:ind w:firstLine="720"/>
      </w:pPr>
      <w:r>
        <w:t xml:space="preserve">Third, missingness. No site-year or state-year is dropped for missing values on the treatment, the outcome, or the geography covariates within the analytic window. The treatment and the geography covariates are observed by construction from the FAA record; the outcome is observed by enumeration of the per-launch record, with zero counted as a meaningful observation rather than as missing. Missingness on the national-demand control in the historical period is handled by interpolation only within years for which the FAA Annual Compendium reports partial totals; otherwise the control is read directly.</w:t>
      </w:r>
    </w:p>
    <w:p>
      <w:pPr>
        <w:pStyle w:val="BodyText"/>
        <w:spacing w:line="480" w:lineRule="auto"/>
        <w:ind w:firstLine="720"/>
      </w:pPr>
      <w:r>
        <w:t xml:space="preserve">Fourth, lapsed and re-issued licenses. Where a site authority’s Part 420 license lapses and is later re-issued, the post-license indicator follows the FAA record. The dissertation does not collapse the lapse-and-re-issue cycle into a single license episode because the cycle is itself a policy-relevant event and is preserved in the data.</w:t>
      </w:r>
    </w:p>
    <w:bookmarkEnd w:id="99"/>
    <w:bookmarkStart w:id="100" w:name="provenance-file-and-replication-archive"/>
    <w:p>
      <w:pPr>
        <w:pStyle w:val="Heading2"/>
        <w:spacing w:line="480" w:lineRule="auto"/>
      </w:pPr>
      <w:r>
        <w:t xml:space="preserve">4.10 Provenance File and Replication Archive</w:t>
      </w:r>
    </w:p>
    <w:p>
      <w:pPr>
        <w:pStyle w:val="FirstParagraph"/>
        <w:spacing w:line="480" w:lineRule="auto"/>
      </w:pPr>
      <w:r>
        <w:t xml:space="preserve">A single provenance file accompanies the analytic data. The file is a row-aligned companion to the regression file: each analytic row in the regression file is matched to a row in the provenance file that records the FAA source URL, the FAA document title and date, the page or table reference within the document, the construction rule applied, and any coding flag (illustrative, ambiguous-dropped, lapse-and-re-issued, interpolated). The provenance file is the operational implementation of the documentary-primacy commitment stated in Section 4.1 and is the artifact a second reader uses to audit any individual cell in the regression file.</w:t>
      </w:r>
    </w:p>
    <w:p>
      <w:pPr>
        <w:pStyle w:val="BodyText"/>
        <w:spacing w:line="480" w:lineRule="auto"/>
        <w:ind w:firstLine="720"/>
      </w:pPr>
      <w:r>
        <w:t xml:space="preserve">The replication archive bundles the provenance file, the raw per-launch records, the build script that constructs the site-year and state-year files from the raw records, the regression files for both papers, and the estimation scripts. The build script is deterministic with respect to the raw records: rerunning it on the same FAA documents reproduces the same regression files. The estimation scripts produce the tables and coefficients reported in the two papers and in the empirical chapters of the dissertation.</w:t>
      </w:r>
    </w:p>
    <w:bookmarkEnd w:id="100"/>
    <w:bookmarkStart w:id="101" w:name="X4a77a63ddc4babb0104de337eba97974108568e"/>
    <w:p>
      <w:pPr>
        <w:pStyle w:val="Heading2"/>
        <w:spacing w:line="480" w:lineRule="auto"/>
      </w:pPr>
      <w:r>
        <w:t xml:space="preserve">4.11 Measurement-Validity Checks Performed at Build Time</w:t>
      </w:r>
    </w:p>
    <w:p>
      <w:pPr>
        <w:pStyle w:val="FirstParagraph"/>
        <w:spacing w:line="480" w:lineRule="auto"/>
      </w:pPr>
      <w:r>
        <w:t xml:space="preserve">The build script performs four measurement-validity checks at the construction layer, before any model is fitted. First, the licensed-site count for each state-year is reconciled against the Licensed Launch Sites list as of 31 December of the year; a mismatch raises an error and halts the build. Second, the site-year launch count is reconciled against the per-site totals reported in the Annual Compendium summary tables for the years for which those summary tables exist; a mismatch raises an error and prints the offending rows. Third, the joint orbital-plus-suborbital launch count is reconciled against the national-demand control by summing across sites and checking against the FAA national total; a discrepancy beyond a documented rounding tolerance raises a warning. Fourth, the geography covariates are reconciled against the FAA site descriptions by string match on the site authority and on the range memorandum; a mismatch raises an error.</w:t>
      </w:r>
    </w:p>
    <w:p>
      <w:pPr>
        <w:pStyle w:val="BodyText"/>
        <w:spacing w:line="480" w:lineRule="auto"/>
        <w:ind w:firstLine="720"/>
      </w:pPr>
      <w:r>
        <w:t xml:space="preserve">These checks do not validate the conceptual content of the variables, which is argued in Section 4.2 and in the empirical chapters of each paper. They validate the documentary chain: they ensure that the analytic file accurately reflects the FAA record from which it was built. The checks are run on every build and their output is preserved as a build log in the replication archive.</w:t>
      </w:r>
    </w:p>
    <w:bookmarkEnd w:id="101"/>
    <w:bookmarkStart w:id="102" w:name="limits-of-the-data"/>
    <w:p>
      <w:pPr>
        <w:pStyle w:val="Heading2"/>
        <w:spacing w:line="480" w:lineRule="auto"/>
      </w:pPr>
      <w:r>
        <w:t xml:space="preserve">4.12 Limits of the Data</w:t>
      </w:r>
    </w:p>
    <w:p>
      <w:pPr>
        <w:pStyle w:val="FirstParagraph"/>
        <w:spacing w:line="480" w:lineRule="auto"/>
      </w:pPr>
      <w:r>
        <w:t xml:space="preserve">Three limits of the data deserve explicit acknowledgement. The first is the size of the panel. The site-year panel covers thirty-nine site-year observations across twelve sites, and the state-year panel covers thirty-nine state-year observations across eight states with three single-year additions for in-window licensing and denial events. The panel is small in the absolute statistical sense and is small relative to the parameter count that a fully saturated two-way fixed-effects specification would require. The empirical chapters address the size limit through specification parsimony and through the robustness checks documented in the prospectus.</w:t>
      </w:r>
    </w:p>
    <w:p>
      <w:pPr>
        <w:pStyle w:val="BodyText"/>
        <w:spacing w:line="480" w:lineRule="auto"/>
        <w:ind w:firstLine="720"/>
      </w:pPr>
      <w:r>
        <w:t xml:space="preserve">The second limit is the concentration of the outcome. A small number of site-years and state-years carry the bulk of the launch count, with Florida and the Eastern Range carrying the largest share. The concentration is a substantive feature of the U.S. launch system rather than a sampling artifact, but it has measurement consequences: the standard errors on the cross-site comparison in the first paper are correspondingly wide, and the second paper’s log-plus-one transformation is in part a response to the concentration. The empirical chapters report robust standard errors of the HC1 form for both papers and re-estimate without the highest-cadence state-years as a sensitivity check.</w:t>
      </w:r>
    </w:p>
    <w:p>
      <w:pPr>
        <w:pStyle w:val="BodyText"/>
        <w:spacing w:line="480" w:lineRule="auto"/>
        <w:ind w:firstLine="720"/>
      </w:pPr>
      <w:r>
        <w:t xml:space="preserve">The third limit is the absence of an analytic variable for vehicle availability and for payload demand, both of which are conceptually plausible intermediaries between licensing and cadence. The space-economy synthesis treats payload demand and vehicle supply as endogenous to cadence at the system level [3, 6], and a fully specified structural model would require an instrument for each. The dissertation does not attempt that structural exercise and treats the residual variation as the empirical content of the question. The empirical chapters acknowledge the omission and frame the estimands as conditional associations rather than structural causal effects, in keeping with the design’s documentary-primacy commitment and with the conservative coding rules documented above.</w:t>
      </w:r>
    </w:p>
    <w:p>
      <w:pPr>
        <w:pStyle w:val="BodyText"/>
        <w:spacing w:line="480" w:lineRule="auto"/>
        <w:ind w:firstLine="720"/>
      </w:pPr>
      <w:r>
        <w:t xml:space="preserve">The data described in this chapter are the substrate on which Chapters 5 and 6 estimate the site-year and state-year specifications respectively. The specifications, the estimators, and the inferential reading of the results follow in those chapters.</w:t>
      </w:r>
    </w:p>
    <w:bookmarkEnd w:id="102"/>
    <w:bookmarkEnd w:id="103"/>
    <w:bookmarkStart w:id="110" w:name="chapter-5.-methods-and-identification"/>
    <w:p>
      <w:pPr>
        <w:pStyle w:val="Heading1"/>
        <w:spacing w:line="480" w:lineRule="auto"/>
      </w:pPr>
      <w:r>
        <w:t xml:space="preserve">Chapter 5. Methods and Identification</w:t>
      </w:r>
    </w:p>
    <w:bookmarkStart w:id="104" w:name="overview-and-position-of-the-chapter"/>
    <w:p>
      <w:pPr>
        <w:pStyle w:val="Heading2"/>
        <w:spacing w:line="480" w:lineRule="auto"/>
      </w:pPr>
      <w:r>
        <w:t xml:space="preserve">5.1 Overview and Position of the Chapter</w:t>
      </w:r>
    </w:p>
    <w:p>
      <w:pPr>
        <w:pStyle w:val="FirstParagraph"/>
        <w:spacing w:line="480" w:lineRule="auto"/>
      </w:pPr>
      <w:r>
        <w:t xml:space="preserve">This chapter specifies the estimators, the identification strategy, and the threats to validity that govern the dissertation’s central empirical claim, namely that the issuance of a Federal Aviation Administration launch-site operator license under 14 CFR Part 420 has a measurable conditional effect on the count of launches subsequently attributed to that site. The chapter operates on the analytic frame laid down in the prospectus and stress-tested in the two preceding empirical papers. The first paper estimated a pooled ordinary least squares specification on a twelve-site, thirty-nine site-year panel and found a directionally positive but statistically imprecise post-license effect alongside a substantively larger but also imprecise federal-range effect. The second paper aggregated the unit of observation to the state-year, re-expressed the outcome as the log of one plus launch count, and obtained tight estimates on licensed-site stock and prior federal-range co-location while the coastal indicator washed out once range co-location was partialled out. Both papers exposed a structural problem that the present chapter is designed to resolve: pooled cross-sectional variation in a small sample mixes the licensure event with time-invariant site geography and with the secular rise in national launch demand, and standard errors widen accordingly. The dissertation therefore moves to a two-way fixed-effects panel estimator on the site-year, with the licensure event as a discrete state change in the regional capital stock and with site and year fixed effects absorbing the two largest classes of nuisance variation</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 The chapter proceeds in five sections beyond this overview. Section 5.2 defines the estimating equation and the supporting estimators. Section 5.3 sets out the identification strategy. Section 5.4 enumerates the threats to validity and the design responses to each. Section 5.5 specifies the inference procedure. Section 5.6 documents the data construction discipline that underwrites the replication archive.</w:t>
      </w:r>
    </w:p>
    <w:bookmarkEnd w:id="104"/>
    <w:bookmarkStart w:id="105" w:name="Xe3391d84474df92c689f6decf5eafe3b9f6423b"/>
    <w:p>
      <w:pPr>
        <w:pStyle w:val="Heading2"/>
        <w:spacing w:line="480" w:lineRule="auto"/>
      </w:pPr>
      <w:r>
        <w:t xml:space="preserve">5.2 Estimating Equation and Supporting Estimators</w:t>
      </w:r>
    </w:p>
    <w:p>
      <w:pPr>
        <w:pStyle w:val="FirstParagraph"/>
        <w:spacing w:line="480" w:lineRule="auto"/>
      </w:pPr>
      <w:r>
        <w:t xml:space="preserve">The primary estimator is a conditional Poisson two-way fixed-effects panel regression of the annual launch count at site i in year t on a post-license indicator, with site and year fixed effects. Let y_it denote the count of FAA-attributed orbital and suborbital launches from site i in calendar year t, drawn from the FAA Commercial Space Transportation Year in Review and Annual Compendium series and cross-checked against the FAA launch-and-reentry record. Let D_it denote the post-license indicator, equal to one in and after the calendar year of Part 420 site-operator license issuance at site i and zero otherwise. The conditional mean is specified as the exponential of a linear index: E[y_it given alpha_i, lambda_t, D_it] = exp(alpha_i + lambda_t + beta D_it). The site fixed effect alpha_i absorbs every time-invariant attribute of the site, including coastal access, downrange azimuth geometry, prior federal-range co-location, and the latent operator preferences that select the site in the first place</w:t>
      </w:r>
      <w:r>
        <w:t xml:space="preserve"> </w:t>
      </w:r>
      <w:hyperlink w:anchor="ref-2">
        <w:r>
          <w:rPr>
            <w:rStyle w:val="Hyperlink"/>
          </w:rPr>
          <w:t xml:space="preserve">[2]</w:t>
        </w:r>
      </w:hyperlink>
      <w:r>
        <w:t xml:space="preserve">,</w:t>
      </w:r>
      <w:r>
        <w:t xml:space="preserve"> </w:t>
      </w:r>
      <w:hyperlink w:anchor="ref-21">
        <w:r>
          <w:rPr>
            <w:rStyle w:val="Hyperlink"/>
          </w:rPr>
          <w:t xml:space="preserve">[21]</w:t>
        </w:r>
      </w:hyperlink>
      <w:r>
        <w:t xml:space="preserve">. The year fixed effect lambda_t absorbs national launch demand, the secular fall in marginal launch cost driven by the scale economies that the space-economy synthesis documents</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and any common shocks to the launch sector such as range stand-downs or regulatory pauses. The coefficient of interest beta is interpreted as the average percentage change in expected annual site launch count attributable to licensing, holding site and year fixed effects constant. The Poisson specification is appropriate because the outcome is a non-negative count with a non-trivial mass at zero and because the conditional Poisson fixed-effects estimator is consistent under the weak distributional assumption that the conditional mean is correctly specified, without requiring equidispersion in the second moment.</w:t>
      </w:r>
    </w:p>
    <w:p>
      <w:pPr>
        <w:pStyle w:val="BodyText"/>
        <w:spacing w:line="480" w:lineRule="auto"/>
        <w:ind w:firstLine="720"/>
      </w:pPr>
      <w:r>
        <w:t xml:space="preserve">A linear two-way fixed-effects specification is estimated alongside the Poisson model as a transparency device. In this companion specification the dependent variable is the natural log of one plus y_it, mirroring the transformation used in the second empirical paper, so that readers can compare the dissertation estimate to the state-year cross-section directly. The linear specification is not the inferential workhorse but it disciplines the Poisson estimate against the interpretation of the log-plus-one cadence index that the prior literature on licensed launch sites has used</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An event-study specification supplies the dynamics that the binary post-license indicator suppresses. Define event time k = t - t_i* where t_i* is the year of Part 420 license issuance for site i, and let D_it^k be a vector of indicators for event time k from negative five through positive five with the year preceding licensure (k = -1) omitted as the reference period. The exponential conditional mean becomes E[y_it given alpha_i, lambda_t] = exp(alpha_i + lambda_t + sum over k of gamma_k D_it^k). The vector of gamma_k coefficients traces out the cadence path before and after licensure. The pre-period coefficients (k less than zero) test the parallel-trends assumption; the post-period coefficients (k greater than or equal to zero) trace the licensing response. The omission of k = -1 is the normalisation, not a substantive assumption.</w:t>
      </w:r>
    </w:p>
    <w:p>
      <w:pPr>
        <w:pStyle w:val="BodyText"/>
        <w:spacing w:line="480" w:lineRule="auto"/>
        <w:ind w:firstLine="720"/>
      </w:pPr>
      <w:r>
        <w:t xml:space="preserve">A survival-analysis complement is estimated to address the latency between licensure and first launch that the count specifications fold into the post-license average. The survival outcome is the time in years from license issuance to the first FAA-attributed launch from the site. A Cox proportional-hazards model regresses the hazard of first launch on the time-invariant site characteristics coded in the first empirical paper, namely coastal access and prior federal-range co-location, with sites that have not yet hosted a launch as of the panel’s terminal year right-censored at that year. The survival model does not replace the panel estimator; it characterises the licensing-to-activation lag that the panel estimator aggregates over</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21">
        <w:r>
          <w:rPr>
            <w:rStyle w:val="Hyperlink"/>
          </w:rPr>
          <w:t xml:space="preserve">[21]</w:t>
        </w:r>
      </w:hyperlink>
      <w:r>
        <w:t xml:space="preserve">,</w:t>
      </w:r>
      <w:r>
        <w:t xml:space="preserve"> </w:t>
      </w:r>
      <w:hyperlink w:anchor="ref-26">
        <w:r>
          <w:rPr>
            <w:rStyle w:val="Hyperlink"/>
          </w:rPr>
          <w:t xml:space="preserve">[26]</w:t>
        </w:r>
      </w:hyperlink>
      <w:r>
        <w:t xml:space="preserve">.</w:t>
      </w:r>
    </w:p>
    <w:bookmarkEnd w:id="105"/>
    <w:bookmarkStart w:id="106" w:name="identification-strategy"/>
    <w:p>
      <w:pPr>
        <w:pStyle w:val="Heading2"/>
        <w:spacing w:line="480" w:lineRule="auto"/>
      </w:pPr>
      <w:r>
        <w:t xml:space="preserve">5.3 Identification Strategy</w:t>
      </w:r>
    </w:p>
    <w:p>
      <w:pPr>
        <w:pStyle w:val="FirstParagraph"/>
        <w:spacing w:line="480" w:lineRule="auto"/>
      </w:pPr>
      <w:r>
        <w:t xml:space="preserve">The identification problem is that the licensure event is not randomly assigned across sites or across years. State authorities, airport districts, and operator-owned consortia select into the Part 420 process for reasons that include latent demand, anchor-tenant commitments, and the inheritance of federal-range services. A naive comparison of post-license to pre-license site-years therefore conflates the licensing effect with the unobserved drivers of selection. The identification strategy responds to this problem on three levels.</w:t>
      </w:r>
    </w:p>
    <w:p>
      <w:pPr>
        <w:pStyle w:val="BodyText"/>
        <w:spacing w:line="480" w:lineRule="auto"/>
        <w:ind w:firstLine="720"/>
      </w:pPr>
      <w:r>
        <w:t xml:space="preserve">First, the site fixed effects absorb every time-invariant determinant of selection. If a site is licensed because it sits adjacent to a federal range with surveillance, telemetry, and downrange clearance already in place, the inherited capacity is in alpha_i and is differenced out of the within-site comparison</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21">
        <w:r>
          <w:rPr>
            <w:rStyle w:val="Hyperlink"/>
          </w:rPr>
          <w:t xml:space="preserve">[21]</w:t>
        </w:r>
      </w:hyperlink>
      <w:r>
        <w:t xml:space="preserve">. The remaining within-site variation is the change in cadence around the site’s own licensure year, evaluated against the year fixed effects that absorb the common time path of national launch demand.</w:t>
      </w:r>
    </w:p>
    <w:p>
      <w:pPr>
        <w:pStyle w:val="BodyText"/>
        <w:spacing w:line="480" w:lineRule="auto"/>
        <w:ind w:firstLine="720"/>
      </w:pPr>
      <w:r>
        <w:t xml:space="preserve">Second, the year fixed effects absorb the secular trend in national launch demand that would otherwise contaminate the post-license average. The space-economy synthesis documents that increases in launch volume drive scale economies in launch operations and that the marginal cost of launch has fallen materially over the panel window</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 The licensure wave is concentrated in a window during which national demand rises, and any estimator that does not absorb the rising national mean will attribute part of the demand-driven rise to the licensure event. The two-way design protects beta from this contamination by construction.</w:t>
      </w:r>
    </w:p>
    <w:p>
      <w:pPr>
        <w:pStyle w:val="BodyText"/>
        <w:spacing w:line="480" w:lineRule="auto"/>
        <w:ind w:firstLine="720"/>
      </w:pPr>
      <w:r>
        <w:t xml:space="preserve">Third, the parallel-trends assumption is itself tested rather than asserted. The event-study coefficients on the pre-period leads gamma_minus_five through gamma_minus_two provide a direct visual and inferential check on whether the licensed and not-yet-licensed sites were on the same cadence trajectory before licensure. A flat profile of pre-period coefficients near zero is consistent with parallel trends; a rising profile would indicate anticipation or selection on a pre-existing trend and would discount the post-period estimates accordingly. The event-study is therefore both a robustness check and a falsification test.</w:t>
      </w:r>
    </w:p>
    <w:p>
      <w:pPr>
        <w:pStyle w:val="BodyText"/>
        <w:spacing w:line="480" w:lineRule="auto"/>
        <w:ind w:firstLine="720"/>
      </w:pPr>
      <w:r>
        <w:t xml:space="preserve">The estimand is the average treatment effect on the treated, expressed as the average percentage change in expected annual site launch count attributable to Part 420 site-operator license issuance, evaluated over the five-year horizon following licensure. The five-year horizon is chosen on substantive grounds: the licensing-to-activation lag documented in industry analyses of FAA-licensed sites runs from roughly one to roughly five years for sites that activate at all</w:t>
      </w:r>
      <w:r>
        <w:t xml:space="preserve"> </w:t>
      </w:r>
      <w:hyperlink w:anchor="ref-5">
        <w:r>
          <w:rPr>
            <w:rStyle w:val="Hyperlink"/>
          </w:rPr>
          <w:t xml:space="preserve">[5]</w:t>
        </w:r>
      </w:hyperlink>
      <w:r>
        <w:t xml:space="preserve">,</w:t>
      </w:r>
      <w:r>
        <w:t xml:space="preserve"> </w:t>
      </w:r>
      <w:hyperlink w:anchor="ref-21">
        <w:r>
          <w:rPr>
            <w:rStyle w:val="Hyperlink"/>
          </w:rPr>
          <w:t xml:space="preserve">[21]</w:t>
        </w:r>
      </w:hyperlink>
      <w:r>
        <w:t xml:space="preserve">,</w:t>
      </w:r>
      <w:r>
        <w:t xml:space="preserve"> </w:t>
      </w:r>
      <w:hyperlink w:anchor="ref-26">
        <w:r>
          <w:rPr>
            <w:rStyle w:val="Hyperlink"/>
          </w:rPr>
          <w:t xml:space="preserve">[26]</w:t>
        </w:r>
      </w:hyperlink>
      <w:r>
        <w:t xml:space="preserve">, and a five-year window captures the activation phase without diluting the estimate with very long-run cadence trajectories that mix in operator-strategy and vehicle-family transitions.</w:t>
      </w:r>
    </w:p>
    <w:bookmarkEnd w:id="106"/>
    <w:bookmarkStart w:id="107" w:name="X1d189e0776bd0a9225211f020d00b109bd29bed"/>
    <w:p>
      <w:pPr>
        <w:pStyle w:val="Heading2"/>
        <w:spacing w:line="480" w:lineRule="auto"/>
      </w:pPr>
      <w:r>
        <w:t xml:space="preserve">5.4 Threats to Validity and How Each Is Bounded</w:t>
      </w:r>
    </w:p>
    <w:p>
      <w:pPr>
        <w:pStyle w:val="FirstParagraph"/>
        <w:spacing w:line="480" w:lineRule="auto"/>
      </w:pPr>
      <w:r>
        <w:t xml:space="preserve">Eight threats to validity are recognised. Each is bounded by an explicit design response rather than dismissed.</w:t>
      </w:r>
    </w:p>
    <w:p>
      <w:pPr>
        <w:pStyle w:val="BodyText"/>
        <w:spacing w:line="480" w:lineRule="auto"/>
        <w:ind w:firstLine="720"/>
      </w:pPr>
      <w:r>
        <w:t xml:space="preserve">The first threat is anticipation. Operators may shift activity in advance of license issuance, biasing the post-license estimate downward and inflating the pre-license trend</w:t>
      </w:r>
      <w:r>
        <w:t xml:space="preserve"> </w:t>
      </w:r>
      <w:hyperlink w:anchor="ref-5">
        <w:r>
          <w:rPr>
            <w:rStyle w:val="Hyperlink"/>
          </w:rPr>
          <w:t xml:space="preserve">[5]</w:t>
        </w:r>
      </w:hyperlink>
      <w:r>
        <w:t xml:space="preserve">. The event-study leads are designed to detect this pattern. A robustness specification substitutes the date of license application for the date of license issuance and re-estimates the same equation; a stable beta across the two timing definitions indicates that the measured effect is not an artefact of anticipation, while a sharp difference flags it.</w:t>
      </w:r>
    </w:p>
    <w:p>
      <w:pPr>
        <w:pStyle w:val="BodyText"/>
        <w:spacing w:line="480" w:lineRule="auto"/>
        <w:ind w:firstLine="720"/>
      </w:pPr>
      <w:r>
        <w:t xml:space="preserve">The second threat is demand spillover. National launch demand may be redistributed across sites rather than expanded, so that a positive site-level effect is a reallocation of a fixed pool</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The year fixed effects absorb the level of national demand by construction. A second robustness specification re-estimates the model on the share of national launches attributable to the site rather than the count, and the qualitative finding is reported against the count specification. If the share specification turns the post-license coefficient toward zero while the count specification stays positive, the cadence rise at licensed sites is at least partly redistribution rather than expansion.</w:t>
      </w:r>
    </w:p>
    <w:p>
      <w:pPr>
        <w:pStyle w:val="BodyText"/>
        <w:spacing w:line="480" w:lineRule="auto"/>
        <w:ind w:firstLine="720"/>
      </w:pPr>
      <w:r>
        <w:t xml:space="preserve">The third threat is attribution. Some launches are attributed to a federal range rather than to a Part 420 site and the attribution can shift mid-panel as range agreements evolve</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construction step codes each launch to a Part 420 site only when the FAA Annual Compendium attributes it to that site. Ambiguous cases (range-attributed launches that overlap with a Part 420 site) are dropped and counted in a published attribution log that travels with the replication archive. A sensitivity check re-estimates the equation under an inclusive attribution rule that assigns the overlapping launches to the Part 420 site and reports the change in beta.</w:t>
      </w:r>
    </w:p>
    <w:p>
      <w:pPr>
        <w:pStyle w:val="BodyText"/>
        <w:spacing w:line="480" w:lineRule="auto"/>
        <w:ind w:firstLine="720"/>
      </w:pPr>
      <w:r>
        <w:t xml:space="preserve">The fourth threat is scale economies. Sites that achieve high cadence early attract additional cadence through the cost reductions documented in the space-economy literature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This is a feature of the policy mechanism rather than a confounder and is preserved in the estimand. The event-study pre-period coefficients distinguish a cadence rise that begins before licensure from one that begins at licensure, and the distinction is reported transparently.</w:t>
      </w:r>
    </w:p>
    <w:p>
      <w:pPr>
        <w:pStyle w:val="BodyText"/>
        <w:spacing w:line="480" w:lineRule="auto"/>
        <w:ind w:firstLine="720"/>
      </w:pPr>
      <w:r>
        <w:t xml:space="preserve">The fifth threat is selection of the comparison group. The conditional Poisson fixed-effects estimator drops sites with no within-site variation in the outcome, which in this panel includes a non-trivial number of zero-cadence inland sites. The estimated beta is therefore identified off the sites that exhibit cadence at some point in the panel. A robustness specification restricts the panel to sites that ever receive a Part 420 license, removing the never-licensed comparison group entirely and re-estimating beta on the event-study window alone. A second robustness specification expands the panel to include not-yet-licensed applicants as a distinct control group, mirroring the inclusion of Spaceport Camden in the first empirical paper.</w:t>
      </w:r>
    </w:p>
    <w:p>
      <w:pPr>
        <w:pStyle w:val="BodyText"/>
        <w:spacing w:line="480" w:lineRule="auto"/>
        <w:ind w:firstLine="720"/>
      </w:pPr>
      <w:r>
        <w:t xml:space="preserve">The sixth threat is the heterogeneity of the treatment effect across cohorts of licensed sites. Recent econometric work on two-way fixed-effects estimators with staggered adoption shows that beta can be a sign-incorrect average of cohort-specific effects when treatment effects vary over time and across cohorts. The dissertation reports the conventional beta alongside a cohort-disaggregated estimator that recovers cohort-specific average treatment effects and aggregates them with weights that are non-negative by construction. The reported headline beta is the conventional estimate; the cohort-disaggregated estimate is reported as the primary robustness check on the staggered-adoption critique.</w:t>
      </w:r>
    </w:p>
    <w:p>
      <w:pPr>
        <w:pStyle w:val="BodyText"/>
        <w:spacing w:line="480" w:lineRule="auto"/>
        <w:ind w:firstLine="720"/>
      </w:pPr>
      <w:r>
        <w:t xml:space="preserve">The seventh threat is the conflation of orbital and suborbital launches in the count outcome. Suborbital cadence at licensed spaceports such as Spaceport America responds to vehicle-family transitions that orbital cadence does not, and pooling the two modalities can mask offsetting movements</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The equation is re-estimated on orbital launches only and on suborbital launches only and the two estimates are reported alongside the pooled estimate. The pooled estimate is the headline; the disaggregated estimates discipline the interpretation.</w:t>
      </w:r>
    </w:p>
    <w:p>
      <w:pPr>
        <w:pStyle w:val="BodyText"/>
        <w:spacing w:line="480" w:lineRule="auto"/>
        <w:ind w:firstLine="720"/>
      </w:pPr>
      <w:r>
        <w:t xml:space="preserve">The eighth threat is measurement error in the licensure date. The FAA Office of Commercial Space Transportation publishes the issuance date of each Part 420 site-operator license, but renewals, modifications, and operator-of-record changes can introduce ambiguity about the effective treatment date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 The construction step uses the date of original site-operator license issuance as the treatment date. A robustness specification uses the date of most recent modification as an alternative treatment date and reports the change in beta. A second robustness restricts the panel to sites whose license has not been modified during the observation window.</w:t>
      </w:r>
    </w:p>
    <w:p>
      <w:pPr>
        <w:pStyle w:val="BodyText"/>
        <w:spacing w:line="480" w:lineRule="auto"/>
        <w:ind w:firstLine="720"/>
      </w:pPr>
      <w:r>
        <w:t xml:space="preserve">A residual threat that the design cannot fully neutralise is the regional spillover of activity across nearby licensed sites. A site that hosts a launch may displace activity from a neighbouring site within the same range complex, and the year fixed effects do not absorb this within-year cross-site reallocation</w:t>
      </w:r>
      <w:r>
        <w:t xml:space="preserve"> </w:t>
      </w:r>
      <w:hyperlink w:anchor="ref-3">
        <w:r>
          <w:rPr>
            <w:rStyle w:val="Hyperlink"/>
          </w:rPr>
          <w:t xml:space="preserve">[3]</w:t>
        </w:r>
      </w:hyperlink>
      <w:r>
        <w:t xml:space="preserve">,</w:t>
      </w:r>
      <w:r>
        <w:t xml:space="preserve"> </w:t>
      </w:r>
      <w:hyperlink w:anchor="ref-12">
        <w:r>
          <w:rPr>
            <w:rStyle w:val="Hyperlink"/>
          </w:rPr>
          <w:t xml:space="preserve">[12]</w:t>
        </w:r>
      </w:hyperlink>
      <w:r>
        <w:t xml:space="preserve">,</w:t>
      </w:r>
      <w:r>
        <w:t xml:space="preserve"> </w:t>
      </w:r>
      <w:hyperlink w:anchor="ref-22">
        <w:r>
          <w:rPr>
            <w:rStyle w:val="Hyperlink"/>
          </w:rPr>
          <w:t xml:space="preserve">[22]</w:t>
        </w:r>
      </w:hyperlink>
      <w:r>
        <w:t xml:space="preserve">. The dissertation reports cluster-robust standard errors at the level of the federal-range complex as well as at the site level, and the comparison of the two clustering choices bounds the residual cross-site dependence.</w:t>
      </w:r>
    </w:p>
    <w:bookmarkEnd w:id="107"/>
    <w:bookmarkStart w:id="108" w:name="inference"/>
    <w:p>
      <w:pPr>
        <w:pStyle w:val="Heading2"/>
        <w:spacing w:line="480" w:lineRule="auto"/>
      </w:pPr>
      <w:r>
        <w:t xml:space="preserve">5.5 Inference</w:t>
      </w:r>
    </w:p>
    <w:p>
      <w:pPr>
        <w:pStyle w:val="FirstParagraph"/>
        <w:spacing w:line="480" w:lineRule="auto"/>
      </w:pPr>
      <w:r>
        <w:t xml:space="preserve">Cluster-robust standard errors at the site level are the primary inference device. The site is the unit at which the treatment is assigned and at which the unobserved heterogeneity is most plausibly correlated across years. A secondary inference run clusters at the federal-range complex (Eastern Range, Western Range, Wallops, Pacific Spaceport Complex Alaska, inland) to address the residual cross-site dependence noted above. A wild cluster bootstrap with three thousand replications supplies small-sample-robust p-values for the headline coefficient because the number of clusters is small.</w:t>
      </w:r>
    </w:p>
    <w:p>
      <w:pPr>
        <w:pStyle w:val="BodyText"/>
        <w:spacing w:line="480" w:lineRule="auto"/>
        <w:ind w:firstLine="720"/>
      </w:pPr>
      <w:r>
        <w:t xml:space="preserve">The conventional five percent threshold is reported but not treated as a binary verdict. Point estimates, ninety-five percent confidence intervals, and the full event-study profile are reported for every specification, and the substantive interpretation rests on the joint pattern of magnitudes, signs, and pre-period flatness rather than on a single p-value.</w:t>
      </w:r>
    </w:p>
    <w:bookmarkEnd w:id="108"/>
    <w:bookmarkStart w:id="109" w:name="data-construction-discipline"/>
    <w:p>
      <w:pPr>
        <w:pStyle w:val="Heading2"/>
        <w:spacing w:line="480" w:lineRule="auto"/>
      </w:pPr>
      <w:r>
        <w:t xml:space="preserve">5.6 Data Construction Discipline</w:t>
      </w:r>
    </w:p>
    <w:p>
      <w:pPr>
        <w:pStyle w:val="FirstParagraph"/>
        <w:spacing w:line="480" w:lineRule="auto"/>
      </w:pPr>
      <w:r>
        <w:t xml:space="preserve">The replication archive is the primary defence against the inferential frailty that small panels invite. Every site-year row in the panel records the public source URL for the treatment variable, the source URL for the outcome variable, the source URL for each time-invariant site characteristic, and the date of retrieval. The FAA Office of Commercial Space Transportation Licensed Launch Sites list is the canonical source for the treatment variable</w:t>
      </w:r>
      <w:r>
        <w:t xml:space="preserve"> </w:t>
      </w:r>
      <w:hyperlink w:anchor="ref-8">
        <w:r>
          <w:rPr>
            <w:rStyle w:val="Hyperlink"/>
          </w:rPr>
          <w:t xml:space="preserve">[8]</w:t>
        </w:r>
      </w:hyperlink>
      <w:r>
        <w:t xml:space="preserve">. The FAA Commercial Space Transportation Year in Review and Annual Compendium series is the canonical source for the outcome variable. The launch-and-reentry record supplies the cross-check. Coastal and federal-range indicators are coded from FAA site descriptions and range-operator memoranda. Ambiguous attributions are logged in a published attribution file rather than silently resolved. The replication archive is the same artefact that the prior empirical papers produced, extended to the full annual panel through the most recent complete calendar year, and the construction scripts are versioned alongside the estimation scripts so that a third party can reproduce both the panel and the headline beta from public sources alone.</w:t>
      </w:r>
    </w:p>
    <w:bookmarkEnd w:id="109"/>
    <w:bookmarkEnd w:id="110"/>
    <w:bookmarkStart w:id="122" w:name="chapter-6.-results"/>
    <w:p>
      <w:pPr>
        <w:pStyle w:val="Heading1"/>
        <w:spacing w:line="480" w:lineRule="auto"/>
      </w:pPr>
      <w:r>
        <w:t xml:space="preserve">Chapter 6. Results</w:t>
      </w:r>
    </w:p>
    <w:p>
      <w:pPr>
        <w:pStyle w:val="FirstParagraph"/>
        <w:spacing w:line="480" w:lineRule="auto"/>
      </w:pPr>
      <w:r>
        <w:t xml:space="preserve">This chapter presents the estimated results of the two empirical papers that constitute the quantitative core of the dissertation. Paper 1 estimates a pooled ordinary least squares model on a site-year panel of FAA Part 420 licensed and applied-for spaceport sites, regressing the annual count of FAA-attributed launches on a post-license indicator together with two geography controls and a national demand control. Paper 2 estimates a robust ordinary least squares model on a state-year panel, regressing the natural log of one plus annual launch count on the count of Part 420 licensed sites in the state together with a coastal indicator and a prior-federal-range indicator. Both estimators were rerun against the archived data and configuration files immediately before this chapter was drafted, and every numeric value reported below is taken from that rerun rather than reproduced from the standalone paper drafts. The two specifications are designed to illuminate the same policy question from complementary angles: Paper 1 asks whether the licensure event itself shifts cadence at the licensed site, and Paper 2 asks whether the accumulating stock of licensed sites within a state lifts the regional cadence index after partialling out the two physical site characteristics that the governance literature flags as the dominant confounders [1, 9].</w:t>
      </w:r>
    </w:p>
    <w:p>
      <w:pPr>
        <w:pStyle w:val="BodyText"/>
        <w:spacing w:line="480" w:lineRule="auto"/>
        <w:ind w:firstLine="720"/>
      </w:pPr>
      <w:r>
        <w:t xml:space="preserve">The structure of the chapter follows the structure of the underlying empirical strategy. Section 6.1 reports the fit statistics, coefficient point estimates, robust standard errors, and significance levels for Paper 1, and walks through what each parameter signals about the policy claim that licensing predicts cadence. Section 6.2 does the same for Paper 2 and explains why the state-year panel reaches a tighter and more decisive conclusion than the site-year panel. Section 6.3 reads the two sets of estimates against each other, identifies which findings are robust across specifications and which are specification-dependent, and locates the substantive boundary between licensing as a permissive regulatory event and licensing as a binding capacity constraint. The numerical tables, regression diagnostics, and the underlying coded data are reproduced in full as Appendix A and are not repeated in the running prose of this chapter.</w:t>
      </w:r>
    </w:p>
    <w:bookmarkStart w:id="115" w:name="paper-1-results-the-site-year-panel"/>
    <w:p>
      <w:pPr>
        <w:pStyle w:val="Heading2"/>
        <w:spacing w:line="480" w:lineRule="auto"/>
      </w:pPr>
      <w:r>
        <w:t xml:space="preserve">6.1 Paper 1 Results: The Site-Year Panel</w:t>
      </w:r>
    </w:p>
    <w:p>
      <w:pPr>
        <w:pStyle w:val="FirstParagraph"/>
        <w:spacing w:line="480" w:lineRule="auto"/>
      </w:pPr>
      <w:r>
        <w:t xml:space="preserve">Paper 1 estimates a pooled ordinary least squares equation with HC1 robust standard errors on thirty-nine site-year observations drawn from twelve FAA Part 420 licensed or applied-for spaceport sites observed in selected years between 1996 and 2023</w:t>
      </w:r>
      <w:r>
        <w:t xml:space="preserve"> </w:t>
      </w:r>
      <w:hyperlink w:anchor="ref-8">
        <w:r>
          <w:rPr>
            <w:rStyle w:val="Hyperlink"/>
          </w:rPr>
          <w:t xml:space="preserve">[8]</w:t>
        </w:r>
      </w:hyperlink>
      <w:r>
        <w:t xml:space="preserve">. The dependent variable is the count of FAA-attributed orbital and suborbital launches from the site in the calendar year. The four regressors are the post-license indicator (the variable of theoretical interest), the coastal indicator, the federal-range indicator, and the national U.S. launch count for the year, which enters as a scalar demand control in place of a full year fixed-effect structure that the thirty-nine-row panel cannot support. The intercept is retained throughout.</w:t>
      </w:r>
    </w:p>
    <w:bookmarkStart w:id="111" w:name="fit-of-the-equation"/>
    <w:p>
      <w:pPr>
        <w:pStyle w:val="Heading3"/>
        <w:spacing w:line="480" w:lineRule="auto"/>
      </w:pPr>
      <w:r>
        <w:t xml:space="preserve">6.1.1 Fit of the Equation</w:t>
      </w:r>
    </w:p>
    <w:p>
      <w:pPr>
        <w:pStyle w:val="FirstParagraph"/>
        <w:spacing w:line="480" w:lineRule="auto"/>
      </w:pPr>
      <w:r>
        <w:t xml:space="preserve">The fitted model accounts for a modest share of cross-site-year variance in the launch count outcome. The coefficient of determination is 0.262, and the adjusted coefficient of determination, which penalizes the four right-hand-side variables, falls to 0.175. The F-statistic on the joint significance of the four slope coefficients is 0.979 with an associated p-value of 0.432. The joint null that all four slope coefficients are zero is therefore not rejected at the conventional five-percent threshold and is not rejected at the more permissive ten-percent threshold either. Roughly one quarter of the variance in the count outcome is captured by the four regressors, but the F-statistic confirms that the four regressors together do not collectively distinguish themselves from a constant-only specification on a panel of this size.</w:t>
      </w:r>
    </w:p>
    <w:p>
      <w:pPr>
        <w:pStyle w:val="BodyText"/>
        <w:spacing w:line="480" w:lineRule="auto"/>
        <w:ind w:firstLine="720"/>
      </w:pPr>
      <w:r>
        <w:t xml:space="preserve">Two readings of the F-statistic are available, and both are present in the data. The first reading is statistical: with thirty-nine observations and four regressors the model has thirty-four residual degrees of freedom, which is enough to estimate coefficients but not enough to compress the standard errors to the point where modest effect sizes become detectable. The second reading is substantive: the launch count outcome at the site-year level is concentrated at a small number of federal-range sites and is close to zero at most greenfield inland sites in most years, so the variance the model is trying to explain is dominated by a small number of high-cadence site-years that even a correctly specified equation can struggle to fit with four right-hand-side variables. Both readings counsel against treating the failure to reject the joint null as evidence against the policy mechanism; they counsel instead for a more discriminating outcome scale and a richer panel, which is what Paper 2 then provides.</w:t>
      </w:r>
    </w:p>
    <w:bookmarkEnd w:id="111"/>
    <w:bookmarkStart w:id="112" w:name="the-post-license-indicator"/>
    <w:p>
      <w:pPr>
        <w:pStyle w:val="Heading3"/>
        <w:spacing w:line="480" w:lineRule="auto"/>
      </w:pPr>
      <w:r>
        <w:t xml:space="preserve">6.1.2 The Post-License Indicator</w:t>
      </w:r>
    </w:p>
    <w:p>
      <w:pPr>
        <w:pStyle w:val="FirstParagraph"/>
        <w:spacing w:line="480" w:lineRule="auto"/>
      </w:pPr>
      <w:r>
        <w:t xml:space="preserve">The coefficient on the post-license indicator is the parameter that maps directly to the hypothesis the dissertation has organized around. The point estimate is 1.098, with an HC1 robust standard error of 1.561 and an associated p-value of 0.482. The point estimate is positive and is therefore in the direction predicted by the policy framing of licensing as a precondition for cadence: site-years that occur in or after the year of license issuance record, on average and conditional on the other regressors, approximately 1.10 more launches per year than site-years that occur before the year of license issuance. The implied effect is small in absolute terms (slightly more than one additional launch per site-year), and the confidence interval implied by the robust standard error is wide. A two-sided ninety-five-percent interval constructed from the reported standard error spans from a substantial negative value to a substantial positive value, and the interval comfortably contains zero. The directional prediction is consistent with the point estimate but the null cannot be rejected at any conventional significance threshold.</w:t>
      </w:r>
    </w:p>
    <w:p>
      <w:pPr>
        <w:pStyle w:val="BodyText"/>
        <w:spacing w:line="480" w:lineRule="auto"/>
        <w:ind w:firstLine="720"/>
      </w:pPr>
      <w:r>
        <w:t xml:space="preserve">The substantive reading of this estimate is that, on the site-year panel, the licensure event itself does not move the launch count outcome by enough to be distinguishable from sampling noise. That is not the same as a finding that licensure is causally inert. Three features of the design constrain what the estimate can show. First, the post-license indicator is binary and absorbs the entire post-licensure period into a single intercept shift, so the estimator is asking whether the average post-license site-year is statistically distinguishable from the average pre-license site-year for the same site. The shift is by construction small at sites whose post-license cadence is concentrated in suborbital flights, as the launch-on-demand literature has flagged for the greenfield inland sites</w:t>
      </w:r>
      <w:r>
        <w:t xml:space="preserve"> </w:t>
      </w:r>
      <w:hyperlink w:anchor="ref-2">
        <w:r>
          <w:rPr>
            <w:rStyle w:val="Hyperlink"/>
          </w:rPr>
          <w:t xml:space="preserve">[2]</w:t>
        </w:r>
      </w:hyperlink>
      <w:r>
        <w:t xml:space="preserve">. Second, the equation does not absorb site fixed effects, so the post-license indicator is identified off both within-site changes and across-site differences in licensure status, the latter of which is partly captured by the two site-characteristic controls but cannot be fully partialled out without a richer specification. Third, the small sample compresses the precision of every coefficient in the equation, and the post-license indicator is no exception.</w:t>
      </w:r>
    </w:p>
    <w:bookmarkEnd w:id="112"/>
    <w:bookmarkStart w:id="113" w:name="the-federal-range-indicator"/>
    <w:p>
      <w:pPr>
        <w:pStyle w:val="Heading3"/>
        <w:spacing w:line="480" w:lineRule="auto"/>
      </w:pPr>
      <w:r>
        <w:t xml:space="preserve">6.1.3 The Federal-Range Indicator</w:t>
      </w:r>
    </w:p>
    <w:p>
      <w:pPr>
        <w:pStyle w:val="FirstParagraph"/>
        <w:spacing w:line="480" w:lineRule="auto"/>
      </w:pPr>
      <w:r>
        <w:t xml:space="preserve">The coefficient on the federal-range indicator carries the largest point estimate of any regressor in the equation. The point estimate is 8.119 with an HC1 robust standard error of 5.385 and an associated p-value of 0.132. The estimate is positive, consistent with the inheritance-of-infrastructure prediction that sites co-located with the Eastern Range, the Western Range, the Wallops Flight Facility, or the Pacific Spaceport Complex Alaska enter the cadence regime more readily than sites without those inheritances [2, 5]. The magnitude is substantial: federal-range site-years average roughly 8.12 more launches per year than non-range site-years, conditional on the post-license indicator, the coastal indicator, and the national launch control. The standard error is wide and the p-value narrowly misses the conventional ten-percent threshold and clearly misses the five-percent threshold, so the coefficient is not statistically distinguishable from zero at either threshold; but the ratio of the point estimate to the standard error is roughly 1.51, and the implied t-statistic is the most decisive of the four regressors.</w:t>
      </w:r>
    </w:p>
    <w:p>
      <w:pPr>
        <w:pStyle w:val="BodyText"/>
        <w:spacing w:line="480" w:lineRule="auto"/>
        <w:ind w:firstLine="720"/>
      </w:pPr>
      <w:r>
        <w:t xml:space="preserve">The substantive reading of this estimate is the most important descriptive finding of Paper 1. The variable that carries the largest substantive weight in the cross-site comparison is not the licensure event itself but the inheritance of federal-range infrastructure. The licensure event sits at a point estimate of about one additional launch per site-year and a t-ratio below one; the federal-range inheritance sits at a point estimate of about eight additional launches per site-year and a t-ratio approaching one and a half. The substantive ranking of the two coefficients is consistent with the broader governance reading that licensing is a necessary regulatory step but is not the binding capacity constraint at the cadence frontier [1, 9]. The cadence frontier is set by the supply of telemetry, downrange clearance, range safety, and hazard-analysis services, and those services are concentrated at the federal ranges.</w:t>
      </w:r>
    </w:p>
    <w:bookmarkEnd w:id="113"/>
    <w:bookmarkStart w:id="114" w:name="X7e448ceb09f30e3fc6f3b9b5cb3d1b284365e48"/>
    <w:p>
      <w:pPr>
        <w:pStyle w:val="Heading3"/>
        <w:spacing w:line="480" w:lineRule="auto"/>
      </w:pPr>
      <w:r>
        <w:t xml:space="preserve">6.1.4 The Coastal Indicator and the National Demand Control</w:t>
      </w:r>
    </w:p>
    <w:p>
      <w:pPr>
        <w:pStyle w:val="FirstParagraph"/>
        <w:spacing w:line="480" w:lineRule="auto"/>
      </w:pPr>
      <w:r>
        <w:t xml:space="preserve">The coefficient on the coastal indicator is -3.207 with an HC1 robust standard error of 3.213 and an associated p-value of 0.318. The point estimate is negative, of moderate absolute magnitude, and is not statistically distinguishable from zero at any conventional threshold. The negative sign cannot be read as evidence that coastal access depresses cadence; it reflects the cross-site fact that several of the higher-cadence site-years in the panel are at coastal sites that are also federal-range sites, so the coastal indicator captures the residual cross-site variation in cadence that is not already absorbed by the federal-range indicator. The two indicators are partially collinear in this panel because the coastal sites that matter for cadence are also the federal-range sites. Paper 2 confirms the same pattern with a state-year panel and with a tighter standard error on the coastal indicator (see Section 6.2 below).</w:t>
      </w:r>
    </w:p>
    <w:p>
      <w:pPr>
        <w:pStyle w:val="BodyText"/>
        <w:spacing w:line="480" w:lineRule="auto"/>
        <w:ind w:firstLine="720"/>
      </w:pPr>
      <w:r>
        <w:t xml:space="preserve">The coefficient on the national U.S. launch count is 0.140 with an HC1 robust standard error of 0.115 and an associated p-value of 0.225. The point estimate is positive and of a defensible scale: an additional ten launches in the national total are associated with roughly 1.40 additional launches at the average site in the panel. The implied elasticity is substantively reasonable on a panel whose total annual cadence is concentrated in a small number of sites, so a one-unit lift in national cadence translates into a fractional lift at each panel site. The standard error is again wide enough that the coefficient is not statistically distinguishable from zero. The constant term is estimated at -5.025 with a robust standard error of 3.882 and a p-value of 0.195, which locates the predicted launch count at a non-coastal, non-range, pre-license site-year at a calendar year with zero national launches at a negative value that the count outcome cannot in practice take. The constant is best read as a regression artifact rather than a substantive baseline.</w:t>
      </w:r>
    </w:p>
    <w:bookmarkEnd w:id="114"/>
    <w:bookmarkEnd w:id="115"/>
    <w:bookmarkStart w:id="120" w:name="paper-2-results-the-state-year-panel"/>
    <w:p>
      <w:pPr>
        <w:pStyle w:val="Heading2"/>
        <w:spacing w:line="480" w:lineRule="auto"/>
      </w:pPr>
      <w:r>
        <w:t xml:space="preserve">6.2 Paper 2 Results: The State-Year Panel</w:t>
      </w:r>
    </w:p>
    <w:p>
      <w:pPr>
        <w:pStyle w:val="FirstParagraph"/>
        <w:spacing w:line="480" w:lineRule="auto"/>
      </w:pPr>
      <w:r>
        <w:t xml:space="preserve">Paper 2 estimates a robust ordinary least squares equation on thirty-nine state-year observations drawn from a six-year window from 2018 through 2023, augmented with three single-year observations for states whose licensing or denial event falls inside the window [4, 8]. The dependent variable is the natural log of one plus the count of FAA-attributed orbital and suborbital launches from licensed sites in the state in the year. The three regressors are the count of Part 420 licensed sites in the state-year, the coastal indicator, and the prior-federal-range indicator. The intercept is retained. The log-plus-one transformation accommodates zero-cadence state-years without dropping them and renders the coefficients interpretable as approximate semi-elasticities at low counts.</w:t>
      </w:r>
    </w:p>
    <w:bookmarkStart w:id="116" w:name="fit-of-the-equation-1"/>
    <w:p>
      <w:pPr>
        <w:pStyle w:val="Heading3"/>
        <w:spacing w:line="480" w:lineRule="auto"/>
      </w:pPr>
      <w:r>
        <w:t xml:space="preserve">6.2.1 Fit of the Equation</w:t>
      </w:r>
    </w:p>
    <w:p>
      <w:pPr>
        <w:pStyle w:val="FirstParagraph"/>
        <w:spacing w:line="480" w:lineRule="auto"/>
      </w:pPr>
      <w:r>
        <w:t xml:space="preserve">The estimated model fits the state-year panel tightly. The coefficient of determination is 0.680. The adjusted coefficient of determination is 0.652. The F-statistic on the joint significance of the three slope coefficients is 20.498 with an associated p-value of 7.66e-08, so the joint null that all three slope coefficients are zero is rejected at conventional thresholds by roughly seven orders of magnitude on the p-value scale. The three regressors jointly account for more than two-thirds of the cross-state-year variance in the log cadence index, and the F-statistic confirms that the equation as a whole carries genuine explanatory weight against the constant-only alternative.</w:t>
      </w:r>
    </w:p>
    <w:p>
      <w:pPr>
        <w:pStyle w:val="BodyText"/>
        <w:spacing w:line="480" w:lineRule="auto"/>
        <w:ind w:firstLine="720"/>
      </w:pPr>
      <w:r>
        <w:t xml:space="preserve">The contrast with Paper 1 is structural and is the central finding of the chapter. The same broad data-generating context, the same geographic universe of FAA-licensed sites, and broadly similar geography controls produce a model whose adjusted coefficient of determination is roughly four times the Paper 1 value and whose joint F-statistic is statistically decisive. Three design choices drive the contrast. The state-year unit of analysis aggregates the licensed-site capital stock into a continuous count rather than a binary indicator, which permits the model to read the cumulative buildup of capacity rather than only the discrete shift at the licensure event. The log-plus-one outcome scale compresses the large positive cadence values at Florida and California and lifts the zero-cadence observations to a finite value, which stabilizes the variance the equation is fitting. The post-2018 observation window concentrates the panel on the period during which the licensing wave actually translated into observable cadence on the FAA compendium and Year in Review records</w:t>
      </w:r>
      <w:r>
        <w:t xml:space="preserve"> </w:t>
      </w:r>
      <w:hyperlink w:anchor="ref-4">
        <w:r>
          <w:rPr>
            <w:rStyle w:val="Hyperlink"/>
          </w:rPr>
          <w:t xml:space="preserve">[4]</w:t>
        </w:r>
      </w:hyperlink>
      <w:r>
        <w:t xml:space="preserve">. The combined effect is to convert the noisy, count-scale, binary-indicator site-year specification of Paper 1 into the well-fitted, log-scale, count-stock specification of Paper 2 without changing the underlying policy question.</w:t>
      </w:r>
    </w:p>
    <w:bookmarkEnd w:id="116"/>
    <w:bookmarkStart w:id="117" w:name="the-licensed-site-count"/>
    <w:p>
      <w:pPr>
        <w:pStyle w:val="Heading3"/>
        <w:spacing w:line="480" w:lineRule="auto"/>
      </w:pPr>
      <w:r>
        <w:t xml:space="preserve">6.2.2 The Licensed-Site Count</w:t>
      </w:r>
    </w:p>
    <w:p>
      <w:pPr>
        <w:pStyle w:val="FirstParagraph"/>
        <w:spacing w:line="480" w:lineRule="auto"/>
      </w:pPr>
      <w:r>
        <w:t xml:space="preserve">The coefficient on the count of Part 420 licensed sites in the state-year is the parameter that maps to the dissertation’s first hypothesis on this panel. The point estimate is 1.024 with an HC1 robust standard error of 0.219 and an associated p-value below 0.0005. The estimate is positive, consistent with the directional prediction of H1, and the t-statistic implied by the point estimate and standard error is approximately 4.67. The null that licensed-site stock has no conditional association with the log cadence index is rejected at conventional thresholds with substantial margin.</w:t>
      </w:r>
    </w:p>
    <w:p>
      <w:pPr>
        <w:pStyle w:val="BodyText"/>
        <w:spacing w:line="480" w:lineRule="auto"/>
        <w:ind w:firstLine="720"/>
      </w:pPr>
      <w:r>
        <w:t xml:space="preserve">The substantive interpretation follows from the log-plus-one scale of the outcome. An additional Part 420 licensed site in a state-year is associated with an increase of approximately 1.024 log units in the cadence index, holding the coastal indicator and the prior-federal-range indicator constant. At low counts the log-plus-one transformation behaves approximately as a log transformation shifted by one, so a one log-unit lift corresponds approximately to a multiplicative factor of e on the count outcome, that is, a near-tripling of the expected annual launch count per added licensed site in the state-year. The implied effect size is the largest of the three regressors and the most precisely estimated. The point estimate is also of plausible policy magnitude: licensing one additional site in a state that already hosts at least one licensed site is consistent with the kind of cadence lift that the FAA compendium records for the states that built out beyond a single pad during the observation window</w:t>
      </w:r>
      <w:r>
        <w:t xml:space="preserve"> </w:t>
      </w:r>
      <w:hyperlink w:anchor="ref-4">
        <w:r>
          <w:rPr>
            <w:rStyle w:val="Hyperlink"/>
          </w:rPr>
          <w:t xml:space="preserve">[4]</w:t>
        </w:r>
      </w:hyperlink>
      <w:r>
        <w:t xml:space="preserve">.</w:t>
      </w:r>
    </w:p>
    <w:bookmarkEnd w:id="117"/>
    <w:bookmarkStart w:id="118" w:name="the-prior-federal-range-indicator"/>
    <w:p>
      <w:pPr>
        <w:pStyle w:val="Heading3"/>
        <w:spacing w:line="480" w:lineRule="auto"/>
      </w:pPr>
      <w:r>
        <w:t xml:space="preserve">6.2.3 The Prior-Federal-Range Indicator</w:t>
      </w:r>
    </w:p>
    <w:p>
      <w:pPr>
        <w:pStyle w:val="FirstParagraph"/>
        <w:spacing w:line="480" w:lineRule="auto"/>
      </w:pPr>
      <w:r>
        <w:t xml:space="preserve">The coefficient on the prior-federal-range indicator is 1.185 with an HC1 robust standard error of 0.237 and an associated p-value below 0.0005. The estimate is positive, consistent with the directional prediction of H2, and the implied t-statistic is approximately 5.00, which is the largest of the three regressors. The null that prior federal-range co-location has no conditional association with the log cadence index is rejected at conventional thresholds with substantial margin.</w:t>
      </w:r>
    </w:p>
    <w:p>
      <w:pPr>
        <w:pStyle w:val="BodyText"/>
        <w:spacing w:line="480" w:lineRule="auto"/>
        <w:ind w:firstLine="720"/>
      </w:pPr>
      <w:r>
        <w:t xml:space="preserve">The substantive interpretation is that state-years whose licensed sites share infrastructure with a pre-existing federal range exhibit approximately 1.19 additional log units of cadence conditional on the count of licensed sites and on coastal access. The magnitude is of the same order as the licensed-site coefficient and is in fact modestly larger; the two effects sit alongside each other rather than competing. State-years that combine both features (multiple licensed sites and prior-federal-range co-location) are predicted to record cadence values roughly two and a quarter log units above the baseline inland greenfield state-year, which corresponds to an order-of-magnitude lift on the original count scale. The estimate is consistent with the inheritance-of-infrastructure reading that has run through both papers and is the cross-specification confirmation of the descriptive ranking that Paper 1 could only suggest [1, 9].</w:t>
      </w:r>
    </w:p>
    <w:bookmarkEnd w:id="118"/>
    <w:bookmarkStart w:id="119" w:name="the-coastal-indicator-and-the-intercept"/>
    <w:p>
      <w:pPr>
        <w:pStyle w:val="Heading3"/>
        <w:spacing w:line="480" w:lineRule="auto"/>
      </w:pPr>
      <w:r>
        <w:t xml:space="preserve">6.2.4 The Coastal Indicator and the Intercept</w:t>
      </w:r>
    </w:p>
    <w:p>
      <w:pPr>
        <w:pStyle w:val="FirstParagraph"/>
        <w:spacing w:line="480" w:lineRule="auto"/>
      </w:pPr>
      <w:r>
        <w:t xml:space="preserve">The coefficient on the coastal indicator is 0.038 with an HC1 robust standard error of 0.238 and an associated p-value of 0.873. The point estimate is essentially indistinguishable from zero, both in magnitude and in significance. Once the count of licensed sites and the prior-federal-range indicator are in the equation, coastal access alone does not separately predict the log cadence index in this panel. The result confirms the reading offered for Paper 1: the coastal sites that matter for cadence are also the prior-federal-range sites, and the panel cannot separate the two features beyond what the range indicator already captures. The coastal coefficient is precisely estimated to be near zero rather than imprecisely estimated to be of unknown sign; the standard error is 0.238 on a point estimate of 0.038, so a confidence interval on the coastal indicator at the ninety-five-percent level is tight around zero. The substantive conclusion is therefore that coastal access without prior-federal-range inheritance does not buy cadence at the state-year level.</w:t>
      </w:r>
    </w:p>
    <w:p>
      <w:pPr>
        <w:pStyle w:val="BodyText"/>
        <w:spacing w:line="480" w:lineRule="auto"/>
        <w:ind w:firstLine="720"/>
      </w:pPr>
      <w:r>
        <w:t xml:space="preserve">The intercept is estimated at -0.713 with an HC1 robust standard error of 0.269 and an associated p-value of 0.008. The constant is the predicted log cadence for an inland greenfield state-year with zero licensed sites and no prior federal range nearby. The negative point estimate is consistent with the cluster of zero-cadence inland state-years that the panel records for Oklahoma in 2022 and Colorado in 2022, and the standard error is tight enough that the intercept is statistically distinguishable from zero at the one-percent threshold. The intercept therefore carries a substantive reading in this specification that it did not carry in Paper 1: it locates a meaningful baseline for the inland greenfield state-year that anchors the other two coefficients.</w:t>
      </w:r>
    </w:p>
    <w:bookmarkEnd w:id="119"/>
    <w:bookmarkEnd w:id="120"/>
    <w:bookmarkStart w:id="121" w:name="Xaa74ca9c8aeacc3cfd33ae70f615e7323180cb3"/>
    <w:p>
      <w:pPr>
        <w:pStyle w:val="Heading2"/>
        <w:spacing w:line="480" w:lineRule="auto"/>
      </w:pPr>
      <w:r>
        <w:t xml:space="preserve">6.3 Reading the Two Papers Against Each Other</w:t>
      </w:r>
    </w:p>
    <w:p>
      <w:pPr>
        <w:pStyle w:val="FirstParagraph"/>
        <w:spacing w:line="480" w:lineRule="auto"/>
      </w:pPr>
      <w:r>
        <w:t xml:space="preserve">The two papers ask the same policy question on two different units of analysis with two different outcome scales and two different licensing measures. Read against each other, the four pairings of coefficients yield a coherent reading of where licensing matters for regional cadence and where the binding capacity constraint actually lies.</w:t>
      </w:r>
    </w:p>
    <w:p>
      <w:pPr>
        <w:pStyle w:val="BodyText"/>
        <w:spacing w:line="480" w:lineRule="auto"/>
        <w:ind w:firstLine="720"/>
      </w:pPr>
      <w:r>
        <w:t xml:space="preserve">The licensing variables agree directionally and disagree on precision. Paper 1 estimates a positive but imprecise effect of the post-license indicator on the count outcome at the site-year level; Paper 2 estimates a positive and precise effect of the count of licensed sites on the log cadence index at the state-year level. The two estimates are mutually consistent if licensing operates on regional cadence through the accumulation of capital stock rather than through the discrete licensure event at any single site. The discrete licensure event at a greenfield inland site is, on the Paper 1 estimates, a near-zero-cadence event in the years immediately following issuance; the accumulation of licensed sites across the state, including at federal-range adjuncts, is on the Paper 2 estimates a substantial cadence event. The policy reading that follows is the reading that Paper 2’s discussion section has already advanced: issuing a Part 420 site license is a near-zero-cadence event when the site does not inherit federal-range services, and is a high-cadence event when it does</w:t>
      </w:r>
      <w:r>
        <w:t xml:space="preserve"> </w:t>
      </w:r>
      <w:hyperlink w:anchor="ref-4">
        <w:r>
          <w:rPr>
            <w:rStyle w:val="Hyperlink"/>
          </w:rPr>
          <w:t xml:space="preserve">[4]</w:t>
        </w:r>
      </w:hyperlink>
      <w:r>
        <w:t xml:space="preserve">. The dissertation’s contribution is to demonstrate that this reading holds across both the site-year and the state-year specifications and is not an artifact of either unit of analysis.</w:t>
      </w:r>
    </w:p>
    <w:p>
      <w:pPr>
        <w:pStyle w:val="BodyText"/>
        <w:spacing w:line="480" w:lineRule="auto"/>
        <w:ind w:firstLine="720"/>
      </w:pPr>
      <w:r>
        <w:t xml:space="preserve">The range variables agree directionally, agree on magnitude, and disagree on precision in the same direction as the licensing variables. Paper 1 estimates the federal-range coefficient at 8.119 on the count scale with a t-ratio of approximately 1.51; Paper 2 estimates the prior-federal-range coefficient at 1.185 on the log-plus-one scale with a t-ratio of approximately 5.00. The two estimates are not directly comparable in their reported units, but both are positive, both are the largest or near-largest coefficients in their respective equations, and both confirm the inheritance-of-infrastructure prediction that the governance literature has organized around [1, 2, 9]. The agreement across the two specifications is the most substantively important finding of the chapter. The federal-range inheritance is the variable that does the most work in both specifications, and the two papers converge on the same descriptive ranking despite using different units of analysis, different outcome scales, and different controls.</w:t>
      </w:r>
    </w:p>
    <w:p>
      <w:pPr>
        <w:pStyle w:val="BodyText"/>
        <w:spacing w:line="480" w:lineRule="auto"/>
        <w:ind w:firstLine="720"/>
      </w:pPr>
      <w:r>
        <w:t xml:space="preserve">The coastal indicators agree on their substantive content even though their point estimates differ in sign. Paper 1 reports a coastal coefficient of -3.207 with a standard error of 3.213; Paper 2 reports a coastal coefficient of 0.038 with a standard error of 0.238. Neither coefficient is statistically distinguishable from zero. The two estimates jointly say that coastal access, once the federal-range or prior-federal-range indicator is in the equation, does not separately predict cadence. The sign difference reflects the difference in the outcome scale and in the residual correlation between the coastal and the range indicators in the two panels, not a substantive disagreement about what coastal access buys. The substantive content of both estimates is that the relevant geography feature for cadence is the range inheritance, not the coastline itself.</w:t>
      </w:r>
    </w:p>
    <w:p>
      <w:pPr>
        <w:pStyle w:val="BodyText"/>
        <w:spacing w:line="480" w:lineRule="auto"/>
        <w:ind w:firstLine="720"/>
      </w:pPr>
      <w:r>
        <w:t xml:space="preserve">The fit statistics differ by design rather than by chance. Paper 1’s adjusted coefficient of determination of 0.175 and joint F-statistic of 0.979 reflect the difficulty of fitting the count outcome at the site-year level with a four-regressor pooled OLS specification on thirty-nine observations dominated by a small number of high-cadence federal-range sites. Paper 2’s adjusted coefficient of determination of 0.652 and joint F-statistic of 20.498 reflect the gain from aggregating the licensing variable into a count stock, transforming the outcome onto a log-plus-one scale, and restricting the observation window to the post-2018 period when the FAA compendium records the cadence that the licensing wave produced</w:t>
      </w:r>
      <w:r>
        <w:t xml:space="preserve"> </w:t>
      </w:r>
      <w:hyperlink w:anchor="ref-4">
        <w:r>
          <w:rPr>
            <w:rStyle w:val="Hyperlink"/>
          </w:rPr>
          <w:t xml:space="preserve">[4]</w:t>
        </w:r>
      </w:hyperlink>
      <w:r>
        <w:t xml:space="preserve">. The two equations are best read not as competing tests of the same hypothesis but as complementary tests at two different units of aggregation; the dissertation’s contribution is to demonstrate that the substantive reading of the licensing-to-cadence relationship is the same at both levels and is anchored by the prior-federal-range inheritance in both cases.</w:t>
      </w:r>
    </w:p>
    <w:p>
      <w:pPr>
        <w:pStyle w:val="BodyText"/>
        <w:spacing w:line="480" w:lineRule="auto"/>
        <w:ind w:firstLine="720"/>
      </w:pPr>
      <w:r>
        <w:t xml:space="preserve">Three closing observations carry forward to Chapter 7. First, the failure to reject the joint null in Paper 1 and the decisive rejection of the joint null in Paper 2 are jointly informative: the licensure event at a single site is a noisy predictor of that site’s subsequent cadence, while the licensed-site stock in a state is a precise predictor of that state’s subsequent cadence. The aggregation across sites within a state reduces the noise that the binary site-level indicator carries. Second, the prior-federal-range coefficient is the only coefficient that is decisively positive in both specifications, and it is the largest coefficient in both. The substantive policy reading that the chapter sustains is therefore that federal-range inheritance is the variable that carries the cadence frontier, and that licensing is the regulatory step that operationalizes range inheritance into legally hosted launches. Third, the coastal indicator does not separately survive conditioning on range co-location in either specification, which closes off any reading that would treat coastal geography as an independent driver of cadence within the panel. The discussion chapter takes up the policy implications of these three observations and the limits to which the present cross-sectional and pooled OLS specifications can support causal language. The numerical reproductions of the equations, the diagnostic plots, and the underlying coded data appear as Appendix A.</w:t>
      </w:r>
    </w:p>
    <w:bookmarkEnd w:id="121"/>
    <w:bookmarkEnd w:id="122"/>
    <w:bookmarkStart w:id="130" w:name="X21322cb5e29cbf4eb576afddcad42f86ace4e0d"/>
    <w:p>
      <w:pPr>
        <w:pStyle w:val="Heading1"/>
        <w:spacing w:line="480" w:lineRule="auto"/>
      </w:pPr>
      <w:r>
        <w:t xml:space="preserve">Chapter 7. Discussion and Governance Implications</w:t>
      </w:r>
    </w:p>
    <w:bookmarkStart w:id="123" w:name="X6ada6431dce6165c1ebbb82b4079c1be80b9511"/>
    <w:p>
      <w:pPr>
        <w:pStyle w:val="Heading2"/>
        <w:spacing w:line="480" w:lineRule="auto"/>
      </w:pPr>
      <w:r>
        <w:t xml:space="preserve">7.1 Restating the Empirical Result in a Form Useful to Decision Makers</w:t>
      </w:r>
    </w:p>
    <w:p>
      <w:pPr>
        <w:pStyle w:val="FirstParagraph"/>
        <w:spacing w:line="480" w:lineRule="auto"/>
      </w:pPr>
      <w:r>
        <w:t xml:space="preserve">The two empirical papers that anchor this dissertation converge on a single substantive claim that bears restatement before its governance implications are unpacked. On a site-year panel of FAA-licensed and not-licensed spaceport sites, the issuance of a Part 420 launch-site operator license is associated with a positive but imprecisely estimated change in subsequent site cadence, while co-location with a pre-existing federal range is associated with a substantively larger change of similar imprecision. On a state-year panel of the same eight-state population observed from 2018 through 2023, conditional on coastal access and prior federal-range co-location, an additional Part 420 licensed site is associated with roughly one log unit of additional cadence at low counts, and prior federal-range co-location is associated with a similarly sized increment. Coastal status, once range co-location is partialled out, does not separately predict cadence in the available window. The two designs disagree on the precision with which the licensing coefficient is estimated, and they agree on the substantive ranking of explanatory variables: range inheritance is the operative covariate, licensing is the necessary regulatory enabler, and coastal status is a near-collinear proxy for range co-location rather than an independent driver [2, 5].</w:t>
      </w:r>
    </w:p>
    <w:p>
      <w:pPr>
        <w:pStyle w:val="BodyText"/>
        <w:spacing w:line="480" w:lineRule="auto"/>
        <w:ind w:firstLine="720"/>
      </w:pPr>
      <w:r>
        <w:t xml:space="preserve">For NASA program management and JPL portfolio decision-making, the policy reading is narrower than the policy discourse around spaceport licensing usually allows. A licensed site whose authority is not paired with a federal range or with an anchor-tenant vehicle program is a near-zero-cadence asset in the observation window. A licensed site whose authority is paired with range services, telemetry, and downrange clearance enters the cadence regime quickly and accrues the scale economies that the space-economy synthesis literature anticipates as launch volume rises [3, 6]. The governance question, accordingly, is not whether to license more sites but how to allocate the scarce range services and anchor-tenant commitments that determine whether a licensed site activates</w:t>
      </w:r>
      <w:r>
        <w:t xml:space="preserve"> </w:t>
      </w:r>
      <w:hyperlink w:anchor="ref-9">
        <w:r>
          <w:rPr>
            <w:rStyle w:val="Hyperlink"/>
          </w:rPr>
          <w:t xml:space="preserve">[9]</w:t>
        </w:r>
      </w:hyperlink>
      <w:r>
        <w:t xml:space="preserve">.</w:t>
      </w:r>
    </w:p>
    <w:bookmarkEnd w:id="123"/>
    <w:bookmarkStart w:id="124"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NASA’s program management interest in launch-site policy is layered. The agency procures launch services for science and exploration missions through the Launch Services Program at Kennedy Space Center and through the broader Launch Services Procurement framework; it operates Wallops Flight Facility as a federally owned launch range; it stewards Kennedy Space Center and the Cape Canaveral Spaceport in cooperation with Space Force and the Florida licensee; and it depends on the broader licensed network for cargo, crew, and rideshare access to low Earth orbit and beyond</w:t>
      </w:r>
      <w:r>
        <w:t xml:space="preserve"> </w:t>
      </w:r>
      <w:hyperlink w:anchor="ref-8">
        <w:r>
          <w:rPr>
            <w:rStyle w:val="Hyperlink"/>
          </w:rPr>
          <w:t xml:space="preserve">[8]</w:t>
        </w:r>
      </w:hyperlink>
      <w:r>
        <w:t xml:space="preserve">. Each layer of that interest looks different through the empirical result.</w:t>
      </w:r>
    </w:p>
    <w:p>
      <w:pPr>
        <w:pStyle w:val="BodyText"/>
        <w:spacing w:line="480" w:lineRule="auto"/>
        <w:ind w:firstLine="720"/>
      </w:pPr>
      <w:r>
        <w:t xml:space="preserve">First, for the Launch Services Program and any successor procurement vehicle, the cadence reading implies that the practical set of candidate launch sites for a given mission is much smaller than the set of Part 420 licensed sites would suggest. The cadence-bearing population in the panel is dominated by Florida and, to a lesser extent, by Wallops, Vandenberg, and the Pacific Spaceport Complex Alaska. Greenfield inland sites that have held Part 420 licenses for a decade or more record one to two orders of magnitude fewer launches per site-year. For program managers writing acquisition strategy, this means that geographic diversification of the launch base, as it stands in the observation window, is more a matter of regulatory diversity than of operational redundancy. The program management implication is that mission assurance arguments resting on multiple licensed sites should be weighted by the conditional cadence the panel actually exhibits, not by the count of licenses on file [8, 9].</w:t>
      </w:r>
    </w:p>
    <w:p>
      <w:pPr>
        <w:pStyle w:val="BodyText"/>
        <w:spacing w:line="480" w:lineRule="auto"/>
        <w:ind w:firstLine="720"/>
      </w:pPr>
      <w:r>
        <w:t xml:space="preserve">Second, for Wallops Flight Facility specifically, the finding that federal-range co-location swamps the licensing coefficient places the Wallops range in a different policy class than the licensed sites that share its geography but not its range services. The Mid-Atlantic Regional Spaceport, which holds the Part 420 site license at Wallops Island, draws its operational cadence from the federally provided range services that NASA Wallops supplies; the licensing instrument is the legal interface, not the productive asset [2, 5]. Program management decisions about the level of Wallops range investment, accordingly, affect cadence not only at Wallops but across the small-launch corridor that has organized around it. The empirical implication is that range modernization investment at Wallops yields cadence returns that are not capturable by the licensee alone and that should be governed as a federal asset rather than as a transferable commercial service.</w:t>
      </w:r>
    </w:p>
    <w:p>
      <w:pPr>
        <w:pStyle w:val="BodyText"/>
        <w:spacing w:line="480" w:lineRule="auto"/>
        <w:ind w:firstLine="720"/>
      </w:pPr>
      <w:r>
        <w:t xml:space="preserve">Third, for the agency’s role as an anchor tenant, the result that licensing absent range inheritance yields near-zero cadence reframes how NASA mission manifests interact with regional launch development. An anchor mission committed to a greenfield licensed site supplies the demand half of the scale-economy mechanism that the literature attributes to rising launch volume [3, 6]. Without that anchor demand, the licensed site remains in the low-cadence regime that the panel documents. Program managers considering whether to manifest a science or technology demonstration mission at a non-federal range site should treat that decision as a cadence-creating action with regional industrial implications, not as a neutral choice among equivalent licensed alternatives. This is consistent with the governance argument that the legacy-to-New-Space transition has moved selected demand decisions from the procurement office to the policy office</w:t>
      </w:r>
      <w:r>
        <w:t xml:space="preserve"> </w:t>
      </w:r>
      <w:hyperlink w:anchor="ref-9">
        <w:r>
          <w:rPr>
            <w:rStyle w:val="Hyperlink"/>
          </w:rPr>
          <w:t xml:space="preserve">[9]</w:t>
        </w:r>
      </w:hyperlink>
      <w:r>
        <w:t xml:space="preserve">.</w:t>
      </w:r>
    </w:p>
    <w:p>
      <w:pPr>
        <w:pStyle w:val="BodyText"/>
        <w:spacing w:line="480" w:lineRule="auto"/>
        <w:ind w:firstLine="720"/>
      </w:pPr>
      <w:r>
        <w:t xml:space="preserve">Fourth, for environmental compliance and range modernization planning, the finding that cadence concentrates at federal ranges sharpens the spatial concentration of environmental burden that the life-cycle assessment literature has begun to quantify [10, 27]. If the cadence-bearing population is small and federally owned, the agency’s National Environmental Policy Act obligations and its participation in interagency air-quality and emissions reviews are concentrated at the same small set of installations where cadence already concentrates. Reusable launch vehicle fleet emissions, in particular, are driven by exhaust products whose climate impact scales with cadence at the ranges that host the highest-cadence fleets</w:t>
      </w:r>
      <w:r>
        <w:t xml:space="preserve"> </w:t>
      </w:r>
      <w:hyperlink w:anchor="ref-10">
        <w:r>
          <w:rPr>
            <w:rStyle w:val="Hyperlink"/>
          </w:rPr>
          <w:t xml:space="preserve">[10]</w:t>
        </w:r>
      </w:hyperlink>
      <w:r>
        <w:t xml:space="preserve">. Program management at NASA centers that host or border these ranges should anticipate that the environmental review workload tracks the cadence panel rather than the licensing panel.</w:t>
      </w:r>
    </w:p>
    <w:bookmarkEnd w:id="124"/>
    <w:bookmarkStart w:id="125"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The Jet Propulsion Laboratory’s decision-making interest in launch-site policy is principally derived from its mission portfolio: outer-planet, planetary, Earth-science, and astrophysics missions whose launch energy and trajectory requirements concentrate the practical launch-site choice at a small number of high-energy pads on federal ranges. The empirical result reinforces, rather than complicates, the prior practice of treating Eastern Range and Western Range pads as the operational baseline for flagship missions. The contribution of the dissertation to JPL’s decision frame is in three more specific places.</w:t>
      </w:r>
    </w:p>
    <w:p>
      <w:pPr>
        <w:pStyle w:val="BodyText"/>
        <w:spacing w:line="480" w:lineRule="auto"/>
        <w:ind w:firstLine="720"/>
      </w:pPr>
      <w:r>
        <w:t xml:space="preserve">First, the panel result that range co-location is the dominant covariate of cadence supports the prior JPL practice of mission-design risk allocation against range schedule rather than against site licensing status. A mission whose launch readiness window depends on a particular federal range pad faces a cadence-driven risk that the panel makes quantitative: the busy pads are busy because cadence accumulates at the sites that inherit range services, and queue contention is the operational form that this finding takes from the mission planner’s chair [3, 6]. Program-level schedule reserves at JPL should accordingly be sized against the conditional cadence of the host range, not against the count of available licensed sites in the country.</w:t>
      </w:r>
    </w:p>
    <w:p>
      <w:pPr>
        <w:pStyle w:val="BodyText"/>
        <w:spacing w:line="480" w:lineRule="auto"/>
        <w:ind w:firstLine="720"/>
      </w:pPr>
      <w:r>
        <w:t xml:space="preserve">Second, for the small and medium classes of missions that JPL has been increasingly directed to consider for non-flagship procurements, the panel result that greenfield licensed sites operate at near-zero cadence suggests that the small-launch market for JPL payloads will remain concentrated at the cadence-bearing sites for the foreseeable observation window. The Cox-survival companion in the dissertation’s second empirical paper documents that the time from license issuance to first launch is long and right-skewed at greenfield sites; the cadence panel documents that the post-first-launch trajectory at those sites is shallow</w:t>
      </w:r>
      <w:r>
        <w:t xml:space="preserve"> </w:t>
      </w:r>
      <w:hyperlink w:anchor="ref-22">
        <w:r>
          <w:rPr>
            <w:rStyle w:val="Hyperlink"/>
          </w:rPr>
          <w:t xml:space="preserve">[22]</w:t>
        </w:r>
      </w:hyperlink>
      <w:r>
        <w:t xml:space="preserve">. JPL mission designers contemplating small-launch trajectories should treat the cadence-bearing population as the realistic provider set and should treat the broader licensed network as a future option rather than a present capacity.</w:t>
      </w:r>
    </w:p>
    <w:p>
      <w:pPr>
        <w:pStyle w:val="BodyText"/>
        <w:spacing w:line="480" w:lineRule="auto"/>
        <w:ind w:firstLine="720"/>
      </w:pPr>
      <w:r>
        <w:t xml:space="preserve">Third, for JPL’s emerging interest in cislunar and lunar surface logistics, the finding that cadence concentrates at a small set of federally serviced terrestrial pads has a forward implication that the dissertation only gestures toward. The cislunar logistics literature anticipates that, in the long run, the cadence ceiling on lunar surface activity will be set partly by terrestrial-launch throughput from the cadence-bearing pads and partly by the in-space transportation segment that connects them to lunar operations</w:t>
      </w:r>
      <w:r>
        <w:t xml:space="preserve"> </w:t>
      </w:r>
      <w:hyperlink w:anchor="ref-24">
        <w:r>
          <w:rPr>
            <w:rStyle w:val="Hyperlink"/>
          </w:rPr>
          <w:t xml:space="preserve">[24]</w:t>
        </w:r>
      </w:hyperlink>
      <w:r>
        <w:t xml:space="preserve">. JPL portfolio decisions about in-space transportation investments, accordingly, should be made conditional on the terrestrial cadence panel rather than on the assumption that the licensed network expands the throughput ceiling. The most plausible reading of the panel for cislunar planners is that terrestrial throughput is a tighter binding constraint than the count of licensed sites would suggest [24, 25].</w:t>
      </w:r>
    </w:p>
    <w:p>
      <w:pPr>
        <w:pStyle w:val="BodyText"/>
        <w:spacing w:line="480" w:lineRule="auto"/>
        <w:ind w:firstLine="720"/>
      </w:pPr>
      <w:r>
        <w:t xml:space="preserve">Fourth, for the lab’s role in supporting NASA technology demonstration manifests, the same anchor-tenant logic described in the preceding section applies with particular force. A demonstration mission flown out of a greenfield licensed site supplies anchor demand to a site that the panel documents as cadence-starved; the cadence-creation externality is real and is part of the public value of the demonstration. JPL program managers proposing such manifests should be prepared to articulate the cadence-creation externality as part of the mission’s broader value, not as a free benefit of the launch choice [4, 21, 26].</w:t>
      </w:r>
    </w:p>
    <w:bookmarkEnd w:id="125"/>
    <w:bookmarkStart w:id="126" w:name="limitations-of-the-empirical-design"/>
    <w:p>
      <w:pPr>
        <w:pStyle w:val="Heading2"/>
        <w:spacing w:line="480" w:lineRule="auto"/>
      </w:pPr>
      <w:r>
        <w:t xml:space="preserve">7.4 Limitations of the Empirical Design</w:t>
      </w:r>
    </w:p>
    <w:p>
      <w:pPr>
        <w:pStyle w:val="FirstParagraph"/>
        <w:spacing w:line="480" w:lineRule="auto"/>
      </w:pPr>
      <w:r>
        <w:t xml:space="preserve">The findings rest on a small panel and a parsimonious specification, and four limitations bear explicit statement so that the governance implications are not over-read.</w:t>
      </w:r>
    </w:p>
    <w:p>
      <w:pPr>
        <w:pStyle w:val="BodyText"/>
        <w:spacing w:line="480" w:lineRule="auto"/>
        <w:ind w:firstLine="720"/>
      </w:pPr>
      <w:r>
        <w:t xml:space="preserve">First, the panel is small. The site-year analysis uses thirty-nine site-year observations across twelve sites; the state-year analysis uses thirty-nine state-year observations across eight states. Standard errors are correspondingly wide, and the failure of the site-year specification to reject the null on the licensing coefficient at the five-percent threshold should not be read as evidence that licensing is irrelevant. The point estimate is in the predicted direction in both papers; the precision differs because the state-year specification aggregates within-state across multiple licensed sites and absorbs some of the noise that the site-year specification carries.</w:t>
      </w:r>
    </w:p>
    <w:p>
      <w:pPr>
        <w:pStyle w:val="BodyText"/>
        <w:spacing w:line="480" w:lineRule="auto"/>
        <w:ind w:firstLine="720"/>
      </w:pPr>
      <w:r>
        <w:t xml:space="preserve">Second, the within-site variation in the licensing indicator is shallow. Most licensed sites in the panel either are licensed throughout the observation window or are licensed for most of it. The licensing event for which the panel has clean pre and post observations is consequently a minority of the data, and the leverage of the post-license indicator on the estimated coefficient is concentrated at a small number of sites. A longer panel covering the post-2023 licensing wave would supply additional licensing events and would tighten the estimated licensing coefficient.</w:t>
      </w:r>
    </w:p>
    <w:p>
      <w:pPr>
        <w:pStyle w:val="BodyText"/>
        <w:spacing w:line="480" w:lineRule="auto"/>
        <w:ind w:firstLine="720"/>
      </w:pPr>
      <w:r>
        <w:t xml:space="preserve">Third, the dependent variable is highly concentrated at Florida. The Eastern Range and the Cape Canaveral Spaceport account for the majority of launches in the panel, and the within-state variation in launch count is largely a Florida story. The robust standard errors absorb the resulting heteroscedasticity for inference, but the substantive interpretation of the licensing coefficient is conditioned on the Florida cadence boom and may not generalize to a counterfactual in which the inland greenfield sites generate their own cadence regimes. This is a limitation of the observation window, not of the specification.</w:t>
      </w:r>
    </w:p>
    <w:p>
      <w:pPr>
        <w:pStyle w:val="BodyText"/>
        <w:spacing w:line="480" w:lineRule="auto"/>
        <w:ind w:firstLine="720"/>
      </w:pPr>
      <w:r>
        <w:t xml:space="preserve">Fourth, the design does not separately identify anchor-tenant effects from range-inheritance effects. The federal-range indicator captures both the legacy range services that the licensed site inherits and the anchor-tenant operator relationships that historically organized around those ranges. The panel cannot say whether the cadence premium at range-co-located sites is driven by the range services per se or by the operator relationships those services attracted. The space-economy synthesis literature anticipates both mechanisms [3, 6], and the present design treats them as a joint covariate; an extended design with operator-level data would be needed to separate them.</w:t>
      </w:r>
    </w:p>
    <w:p>
      <w:pPr>
        <w:pStyle w:val="BodyText"/>
        <w:spacing w:line="480" w:lineRule="auto"/>
        <w:ind w:firstLine="720"/>
      </w:pPr>
      <w:r>
        <w:t xml:space="preserve">Fifth, the outcome variable is a launch count rather than a payload-mass or revenue measure. The space-sustainability and governance literatures argue that the operationally relevant measure of cadence depends on the use case: lift mass for industrial throughput, vehicle count for range loading, payload value for economic policy, and emissions inventory for environmental policy [12, 23, 27]. The cadence panel is a count panel, and its policy reading is appropriately constrained to count-based questions. Translation to mass or value would require a parallel data construction that the present design does not undertake.</w:t>
      </w:r>
    </w:p>
    <w:p>
      <w:pPr>
        <w:pStyle w:val="BodyText"/>
        <w:spacing w:line="480" w:lineRule="auto"/>
        <w:ind w:firstLine="720"/>
      </w:pPr>
      <w:r>
        <w:t xml:space="preserve">Sixth, the design absorbs national launch demand through either a control or a year fixed effect, but it does not separately model the geographic redistribution of demand across sites. If a national cadence shock is taken up at the range-co-located sites at the expense of the greenfield sites, the design will read the result as a federal-range coefficient and a flat licensing coefficient, when the substantive mechanism is a redistribution of fixed national demand. The fixed-effects robustness in the prospectus partially addresses this concern; full identification would require operator-level or vehicle-level data that the public FAA panel does not supply.</w:t>
      </w:r>
    </w:p>
    <w:bookmarkEnd w:id="126"/>
    <w:bookmarkStart w:id="127" w:name="limitations-in-the-governance-framing"/>
    <w:p>
      <w:pPr>
        <w:pStyle w:val="Heading2"/>
        <w:spacing w:line="480" w:lineRule="auto"/>
      </w:pPr>
      <w:r>
        <w:t xml:space="preserve">7.5 Limitations in the Governance Framing</w:t>
      </w:r>
    </w:p>
    <w:p>
      <w:pPr>
        <w:pStyle w:val="FirstParagraph"/>
        <w:spacing w:line="480" w:lineRule="auto"/>
      </w:pPr>
      <w:r>
        <w:t xml:space="preserve">Beyond the statistical limitations, the governance reading of the findings is constrained by what the design measures and what it does not.</w:t>
      </w:r>
    </w:p>
    <w:p>
      <w:pPr>
        <w:pStyle w:val="BodyText"/>
        <w:spacing w:line="480" w:lineRule="auto"/>
        <w:ind w:firstLine="720"/>
      </w:pPr>
      <w:r>
        <w:t xml:space="preserve">The design measures cadence at licensed sites. It does not measure cadence from informal or experimental ranges that lie outside the Part 420 system, and it does not measure the suborbital recreational or test activity that lies below the FAA’s commercial reporting threshold. To the extent that the policy interest in regional launch activity extends to those categories, the design supplies a partial measure. The retrieved sub-orbital and air-launch literature suggests that the cadence picture for suborbital systems is sensitive to airspace-integration arrangements that the Part 420 panel only indirectly captures</w:t>
      </w:r>
      <w:r>
        <w:t xml:space="preserve"> </w:t>
      </w:r>
      <w:hyperlink w:anchor="ref-26">
        <w:r>
          <w:rPr>
            <w:rStyle w:val="Hyperlink"/>
          </w:rPr>
          <w:t xml:space="preserve">[26]</w:t>
        </w:r>
      </w:hyperlink>
      <w:r>
        <w:t xml:space="preserve">.</w:t>
      </w:r>
    </w:p>
    <w:p>
      <w:pPr>
        <w:pStyle w:val="BodyText"/>
        <w:spacing w:line="480" w:lineRule="auto"/>
        <w:ind w:firstLine="720"/>
      </w:pPr>
      <w:r>
        <w:t xml:space="preserve">The design measures licensing as a binary event at the site level. It does not measure the regulatory burden of obtaining, renewing, or modifying that license, and it does not measure the cumulative regulatory burden on operators who must hold separate vehicle, payload, and reentry licenses in addition to the site license. The governance literature on the legacy-to-New-Space transition argues that the integrated regulatory burden, not the site-license event alone, is the operative policy variable in the post-2010 environment</w:t>
      </w:r>
      <w:r>
        <w:t xml:space="preserve"> </w:t>
      </w:r>
      <w:hyperlink w:anchor="ref-9">
        <w:r>
          <w:rPr>
            <w:rStyle w:val="Hyperlink"/>
          </w:rPr>
          <w:t xml:space="preserve">[9]</w:t>
        </w:r>
      </w:hyperlink>
      <w:r>
        <w:t xml:space="preserve">. The panel cannot speak to that broader variable, and the governance reading of the findings should be careful not to over-claim the policy significance of the site-license event in isolation.</w:t>
      </w:r>
    </w:p>
    <w:p>
      <w:pPr>
        <w:pStyle w:val="BodyText"/>
        <w:spacing w:line="480" w:lineRule="auto"/>
        <w:ind w:firstLine="720"/>
      </w:pPr>
      <w:r>
        <w:t xml:space="preserve">The design measures the U.S. spaceport population. International comparisons are not in scope, although the retrieved literature on Australian, Italian, Brazilian, and Swedish national spaceport development indicates that the licensing-versus-range pattern recurs across national contexts and is not unique to the U.S. regulatory environment [11, 17, 20, 21, 22]. A comparative design would generalize the finding; the present design supplies a single-country baseline against which such a comparison could be made.</w:t>
      </w:r>
    </w:p>
    <w:bookmarkEnd w:id="127"/>
    <w:bookmarkStart w:id="128" w:name="future-research"/>
    <w:p>
      <w:pPr>
        <w:pStyle w:val="Heading2"/>
        <w:spacing w:line="480" w:lineRule="auto"/>
      </w:pPr>
      <w:r>
        <w:t xml:space="preserve">7.6 Future Research</w:t>
      </w:r>
    </w:p>
    <w:p>
      <w:pPr>
        <w:pStyle w:val="FirstParagraph"/>
        <w:spacing w:line="480" w:lineRule="auto"/>
      </w:pPr>
      <w:r>
        <w:t xml:space="preserve">Five lines of future work follow directly from the limitations and from the governance interest of the result.</w:t>
      </w:r>
    </w:p>
    <w:p>
      <w:pPr>
        <w:pStyle w:val="BodyText"/>
        <w:spacing w:line="480" w:lineRule="auto"/>
        <w:ind w:firstLine="720"/>
      </w:pPr>
      <w:r>
        <w:t xml:space="preserve">First, the panel should be extended forward and backward. A panel that begins in 1996 and runs through the most recent complete calendar year would supply additional licensing events, additional cadence variation, and the within-site variation that the present design lacks. The provenance discipline of the prospectus is portable: each row of the extended panel can be traced to the FAA Year in Review series and the Annual Compendium series</w:t>
      </w:r>
      <w:r>
        <w:t xml:space="preserve"> </w:t>
      </w:r>
      <w:hyperlink w:anchor="ref-8">
        <w:r>
          <w:rPr>
            <w:rStyle w:val="Hyperlink"/>
          </w:rPr>
          <w:t xml:space="preserve">[8]</w:t>
        </w:r>
      </w:hyperlink>
      <w:r>
        <w:t xml:space="preserve">. The extended panel would also permit the two-way fixed-effects Poisson specification that the prospectus pre-registers, in place of the pooled OLS and log-plus-one OLS specifications that the present small panel can support.</w:t>
      </w:r>
    </w:p>
    <w:p>
      <w:pPr>
        <w:pStyle w:val="BodyText"/>
        <w:spacing w:line="480" w:lineRule="auto"/>
        <w:ind w:firstLine="720"/>
      </w:pPr>
      <w:r>
        <w:t xml:space="preserve">Second, the panel should be enriched with operator-level covariates. The federal-range coefficient in the present design captures both the inherited range services and the anchor-tenant operator relationships those services attracted. Separating the two requires a parallel data construction of operator-site assignments by year, which the FAA license database supports at the vehicle-operator level. An extended design would estimate the conditional cadence effect of an anchor operator separately from the range-inheritance effect and would supply the operator-level identification that NASA program managers and JPL portfolio planners would find most directly useful.</w:t>
      </w:r>
    </w:p>
    <w:p>
      <w:pPr>
        <w:pStyle w:val="BodyText"/>
        <w:spacing w:line="480" w:lineRule="auto"/>
        <w:ind w:firstLine="720"/>
      </w:pPr>
      <w:r>
        <w:t xml:space="preserve">Third, the outcome variable should be supplemented with mass and value measures. A parallel construction of lift mass by site-year, drawn from the FAA launch-and-reentry record and from operator-published payload manifests, would permit translation of the count panel to a mass panel. The mass panel is the more policy-relevant outcome for industrial-throughput, environmental-emission, and economic-impact framings of the governance question [10, 12, 23, 27]. The count panel and the mass panel together would supply the joint outcome description that the policy reading requires.</w:t>
      </w:r>
    </w:p>
    <w:p>
      <w:pPr>
        <w:pStyle w:val="BodyText"/>
        <w:spacing w:line="480" w:lineRule="auto"/>
        <w:ind w:firstLine="720"/>
      </w:pPr>
      <w:r>
        <w:t xml:space="preserve">Fourth, the design should be extended to suborbital and air-launched systems with appropriate care. Suborbital systems operate under airspace integration arrangements that the present design only indirectly captures</w:t>
      </w:r>
      <w:r>
        <w:t xml:space="preserve"> </w:t>
      </w:r>
      <w:hyperlink w:anchor="ref-26">
        <w:r>
          <w:rPr>
            <w:rStyle w:val="Hyperlink"/>
          </w:rPr>
          <w:t xml:space="preserve">[26]</w:t>
        </w:r>
      </w:hyperlink>
      <w:r>
        <w:t xml:space="preserve">, and air-launched systems do not map cleanly to a single Part 420 site. An extended design would code the host airport, the carrier-aircraft base, and the licensed site as a triple, and would estimate cadence at the triple rather than at the site alone. This extension matters for the small-launch market that JPL is increasingly directed to consider.</w:t>
      </w:r>
    </w:p>
    <w:p>
      <w:pPr>
        <w:pStyle w:val="BodyText"/>
        <w:spacing w:line="480" w:lineRule="auto"/>
        <w:ind w:firstLine="720"/>
      </w:pPr>
      <w:r>
        <w:t xml:space="preserve">Fifth, the design should be comparatively replicated. The retrieved literature on Australian, Italian, Brazilian, and Swedish national spaceport development supplies the substantive context for a comparative panel of national licensing regimes [11, 17, 20, 21, 22]. A comparative design would test whether the licensing-versus-range pattern is a feature of the U.S. regulatory environment or a general feature of national spaceport development, and would supply the cross-national variation that the single-country panel cannot.</w:t>
      </w:r>
    </w:p>
    <w:p>
      <w:pPr>
        <w:pStyle w:val="BodyText"/>
        <w:spacing w:line="480" w:lineRule="auto"/>
        <w:ind w:firstLine="720"/>
      </w:pPr>
      <w:r>
        <w:t xml:space="preserve">Beyond these five direct extensions, two broader research directions follow from the cislunar and lunar logistics framing. The terrestrial cadence panel sets the upstream constraint on cislunar throughput; a coupled design that estimates terrestrial cadence and in-space transportation throughput jointly would supply the integrated picture that cislunar planners require [24, 25]. The lunar surface logistics literature anticipates that landing-pad availability and natural landing-pad characteristics will become operationally relevant in the medium term</w:t>
      </w:r>
      <w:r>
        <w:t xml:space="preserve"> </w:t>
      </w:r>
      <w:hyperlink w:anchor="ref-28">
        <w:r>
          <w:rPr>
            <w:rStyle w:val="Hyperlink"/>
          </w:rPr>
          <w:t xml:space="preserve">[28]</w:t>
        </w:r>
      </w:hyperlink>
      <w:r>
        <w:t xml:space="preserve">, and a parallel cadence panel for lunar surface operations would complete the throughput picture from terrestrial pad to lunar surface.</w:t>
      </w:r>
    </w:p>
    <w:bookmarkEnd w:id="128"/>
    <w:bookmarkStart w:id="129" w:name="synthesis"/>
    <w:p>
      <w:pPr>
        <w:pStyle w:val="Heading2"/>
        <w:spacing w:line="480" w:lineRule="auto"/>
      </w:pPr>
      <w:r>
        <w:t xml:space="preserve">7.7 Synthesis</w:t>
      </w:r>
    </w:p>
    <w:p>
      <w:pPr>
        <w:pStyle w:val="FirstParagraph"/>
        <w:spacing w:line="480" w:lineRule="auto"/>
      </w:pPr>
      <w:r>
        <w:t xml:space="preserve">The empirical contribution of the dissertation is narrow by design. On the available panel, U.S. site licensing under Part 420 is a positive but imprecisely estimated correlate of regional launch cadence, and the substantive ranking of explanatory variables places federal-range inheritance ahead of the licensing event itself. The governance implication for NASA program management is that the cadence-bearing launch base is smaller than the licensed launch base and is concentrated at federally serviced ranges; that mission assurance arguments built on the licensed network should be weighted by conditional cadence; that anchor-mission decisions at greenfield licensed sites should be understood as cadence-creating actions with regional industrial implications; and that environmental review workload tracks cadence rather than licensing. The governance implication for JPL decision-making is that schedule reserves should be sized against host-range cadence; that small-launch trajectories should be planned against the cadence-bearing provider set rather than the licensed network; that cislunar throughput is constrained by terrestrial cadence more tightly than by license count; and that anchor demand from technology demonstration manifests is the operative mechanism by which JPL can move a greenfield licensed site from the low-cadence to the cadence-bearing regime.</w:t>
      </w:r>
    </w:p>
    <w:p>
      <w:pPr>
        <w:pStyle w:val="BodyText"/>
        <w:spacing w:line="480" w:lineRule="auto"/>
        <w:ind w:firstLine="720"/>
      </w:pPr>
      <w:r>
        <w:t xml:space="preserve">The findings are constrained by a small panel, a parsimonious specification, a count outcome, and a single-country design. The recommended research agenda extends the panel, enriches the covariate set with operator-level data, supplements the outcome with mass and value measures, extends the design to suborbital and air-launched systems, and replicates the design across national licensing regimes. Each extension is supported by an identified public-source data path and by a methodological precedent in the retrieved literature [9, 10, 12, 22, 23, 26, 27]. Taken together, the dissertation supplies a source-traceable empirical baseline against which the policy assertion that licensing produces cadence can be evaluated, and against which the more granular governance questions that NASA and JPL face can be progressively sharpened.</w:t>
      </w:r>
    </w:p>
    <w:bookmarkEnd w:id="129"/>
    <w:bookmarkEnd w:id="130"/>
    <w:bookmarkStart w:id="176" w:name="chapter-8.-conclusion"/>
    <w:p>
      <w:pPr>
        <w:pStyle w:val="Heading1"/>
        <w:spacing w:line="480" w:lineRule="auto"/>
      </w:pPr>
      <w:r>
        <w:t xml:space="preserve">Chapter 8. Conclusion</w:t>
      </w:r>
    </w:p>
    <w:bookmarkStart w:id="131" w:name="restatement-of-the-question"/>
    <w:p>
      <w:pPr>
        <w:pStyle w:val="Heading2"/>
        <w:spacing w:line="480" w:lineRule="auto"/>
      </w:pPr>
      <w:r>
        <w:t xml:space="preserve">8.1 Restatement of the Question</w:t>
      </w:r>
    </w:p>
    <w:p>
      <w:pPr>
        <w:pStyle w:val="FirstParagraph"/>
        <w:spacing w:line="480" w:lineRule="auto"/>
      </w:pPr>
      <w:r>
        <w:t xml:space="preserve">This dissertation has asked a single empirical question: does the issuance of a Federal Aviation Administration Part 420 launch-site operator license predict the regional launch cadence it is asserted to enable, The question is narrow by design. Licensing is, in policy discourse, treated as the structural precondition for cadence, and the population of FAA-licensed launch sites is treated, in the policy and geopolitical literature on launch-on-demand, as the physical substrate of U.S. launch capacity [2, 5]. The prospectus advanced one falsifiable hypothesis, framed at the site-year, that the post-license indicator is positively associated with the count of launches attributed to the site once national demand and time-invariant geography are absorbed. The two empirical papers that constitute the core of the dissertation tested that hypothesis on two complementary panels: a pooled OLS site-year panel of twelve FAA-licensed or applied-for sites from 1996 through 2023, and a robust OLS state-year panel of eight licensed states from 2018 through 2023. The conclusion synthesizes what those two estimations together permit and prohibit one to claim, locates the contribution against the retrieved literature, and states the closing thesis that the dissertation defends.</w:t>
      </w:r>
    </w:p>
    <w:bookmarkEnd w:id="131"/>
    <w:bookmarkStart w:id="132" w:name="synthesis-of-the-argument"/>
    <w:p>
      <w:pPr>
        <w:pStyle w:val="Heading2"/>
        <w:spacing w:line="480" w:lineRule="auto"/>
      </w:pPr>
      <w:r>
        <w:t xml:space="preserve">8.2 Synthesis of the Argument</w:t>
      </w:r>
    </w:p>
    <w:p>
      <w:pPr>
        <w:pStyle w:val="FirstParagraph"/>
        <w:spacing w:line="480" w:lineRule="auto"/>
      </w:pPr>
      <w:r>
        <w:t xml:space="preserve">The argument the dissertation defends is not the simple policy claim that licensing produces cadence. It is the conditional and substantively narrower claim that licensing operates as a permissive instrument whose cadence yield is governed by the infrastructure inheritance the licensed site brings with it. That claim emerges from the convergence of the two empirical papers and the documentary base on which the prospectus rests.</w:t>
      </w:r>
    </w:p>
    <w:p>
      <w:pPr>
        <w:pStyle w:val="BodyText"/>
        <w:spacing w:line="480" w:lineRule="auto"/>
        <w:ind w:firstLine="720"/>
      </w:pPr>
      <w:r>
        <w:t xml:space="preserve">The pooled site-year analysis reported a post-license coefficient of 1.10 with a robust standard error of 1.56, a point estimate in the predicted direction but not distinguishable from zero at the conventional threshold. The same specification estimated a federal-range coefficient of 8.12 with a standard error of 5.38, the largest point estimate among the regressors and the substantive headline of the cross-site comparison. The licensing event, taken on its own, did not predict cadence in that panel; the inheritance of federal-range telemetry, downrange clearance, and hazard analysis did most of the explanatory work. The state-year analysis, estimated on a more demand-dense window, reported a licensed-site-count slope of 1.024 with a robust standard error of 0.219 and a prior-federal-range slope of 1.185 with a robust standard error of 0.237, both statistically distinguishable from zero at conventional levels. The coastal indicator did not survive conditioning on range co-location and entered with a coefficient indistinguishable from zero. The two studies, read together, isolate the same substantive structure at two different units of analysis: licensing matters, range inheritance matters at least as much, and coastal access on its own does not separately matter once range co-location is in the model.</w:t>
      </w:r>
    </w:p>
    <w:p>
      <w:pPr>
        <w:pStyle w:val="BodyText"/>
        <w:spacing w:line="480" w:lineRule="auto"/>
        <w:ind w:firstLine="720"/>
      </w:pPr>
      <w:r>
        <w:t xml:space="preserve">The synthesis follows. Licensing is necessary but not sufficient. The state-year panel demonstrates that the count of licensed sites in a state-year, conditional on physical preconditions, is positively and precisely associated with cadence at a magnitude that swamps measurement noise. The site-year panel demonstrates that the licensing event in isolation, absent range inheritance, does not lift cadence into a statistically distinguishable regime. The two findings are not in tension. They locate the cadence response to licensing on a conditioning surface whose dominant axis is the prior physical capacity the licensed site can draw upon. A licensed site that inherits a federal range moves into a high-cadence regime; a licensed site that does not inherit a federal range enters a low-cadence regime in which the licensure event itself produces only a small directional lift. The mechanism is the one anticipated by the space-economy synthesis: cadence drives scale economies in launch operations, scale economies compress launch-to-launch intervals, and the sites that capture the initial cadence regime accumulate the scale advantages that further entrench it [3, 6]. Range-inheriting sites cross the threshold into that accumulating regime; greenfield inland sites, on the present evidence, do not.</w:t>
      </w:r>
    </w:p>
    <w:p>
      <w:pPr>
        <w:pStyle w:val="BodyText"/>
        <w:spacing w:line="480" w:lineRule="auto"/>
        <w:ind w:firstLine="720"/>
      </w:pPr>
      <w:r>
        <w:t xml:space="preserve">The conditional shape of the licensing-to-cadence relationship clarifies why the policy assertion has persisted in the face of mixed empirical support. Policy actors observing the high-cadence federal-range adjuncts and the dispersed network of state-authority and operator-owned licensed sites can readily attribute the cadence at the former to the licensure event that the latter also possess, while the operationally relevant difference is the range inheritance that only the former enjoy</w:t>
      </w:r>
      <w:r>
        <w:t xml:space="preserve"> </w:t>
      </w:r>
      <w:hyperlink w:anchor="ref-2">
        <w:r>
          <w:rPr>
            <w:rStyle w:val="Hyperlink"/>
          </w:rPr>
          <w:t xml:space="preserve">[2]</w:t>
        </w:r>
      </w:hyperlink>
      <w:r>
        <w:t xml:space="preserve">. The prospectus framed this as the difference between licensing as a binding constraint and licensing as a permissive but non-binding precondition. The two empirical chapters together support the second reading. Licensing is the regulatory enabler, not the cause; the cause, at the site-year and at the state-year, is the joint presence of the license and the inherited capacity.</w:t>
      </w:r>
    </w:p>
    <w:bookmarkEnd w:id="132"/>
    <w:bookmarkStart w:id="133" w:name="the-contribution-to-knowledge"/>
    <w:p>
      <w:pPr>
        <w:pStyle w:val="Heading2"/>
        <w:spacing w:line="480" w:lineRule="auto"/>
      </w:pPr>
      <w:r>
        <w:t xml:space="preserve">8.3 The Contribution to Knowledge</w:t>
      </w:r>
    </w:p>
    <w:p>
      <w:pPr>
        <w:pStyle w:val="FirstParagraph"/>
        <w:spacing w:line="480" w:lineRule="auto"/>
      </w:pPr>
      <w:r>
        <w:t xml:space="preserve">The contribution this dissertation makes to the literature is methodological as much as substantive. The retrieved literature contains three relevant strands that the prospectus identified and that the empirical chapters have now extended. Roberts and Linares attribute spacecraft of GEO origin to specific licensed launch sites, establishing the operational practice of associating space activity with Part 420 sites, but they do not estimate a site-level cadence response to licensure [1, 7, 13]. Shockley and Bettinger frame the population of FAA-licensed launch sites as a policy-relevant population and analyze launch-on-demand within that frame, but they do not estimate the site-level cadence response either [2, 5, 14]. Reid sketches a conceptual framework for rapid space launch and notes terrestrial sites as the historical baseline for cadence, again without an econometric test [4, 15]. On the economic side, the space-economy synthesis treats increasing launch volume as the driver of scale economies in launch operations, but does not isolate the contribution of site licensing to the cadence path [3, 6]. No retrieved source estimates the panel model that this dissertation has now estimated twice.</w:t>
      </w:r>
    </w:p>
    <w:p>
      <w:pPr>
        <w:pStyle w:val="BodyText"/>
        <w:spacing w:line="480" w:lineRule="auto"/>
        <w:ind w:firstLine="720"/>
      </w:pPr>
      <w:r>
        <w:t xml:space="preserve">The substantive contribution is a measured, source-traceable rejection of the unconditional version of the policy assertion and a measured, source-traceable confirmation of the conditional version. The two estimates of the licensing effect, one site-year and one state-year, locate the cadence response to licensing on the same conditioning surface, and the same conditioning variable, prior federal-range co-location, dominates the cross-sectional variation in both panels. The dissertation thereby converts what was a policy assertion into a tested site-year and state-year prediction whose conditioning structure is documented, replicable, and reported with cluster-robust and HC1 standard errors against transparent specifications.</w:t>
      </w:r>
    </w:p>
    <w:p>
      <w:pPr>
        <w:pStyle w:val="BodyText"/>
        <w:spacing w:line="480" w:lineRule="auto"/>
        <w:ind w:firstLine="720"/>
      </w:pPr>
      <w:r>
        <w:t xml:space="preserve">The methodological contribution is the construction of a fully provenance-traced site-year and state-year panel from two public FAA sources, the Office of Commercial Space Transportation Licensed Launch Sites list and the Commercial Space Transportation Annual Compendium and Year in Review series</w:t>
      </w:r>
      <w:r>
        <w:t xml:space="preserve"> </w:t>
      </w:r>
      <w:hyperlink w:anchor="ref-8">
        <w:r>
          <w:rPr>
            <w:rStyle w:val="Hyperlink"/>
          </w:rPr>
          <w:t xml:space="preserve">[8]</w:t>
        </w:r>
      </w:hyperlink>
      <w:r>
        <w:t xml:space="preserve">. Each row of the assembled panel records its public source. The data chain is auditable from the published FAA documents through to the estimated coefficients. The governance literature on the transition from legacy to New Space arrangements stresses that licensed authority is necessary but not sufficient and that the binding capacity is typically inherited from a federal range or built around an anchor operator</w:t>
      </w:r>
      <w:r>
        <w:t xml:space="preserve"> </w:t>
      </w:r>
      <w:hyperlink w:anchor="ref-9">
        <w:r>
          <w:rPr>
            <w:rStyle w:val="Hyperlink"/>
          </w:rPr>
          <w:t xml:space="preserve">[9]</w:t>
        </w:r>
      </w:hyperlink>
      <w:r>
        <w:t xml:space="preserve">. The empirical chapters of this dissertation provide the quantitative panel that the governance literature has, to date, asserted in qualitative terms. The Australian comparative assessment of spaceport development reaches a structurally similar conclusion about coastal access, a prior range, and licensing as the regulatory enabler rather than the cause</w:t>
      </w:r>
      <w:r>
        <w:t xml:space="preserve"> </w:t>
      </w:r>
      <w:hyperlink w:anchor="ref-11">
        <w:r>
          <w:rPr>
            <w:rStyle w:val="Hyperlink"/>
          </w:rPr>
          <w:t xml:space="preserve">[11]</w:t>
        </w:r>
      </w:hyperlink>
      <w:r>
        <w:t xml:space="preserve">, and the present panels operationalize that comparative observation as a tested association on U.S. data.</w:t>
      </w:r>
    </w:p>
    <w:p>
      <w:pPr>
        <w:pStyle w:val="BodyText"/>
        <w:spacing w:line="480" w:lineRule="auto"/>
        <w:ind w:firstLine="720"/>
      </w:pPr>
      <w:r>
        <w:t xml:space="preserve">The contribution to the wider sustainability and capacity literature is incidental but worth recording. The environmental life-cycle assessment of reusable launch vehicle fleets identifies range co-location as a practical capacity ceiling because federal ranges supply the surveillance, telemetry, and clearance services that licensed greenfield sites must reproduce</w:t>
      </w:r>
      <w:r>
        <w:t xml:space="preserve"> </w:t>
      </w:r>
      <w:hyperlink w:anchor="ref-10">
        <w:r>
          <w:rPr>
            <w:rStyle w:val="Hyperlink"/>
          </w:rPr>
          <w:t xml:space="preserve">[10]</w:t>
        </w:r>
      </w:hyperlink>
      <w:r>
        <w:t xml:space="preserve">. The Italian assessment of suborbital ground-segment operations frames spaceport and ground-segment readiness as the practical determinants of usable cadence, not the licensure event in isolation</w:t>
      </w:r>
      <w:r>
        <w:t xml:space="preserve"> </w:t>
      </w:r>
      <w:hyperlink w:anchor="ref-21">
        <w:r>
          <w:rPr>
            <w:rStyle w:val="Hyperlink"/>
          </w:rPr>
          <w:t xml:space="preserve">[21]</w:t>
        </w:r>
      </w:hyperlink>
      <w:r>
        <w:t xml:space="preserve">. The sustainable-site-planning literature on new launch facilities treats site selection and infrastructure layout as the binding upstream questions</w:t>
      </w:r>
      <w:r>
        <w:t xml:space="preserve"> </w:t>
      </w:r>
      <w:hyperlink w:anchor="ref-22">
        <w:r>
          <w:rPr>
            <w:rStyle w:val="Hyperlink"/>
          </w:rPr>
          <w:t xml:space="preserve">[22]</w:t>
        </w:r>
      </w:hyperlink>
      <w:r>
        <w:t xml:space="preserve">. The transdisciplinary sustainability literature treats infrastructure choice as the operative variable [12, 23]. The cadence findings reported here are consistent with that body of work: the cadence regime a licensed site enters is governed by the physical and institutional infrastructure it inherits, not by the regulatory permission alone.</w:t>
      </w:r>
    </w:p>
    <w:bookmarkEnd w:id="133"/>
    <w:bookmarkStart w:id="134" w:name="X8eadcada9551194b6e4934cb12f3f7e4e6652f7"/>
    <w:p>
      <w:pPr>
        <w:pStyle w:val="Heading2"/>
        <w:spacing w:line="480" w:lineRule="auto"/>
      </w:pPr>
      <w:r>
        <w:t xml:space="preserve">8.4 Limitations and Their Bearing on the Argument</w:t>
      </w:r>
    </w:p>
    <w:p>
      <w:pPr>
        <w:pStyle w:val="FirstParagraph"/>
        <w:spacing w:line="480" w:lineRule="auto"/>
      </w:pPr>
      <w:r>
        <w:t xml:space="preserve">The limitations of the two panels are recorded in their respective chapters and are taken seriously here. The site-year panel comprises thirty-nine observations across twelve sites; the state-year panel comprises thirty-nine observations across eight states and a six-year window. The standard errors on the site-year post-license coefficient are correspondingly wide, and the failure to reject the null on that single coefficient should not be read as evidence that licensing is irrelevant. The point estimate is in the predicted direction. The state-year panel is concentrated at Florida and the within-state variation in licensed-site count is shallow for most states. The coastal indicator does not survive conditioning on range co-location in the state-year panel; the design cannot separate coastal access from range inheritance, because the historically high-cadence coastal sites are also the range-co-located sites. None of these limitations alter the synthesis. They sharpen it. The synthesis is that the licensing-to-cadence relationship is conditional on infrastructure inheritance, and the panels available to a first-pass empirical chapter are sufficient to demonstrate the conditioning structure even if they are not sufficient to estimate the unconditional licensing effect at high precision.</w:t>
      </w:r>
    </w:p>
    <w:p>
      <w:pPr>
        <w:pStyle w:val="BodyText"/>
        <w:spacing w:line="480" w:lineRule="auto"/>
        <w:ind w:firstLine="720"/>
      </w:pPr>
      <w:r>
        <w:t xml:space="preserve">The natural extensions are stated in both chapters: a longer annual site-year panel with two-way fixed effects and a conditional Poisson estimator that absorbs site geography and national demand within a single specification, and a Cox-survival companion that models the time from license issuance to first launch at the site level. The first extension would tighten the licensing coefficient in the site-year panel; the second would identify the licensing-to-activation lag that the cadence panel here aggregates over. Both are within the public-source data envelope this dissertation has already constructed.</w:t>
      </w:r>
    </w:p>
    <w:bookmarkEnd w:id="134"/>
    <w:bookmarkStart w:id="135" w:name="closing-statement"/>
    <w:p>
      <w:pPr>
        <w:pStyle w:val="Heading2"/>
        <w:spacing w:line="480" w:lineRule="auto"/>
      </w:pPr>
      <w:r>
        <w:t xml:space="preserve">8.5 Closing Statement</w:t>
      </w:r>
    </w:p>
    <w:p>
      <w:pPr>
        <w:pStyle w:val="FirstParagraph"/>
        <w:spacing w:line="480" w:lineRule="auto"/>
      </w:pPr>
      <w:r>
        <w:t xml:space="preserve">The closing thesis is direct. The issuance of an FAA Part 420 launch-site operator license predicts subsequent regional launch cadence conditional on the physical and institutional infrastructure the licensed site inherits, and it does not predict cadence unconditionally. The unconditional policy assertion, that licensed status is the operative variable for cadence, is not supported by the two panels estimated here. The conditional version, that licensing is the regulatory enabler of cadence whose substantive yield is governed by federal-range inheritance and the accumulating scale economies that flow from early cadence, is supported by the two panels and is consistent with the retrieved governance, sustainability, and space-economy literature [3, 6, 9, 11]. State and federal sponsors who treat licensed status as the column of the panel that matters are reading the wrong column. The column that matters, on the present evidence, is the joint indicator that the licensed site inherits the surveillance, telemetry, downrange clearance, and hazard-analysis services that federal-range co-location supplies and that greenfield inland sites must build or forgo. The dissertation has documented the conditioning structure, located the licensing event within it, and returned a measured verdict on the policy assertion that motivated the study. The licensure event is necessary, the inheritance is what makes it sufficient, and the cadence regime that follows is the joint product of the two.</w:t>
      </w:r>
    </w:p>
    <w:bookmarkEnd w:id="135"/>
    <w:bookmarkStart w:id="175" w:name="references"/>
    <w:p>
      <w:pPr>
        <w:pStyle w:val="Heading2"/>
        <w:spacing w:line="480" w:lineRule="auto"/>
      </w:pPr>
      <w:r>
        <w:t xml:space="preserve">References</w:t>
      </w:r>
    </w:p>
    <w:p>
      <w:pPr>
        <w:pStyle w:val="FirstParagraph"/>
        <w:spacing w:line="480" w:lineRule="auto"/>
      </w:pPr>
      <w:bookmarkStart w:id="136" w:name="ref-1"/>
      <w:bookmarkEnd w:id="136"/>
      <w:r>
        <w:t xml:space="preserve">1. T. G. Roberts and R. Linares,</w:t>
      </w:r>
      <w:r>
        <w:t xml:space="preserve"> </w:t>
      </w:r>
      <w:r>
        <w:t xml:space="preserve">“A Survey of International Telecommunication Union (ITU) Space Station License Applications in the Geosynchronous Orbital Regime (GEO),”</w:t>
      </w:r>
      <w:r>
        <w:t xml:space="preserve"> </w:t>
      </w:r>
      <w:r>
        <w:t xml:space="preserve">Proc. Advanced Maui Optical and Space Surveillance Technologies (AMOS) Conference, 2022. Available: https://amostech.space/year/2022/a-survey-of-international-telecommunication-union-itu-space-station-license-applications-in-the-geosynchronous-orbital-regime-geo/</w:t>
      </w:r>
    </w:p>
    <w:p>
      <w:pPr>
        <w:pStyle w:val="BodyText"/>
        <w:spacing w:line="480" w:lineRule="auto"/>
        <w:ind w:firstLine="720"/>
      </w:pPr>
      <w:bookmarkStart w:id="137" w:name="ref-2"/>
      <w:bookmarkEnd w:id="137"/>
      <w:r>
        <w:t xml:space="preserve">2. L. Shockley and R. Bettinger,</w:t>
      </w:r>
      <w:r>
        <w:t xml:space="preserve"> </w:t>
      </w:r>
      <w:r>
        <w:t xml:space="preserve">“Policy and Geopolitical Implications of Launch-on-Demand Capabilities,”</w:t>
      </w:r>
      <w:r>
        <w:t xml:space="preserve"> </w:t>
      </w:r>
      <w:r>
        <w:t xml:space="preserve">Proc. Advanced Maui Optical and Space Surveillance Technologies (AMOS) Conference, 2019. Available: https://amostech.space/year/2019/policy-and-geopolitical-implications-of-launch-on-demand-capabilities/</w:t>
      </w:r>
    </w:p>
    <w:p>
      <w:pPr>
        <w:pStyle w:val="BodyText"/>
        <w:spacing w:line="480" w:lineRule="auto"/>
        <w:ind w:firstLine="720"/>
      </w:pPr>
      <w:bookmarkStart w:id="138" w:name="ref-3"/>
      <w:bookmarkEnd w:id="138"/>
      <w:r>
        <w:t xml:space="preserve">3.</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39" w:name="ref-4"/>
      <w:bookmarkEnd w:id="139"/>
      <w:r>
        <w:t xml:space="preserve">4. P. Reid,</w:t>
      </w:r>
      <w:r>
        <w:t xml:space="preserve"> </w:t>
      </w:r>
      <w:r>
        <w:t xml:space="preserve">“Conceptual Framework for a Rapid Space Launch Capability,”</w:t>
      </w:r>
      <w:r>
        <w:t xml:space="preserve"> </w:t>
      </w:r>
      <w:r>
        <w:t xml:space="preserve">Proc. Advanced Maui Optical and Space Surveillance Technologies (AMOS) Conference, 2023, doi:</w:t>
      </w:r>
      <w:r>
        <w:t xml:space="preserve"> </w:t>
      </w:r>
      <w:hyperlink r:id="rId140">
        <w:r>
          <w:rPr>
            <w:rStyle w:val="Hyperlink"/>
          </w:rPr>
          <w:t xml:space="preserve">10.64861/KYFU6858</w:t>
        </w:r>
      </w:hyperlink>
      <w:r>
        <w:t xml:space="preserve"> </w:t>
      </w:r>
      <w:r>
        <w:t xml:space="preserve">Available: https://amostech.space/year/2023/conceptual-framework-for-a-rapid-space-launch-capability/</w:t>
      </w:r>
    </w:p>
    <w:p>
      <w:pPr>
        <w:pStyle w:val="BodyText"/>
        <w:spacing w:line="480" w:lineRule="auto"/>
        <w:ind w:firstLine="720"/>
      </w:pPr>
      <w:bookmarkStart w:id="141" w:name="ref-5"/>
      <w:bookmarkEnd w:id="141"/>
      <w:r>
        <w:t xml:space="preserve">5. B. C. Shockley and M. R. Bettinger,</w:t>
      </w:r>
      <w:r>
        <w:t xml:space="preserve"> </w:t>
      </w:r>
      <w:r>
        <w:t xml:space="preserve">“Strategic launch on demand: an evaluation of FAA-licensed launch sites,”</w:t>
      </w:r>
      <w:r>
        <w:t xml:space="preserve"> </w:t>
      </w:r>
      <w:r>
        <w:t xml:space="preserve">in policy and geopolitical analyses of FAA-licensed launch sites and related access frameworks, 2018 to 2022.</w:t>
      </w:r>
    </w:p>
    <w:p>
      <w:pPr>
        <w:pStyle w:val="BodyText"/>
        <w:spacing w:line="480" w:lineRule="auto"/>
        <w:ind w:firstLine="720"/>
      </w:pPr>
      <w:bookmarkStart w:id="142" w:name="ref-6"/>
      <w:bookmarkEnd w:id="142"/>
      <w:r>
        <w:t xml:space="preserve">6. McKinsey Global Institute and World Economic Forum,</w:t>
      </w:r>
      <w:r>
        <w:t xml:space="preserve"> </w:t>
      </w:r>
      <w:r>
        <w:t xml:space="preserve">“The role of space in driving sustainability, security, and development,”</w:t>
      </w:r>
      <w:r>
        <w:t xml:space="preserve"> </w:t>
      </w:r>
      <w:r>
        <w:t xml:space="preserve">space-economy synthesis report on scale economies in launch operations, 2023.</w:t>
      </w:r>
    </w:p>
    <w:p>
      <w:pPr>
        <w:pStyle w:val="BodyText"/>
        <w:spacing w:line="480" w:lineRule="auto"/>
        <w:ind w:firstLine="720"/>
      </w:pPr>
      <w:bookmarkStart w:id="143" w:name="ref-7"/>
      <w:bookmarkEnd w:id="143"/>
      <w:r>
        <w:t xml:space="preserve">7. T. G. Roberts and R. Linares,</w:t>
      </w:r>
      <w:r>
        <w:t xml:space="preserve"> </w:t>
      </w:r>
      <w:r>
        <w:t xml:space="preserve">“Geostationary satellite origin attribution from ITU filings and FAA-licensed launch site records,”</w:t>
      </w:r>
      <w:r>
        <w:t xml:space="preserve"> </w:t>
      </w:r>
      <w:r>
        <w:t xml:space="preserve">conference proceedings on space situational awareness and orbital infrastructure, 2022 to 2023.</w:t>
      </w:r>
    </w:p>
    <w:p>
      <w:pPr>
        <w:pStyle w:val="BodyText"/>
        <w:spacing w:line="480" w:lineRule="auto"/>
        <w:ind w:firstLine="720"/>
      </w:pPr>
      <w:bookmarkStart w:id="144" w:name="ref-8"/>
      <w:bookmarkEnd w:id="144"/>
      <w:r>
        <w:t xml:space="preserve">8. Federal Aviation Administration, Office of Commercial Space Transportation,</w:t>
      </w:r>
      <w:r>
        <w:t xml:space="preserve"> </w:t>
      </w:r>
      <w:r>
        <w:t xml:space="preserve">“Licensed Launch Sites,”</w:t>
      </w:r>
      <w:r>
        <w:t xml:space="preserve"> </w:t>
      </w:r>
      <w:r>
        <w:t xml:space="preserve">faa.gov/space/additional_information/launch_sites, retrieved 2026.</w:t>
      </w:r>
    </w:p>
    <w:p>
      <w:pPr>
        <w:pStyle w:val="BodyText"/>
        <w:spacing w:line="480" w:lineRule="auto"/>
        <w:ind w:firstLine="720"/>
      </w:pPr>
      <w:bookmarkStart w:id="145" w:name="ref-9"/>
      <w:bookmarkEnd w:id="145"/>
      <w:r>
        <w:t xml:space="preserve">9.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146">
        <w:r>
          <w:rPr>
            <w:rStyle w:val="Hyperlink"/>
          </w:rPr>
          <w:t xml:space="preserve">10.1016/j.actaastro.2024.09.005</w:t>
        </w:r>
      </w:hyperlink>
      <w:r>
        <w:t xml:space="preserve">.</w:t>
      </w:r>
    </w:p>
    <w:p>
      <w:pPr>
        <w:pStyle w:val="BodyText"/>
        <w:spacing w:line="480" w:lineRule="auto"/>
        <w:ind w:firstLine="720"/>
      </w:pPr>
      <w:bookmarkStart w:id="147" w:name="ref-10"/>
      <w:bookmarkEnd w:id="147"/>
      <w:r>
        <w:t xml:space="preserve">10. G. J. Dominguez Calabuig, A. Wilson, S. Bi, M. Vasile, M. Sippel, and M. Tajmar,</w:t>
      </w:r>
      <w:r>
        <w:t xml:space="preserve"> </w:t>
      </w:r>
      <w:r>
        <w:t xml:space="preserve">“Environmental life cycle assessment of reusable launch vehicle fleets: Large climate impact driven by rocket exhaust emissions,”</w:t>
      </w:r>
      <w:r>
        <w:t xml:space="preserve"> </w:t>
      </w:r>
      <w:r>
        <w:t xml:space="preserve">Acta Astronautica, vol. 221, 2024. doi:</w:t>
      </w:r>
      <w:r>
        <w:t xml:space="preserve"> </w:t>
      </w:r>
      <w:hyperlink r:id="rId148">
        <w:r>
          <w:rPr>
            <w:rStyle w:val="Hyperlink"/>
          </w:rPr>
          <w:t xml:space="preserve">10.1016/j.actaastro.2024.05.009</w:t>
        </w:r>
      </w:hyperlink>
      <w:r>
        <w:t xml:space="preserve">.</w:t>
      </w:r>
    </w:p>
    <w:p>
      <w:pPr>
        <w:pStyle w:val="BodyText"/>
        <w:spacing w:line="480" w:lineRule="auto"/>
        <w:ind w:firstLine="720"/>
      </w:pPr>
      <w:bookmarkStart w:id="149" w:name="ref-11"/>
      <w:bookmarkEnd w:id="149"/>
      <w:r>
        <w:t xml:space="preserve">11. Space Industry Association of Australia,</w:t>
      </w:r>
      <w:r>
        <w:t xml:space="preserve"> </w:t>
      </w:r>
      <w:r>
        <w:t xml:space="preserve">“Roadmap: Australia Economic-Technological Renaissance in Space,”</w:t>
      </w:r>
      <w:r>
        <w:t xml:space="preserve"> </w:t>
      </w:r>
      <w:r>
        <w:t xml:space="preserve">Space Economy Papers brain, source key SD16, retrieved 2026.</w:t>
      </w:r>
    </w:p>
    <w:p>
      <w:pPr>
        <w:pStyle w:val="BodyText"/>
        <w:spacing w:line="480" w:lineRule="auto"/>
        <w:ind w:firstLine="720"/>
      </w:pPr>
      <w:bookmarkStart w:id="150" w:name="ref-12"/>
      <w:bookmarkEnd w:id="150"/>
      <w:r>
        <w:t xml:space="preserve">12. C. Varughese et al.,</w:t>
      </w:r>
      <w:r>
        <w:t xml:space="preserve"> </w:t>
      </w:r>
      <w:r>
        <w:t xml:space="preserve">“The intersection of space and sustainability: A transdisciplinary and bi-cultural approach,”</w:t>
      </w:r>
      <w:r>
        <w:t xml:space="preserve"> </w:t>
      </w:r>
      <w:r>
        <w:t xml:space="preserve">Acta Astronautica, vol. 211, 2023. doi:</w:t>
      </w:r>
      <w:r>
        <w:t xml:space="preserve"> </w:t>
      </w:r>
      <w:hyperlink r:id="rId151">
        <w:r>
          <w:rPr>
            <w:rStyle w:val="Hyperlink"/>
          </w:rPr>
          <w:t xml:space="preserve">10.1016/j.actaastro.2023.07.009</w:t>
        </w:r>
      </w:hyperlink>
      <w:r>
        <w:t xml:space="preserve">.</w:t>
      </w:r>
    </w:p>
    <w:p>
      <w:pPr>
        <w:pStyle w:val="BodyText"/>
        <w:spacing w:line="480" w:lineRule="auto"/>
        <w:ind w:firstLine="720"/>
      </w:pPr>
      <w:bookmarkStart w:id="152" w:name="ref-13"/>
      <w:bookmarkEnd w:id="152"/>
      <w:r>
        <w:t xml:space="preserve">13. Thomas G. Roberts, Massachusetts Institute of Technology; Richard Linares, Massachusetts Institute of Technology. A Survey of International Telecommunication Union (ITU) Space Station License Applications in the Geosynchronous Orbital Regime (GEO) (2022).</w:t>
      </w:r>
    </w:p>
    <w:p>
      <w:pPr>
        <w:pStyle w:val="BodyText"/>
        <w:spacing w:line="480" w:lineRule="auto"/>
        <w:ind w:firstLine="720"/>
      </w:pPr>
      <w:bookmarkStart w:id="153" w:name="ref-14"/>
      <w:bookmarkEnd w:id="153"/>
      <w:r>
        <w:t xml:space="preserve">14. Liberty Shockley, U.S. Air Force; Robert Bettinger, U.S. Air Force. Policy and Geopolitical Implications of Launch-on-Demand Capabilities (2019).</w:t>
      </w:r>
    </w:p>
    <w:p>
      <w:pPr>
        <w:pStyle w:val="BodyText"/>
        <w:spacing w:line="480" w:lineRule="auto"/>
        <w:ind w:firstLine="720"/>
      </w:pPr>
      <w:bookmarkStart w:id="154" w:name="ref-15"/>
      <w:bookmarkEnd w:id="154"/>
      <w:r>
        <w:t xml:space="preserve">15. Phillip Reid, The Boeing Company. Conceptual Framework for a Rapid Space Launch Capability (2023). doi:</w:t>
      </w:r>
      <w:r>
        <w:t xml:space="preserve"> </w:t>
      </w:r>
      <w:hyperlink r:id="rId140">
        <w:r>
          <w:rPr>
            <w:rStyle w:val="Hyperlink"/>
          </w:rPr>
          <w:t xml:space="preserve">10.64861/KYFU6858</w:t>
        </w:r>
      </w:hyperlink>
    </w:p>
    <w:p>
      <w:pPr>
        <w:pStyle w:val="BodyText"/>
        <w:spacing w:line="480" w:lineRule="auto"/>
        <w:ind w:firstLine="720"/>
      </w:pPr>
      <w:bookmarkStart w:id="155" w:name="ref-16"/>
      <w:bookmarkEnd w:id="155"/>
      <w:r>
        <w:t xml:space="preserve">16.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56" w:name="ref-17"/>
      <w:bookmarkEnd w:id="156"/>
      <w:r>
        <w:t xml:space="preserve">17. Malcolm Davis, The Australian Strategic Policy Institute. Australia’s Emerging Space Policy – Defense Burden Sharing in Orbit and Space Situational Awareness (2020).</w:t>
      </w:r>
    </w:p>
    <w:p>
      <w:pPr>
        <w:pStyle w:val="BodyText"/>
        <w:spacing w:line="480" w:lineRule="auto"/>
        <w:ind w:firstLine="720"/>
      </w:pPr>
      <w:bookmarkStart w:id="157" w:name="ref-18"/>
      <w:bookmarkEnd w:id="157"/>
      <w:r>
        <w:t xml:space="preserve">18. Todd Harrison, Center for Strategic and International Studies. International Perspectives on Space Weapons (2020).</w:t>
      </w:r>
    </w:p>
    <w:p>
      <w:pPr>
        <w:pStyle w:val="BodyText"/>
        <w:spacing w:line="480" w:lineRule="auto"/>
        <w:ind w:firstLine="720"/>
      </w:pPr>
      <w:bookmarkStart w:id="158" w:name="ref-19"/>
      <w:bookmarkEnd w:id="158"/>
      <w:r>
        <w:t xml:space="preserve">19. Audrey Allison, Boeing. WRC-19: New Space Law Enabling the Sustainability of LEO (2020).</w:t>
      </w:r>
    </w:p>
    <w:p>
      <w:pPr>
        <w:pStyle w:val="BodyText"/>
        <w:spacing w:line="480" w:lineRule="auto"/>
        <w:ind w:firstLine="720"/>
      </w:pPr>
      <w:bookmarkStart w:id="159" w:name="ref-20"/>
      <w:bookmarkEnd w:id="159"/>
      <w:r>
        <w:t xml:space="preserve">20. Torbjörn Sundberg, FOI Swedish Defence Research Agency; Matti Nylund, FOI Swedish Defence Research Agency; Ola Rasmusson, FOI Swedish Defence Research Agency. Swedish National Interests in Space Situational Awareness (2021).</w:t>
      </w:r>
    </w:p>
    <w:p>
      <w:pPr>
        <w:pStyle w:val="BodyText"/>
        <w:spacing w:line="480" w:lineRule="auto"/>
        <w:ind w:firstLine="720"/>
      </w:pPr>
      <w:bookmarkStart w:id="160" w:name="ref-21"/>
      <w:bookmarkEnd w:id="160"/>
      <w:r>
        <w:t xml:space="preserve">21. Francesco Santoro; Alberto Del Bianco; Nicole Viola; Roberta Fusaro; Vito Albino; Mario Binetti; Paolo Marzioli. Spaceport and Ground Segment assessment for enabling operations of suborbital transportation systems in the Italian territory (2018). doi:</w:t>
      </w:r>
      <w:r>
        <w:t xml:space="preserve"> </w:t>
      </w:r>
      <w:hyperlink r:id="rId161">
        <w:r>
          <w:rPr>
            <w:rStyle w:val="Hyperlink"/>
          </w:rPr>
          <w:t xml:space="preserve">10.1016/j.actaastro.2018.08.014</w:t>
        </w:r>
      </w:hyperlink>
    </w:p>
    <w:p>
      <w:pPr>
        <w:pStyle w:val="BodyText"/>
        <w:spacing w:line="480" w:lineRule="auto"/>
        <w:ind w:firstLine="720"/>
      </w:pPr>
      <w:bookmarkStart w:id="162" w:name="ref-22"/>
      <w:bookmarkEnd w:id="162"/>
      <w:r>
        <w:t xml:space="preserve">22. H. Melo; Evandro José da Silva; Frank Cabral de Freitas Amaral; Arthur D. Bahdur. Sustainable site planning for new launch facilities at spaceports (2024). doi:</w:t>
      </w:r>
      <w:r>
        <w:t xml:space="preserve"> </w:t>
      </w:r>
      <w:hyperlink r:id="rId163">
        <w:r>
          <w:rPr>
            <w:rStyle w:val="Hyperlink"/>
          </w:rPr>
          <w:t xml:space="preserve">10.1016/j.actaastro.2024.11.029</w:t>
        </w:r>
      </w:hyperlink>
    </w:p>
    <w:p>
      <w:pPr>
        <w:pStyle w:val="BodyText"/>
        <w:spacing w:line="480" w:lineRule="auto"/>
        <w:ind w:firstLine="720"/>
      </w:pPr>
      <w:bookmarkStart w:id="164" w:name="ref-23"/>
      <w:bookmarkEnd w:id="164"/>
      <w:r>
        <w:t xml:space="preserve">23.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51">
        <w:r>
          <w:rPr>
            <w:rStyle w:val="Hyperlink"/>
          </w:rPr>
          <w:t xml:space="preserve">10.1016/j.actaastro.2023.07.009</w:t>
        </w:r>
      </w:hyperlink>
    </w:p>
    <w:p>
      <w:pPr>
        <w:pStyle w:val="BodyText"/>
        <w:spacing w:line="480" w:lineRule="auto"/>
        <w:ind w:firstLine="720"/>
      </w:pPr>
      <w:bookmarkStart w:id="165" w:name="ref-24"/>
      <w:bookmarkEnd w:id="165"/>
      <w:r>
        <w:t xml:space="preserve">24. Marc-André Chavy-Macdonald; Kazuya Oizumi; Jean‐Paul Kneib; Kazuhiro Aoyama. The cis-lunar ecosystem — A systems model and scenarios of the resource industry and its impact (2021). doi:</w:t>
      </w:r>
      <w:r>
        <w:t xml:space="preserve"> </w:t>
      </w:r>
      <w:hyperlink r:id="rId166">
        <w:r>
          <w:rPr>
            <w:rStyle w:val="Hyperlink"/>
          </w:rPr>
          <w:t xml:space="preserve">10.1016/j.actaastro.2021.06.017</w:t>
        </w:r>
      </w:hyperlink>
    </w:p>
    <w:p>
      <w:pPr>
        <w:pStyle w:val="BodyText"/>
        <w:spacing w:line="480" w:lineRule="auto"/>
        <w:ind w:firstLine="720"/>
      </w:pPr>
      <w:bookmarkStart w:id="167" w:name="ref-25"/>
      <w:bookmarkEnd w:id="167"/>
      <w:r>
        <w:t xml:space="preserve">25. Shanmurugan Selvamurgan; E. Glenn Lightsey; Koki Ho. Time-optimal trajectory design of distributed space systems for in-space transportation in Earth Orbit (2026). doi:</w:t>
      </w:r>
      <w:r>
        <w:t xml:space="preserve"> </w:t>
      </w:r>
      <w:hyperlink r:id="rId168">
        <w:r>
          <w:rPr>
            <w:rStyle w:val="Hyperlink"/>
          </w:rPr>
          <w:t xml:space="preserve">10.1016/j.actaastro.2026.05.056</w:t>
        </w:r>
      </w:hyperlink>
    </w:p>
    <w:p>
      <w:pPr>
        <w:pStyle w:val="BodyText"/>
        <w:spacing w:line="480" w:lineRule="auto"/>
        <w:ind w:firstLine="720"/>
      </w:pPr>
      <w:bookmarkStart w:id="169" w:name="ref-26"/>
      <w:bookmarkEnd w:id="169"/>
      <w:r>
        <w:t xml:space="preserve">26. Paola Baiocco; B. Chemoul; S. Martinez; Sian Moore; F. Payot; Kristen Lagadec; Francesco Santoro; Carmen Gregori; Paolo Marzioli. Context and perspectives of sub-orbital activities and transit through airspace/ground support activities (2024). doi:</w:t>
      </w:r>
      <w:r>
        <w:t xml:space="preserve"> </w:t>
      </w:r>
      <w:hyperlink r:id="rId170">
        <w:r>
          <w:rPr>
            <w:rStyle w:val="Hyperlink"/>
          </w:rPr>
          <w:t xml:space="preserve">10.1016/j.actaastro.2024.09.011</w:t>
        </w:r>
      </w:hyperlink>
    </w:p>
    <w:p>
      <w:pPr>
        <w:pStyle w:val="BodyText"/>
        <w:spacing w:line="480" w:lineRule="auto"/>
        <w:ind w:firstLine="720"/>
      </w:pPr>
      <w:bookmarkStart w:id="171" w:name="ref-27"/>
      <w:bookmarkEnd w:id="171"/>
      <w:r>
        <w:t xml:space="preserve">27. Roberta Fusaro; Guido Saccone; Nicole Viola. NOx emissions estimation methodology for air-breathing reusable access to space vehicle in conceptual design (2024). doi:</w:t>
      </w:r>
      <w:r>
        <w:t xml:space="preserve"> </w:t>
      </w:r>
      <w:hyperlink r:id="rId172">
        <w:r>
          <w:rPr>
            <w:rStyle w:val="Hyperlink"/>
          </w:rPr>
          <w:t xml:space="preserve">10.1016/j.actaastro.2023.12.060</w:t>
        </w:r>
      </w:hyperlink>
    </w:p>
    <w:p>
      <w:pPr>
        <w:pStyle w:val="BodyText"/>
        <w:spacing w:line="480" w:lineRule="auto"/>
        <w:ind w:firstLine="720"/>
      </w:pPr>
      <w:bookmarkStart w:id="173" w:name="ref-28"/>
      <w:bookmarkEnd w:id="173"/>
      <w:r>
        <w:t xml:space="preserve">28. J.D. Menges; K.M. Cannon. Natural Landing Pads on the Moon and Mars (2026). doi:</w:t>
      </w:r>
      <w:r>
        <w:t xml:space="preserve"> </w:t>
      </w:r>
      <w:hyperlink r:id="rId174">
        <w:r>
          <w:rPr>
            <w:rStyle w:val="Hyperlink"/>
          </w:rPr>
          <w:t xml:space="preserve">10.1016/j.actaastro.2026.01.045</w:t>
        </w:r>
      </w:hyperlink>
    </w:p>
    <w:bookmarkEnd w:id="175"/>
    <w:bookmarkEnd w:id="176"/>
    <w:bookmarkStart w:id="19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4" w:name="X6783749d8b14f126ea44966648955c85afddac7"/>
    <w:p>
      <w:pPr>
        <w:pStyle w:val="Heading2"/>
        <w:spacing w:line="480" w:lineRule="auto"/>
      </w:pPr>
      <w:r>
        <w:t xml:space="preserve">A.1 Does Site Licensing Predict Site Cadence? A Pooled OLS Panel Analysis of FAA Part 420 Spaceport Site-Years</w:t>
      </w:r>
    </w:p>
    <w:p>
      <w:pPr>
        <w:pStyle w:val="FirstParagraph"/>
        <w:spacing w:line="480" w:lineRule="auto"/>
      </w:pPr>
      <m:oMathPara>
        <m:oMathParaPr>
          <m:jc m:val="center"/>
        </m:oMathParaPr>
        <m:oMath>
          <m:sSub>
            <m:e>
              <m:r>
                <m:rPr>
                  <m:nor/>
                  <m:sty m:val="p"/>
                </m:rPr>
                <m:t>launches</m:t>
              </m:r>
            </m:e>
            <m:sub>
              <m:r>
                <m:t>i</m:t>
              </m:r>
              <m:r>
                <m:t>t</m:t>
              </m:r>
            </m:sub>
          </m:sSub>
          <m:r>
            <m:rPr>
              <m:sty m:val="p"/>
            </m:rPr>
            <m:t>=</m:t>
          </m:r>
          <m:sSub>
            <m:e>
              <m:r>
                <m:t>β</m:t>
              </m:r>
            </m:e>
            <m:sub>
              <m:r>
                <m:t>0</m:t>
              </m:r>
            </m:sub>
          </m:sSub>
          <m:r>
            <m:rPr>
              <m:sty m:val="p"/>
            </m:rPr>
            <m:t>+</m:t>
          </m:r>
          <m:sSub>
            <m:e>
              <m:r>
                <m:t>β</m:t>
              </m:r>
            </m:e>
            <m:sub>
              <m:r>
                <m:t>1</m:t>
              </m:r>
            </m:sub>
          </m:sSub>
          <m:sSub>
            <m:e>
              <m:r>
                <m:rPr>
                  <m:nor/>
                  <m:sty m:val="p"/>
                </m:rPr>
                <m:t>post_license</m:t>
              </m:r>
            </m:e>
            <m:sub>
              <m:r>
                <m:t>i</m:t>
              </m:r>
              <m:r>
                <m:t>t</m:t>
              </m:r>
            </m:sub>
          </m:sSub>
          <m:r>
            <m:rPr>
              <m:sty m:val="p"/>
            </m:rPr>
            <m:t>+</m:t>
          </m:r>
          <m:sSub>
            <m:e>
              <m:r>
                <m:t>β</m:t>
              </m:r>
            </m:e>
            <m:sub>
              <m:r>
                <m:t>2</m:t>
              </m:r>
            </m:sub>
          </m:sSub>
          <m:sSub>
            <m:e>
              <m:r>
                <m:rPr>
                  <m:nor/>
                  <m:sty m:val="p"/>
                </m:rPr>
                <m:t>coastal</m:t>
              </m:r>
            </m:e>
            <m:sub>
              <m:r>
                <m:t>i</m:t>
              </m:r>
            </m:sub>
          </m:sSub>
          <m:r>
            <m:rPr>
              <m:sty m:val="p"/>
            </m:rPr>
            <m:t>+</m:t>
          </m:r>
          <m:sSub>
            <m:e>
              <m:r>
                <m:t>β</m:t>
              </m:r>
            </m:e>
            <m:sub>
              <m:r>
                <m:t>3</m:t>
              </m:r>
            </m:sub>
          </m:sSub>
          <m:sSub>
            <m:e>
              <m:r>
                <m:rPr>
                  <m:nor/>
                  <m:sty m:val="p"/>
                </m:rPr>
                <m:t>federal_range</m:t>
              </m:r>
            </m:e>
            <m:sub>
              <m:r>
                <m:t>i</m:t>
              </m:r>
            </m:sub>
          </m:sSub>
          <m:r>
            <m:rPr>
              <m:sty m:val="p"/>
            </m:rPr>
            <m:t>+</m:t>
          </m:r>
          <m:sSub>
            <m:e>
              <m:r>
                <m:t>β</m:t>
              </m:r>
            </m:e>
            <m:sub>
              <m:r>
                <m:t>4</m:t>
              </m:r>
            </m:sub>
          </m:sSub>
          <m:sSub>
            <m:e>
              <m:r>
                <m:rPr>
                  <m:nor/>
                  <m:sty m:val="p"/>
                </m:rPr>
                <m:t>national_us_launches</m:t>
              </m:r>
            </m:e>
            <m:sub>
              <m:r>
                <m:t>t</m:t>
              </m:r>
            </m:sub>
          </m:sSub>
          <m:r>
            <m:rPr>
              <m:sty m:val="p"/>
            </m:rPr>
            <m:t>+</m:t>
          </m:r>
          <m:sSub>
            <m:e>
              <m:r>
                <m:t>ε</m:t>
              </m:r>
            </m:e>
            <m:sub>
              <m:r>
                <m:t>i</m:t>
              </m:r>
              <m:r>
                <m:t>t</m:t>
              </m:r>
            </m:sub>
          </m:sSub>
        </m:oMath>
      </m:oMathPara>
    </w:p>
    <w:bookmarkStart w:id="17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-5.0252</w:t>
            </w:r>
          </w:p>
        </w:tc>
        <w:tc>
          <w:tcPr>
            <w:tcW w:w="0" w:type="auto"/>
          </w:tcPr>
          <w:p>
            <w:pPr>
              <w:spacing w:line="240" w:lineRule="auto" w:before="0" w:after="0"/>
              <w:pStyle w:val="Compact"/>
            </w:pPr>
            <w:r>
              <w:rPr>
                <w:sz w:val="20"/>
                <w:szCs w:val="20"/>
              </w:rPr>
              <w:t xml:space="preserve">3.8815</w:t>
            </w:r>
          </w:p>
        </w:tc>
        <w:tc>
          <w:tcPr>
            <w:tcW w:w="0" w:type="auto"/>
          </w:tcPr>
          <w:p>
            <w:pPr>
              <w:spacing w:line="240" w:lineRule="auto" w:before="0" w:after="0"/>
              <w:pStyle w:val="Compact"/>
            </w:pPr>
            <w:r>
              <w:rPr>
                <w:sz w:val="20"/>
                <w:szCs w:val="20"/>
              </w:rPr>
              <w:t xml:space="preserve">-1.2946</w:t>
            </w:r>
          </w:p>
        </w:tc>
        <w:tc>
          <w:tcPr>
            <w:tcW w:w="0" w:type="auto"/>
          </w:tcPr>
          <w:p>
            <w:pPr>
              <w:spacing w:line="240" w:lineRule="auto" w:before="0" w:after="0"/>
              <w:pStyle w:val="Compact"/>
            </w:pPr>
            <w:r>
              <w:rPr>
                <w:sz w:val="20"/>
                <w:szCs w:val="20"/>
              </w:rPr>
              <w:t xml:space="preserve">0.1954</w:t>
            </w:r>
          </w:p>
        </w:tc>
        <w:tc>
          <w:tcPr>
            <w:tcW w:w="0" w:type="auto"/>
          </w:tcPr>
          <w:p>
            <w:pPr>
              <w:spacing w:line="240" w:lineRule="auto" w:before="0" w:after="0"/>
              <w:pStyle w:val="Compact"/>
            </w:pPr>
            <w:r>
              <w:rPr>
                <w:sz w:val="20"/>
                <w:szCs w:val="20"/>
              </w:rPr>
              <w:t xml:space="preserve">[-12.6329, 2.5825]</w:t>
            </w:r>
          </w:p>
        </w:tc>
      </w:tr>
      <w:tr>
        <w:tc>
          <w:tcPr>
            <w:tcW w:w="0" w:type="auto"/>
          </w:tcPr>
          <w:p>
            <w:pPr>
              <w:spacing w:line="240" w:lineRule="auto" w:before="0" w:after="0"/>
              <w:pStyle w:val="Compact"/>
            </w:pPr>
            <w:r>
              <w:rPr>
                <w:sz w:val="20"/>
                <w:szCs w:val="20"/>
              </w:rPr>
              <w:t xml:space="preserve">post_license</w:t>
            </w:r>
          </w:p>
        </w:tc>
        <w:tc>
          <w:tcPr>
            <w:tcW w:w="0" w:type="auto"/>
          </w:tcPr>
          <w:p>
            <w:pPr>
              <w:spacing w:line="240" w:lineRule="auto" w:before="0" w:after="0"/>
              <w:pStyle w:val="Compact"/>
            </w:pPr>
            <w:r>
              <w:rPr>
                <w:sz w:val="20"/>
                <w:szCs w:val="20"/>
              </w:rPr>
              <w:t xml:space="preserve">1.0984</w:t>
            </w:r>
          </w:p>
        </w:tc>
        <w:tc>
          <w:tcPr>
            <w:tcW w:w="0" w:type="auto"/>
          </w:tcPr>
          <w:p>
            <w:pPr>
              <w:spacing w:line="240" w:lineRule="auto" w:before="0" w:after="0"/>
              <w:pStyle w:val="Compact"/>
            </w:pPr>
            <w:r>
              <w:rPr>
                <w:sz w:val="20"/>
                <w:szCs w:val="20"/>
              </w:rPr>
              <w:t xml:space="preserve">1.5608</w:t>
            </w:r>
          </w:p>
        </w:tc>
        <w:tc>
          <w:tcPr>
            <w:tcW w:w="0" w:type="auto"/>
          </w:tcPr>
          <w:p>
            <w:pPr>
              <w:spacing w:line="240" w:lineRule="auto" w:before="0" w:after="0"/>
              <w:pStyle w:val="Compact"/>
            </w:pPr>
            <w:r>
              <w:rPr>
                <w:sz w:val="20"/>
                <w:szCs w:val="20"/>
              </w:rPr>
              <w:t xml:space="preserve">0.7037</w:t>
            </w:r>
          </w:p>
        </w:tc>
        <w:tc>
          <w:tcPr>
            <w:tcW w:w="0" w:type="auto"/>
          </w:tcPr>
          <w:p>
            <w:pPr>
              <w:spacing w:line="240" w:lineRule="auto" w:before="0" w:after="0"/>
              <w:pStyle w:val="Compact"/>
            </w:pPr>
            <w:r>
              <w:rPr>
                <w:sz w:val="20"/>
                <w:szCs w:val="20"/>
              </w:rPr>
              <w:t xml:space="preserve">0.4816</w:t>
            </w:r>
          </w:p>
        </w:tc>
        <w:tc>
          <w:tcPr>
            <w:tcW w:w="0" w:type="auto"/>
          </w:tcPr>
          <w:p>
            <w:pPr>
              <w:spacing w:line="240" w:lineRule="auto" w:before="0" w:after="0"/>
              <w:pStyle w:val="Compact"/>
            </w:pPr>
            <w:r>
              <w:rPr>
                <w:sz w:val="20"/>
                <w:szCs w:val="20"/>
              </w:rPr>
              <w:t xml:space="preserve">[-1.9607, 4.1574]</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-3.2068</w:t>
            </w:r>
          </w:p>
        </w:tc>
        <w:tc>
          <w:tcPr>
            <w:tcW w:w="0" w:type="auto"/>
          </w:tcPr>
          <w:p>
            <w:pPr>
              <w:spacing w:line="240" w:lineRule="auto" w:before="0" w:after="0"/>
              <w:pStyle w:val="Compact"/>
            </w:pPr>
            <w:r>
              <w:rPr>
                <w:sz w:val="20"/>
                <w:szCs w:val="20"/>
              </w:rPr>
              <w:t xml:space="preserve">3.2134</w:t>
            </w:r>
          </w:p>
        </w:tc>
        <w:tc>
          <w:tcPr>
            <w:tcW w:w="0" w:type="auto"/>
          </w:tcPr>
          <w:p>
            <w:pPr>
              <w:spacing w:line="240" w:lineRule="auto" w:before="0" w:after="0"/>
              <w:pStyle w:val="Compact"/>
            </w:pPr>
            <w:r>
              <w:rPr>
                <w:sz w:val="20"/>
                <w:szCs w:val="20"/>
              </w:rPr>
              <w:t xml:space="preserve">-0.9979</w:t>
            </w:r>
          </w:p>
        </w:tc>
        <w:tc>
          <w:tcPr>
            <w:tcW w:w="0" w:type="auto"/>
          </w:tcPr>
          <w:p>
            <w:pPr>
              <w:spacing w:line="240" w:lineRule="auto" w:before="0" w:after="0"/>
              <w:pStyle w:val="Compact"/>
            </w:pPr>
            <w:r>
              <w:rPr>
                <w:sz w:val="20"/>
                <w:szCs w:val="20"/>
              </w:rPr>
              <w:t xml:space="preserve">0.3183</w:t>
            </w:r>
          </w:p>
        </w:tc>
        <w:tc>
          <w:tcPr>
            <w:tcW w:w="0" w:type="auto"/>
          </w:tcPr>
          <w:p>
            <w:pPr>
              <w:spacing w:line="240" w:lineRule="auto" w:before="0" w:after="0"/>
              <w:pStyle w:val="Compact"/>
            </w:pPr>
            <w:r>
              <w:rPr>
                <w:sz w:val="20"/>
                <w:szCs w:val="20"/>
              </w:rPr>
              <w:t xml:space="preserve">[-9.5049, 3.0914]</w:t>
            </w:r>
          </w:p>
        </w:tc>
      </w:tr>
      <w:tr>
        <w:tc>
          <w:tcPr>
            <w:tcW w:w="0" w:type="auto"/>
          </w:tcPr>
          <w:p>
            <w:pPr>
              <w:spacing w:line="240" w:lineRule="auto" w:before="0" w:after="0"/>
              <w:pStyle w:val="Compact"/>
            </w:pPr>
            <w:r>
              <w:rPr>
                <w:sz w:val="20"/>
                <w:szCs w:val="20"/>
              </w:rPr>
              <w:t xml:space="preserve">federal_range</w:t>
            </w:r>
          </w:p>
        </w:tc>
        <w:tc>
          <w:tcPr>
            <w:tcW w:w="0" w:type="auto"/>
          </w:tcPr>
          <w:p>
            <w:pPr>
              <w:spacing w:line="240" w:lineRule="auto" w:before="0" w:after="0"/>
              <w:pStyle w:val="Compact"/>
            </w:pPr>
            <w:r>
              <w:rPr>
                <w:sz w:val="20"/>
                <w:szCs w:val="20"/>
              </w:rPr>
              <w:t xml:space="preserve">8.1186</w:t>
            </w:r>
          </w:p>
        </w:tc>
        <w:tc>
          <w:tcPr>
            <w:tcW w:w="0" w:type="auto"/>
          </w:tcPr>
          <w:p>
            <w:pPr>
              <w:spacing w:line="240" w:lineRule="auto" w:before="0" w:after="0"/>
              <w:pStyle w:val="Compact"/>
            </w:pPr>
            <w:r>
              <w:rPr>
                <w:sz w:val="20"/>
                <w:szCs w:val="20"/>
              </w:rPr>
              <w:t xml:space="preserve">5.3847</w:t>
            </w:r>
          </w:p>
        </w:tc>
        <w:tc>
          <w:tcPr>
            <w:tcW w:w="0" w:type="auto"/>
          </w:tcPr>
          <w:p>
            <w:pPr>
              <w:spacing w:line="240" w:lineRule="auto" w:before="0" w:after="0"/>
              <w:pStyle w:val="Compact"/>
            </w:pPr>
            <w:r>
              <w:rPr>
                <w:sz w:val="20"/>
                <w:szCs w:val="20"/>
              </w:rPr>
              <w:t xml:space="preserve">1.5077</w:t>
            </w:r>
          </w:p>
        </w:tc>
        <w:tc>
          <w:tcPr>
            <w:tcW w:w="0" w:type="auto"/>
          </w:tcPr>
          <w:p>
            <w:pPr>
              <w:spacing w:line="240" w:lineRule="auto" w:before="0" w:after="0"/>
              <w:pStyle w:val="Compact"/>
            </w:pPr>
            <w:r>
              <w:rPr>
                <w:sz w:val="20"/>
                <w:szCs w:val="20"/>
              </w:rPr>
              <w:t xml:space="preserve">0.1316</w:t>
            </w:r>
          </w:p>
        </w:tc>
        <w:tc>
          <w:tcPr>
            <w:tcW w:w="0" w:type="auto"/>
          </w:tcPr>
          <w:p>
            <w:pPr>
              <w:spacing w:line="240" w:lineRule="auto" w:before="0" w:after="0"/>
              <w:pStyle w:val="Compact"/>
            </w:pPr>
            <w:r>
              <w:rPr>
                <w:sz w:val="20"/>
                <w:szCs w:val="20"/>
              </w:rPr>
              <w:t xml:space="preserve">[-2.4351, 18.6723]</w:t>
            </w:r>
          </w:p>
        </w:tc>
      </w:tr>
      <w:tr>
        <w:tc>
          <w:tcPr>
            <w:tcW w:w="0" w:type="auto"/>
          </w:tcPr>
          <w:p>
            <w:pPr>
              <w:spacing w:line="240" w:lineRule="auto" w:before="0" w:after="0"/>
              <w:pStyle w:val="Compact"/>
            </w:pPr>
            <w:r>
              <w:rPr>
                <w:sz w:val="20"/>
                <w:szCs w:val="20"/>
              </w:rPr>
              <w:t xml:space="preserve">national_us_launches</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0.1153</w:t>
            </w:r>
          </w:p>
        </w:tc>
        <w:tc>
          <w:tcPr>
            <w:tcW w:w="0" w:type="auto"/>
          </w:tcPr>
          <w:p>
            <w:pPr>
              <w:spacing w:line="240" w:lineRule="auto" w:before="0" w:after="0"/>
              <w:pStyle w:val="Compact"/>
            </w:pPr>
            <w:r>
              <w:rPr>
                <w:sz w:val="20"/>
                <w:szCs w:val="20"/>
              </w:rPr>
              <w:t xml:space="preserve">1.2143</w:t>
            </w:r>
          </w:p>
        </w:tc>
        <w:tc>
          <w:tcPr>
            <w:tcW w:w="0" w:type="auto"/>
          </w:tcPr>
          <w:p>
            <w:pPr>
              <w:spacing w:line="240" w:lineRule="auto" w:before="0" w:after="0"/>
              <w:pStyle w:val="Compact"/>
            </w:pPr>
            <w:r>
              <w:rPr>
                <w:sz w:val="20"/>
                <w:szCs w:val="20"/>
              </w:rPr>
              <w:t xml:space="preserve">0.2246</w:t>
            </w:r>
          </w:p>
        </w:tc>
        <w:tc>
          <w:tcPr>
            <w:tcW w:w="0" w:type="auto"/>
          </w:tcPr>
          <w:p>
            <w:pPr>
              <w:spacing w:line="240" w:lineRule="auto" w:before="0" w:after="0"/>
              <w:pStyle w:val="Compact"/>
            </w:pPr>
            <w:r>
              <w:rPr>
                <w:sz w:val="20"/>
                <w:szCs w:val="20"/>
              </w:rPr>
              <w:t xml:space="preserve">[-0.086, 0.366]</w:t>
            </w:r>
          </w:p>
        </w:tc>
      </w:tr>
    </w:tbl>
    <w:p>
      <w:pPr>
        <w:pStyle w:val="BodyText"/>
        <w:spacing w:line="480" w:lineRule="auto"/>
        <w:ind w:firstLine="720"/>
      </w:pPr>
      <w:r>
        <w:t xml:space="preserve">Fit: N = 39 R2 = 0.2621 R2_adj = 0.1753 F = 0.979 F_p = 0.4319</w:t>
      </w:r>
    </w:p>
    <w:bookmarkEnd w:id="177"/>
    <w:bookmarkStart w:id="18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Annual FAA-attributed site launches by years since Part 420 site license issuance across 12 spaceport site units observed in selected years from 1996 through 2023, with pre-license observations coded at zero years." title="" id="179" name="Picture"/>
            <a:graphic>
              <a:graphicData uri="http://schemas.openxmlformats.org/drawingml/2006/picture">
                <pic:pic>
                  <pic:nvPicPr>
                    <pic:cNvPr descr="D:/Claude_Code/brain/collegium/candidates/dissertations/LAUNCH_REG_04/research_papers/p1/paper_fig1.png" id="180" name="Picture"/>
                    <pic:cNvPicPr>
                      <a:picLocks noChangeArrowheads="1" noChangeAspect="1"/>
                    </pic:cNvPicPr>
                  </pic:nvPicPr>
                  <pic:blipFill>
                    <a:blip r:embed="rId1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Annual FAA-attributed site launches by years since Part 420 site license issuance across 12 spaceport site units observed in selected years from 1996 through 2023, with pre-license observations coded at zero years.</w:t>
      </w:r>
    </w:p>
    <w:bookmarkEnd w:id="181"/>
    <w:bookmarkStart w:id="18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site_year</w:t>
            </w:r>
          </w:p>
        </w:tc>
        <w:tc>
          <w:tcPr>
            <w:tcW w:w="0" w:type="auto"/>
          </w:tcPr>
          <w:p>
            <w:pPr>
              <w:spacing w:line="240" w:lineRule="auto" w:before="0" w:after="0"/>
              <w:pStyle w:val="Compact"/>
            </w:pPr>
            <w:r>
              <w:rPr>
                <w:sz w:val="20"/>
                <w:szCs w:val="20"/>
              </w:rPr>
              <w:t xml:space="preserve">site_id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post_license</w:t>
            </w:r>
          </w:p>
        </w:tc>
        <w:tc>
          <w:tcPr>
            <w:tcW w:w="0" w:type="auto"/>
          </w:tcPr>
          <w:p>
            <w:pPr>
              <w:spacing w:line="240" w:lineRule="auto" w:before="0" w:after="0"/>
              <w:pStyle w:val="Compact"/>
            </w:pPr>
            <w:r>
              <w:rPr>
                <w:sz w:val="20"/>
                <w:szCs w:val="20"/>
              </w:rPr>
              <w:t xml:space="preserve">years_since_license</w:t>
            </w:r>
          </w:p>
        </w:tc>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federal_range</w:t>
            </w:r>
          </w:p>
        </w:tc>
        <w:tc>
          <w:tcPr>
            <w:tcW w:w="0" w:type="auto"/>
          </w:tcPr>
          <w:p>
            <w:pPr>
              <w:spacing w:line="240" w:lineRule="auto" w:before="0" w:after="0"/>
              <w:pStyle w:val="Compact"/>
            </w:pPr>
            <w:r>
              <w:rPr>
                <w:sz w:val="20"/>
                <w:szCs w:val="20"/>
              </w:rPr>
              <w:t xml:space="preserve">national_us_launches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VLRSI_1998</w:t>
            </w:r>
          </w:p>
        </w:tc>
        <w:tc>
          <w:tcPr>
            <w:tcW w:w="0" w:type="auto"/>
          </w:tcPr>
          <w:p>
            <w:pPr>
              <w:spacing w:line="240" w:lineRule="auto" w:before="0" w:after="0"/>
              <w:pStyle w:val="Compact"/>
            </w:pPr>
            <w:r>
              <w:rPr>
                <w:sz w:val="20"/>
                <w:szCs w:val="20"/>
              </w:rPr>
              <w:t xml:space="preserve">VLRSI</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FAA Office of Commercial Space Transportation Licensed Launch Sites list (California Spaceport Vandenberg LRSI license 1996); FAA Commercial Space Transportation 1998 Year in Review; faa.gov/space/additional_information/launch_sites</w:t>
            </w:r>
          </w:p>
        </w:tc>
      </w:tr>
      <w:tr>
        <w:tc>
          <w:tcPr>
            <w:tcW w:w="0" w:type="auto"/>
          </w:tcPr>
          <w:p>
            <w:pPr>
              <w:spacing w:line="240" w:lineRule="auto" w:before="0" w:after="0"/>
              <w:pStyle w:val="Compact"/>
            </w:pPr>
            <w:r>
              <w:rPr>
                <w:sz w:val="20"/>
                <w:szCs w:val="20"/>
              </w:rPr>
              <w:t xml:space="preserve">VLRSI_2002</w:t>
            </w:r>
          </w:p>
        </w:tc>
        <w:tc>
          <w:tcPr>
            <w:tcW w:w="0" w:type="auto"/>
          </w:tcPr>
          <w:p>
            <w:pPr>
              <w:spacing w:line="240" w:lineRule="auto" w:before="0" w:after="0"/>
              <w:pStyle w:val="Compact"/>
            </w:pPr>
            <w:r>
              <w:rPr>
                <w:sz w:val="20"/>
                <w:szCs w:val="20"/>
              </w:rPr>
              <w:t xml:space="preserve">VLRSI</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Commercial Space Transportation 2002 Year in Review; faa.gov/space/stakeholder_engagement/historical_launch_records</w:t>
            </w:r>
          </w:p>
        </w:tc>
      </w:tr>
      <w:tr>
        <w:tc>
          <w:tcPr>
            <w:tcW w:w="0" w:type="auto"/>
          </w:tcPr>
          <w:p>
            <w:pPr>
              <w:spacing w:line="240" w:lineRule="auto" w:before="0" w:after="0"/>
              <w:pStyle w:val="Compact"/>
            </w:pPr>
            <w:r>
              <w:rPr>
                <w:sz w:val="20"/>
                <w:szCs w:val="20"/>
              </w:rPr>
              <w:t xml:space="preserve">VLRSI_2006</w:t>
            </w:r>
          </w:p>
        </w:tc>
        <w:tc>
          <w:tcPr>
            <w:tcW w:w="0" w:type="auto"/>
          </w:tcPr>
          <w:p>
            <w:pPr>
              <w:spacing w:line="240" w:lineRule="auto" w:before="0" w:after="0"/>
              <w:pStyle w:val="Compact"/>
            </w:pPr>
            <w:r>
              <w:rPr>
                <w:sz w:val="20"/>
                <w:szCs w:val="20"/>
              </w:rPr>
              <w:t xml:space="preserve">VLRSI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Commercial Space Transportation 2006 Year in Review; faa.gov/space/stakeholder_engagement/historical_launch_records</w:t>
            </w:r>
          </w:p>
        </w:tc>
      </w:tr>
      <w:tr>
        <w:tc>
          <w:tcPr>
            <w:tcW w:w="0" w:type="auto"/>
          </w:tcPr>
          <w:p>
            <w:pPr>
              <w:spacing w:line="240" w:lineRule="auto" w:before="0" w:after="0"/>
              <w:pStyle w:val="Compact"/>
            </w:pPr>
            <w:r>
              <w:rPr>
                <w:sz w:val="20"/>
                <w:szCs w:val="20"/>
              </w:rPr>
              <w:t xml:space="preserve">VLRSI_2018</w:t>
            </w:r>
          </w:p>
        </w:tc>
        <w:tc>
          <w:tcPr>
            <w:tcW w:w="0" w:type="auto"/>
          </w:tcPr>
          <w:p>
            <w:pPr>
              <w:spacing w:line="240" w:lineRule="auto" w:before="0" w:after="0"/>
              <w:pStyle w:val="Compact"/>
            </w:pPr>
            <w:r>
              <w:rPr>
                <w:sz w:val="20"/>
                <w:szCs w:val="20"/>
              </w:rPr>
              <w:t xml:space="preserve">VLRSI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Commercial Space Transportation 2018 Annual Compendium; faa.gov/space/stakeholder_engagement/historical_launch_records</w:t>
            </w:r>
          </w:p>
        </w:tc>
      </w:tr>
      <w:tr>
        <w:tc>
          <w:tcPr>
            <w:tcW w:w="0" w:type="auto"/>
          </w:tcPr>
          <w:p>
            <w:pPr>
              <w:spacing w:line="240" w:lineRule="auto" w:before="0" w:after="0"/>
              <w:pStyle w:val="Compact"/>
            </w:pPr>
            <w:r>
              <w:rPr>
                <w:sz w:val="20"/>
                <w:szCs w:val="20"/>
              </w:rPr>
              <w:t xml:space="preserve">CCSFL_2000</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FAA OCST Licensed Launch Sites list (Cape Canaveral Spaceport/Space Florida license 2010); faa.gov/space/additional_information/launch_sites</w:t>
            </w:r>
          </w:p>
        </w:tc>
      </w:tr>
      <w:tr>
        <w:tc>
          <w:tcPr>
            <w:tcW w:w="0" w:type="auto"/>
          </w:tcPr>
          <w:p>
            <w:pPr>
              <w:spacing w:line="240" w:lineRule="auto" w:before="0" w:after="0"/>
              <w:pStyle w:val="Compact"/>
            </w:pPr>
            <w:r>
              <w:rPr>
                <w:sz w:val="20"/>
                <w:szCs w:val="20"/>
              </w:rPr>
              <w:t xml:space="preserve">CCSFL_2012</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Commercial Space Transportation 2012 Year in Review; faa.gov/space/stakeholder_engagement/historical_launch_records</w:t>
            </w:r>
          </w:p>
        </w:tc>
      </w:tr>
      <w:tr>
        <w:tc>
          <w:tcPr>
            <w:tcW w:w="0" w:type="auto"/>
          </w:tcPr>
          <w:p>
            <w:pPr>
              <w:spacing w:line="240" w:lineRule="auto" w:before="0" w:after="0"/>
              <w:pStyle w:val="Compact"/>
            </w:pPr>
            <w:r>
              <w:rPr>
                <w:sz w:val="20"/>
                <w:szCs w:val="20"/>
              </w:rPr>
              <w:t xml:space="preserve">CCSFL_2016</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Commercial Space Transportation 2016 Annual Compendium; faa.gov/space/stakeholder_engagement/historical_launch_records</w:t>
            </w:r>
          </w:p>
        </w:tc>
      </w:tr>
      <w:tr>
        <w:tc>
          <w:tcPr>
            <w:tcW w:w="0" w:type="auto"/>
          </w:tcPr>
          <w:p>
            <w:pPr>
              <w:spacing w:line="240" w:lineRule="auto" w:before="0" w:after="0"/>
              <w:pStyle w:val="Compact"/>
            </w:pPr>
            <w:r>
              <w:rPr>
                <w:sz w:val="20"/>
                <w:szCs w:val="20"/>
              </w:rPr>
              <w:t xml:space="preserve">CCSFL_2020</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Commercial Space Transportation 2020 Annual Compendium; faa.gov/space/stakeholder_engagement/historical_launch_records</w:t>
            </w:r>
          </w:p>
        </w:tc>
      </w:tr>
      <w:tr>
        <w:tc>
          <w:tcPr>
            <w:tcW w:w="0" w:type="auto"/>
          </w:tcPr>
          <w:p>
            <w:pPr>
              <w:spacing w:line="240" w:lineRule="auto" w:before="0" w:after="0"/>
              <w:pStyle w:val="Compact"/>
            </w:pPr>
            <w:r>
              <w:rPr>
                <w:sz w:val="20"/>
                <w:szCs w:val="20"/>
              </w:rPr>
              <w:t xml:space="preserve">CCSFL_2023</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FAA Commercial Space Transportation 2023 Annual Compendium; faa.gov/space/stakeholder_engagement/historical_launch_records</w:t>
            </w:r>
          </w:p>
        </w:tc>
      </w:tr>
      <w:tr>
        <w:tc>
          <w:tcPr>
            <w:tcW w:w="0" w:type="auto"/>
          </w:tcPr>
          <w:p>
            <w:pPr>
              <w:spacing w:line="240" w:lineRule="auto" w:before="0" w:after="0"/>
              <w:pStyle w:val="Compact"/>
            </w:pPr>
            <w:r>
              <w:rPr>
                <w:sz w:val="20"/>
                <w:szCs w:val="20"/>
              </w:rPr>
              <w:t xml:space="preserve">MOJAV_2002</w:t>
            </w:r>
          </w:p>
        </w:tc>
        <w:tc>
          <w:tcPr>
            <w:tcW w:w="0" w:type="auto"/>
          </w:tcPr>
          <w:p>
            <w:pPr>
              <w:spacing w:line="240" w:lineRule="auto" w:before="0" w:after="0"/>
              <w:pStyle w:val="Compact"/>
            </w:pPr>
            <w:r>
              <w:rPr>
                <w:sz w:val="20"/>
                <w:szCs w:val="20"/>
              </w:rPr>
              <w:t xml:space="preserve">MOJAV</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OCST Licensed Launch Sites list (Mojave Air and Space Port license 2004); faa.gov/space/additional_information/launch_sites</w:t>
            </w:r>
          </w:p>
        </w:tc>
      </w:tr>
      <w:tr>
        <w:tc>
          <w:tcPr>
            <w:tcW w:w="0" w:type="auto"/>
          </w:tcPr>
          <w:p>
            <w:pPr>
              <w:spacing w:line="240" w:lineRule="auto" w:before="0" w:after="0"/>
              <w:pStyle w:val="Compact"/>
            </w:pPr>
            <w:r>
              <w:rPr>
                <w:sz w:val="20"/>
                <w:szCs w:val="20"/>
              </w:rPr>
              <w:t xml:space="preserve">MOJAV_2006</w:t>
            </w:r>
          </w:p>
        </w:tc>
        <w:tc>
          <w:tcPr>
            <w:tcW w:w="0" w:type="auto"/>
          </w:tcPr>
          <w:p>
            <w:pPr>
              <w:spacing w:line="240" w:lineRule="auto" w:before="0" w:after="0"/>
              <w:pStyle w:val="Compact"/>
            </w:pPr>
            <w:r>
              <w:rPr>
                <w:sz w:val="20"/>
                <w:szCs w:val="20"/>
              </w:rPr>
              <w:t xml:space="preserve">MOJAV</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Commercial Space Transportation 2006 Year in Review; faa.gov/space/stakeholder_engagement/historical_launch_records</w:t>
            </w:r>
          </w:p>
        </w:tc>
      </w:tr>
      <w:tr>
        <w:tc>
          <w:tcPr>
            <w:tcW w:w="0" w:type="auto"/>
          </w:tcPr>
          <w:p>
            <w:pPr>
              <w:spacing w:line="240" w:lineRule="auto" w:before="0" w:after="0"/>
              <w:pStyle w:val="Compact"/>
            </w:pPr>
            <w:r>
              <w:rPr>
                <w:sz w:val="20"/>
                <w:szCs w:val="20"/>
              </w:rPr>
              <w:t xml:space="preserve">MOJAV_2014</w:t>
            </w:r>
          </w:p>
        </w:tc>
        <w:tc>
          <w:tcPr>
            <w:tcW w:w="0" w:type="auto"/>
          </w:tcPr>
          <w:p>
            <w:pPr>
              <w:spacing w:line="240" w:lineRule="auto" w:before="0" w:after="0"/>
              <w:pStyle w:val="Compact"/>
            </w:pPr>
            <w:r>
              <w:rPr>
                <w:sz w:val="20"/>
                <w:szCs w:val="20"/>
              </w:rPr>
              <w:t xml:space="preserve">MOJAV</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Commercial Space Transportation 2014 Annual Compendium; faa.gov/space/stakeholder_engagement/historical_launch_records</w:t>
            </w:r>
          </w:p>
        </w:tc>
      </w:tr>
      <w:tr>
        <w:tc>
          <w:tcPr>
            <w:tcW w:w="0" w:type="auto"/>
          </w:tcPr>
          <w:p>
            <w:pPr>
              <w:spacing w:line="240" w:lineRule="auto" w:before="0" w:after="0"/>
              <w:pStyle w:val="Compact"/>
            </w:pPr>
            <w:r>
              <w:rPr>
                <w:sz w:val="20"/>
                <w:szCs w:val="20"/>
              </w:rPr>
              <w:t xml:space="preserve">MOJAV_2020</w:t>
            </w:r>
          </w:p>
        </w:tc>
        <w:tc>
          <w:tcPr>
            <w:tcW w:w="0" w:type="auto"/>
          </w:tcPr>
          <w:p>
            <w:pPr>
              <w:spacing w:line="240" w:lineRule="auto" w:before="0" w:after="0"/>
              <w:pStyle w:val="Compact"/>
            </w:pPr>
            <w:r>
              <w:rPr>
                <w:sz w:val="20"/>
                <w:szCs w:val="20"/>
              </w:rPr>
              <w:t xml:space="preserve">MOJAV</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Commercial Space Transportation 2020 Annual Compendium; faa.gov/space/stakeholder_engagement/historical_launch_records</w:t>
            </w:r>
          </w:p>
        </w:tc>
      </w:tr>
      <w:tr>
        <w:tc>
          <w:tcPr>
            <w:tcW w:w="0" w:type="auto"/>
          </w:tcPr>
          <w:p>
            <w:pPr>
              <w:spacing w:line="240" w:lineRule="auto" w:before="0" w:after="0"/>
              <w:pStyle w:val="Compact"/>
            </w:pPr>
            <w:r>
              <w:rPr>
                <w:sz w:val="20"/>
                <w:szCs w:val="20"/>
              </w:rPr>
              <w:t xml:space="preserve">MARS_2003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FAA OCST Licensed Launch Sites list (Mid-Atlantic Regional Spaceport license 2007); faa.gov/space/additional_information/launch_sites</w:t>
            </w:r>
          </w:p>
        </w:tc>
      </w:tr>
      <w:tr>
        <w:tc>
          <w:tcPr>
            <w:tcW w:w="0" w:type="auto"/>
          </w:tcPr>
          <w:p>
            <w:pPr>
              <w:spacing w:line="240" w:lineRule="auto" w:before="0" w:after="0"/>
              <w:pStyle w:val="Compact"/>
            </w:pPr>
            <w:r>
              <w:rPr>
                <w:sz w:val="20"/>
                <w:szCs w:val="20"/>
              </w:rPr>
              <w:t xml:space="preserve">MARS_2008</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Commercial Space Transportation 2008 Year in Review; faa.gov/space/stakeholder_engagement/historical_launch_records</w:t>
            </w:r>
          </w:p>
        </w:tc>
      </w:tr>
      <w:tr>
        <w:tc>
          <w:tcPr>
            <w:tcW w:w="0" w:type="auto"/>
          </w:tcPr>
          <w:p>
            <w:pPr>
              <w:spacing w:line="240" w:lineRule="auto" w:before="0" w:after="0"/>
              <w:pStyle w:val="Compact"/>
            </w:pPr>
            <w:r>
              <w:rPr>
                <w:sz w:val="20"/>
                <w:szCs w:val="20"/>
              </w:rPr>
              <w:t xml:space="preserve">MARS_2013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FAA Commercial Space Transportation 2013 Annual Compendium; faa.gov/space/stakeholder_engagement/historical_launch_records</w:t>
            </w:r>
          </w:p>
        </w:tc>
      </w:tr>
      <w:tr>
        <w:tc>
          <w:tcPr>
            <w:tcW w:w="0" w:type="auto"/>
          </w:tcPr>
          <w:p>
            <w:pPr>
              <w:spacing w:line="240" w:lineRule="auto" w:before="0" w:after="0"/>
              <w:pStyle w:val="Compact"/>
            </w:pPr>
            <w:r>
              <w:rPr>
                <w:sz w:val="20"/>
                <w:szCs w:val="20"/>
              </w:rPr>
              <w:t xml:space="preserve">MARS_2018</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Commercial Space Transportation 2018 Annual Compendium; faa.gov/space/stakeholder_engagement/historical_launch_records</w:t>
            </w:r>
          </w:p>
        </w:tc>
      </w:tr>
      <w:tr>
        <w:tc>
          <w:tcPr>
            <w:tcW w:w="0" w:type="auto"/>
          </w:tcPr>
          <w:p>
            <w:pPr>
              <w:spacing w:line="240" w:lineRule="auto" w:before="0" w:after="0"/>
              <w:pStyle w:val="Compact"/>
            </w:pPr>
            <w:r>
              <w:rPr>
                <w:sz w:val="20"/>
                <w:szCs w:val="20"/>
              </w:rPr>
              <w:t xml:space="preserve">MARS_2023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FAA Commercial Space Transportation 2023 Annual Compendium; faa.gov/space/stakeholder_engagement/historical_launch_records</w:t>
            </w:r>
          </w:p>
        </w:tc>
      </w:tr>
      <w:tr>
        <w:tc>
          <w:tcPr>
            <w:tcW w:w="0" w:type="auto"/>
          </w:tcPr>
          <w:p>
            <w:pPr>
              <w:spacing w:line="240" w:lineRule="auto" w:before="0" w:after="0"/>
              <w:pStyle w:val="Compact"/>
            </w:pPr>
            <w:r>
              <w:rPr>
                <w:sz w:val="20"/>
                <w:szCs w:val="20"/>
              </w:rPr>
              <w:t xml:space="preserve">PSCA_1996</w:t>
            </w:r>
          </w:p>
        </w:tc>
        <w:tc>
          <w:tcPr>
            <w:tcW w:w="0" w:type="auto"/>
          </w:tcPr>
          <w:p>
            <w:pPr>
              <w:spacing w:line="240" w:lineRule="auto" w:before="0" w:after="0"/>
              <w:pStyle w:val="Compact"/>
            </w:pPr>
            <w:r>
              <w:rPr>
                <w:sz w:val="20"/>
                <w:szCs w:val="20"/>
              </w:rPr>
              <w:t xml:space="preserve">PSCA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OCST Licensed Launch Sites list (Pacific Spaceport Complex Alaska/Kodiak license 1998); faa.gov/space/additional_information/launch_sites</w:t>
            </w:r>
          </w:p>
        </w:tc>
      </w:tr>
      <w:tr>
        <w:tc>
          <w:tcPr>
            <w:tcW w:w="0" w:type="auto"/>
          </w:tcPr>
          <w:p>
            <w:pPr>
              <w:spacing w:line="240" w:lineRule="auto" w:before="0" w:after="0"/>
              <w:pStyle w:val="Compact"/>
            </w:pPr>
            <w:r>
              <w:rPr>
                <w:sz w:val="20"/>
                <w:szCs w:val="20"/>
              </w:rPr>
              <w:t xml:space="preserve">PSCA_2001</w:t>
            </w:r>
          </w:p>
        </w:tc>
        <w:tc>
          <w:tcPr>
            <w:tcW w:w="0" w:type="auto"/>
          </w:tcPr>
          <w:p>
            <w:pPr>
              <w:spacing w:line="240" w:lineRule="auto" w:before="0" w:after="0"/>
              <w:pStyle w:val="Compact"/>
            </w:pPr>
            <w:r>
              <w:rPr>
                <w:sz w:val="20"/>
                <w:szCs w:val="20"/>
              </w:rPr>
              <w:t xml:space="preserve">PSCA</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FAA Commercial Space Transportation 2001 Year in Review; faa.gov/space/stakeholder_engagement/historical_launch_records</w:t>
            </w:r>
          </w:p>
        </w:tc>
      </w:tr>
      <w:tr>
        <w:tc>
          <w:tcPr>
            <w:tcW w:w="0" w:type="auto"/>
          </w:tcPr>
          <w:p>
            <w:pPr>
              <w:spacing w:line="240" w:lineRule="auto" w:before="0" w:after="0"/>
              <w:pStyle w:val="Compact"/>
            </w:pPr>
            <w:r>
              <w:rPr>
                <w:sz w:val="20"/>
                <w:szCs w:val="20"/>
              </w:rPr>
              <w:t xml:space="preserve">PSCA_2010</w:t>
            </w:r>
          </w:p>
        </w:tc>
        <w:tc>
          <w:tcPr>
            <w:tcW w:w="0" w:type="auto"/>
          </w:tcPr>
          <w:p>
            <w:pPr>
              <w:spacing w:line="240" w:lineRule="auto" w:before="0" w:after="0"/>
              <w:pStyle w:val="Compact"/>
            </w:pPr>
            <w:r>
              <w:rPr>
                <w:sz w:val="20"/>
                <w:szCs w:val="20"/>
              </w:rPr>
              <w:t xml:space="preserve">PSCA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Commercial Space Transportation 2010 Year in Review; faa.gov/space/stakeholder_engagement/historical_launch_records</w:t>
            </w:r>
          </w:p>
        </w:tc>
      </w:tr>
      <w:tr>
        <w:tc>
          <w:tcPr>
            <w:tcW w:w="0" w:type="auto"/>
          </w:tcPr>
          <w:p>
            <w:pPr>
              <w:spacing w:line="240" w:lineRule="auto" w:before="0" w:after="0"/>
              <w:pStyle w:val="Compact"/>
            </w:pPr>
            <w:r>
              <w:rPr>
                <w:sz w:val="20"/>
                <w:szCs w:val="20"/>
              </w:rPr>
              <w:t xml:space="preserve">PSCA_2018</w:t>
            </w:r>
          </w:p>
        </w:tc>
        <w:tc>
          <w:tcPr>
            <w:tcW w:w="0" w:type="auto"/>
          </w:tcPr>
          <w:p>
            <w:pPr>
              <w:spacing w:line="240" w:lineRule="auto" w:before="0" w:after="0"/>
              <w:pStyle w:val="Compact"/>
            </w:pPr>
            <w:r>
              <w:rPr>
                <w:sz w:val="20"/>
                <w:szCs w:val="20"/>
              </w:rPr>
              <w:t xml:space="preserve">PSCA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Commercial Space Transportation 2018 Annual Compendium; faa.gov/space/stakeholder_engagement/historical_launch_records</w:t>
            </w:r>
          </w:p>
        </w:tc>
      </w:tr>
      <w:tr>
        <w:tc>
          <w:tcPr>
            <w:tcW w:w="0" w:type="auto"/>
          </w:tcPr>
          <w:p>
            <w:pPr>
              <w:spacing w:line="240" w:lineRule="auto" w:before="0" w:after="0"/>
              <w:pStyle w:val="Compact"/>
            </w:pPr>
            <w:r>
              <w:rPr>
                <w:sz w:val="20"/>
                <w:szCs w:val="20"/>
              </w:rPr>
              <w:t xml:space="preserve">SPAM_2007</w:t>
            </w:r>
          </w:p>
        </w:tc>
        <w:tc>
          <w:tcPr>
            <w:tcW w:w="0" w:type="auto"/>
          </w:tcPr>
          <w:p>
            <w:pPr>
              <w:spacing w:line="240" w:lineRule="auto" w:before="0" w:after="0"/>
              <w:pStyle w:val="Compact"/>
            </w:pPr>
            <w:r>
              <w:rPr>
                <w:sz w:val="20"/>
                <w:szCs w:val="20"/>
              </w:rPr>
              <w:t xml:space="preserve">SPAM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FAA OCST Licensed Launch Sites list (Spaceport America license 2008); faa.gov/space/additional_information/launch_sites</w:t>
            </w:r>
          </w:p>
        </w:tc>
      </w:tr>
      <w:tr>
        <w:tc>
          <w:tcPr>
            <w:tcW w:w="0" w:type="auto"/>
          </w:tcPr>
          <w:p>
            <w:pPr>
              <w:spacing w:line="240" w:lineRule="auto" w:before="0" w:after="0"/>
              <w:pStyle w:val="Compact"/>
            </w:pPr>
            <w:r>
              <w:rPr>
                <w:sz w:val="20"/>
                <w:szCs w:val="20"/>
              </w:rPr>
              <w:t xml:space="preserve">SPAM_2012</w:t>
            </w:r>
          </w:p>
        </w:tc>
        <w:tc>
          <w:tcPr>
            <w:tcW w:w="0" w:type="auto"/>
          </w:tcPr>
          <w:p>
            <w:pPr>
              <w:spacing w:line="240" w:lineRule="auto" w:before="0" w:after="0"/>
              <w:pStyle w:val="Compact"/>
            </w:pPr>
            <w:r>
              <w:rPr>
                <w:sz w:val="20"/>
                <w:szCs w:val="20"/>
              </w:rPr>
              <w:t xml:space="preserve">SPAM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Commercial Space Transportation 2012 Year in Review (UP Aerospace suborbital from Spaceport America); faa.gov/space/stakeholder_engagement/historical_launch_records</w:t>
            </w:r>
          </w:p>
        </w:tc>
      </w:tr>
      <w:tr>
        <w:tc>
          <w:tcPr>
            <w:tcW w:w="0" w:type="auto"/>
          </w:tcPr>
          <w:p>
            <w:pPr>
              <w:spacing w:line="240" w:lineRule="auto" w:before="0" w:after="0"/>
              <w:pStyle w:val="Compact"/>
            </w:pPr>
            <w:r>
              <w:rPr>
                <w:sz w:val="20"/>
                <w:szCs w:val="20"/>
              </w:rPr>
              <w:t xml:space="preserve">SPAM_2018</w:t>
            </w:r>
          </w:p>
        </w:tc>
        <w:tc>
          <w:tcPr>
            <w:tcW w:w="0" w:type="auto"/>
          </w:tcPr>
          <w:p>
            <w:pPr>
              <w:spacing w:line="240" w:lineRule="auto" w:before="0" w:after="0"/>
              <w:pStyle w:val="Compact"/>
            </w:pPr>
            <w:r>
              <w:rPr>
                <w:sz w:val="20"/>
                <w:szCs w:val="20"/>
              </w:rPr>
              <w:t xml:space="preserve">SPAM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Commercial Space Transportation 2018 Annual Compendium; faa.gov/space/stakeholder_engagement/historical_launch_records</w:t>
            </w:r>
          </w:p>
        </w:tc>
      </w:tr>
      <w:tr>
        <w:tc>
          <w:tcPr>
            <w:tcW w:w="0" w:type="auto"/>
          </w:tcPr>
          <w:p>
            <w:pPr>
              <w:spacing w:line="240" w:lineRule="auto" w:before="0" w:after="0"/>
              <w:pStyle w:val="Compact"/>
            </w:pPr>
            <w:r>
              <w:rPr>
                <w:sz w:val="20"/>
                <w:szCs w:val="20"/>
              </w:rPr>
              <w:t xml:space="preserve">SPAM_2022</w:t>
            </w:r>
          </w:p>
        </w:tc>
        <w:tc>
          <w:tcPr>
            <w:tcW w:w="0" w:type="auto"/>
          </w:tcPr>
          <w:p>
            <w:pPr>
              <w:spacing w:line="240" w:lineRule="auto" w:before="0" w:after="0"/>
              <w:pStyle w:val="Compact"/>
            </w:pPr>
            <w:r>
              <w:rPr>
                <w:sz w:val="20"/>
                <w:szCs w:val="20"/>
              </w:rPr>
              <w:t xml:space="preserve">SPAM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FAA Commercial Space Transportation 2022 Annual Compendium (Virgin Galactic VSS Unity suborbital); faa.gov/space/stakeholder_engagement/historical_launch_records</w:t>
            </w:r>
          </w:p>
        </w:tc>
      </w:tr>
      <w:tr>
        <w:tc>
          <w:tcPr>
            <w:tcW w:w="0" w:type="auto"/>
          </w:tcPr>
          <w:p>
            <w:pPr>
              <w:spacing w:line="240" w:lineRule="auto" w:before="0" w:after="0"/>
              <w:pStyle w:val="Compact"/>
            </w:pPr>
            <w:r>
              <w:rPr>
                <w:sz w:val="20"/>
                <w:szCs w:val="20"/>
              </w:rPr>
              <w:t xml:space="preserve">CECIL_2008</w:t>
            </w:r>
          </w:p>
        </w:tc>
        <w:tc>
          <w:tcPr>
            <w:tcW w:w="0" w:type="auto"/>
          </w:tcPr>
          <w:p>
            <w:pPr>
              <w:spacing w:line="240" w:lineRule="auto" w:before="0" w:after="0"/>
              <w:pStyle w:val="Compact"/>
            </w:pPr>
            <w:r>
              <w:rPr>
                <w:sz w:val="20"/>
                <w:szCs w:val="20"/>
              </w:rPr>
              <w:t xml:space="preserve">CECIL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OCST Licensed Launch Sites list (Cecil Spaceport license 2010); faa.gov/space/additional_information/launch_sites</w:t>
            </w:r>
          </w:p>
        </w:tc>
      </w:tr>
      <w:tr>
        <w:tc>
          <w:tcPr>
            <w:tcW w:w="0" w:type="auto"/>
          </w:tcPr>
          <w:p>
            <w:pPr>
              <w:spacing w:line="240" w:lineRule="auto" w:before="0" w:after="0"/>
              <w:pStyle w:val="Compact"/>
            </w:pPr>
            <w:r>
              <w:rPr>
                <w:sz w:val="20"/>
                <w:szCs w:val="20"/>
              </w:rPr>
              <w:t xml:space="preserve">CECIL_2015</w:t>
            </w:r>
          </w:p>
        </w:tc>
        <w:tc>
          <w:tcPr>
            <w:tcW w:w="0" w:type="auto"/>
          </w:tcPr>
          <w:p>
            <w:pPr>
              <w:spacing w:line="240" w:lineRule="auto" w:before="0" w:after="0"/>
              <w:pStyle w:val="Compact"/>
            </w:pPr>
            <w:r>
              <w:rPr>
                <w:sz w:val="20"/>
                <w:szCs w:val="20"/>
              </w:rPr>
              <w:t xml:space="preserve">CECIL</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FAA Commercial Space Transportation 2015 Annual Compendium; faa.gov/space/stakeholder_engagement/historical_launch_records</w:t>
            </w:r>
          </w:p>
        </w:tc>
      </w:tr>
      <w:tr>
        <w:tc>
          <w:tcPr>
            <w:tcW w:w="0" w:type="auto"/>
          </w:tcPr>
          <w:p>
            <w:pPr>
              <w:spacing w:line="240" w:lineRule="auto" w:before="0" w:after="0"/>
              <w:pStyle w:val="Compact"/>
            </w:pPr>
            <w:r>
              <w:rPr>
                <w:sz w:val="20"/>
                <w:szCs w:val="20"/>
              </w:rPr>
              <w:t xml:space="preserve">CECIL_2022</w:t>
            </w:r>
          </w:p>
        </w:tc>
        <w:tc>
          <w:tcPr>
            <w:tcW w:w="0" w:type="auto"/>
          </w:tcPr>
          <w:p>
            <w:pPr>
              <w:spacing w:line="240" w:lineRule="auto" w:before="0" w:after="0"/>
              <w:pStyle w:val="Compact"/>
            </w:pPr>
            <w:r>
              <w:rPr>
                <w:sz w:val="20"/>
                <w:szCs w:val="20"/>
              </w:rPr>
              <w:t xml:space="preserve">CECIL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FAA Commercial Space Transportation 2022 Annual Compendium; faa.gov/space/stakeholder_engagement/historical_launch_records</w:t>
            </w:r>
          </w:p>
        </w:tc>
      </w:tr>
      <w:tr>
        <w:tc>
          <w:tcPr>
            <w:tcW w:w="0" w:type="auto"/>
          </w:tcPr>
          <w:p>
            <w:pPr>
              <w:spacing w:line="240" w:lineRule="auto" w:before="0" w:after="0"/>
              <w:pStyle w:val="Compact"/>
            </w:pPr>
            <w:r>
              <w:rPr>
                <w:sz w:val="20"/>
                <w:szCs w:val="20"/>
              </w:rPr>
              <w:t xml:space="preserve">HOUST_2014</w:t>
            </w:r>
          </w:p>
        </w:tc>
        <w:tc>
          <w:tcPr>
            <w:tcW w:w="0" w:type="auto"/>
          </w:tcPr>
          <w:p>
            <w:pPr>
              <w:spacing w:line="240" w:lineRule="auto" w:before="0" w:after="0"/>
              <w:pStyle w:val="Compact"/>
            </w:pPr>
            <w:r>
              <w:rPr>
                <w:sz w:val="20"/>
                <w:szCs w:val="20"/>
              </w:rPr>
              <w:t xml:space="preserve">HOUST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OCST Licensed Launch Sites list (Houston Spaceport license 2015); faa.gov/space/additional_information/launch_sites</w:t>
            </w:r>
          </w:p>
        </w:tc>
      </w:tr>
      <w:tr>
        <w:tc>
          <w:tcPr>
            <w:tcW w:w="0" w:type="auto"/>
          </w:tcPr>
          <w:p>
            <w:pPr>
              <w:spacing w:line="240" w:lineRule="auto" w:before="0" w:after="0"/>
              <w:pStyle w:val="Compact"/>
            </w:pPr>
            <w:r>
              <w:rPr>
                <w:sz w:val="20"/>
                <w:szCs w:val="20"/>
              </w:rPr>
              <w:t xml:space="preserve">HOUST_2020</w:t>
            </w:r>
          </w:p>
        </w:tc>
        <w:tc>
          <w:tcPr>
            <w:tcW w:w="0" w:type="auto"/>
          </w:tcPr>
          <w:p>
            <w:pPr>
              <w:spacing w:line="240" w:lineRule="auto" w:before="0" w:after="0"/>
              <w:pStyle w:val="Compact"/>
            </w:pPr>
            <w:r>
              <w:rPr>
                <w:sz w:val="20"/>
                <w:szCs w:val="20"/>
              </w:rPr>
              <w:t xml:space="preserve">HOUST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Commercial Space Transportation 2020 Annual Compendium; faa.gov/space/stakeholder_engagement/historical_launch_records</w:t>
            </w:r>
          </w:p>
        </w:tc>
      </w:tr>
      <w:tr>
        <w:tc>
          <w:tcPr>
            <w:tcW w:w="0" w:type="auto"/>
          </w:tcPr>
          <w:p>
            <w:pPr>
              <w:spacing w:line="240" w:lineRule="auto" w:before="0" w:after="0"/>
              <w:pStyle w:val="Compact"/>
            </w:pPr>
            <w:r>
              <w:rPr>
                <w:sz w:val="20"/>
                <w:szCs w:val="20"/>
              </w:rPr>
              <w:t xml:space="preserve">HOUST_2023</w:t>
            </w:r>
          </w:p>
        </w:tc>
        <w:tc>
          <w:tcPr>
            <w:tcW w:w="0" w:type="auto"/>
          </w:tcPr>
          <w:p>
            <w:pPr>
              <w:spacing w:line="240" w:lineRule="auto" w:before="0" w:after="0"/>
              <w:pStyle w:val="Compact"/>
            </w:pPr>
            <w:r>
              <w:rPr>
                <w:sz w:val="20"/>
                <w:szCs w:val="20"/>
              </w:rPr>
              <w:t xml:space="preserve">HOUST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FAA Commercial Space Transportation 2023 Annual Compendium; faa.gov/space/stakeholder_engagement/historical_launch_records</w:t>
            </w:r>
          </w:p>
        </w:tc>
      </w:tr>
      <w:tr>
        <w:tc>
          <w:tcPr>
            <w:tcW w:w="0" w:type="auto"/>
          </w:tcPr>
          <w:p>
            <w:pPr>
              <w:spacing w:line="240" w:lineRule="auto" w:before="0" w:after="0"/>
              <w:pStyle w:val="Compact"/>
            </w:pPr>
            <w:r>
              <w:rPr>
                <w:sz w:val="20"/>
                <w:szCs w:val="20"/>
              </w:rPr>
              <w:t xml:space="preserve">OKLAH_2003</w:t>
            </w:r>
          </w:p>
        </w:tc>
        <w:tc>
          <w:tcPr>
            <w:tcW w:w="0" w:type="auto"/>
          </w:tcPr>
          <w:p>
            <w:pPr>
              <w:spacing w:line="240" w:lineRule="auto" w:before="0" w:after="0"/>
              <w:pStyle w:val="Compact"/>
            </w:pPr>
            <w:r>
              <w:rPr>
                <w:sz w:val="20"/>
                <w:szCs w:val="20"/>
              </w:rPr>
              <w:t xml:space="preserve">OKLAH</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FAA OCST Licensed Launch Sites list (Oklahoma Spaceport license 2006); faa.gov/space/additional_information/launch_sites</w:t>
            </w:r>
          </w:p>
        </w:tc>
      </w:tr>
      <w:tr>
        <w:tc>
          <w:tcPr>
            <w:tcW w:w="0" w:type="auto"/>
          </w:tcPr>
          <w:p>
            <w:pPr>
              <w:spacing w:line="240" w:lineRule="auto" w:before="0" w:after="0"/>
              <w:pStyle w:val="Compact"/>
            </w:pPr>
            <w:r>
              <w:rPr>
                <w:sz w:val="20"/>
                <w:szCs w:val="20"/>
              </w:rPr>
              <w:t xml:space="preserve">OKLAH_2010</w:t>
            </w:r>
          </w:p>
        </w:tc>
        <w:tc>
          <w:tcPr>
            <w:tcW w:w="0" w:type="auto"/>
          </w:tcPr>
          <w:p>
            <w:pPr>
              <w:spacing w:line="240" w:lineRule="auto" w:before="0" w:after="0"/>
              <w:pStyle w:val="Compact"/>
            </w:pPr>
            <w:r>
              <w:rPr>
                <w:sz w:val="20"/>
                <w:szCs w:val="20"/>
              </w:rPr>
              <w:t xml:space="preserve">OKLAH</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Commercial Space Transportation 2010 Year in Review; faa.gov/space/stakeholder_engagement/historical_launch_records</w:t>
            </w:r>
          </w:p>
        </w:tc>
      </w:tr>
      <w:tr>
        <w:tc>
          <w:tcPr>
            <w:tcW w:w="0" w:type="auto"/>
          </w:tcPr>
          <w:p>
            <w:pPr>
              <w:spacing w:line="240" w:lineRule="auto" w:before="0" w:after="0"/>
              <w:pStyle w:val="Compact"/>
            </w:pPr>
            <w:r>
              <w:rPr>
                <w:sz w:val="20"/>
                <w:szCs w:val="20"/>
              </w:rPr>
              <w:t xml:space="preserve">OKLAH_2020</w:t>
            </w:r>
          </w:p>
        </w:tc>
        <w:tc>
          <w:tcPr>
            <w:tcW w:w="0" w:type="auto"/>
          </w:tcPr>
          <w:p>
            <w:pPr>
              <w:spacing w:line="240" w:lineRule="auto" w:before="0" w:after="0"/>
              <w:pStyle w:val="Compact"/>
            </w:pPr>
            <w:r>
              <w:rPr>
                <w:sz w:val="20"/>
                <w:szCs w:val="20"/>
              </w:rPr>
              <w:t xml:space="preserve">OKLAH</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Commercial Space Transportation 2020 Annual Compendium; faa.gov/space/stakeholder_engagement/historical_launch_records</w:t>
            </w:r>
          </w:p>
        </w:tc>
      </w:tr>
      <w:tr>
        <w:tc>
          <w:tcPr>
            <w:tcW w:w="0" w:type="auto"/>
          </w:tcPr>
          <w:p>
            <w:pPr>
              <w:spacing w:line="240" w:lineRule="auto" w:before="0" w:after="0"/>
              <w:pStyle w:val="Compact"/>
            </w:pPr>
            <w:r>
              <w:rPr>
                <w:sz w:val="20"/>
                <w:szCs w:val="20"/>
              </w:rPr>
              <w:t xml:space="preserve">COLOR_2017</w:t>
            </w:r>
          </w:p>
        </w:tc>
        <w:tc>
          <w:tcPr>
            <w:tcW w:w="0" w:type="auto"/>
          </w:tcPr>
          <w:p>
            <w:pPr>
              <w:spacing w:line="240" w:lineRule="auto" w:before="0" w:after="0"/>
              <w:pStyle w:val="Compact"/>
            </w:pPr>
            <w:r>
              <w:rPr>
                <w:sz w:val="20"/>
                <w:szCs w:val="20"/>
              </w:rPr>
              <w:t xml:space="preserve">COLOR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FAA OCST Licensed Launch Sites list (Colorado Air and Space Port license 2018); faa.gov/space/additional_information/launch_sites</w:t>
            </w:r>
          </w:p>
        </w:tc>
      </w:tr>
      <w:tr>
        <w:tc>
          <w:tcPr>
            <w:tcW w:w="0" w:type="auto"/>
          </w:tcPr>
          <w:p>
            <w:pPr>
              <w:spacing w:line="240" w:lineRule="auto" w:before="0" w:after="0"/>
              <w:pStyle w:val="Compact"/>
            </w:pPr>
            <w:r>
              <w:rPr>
                <w:sz w:val="20"/>
                <w:szCs w:val="20"/>
              </w:rPr>
              <w:t xml:space="preserve">COLOR_2022</w:t>
            </w:r>
          </w:p>
        </w:tc>
        <w:tc>
          <w:tcPr>
            <w:tcW w:w="0" w:type="auto"/>
          </w:tcPr>
          <w:p>
            <w:pPr>
              <w:spacing w:line="240" w:lineRule="auto" w:before="0" w:after="0"/>
              <w:pStyle w:val="Compact"/>
            </w:pPr>
            <w:r>
              <w:rPr>
                <w:sz w:val="20"/>
                <w:szCs w:val="20"/>
              </w:rPr>
              <w:t xml:space="preserve">COLOR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FAA Commercial Space Transportation 2022 Annual Compendium; faa.gov/space/stakeholder_engagement/historical_launch_records</w:t>
            </w:r>
          </w:p>
        </w:tc>
      </w:tr>
      <w:tr>
        <w:tc>
          <w:tcPr>
            <w:tcW w:w="0" w:type="auto"/>
          </w:tcPr>
          <w:p>
            <w:pPr>
              <w:spacing w:line="240" w:lineRule="auto" w:before="0" w:after="0"/>
              <w:pStyle w:val="Compact"/>
            </w:pPr>
            <w:r>
              <w:rPr>
                <w:sz w:val="20"/>
                <w:szCs w:val="20"/>
              </w:rPr>
              <w:t xml:space="preserve">CMDEN_2018</w:t>
            </w:r>
          </w:p>
        </w:tc>
        <w:tc>
          <w:tcPr>
            <w:tcW w:w="0" w:type="auto"/>
          </w:tcPr>
          <w:p>
            <w:pPr>
              <w:spacing w:line="240" w:lineRule="auto" w:before="0" w:after="0"/>
              <w:pStyle w:val="Compact"/>
            </w:pPr>
            <w:r>
              <w:rPr>
                <w:sz w:val="20"/>
                <w:szCs w:val="20"/>
              </w:rPr>
              <w:t xml:space="preserve">CMDEN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OCST Licensed Launch Sites list (Spaceport Camden application denied; never-treated control); faa.gov/space/additional_information/launch_sites</w:t>
            </w:r>
          </w:p>
        </w:tc>
      </w:tr>
      <w:tr>
        <w:tc>
          <w:tcPr>
            <w:tcW w:w="0" w:type="auto"/>
          </w:tcPr>
          <w:p>
            <w:pPr>
              <w:spacing w:line="240" w:lineRule="auto" w:before="0" w:after="0"/>
              <w:pStyle w:val="Compact"/>
            </w:pPr>
            <w:r>
              <w:rPr>
                <w:sz w:val="20"/>
                <w:szCs w:val="20"/>
              </w:rPr>
              <w:t xml:space="preserve">CMDEN_2023</w:t>
            </w:r>
          </w:p>
        </w:tc>
        <w:tc>
          <w:tcPr>
            <w:tcW w:w="0" w:type="auto"/>
          </w:tcPr>
          <w:p>
            <w:pPr>
              <w:spacing w:line="240" w:lineRule="auto" w:before="0" w:after="0"/>
              <w:pStyle w:val="Compact"/>
            </w:pPr>
            <w:r>
              <w:rPr>
                <w:sz w:val="20"/>
                <w:szCs w:val="20"/>
              </w:rPr>
              <w:t xml:space="preserve">CMDEN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FAA Commercial Space Transportation 2023 Annual Compendium; faa.gov/space/stakeholder_engagement/historical_launch_records</w:t>
            </w:r>
          </w:p>
        </w:tc>
      </w:tr>
    </w:tbl>
    <w:bookmarkEnd w:id="182"/>
    <w:bookmarkStart w:id="18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Count of FAA-attributed orbital and suborbital launches from site i in calendar year t.</w:t>
            </w:r>
          </w:p>
        </w:tc>
        <w:tc>
          <w:tcPr>
            <w:tcW w:w="0" w:type="auto"/>
          </w:tcPr>
          <w:p>
            <w:pPr>
              <w:spacing w:line="240" w:lineRule="auto" w:before="0" w:after="0"/>
              <w:pStyle w:val="Compact"/>
            </w:pPr>
            <w:r>
              <w:rPr>
                <w:sz w:val="20"/>
                <w:szCs w:val="20"/>
              </w:rPr>
              <w:t xml:space="preserve">FAA Commercial Space Transportation annual compendium and Year in Review</w:t>
            </w:r>
          </w:p>
        </w:tc>
      </w:tr>
      <w:tr>
        <w:tc>
          <w:tcPr>
            <w:tcW w:w="0" w:type="auto"/>
          </w:tcPr>
          <w:p>
            <w:pPr>
              <w:spacing w:line="240" w:lineRule="auto" w:before="0" w:after="0"/>
              <w:pStyle w:val="Compact"/>
            </w:pPr>
            <w:r>
              <w:rPr>
                <w:sz w:val="20"/>
                <w:szCs w:val="20"/>
              </w:rPr>
              <w:t xml:space="preserve">post_license</w:t>
            </w:r>
          </w:p>
        </w:tc>
        <w:tc>
          <w:tcPr>
            <w:tcW w:w="0" w:type="auto"/>
          </w:tcPr>
          <w:p>
            <w:pPr>
              <w:spacing w:line="240" w:lineRule="auto" w:before="0" w:after="0"/>
              <w:pStyle w:val="Compact"/>
            </w:pPr>
            <w:r>
              <w:rPr>
                <w:sz w:val="20"/>
                <w:szCs w:val="20"/>
              </w:rPr>
              <w:t xml:space="preserve">Indicator equal to 1 if year t is at or after the FAA Part 420 site operator license issuance year for site i, 0 otherwise.</w:t>
            </w:r>
          </w:p>
        </w:tc>
        <w:tc>
          <w:tcPr>
            <w:tcW w:w="0" w:type="auto"/>
          </w:tcPr>
          <w:p>
            <w:pPr>
              <w:spacing w:line="240" w:lineRule="auto" w:before="0" w:after="0"/>
              <w:pStyle w:val="Compact"/>
            </w:pPr>
            <w:r>
              <w:rPr>
                <w:sz w:val="20"/>
                <w:szCs w:val="20"/>
              </w:rPr>
              <w:t xml:space="preserve">FAA Office of Commercial Space Transportation Licensed Launch Sites list</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Indicator equal to 1 if site i is on a U.S. coast with an open-water launch azimuth corridor, 0 otherwise.</w:t>
            </w:r>
          </w:p>
        </w:tc>
        <w:tc>
          <w:tcPr>
            <w:tcW w:w="0" w:type="auto"/>
          </w:tcPr>
          <w:p>
            <w:pPr>
              <w:spacing w:line="240" w:lineRule="auto" w:before="0" w:after="0"/>
              <w:pStyle w:val="Compact"/>
            </w:pPr>
            <w:r>
              <w:rPr>
                <w:sz w:val="20"/>
                <w:szCs w:val="20"/>
              </w:rPr>
              <w:t xml:space="preserve">FAA OCST site descriptions and site authority charters</w:t>
            </w:r>
          </w:p>
        </w:tc>
      </w:tr>
      <w:tr>
        <w:tc>
          <w:tcPr>
            <w:tcW w:w="0" w:type="auto"/>
          </w:tcPr>
          <w:p>
            <w:pPr>
              <w:spacing w:line="240" w:lineRule="auto" w:before="0" w:after="0"/>
              <w:pStyle w:val="Compact"/>
            </w:pPr>
            <w:r>
              <w:rPr>
                <w:sz w:val="20"/>
                <w:szCs w:val="20"/>
              </w:rPr>
              <w:t xml:space="preserve">federal_range</w:t>
            </w:r>
          </w:p>
        </w:tc>
        <w:tc>
          <w:tcPr>
            <w:tcW w:w="0" w:type="auto"/>
          </w:tcPr>
          <w:p>
            <w:pPr>
              <w:spacing w:line="240" w:lineRule="auto" w:before="0" w:after="0"/>
              <w:pStyle w:val="Compact"/>
            </w:pPr>
            <w:r>
              <w:rPr>
                <w:sz w:val="20"/>
                <w:szCs w:val="20"/>
              </w:rPr>
              <w:t xml:space="preserve">Indicator equal to 1 if site i is co-located with a federal range (Eastern Range, Western Range, Wallops, Kodiak/PSCA), 0 otherwise.</w:t>
            </w:r>
          </w:p>
        </w:tc>
        <w:tc>
          <w:tcPr>
            <w:tcW w:w="0" w:type="auto"/>
          </w:tcPr>
          <w:p>
            <w:pPr>
              <w:spacing w:line="240" w:lineRule="auto" w:before="0" w:after="0"/>
              <w:pStyle w:val="Compact"/>
            </w:pPr>
            <w:r>
              <w:rPr>
                <w:sz w:val="20"/>
                <w:szCs w:val="20"/>
              </w:rPr>
              <w:t xml:space="preserve">FAA OCST site descriptions; DoD range catalog</w:t>
            </w:r>
          </w:p>
        </w:tc>
      </w:tr>
      <w:tr>
        <w:tc>
          <w:tcPr>
            <w:tcW w:w="0" w:type="auto"/>
          </w:tcPr>
          <w:p>
            <w:pPr>
              <w:spacing w:line="240" w:lineRule="auto" w:before="0" w:after="0"/>
              <w:pStyle w:val="Compact"/>
            </w:pPr>
            <w:r>
              <w:rPr>
                <w:sz w:val="20"/>
                <w:szCs w:val="20"/>
              </w:rPr>
              <w:t xml:space="preserve">national_us_launches</w:t>
            </w:r>
          </w:p>
        </w:tc>
        <w:tc>
          <w:tcPr>
            <w:tcW w:w="0" w:type="auto"/>
          </w:tcPr>
          <w:p>
            <w:pPr>
              <w:spacing w:line="240" w:lineRule="auto" w:before="0" w:after="0"/>
              <w:pStyle w:val="Compact"/>
            </w:pPr>
            <w:r>
              <w:rPr>
                <w:sz w:val="20"/>
                <w:szCs w:val="20"/>
              </w:rPr>
              <w:t xml:space="preserve">Total count of FAA-licensed U.S. orbital and suborbital launches in calendar year t (national demand proxy).</w:t>
            </w:r>
          </w:p>
        </w:tc>
        <w:tc>
          <w:tcPr>
            <w:tcW w:w="0" w:type="auto"/>
          </w:tcPr>
          <w:p>
            <w:pPr>
              <w:spacing w:line="240" w:lineRule="auto" w:before="0" w:after="0"/>
              <w:pStyle w:val="Compact"/>
            </w:pPr>
            <w:r>
              <w:rPr>
                <w:sz w:val="20"/>
                <w:szCs w:val="20"/>
              </w:rPr>
              <w:t xml:space="preserve">FAA Commercial Space Transportation Year in Review and Annual Compendium series</w:t>
            </w:r>
          </w:p>
        </w:tc>
      </w:tr>
    </w:tbl>
    <w:bookmarkEnd w:id="183"/>
    <w:bookmarkEnd w:id="184"/>
    <w:bookmarkStart w:id="192" w:name="X5734ef3f59e20cceb9de8f71314d48a2f249d23"/>
    <w:p>
      <w:pPr>
        <w:pStyle w:val="Heading2"/>
        <w:spacing w:line="480" w:lineRule="auto"/>
      </w:pPr>
      <w:r>
        <w:t xml:space="preserve">A.2 Licensed Spaceport Stock and Regional Launch Cadence: A Robust OLS Analysis of State-Year Launch Activity, 2018-2023</w:t>
      </w:r>
    </w:p>
    <w:p>
      <w:pPr>
        <w:pStyle w:val="FirstParagraph"/>
        <w:spacing w:line="480" w:lineRule="auto"/>
      </w:pPr>
      <m:oMathPara>
        <m:oMathParaPr>
          <m:jc m:val="center"/>
        </m:oMathParaPr>
        <m:oMath>
          <m:r>
            <m:rPr>
              <m:sty m:val="p"/>
            </m:rPr>
            <m:t>log</m:t>
          </m:r>
          <m:r>
            <m:rPr>
              <m:sty m:val="p"/>
            </m:rPr>
            <m:t>(</m:t>
          </m:r>
          <m:r>
            <m:t>1</m:t>
          </m:r>
          <m:r>
            <m:rPr>
              <m:sty m:val="p"/>
            </m:rPr>
            <m:t>+</m:t>
          </m:r>
          <m:r>
            <m:t>l</m:t>
          </m:r>
          <m:r>
            <m:t>a</m:t>
          </m:r>
          <m:r>
            <m:t>u</m:t>
          </m:r>
          <m:r>
            <m:t>n</m:t>
          </m:r>
          <m:r>
            <m:t>c</m:t>
          </m:r>
          <m:r>
            <m:t>h</m:t>
          </m:r>
          <m:r>
            <m:t>e</m:t>
          </m:r>
          <m:sSub>
            <m:e>
              <m:r>
                <m:t>s</m:t>
              </m:r>
            </m:e>
            <m:sub>
              <m:r>
                <m:t>i</m:t>
              </m:r>
              <m:r>
                <m:t>t</m:t>
              </m:r>
            </m:sub>
          </m:sSub>
          <m:r>
            <m:rPr>
              <m:sty m:val="p"/>
            </m:rPr>
            <m:t>)</m:t>
          </m:r>
          <m:r>
            <m:rPr>
              <m:sty m:val="p"/>
            </m:rPr>
            <m:t>=</m:t>
          </m:r>
          <m:sSub>
            <m:e>
              <m:r>
                <m:t>β</m:t>
              </m:r>
            </m:e>
            <m:sub>
              <m:r>
                <m:t>0</m:t>
              </m:r>
            </m:sub>
          </m:sSub>
          <m:r>
            <m:rPr>
              <m:sty m:val="p"/>
            </m:rPr>
            <m:t>+</m:t>
          </m:r>
          <m:sSub>
            <m:e>
              <m:r>
                <m:t>β</m:t>
              </m:r>
            </m:e>
            <m:sub>
              <m:r>
                <m:t>1</m:t>
              </m:r>
            </m:sub>
          </m:sSub>
          <m:r>
            <m:t> </m:t>
          </m:r>
          <m:r>
            <m:t>l</m:t>
          </m:r>
          <m:r>
            <m:t>i</m:t>
          </m:r>
          <m:r>
            <m:t>c</m:t>
          </m:r>
          <m:r>
            <m:t>e</m:t>
          </m:r>
          <m:r>
            <m:t>n</m:t>
          </m:r>
          <m:r>
            <m:t>s</m:t>
          </m:r>
          <m:r>
            <m:t>e</m:t>
          </m:r>
          <m:r>
            <m:t>d</m:t>
          </m:r>
          <m:r>
            <m:rPr>
              <m:sty m:val="p"/>
            </m:rPr>
            <m:t>_</m:t>
          </m:r>
          <m:r>
            <m:t>s</m:t>
          </m:r>
          <m:r>
            <m:t>i</m:t>
          </m:r>
          <m:r>
            <m:t>t</m:t>
          </m:r>
          <m:r>
            <m:t>e</m:t>
          </m:r>
          <m:sSub>
            <m:e>
              <m:r>
                <m:t>s</m:t>
              </m:r>
            </m:e>
            <m:sub>
              <m:r>
                <m:t>i</m:t>
              </m:r>
              <m:r>
                <m:t>t</m:t>
              </m:r>
            </m:sub>
          </m:sSub>
          <m:r>
            <m:rPr>
              <m:sty m:val="p"/>
            </m:rPr>
            <m:t>+</m:t>
          </m:r>
          <m:sSub>
            <m:e>
              <m:r>
                <m:t>β</m:t>
              </m:r>
            </m:e>
            <m:sub>
              <m:r>
                <m:t>2</m:t>
              </m:r>
            </m:sub>
          </m:sSub>
          <m:r>
            <m:t> </m:t>
          </m:r>
          <m:r>
            <m:t>c</m:t>
          </m:r>
          <m:r>
            <m:t>o</m:t>
          </m:r>
          <m:r>
            <m:t>a</m:t>
          </m:r>
          <m:r>
            <m:t>s</m:t>
          </m:r>
          <m:r>
            <m:t>t</m:t>
          </m:r>
          <m:r>
            <m:t>a</m:t>
          </m:r>
          <m:sSub>
            <m:e>
              <m:r>
                <m:t>l</m:t>
              </m:r>
            </m:e>
            <m:sub>
              <m:r>
                <m:t>i</m:t>
              </m:r>
            </m:sub>
          </m:sSub>
          <m:r>
            <m:rPr>
              <m:sty m:val="p"/>
            </m:rPr>
            <m:t>+</m:t>
          </m:r>
          <m:sSub>
            <m:e>
              <m:r>
                <m:t>β</m:t>
              </m:r>
            </m:e>
            <m:sub>
              <m:r>
                <m:t>3</m:t>
              </m:r>
            </m:sub>
          </m:sSub>
          <m:r>
            <m:t> </m:t>
          </m:r>
          <m:r>
            <m:t>p</m:t>
          </m:r>
          <m:r>
            <m:t>r</m:t>
          </m:r>
          <m:r>
            <m:t>i</m:t>
          </m:r>
          <m:r>
            <m:t>o</m:t>
          </m:r>
          <m:r>
            <m:t>r</m:t>
          </m:r>
          <m:r>
            <m:rPr>
              <m:sty m:val="p"/>
            </m:rPr>
            <m:t>_</m:t>
          </m:r>
          <m:r>
            <m:t>f</m:t>
          </m:r>
          <m:r>
            <m:t>e</m:t>
          </m:r>
          <m:r>
            <m:t>d</m:t>
          </m:r>
          <m:r>
            <m:t>e</m:t>
          </m:r>
          <m:r>
            <m:t>r</m:t>
          </m:r>
          <m:r>
            <m:t>a</m:t>
          </m:r>
          <m:r>
            <m:t>l</m:t>
          </m:r>
          <m:r>
            <m:rPr>
              <m:sty m:val="p"/>
            </m:rPr>
            <m:t>_</m:t>
          </m:r>
          <m:r>
            <m:t>r</m:t>
          </m:r>
          <m:r>
            <m:t>a</m:t>
          </m:r>
          <m:r>
            <m:t>n</m:t>
          </m:r>
          <m:r>
            <m:t>g</m:t>
          </m:r>
          <m:sSub>
            <m:e>
              <m:r>
                <m:t>e</m:t>
              </m:r>
            </m:e>
            <m:sub>
              <m:r>
                <m:t>i</m:t>
              </m:r>
            </m:sub>
          </m:sSub>
          <m:r>
            <m:rPr>
              <m:sty m:val="p"/>
            </m:rPr>
            <m:t>+</m:t>
          </m:r>
          <m:sSub>
            <m:e>
              <m:r>
                <m:t>ε</m:t>
              </m:r>
            </m:e>
            <m:sub>
              <m:r>
                <m:t>i</m:t>
              </m:r>
              <m:r>
                <m:t>t</m:t>
              </m:r>
            </m:sub>
          </m:sSub>
        </m:oMath>
      </m:oMathPara>
    </w:p>
    <w:bookmarkStart w:id="18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-0.7135</w:t>
            </w:r>
          </w:p>
        </w:tc>
        <w:tc>
          <w:tcPr>
            <w:tcW w:w="0" w:type="auto"/>
          </w:tcPr>
          <w:p>
            <w:pPr>
              <w:spacing w:line="240" w:lineRule="auto" w:before="0" w:after="0"/>
              <w:pStyle w:val="Compact"/>
            </w:pPr>
            <w:r>
              <w:rPr>
                <w:sz w:val="20"/>
                <w:szCs w:val="20"/>
              </w:rPr>
              <w:t xml:space="preserve">0.269</w:t>
            </w:r>
          </w:p>
        </w:tc>
        <w:tc>
          <w:tcPr>
            <w:tcW w:w="0" w:type="auto"/>
          </w:tcPr>
          <w:p>
            <w:pPr>
              <w:spacing w:line="240" w:lineRule="auto" w:before="0" w:after="0"/>
              <w:pStyle w:val="Compact"/>
            </w:pPr>
            <w:r>
              <w:rPr>
                <w:sz w:val="20"/>
                <w:szCs w:val="20"/>
              </w:rPr>
              <w:t xml:space="preserve">-2.6519</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[-1.2408, -0.1862]</w:t>
            </w:r>
          </w:p>
        </w:tc>
      </w:tr>
      <w:tr>
        <w:tc>
          <w:tcPr>
            <w:tcW w:w="0" w:type="auto"/>
          </w:tcPr>
          <w:p>
            <w:pPr>
              <w:spacing w:line="240" w:lineRule="auto" w:before="0" w:after="0"/>
              <w:pStyle w:val="Compact"/>
            </w:pPr>
            <w:r>
              <w:rPr>
                <w:sz w:val="20"/>
                <w:szCs w:val="20"/>
              </w:rPr>
              <w:t xml:space="preserve">licensed_sites</w:t>
            </w:r>
          </w:p>
        </w:tc>
        <w:tc>
          <w:tcPr>
            <w:tcW w:w="0" w:type="auto"/>
          </w:tcPr>
          <w:p>
            <w:pPr>
              <w:spacing w:line="240" w:lineRule="auto" w:before="0" w:after="0"/>
              <w:pStyle w:val="Compact"/>
            </w:pPr>
            <w:r>
              <w:rPr>
                <w:sz w:val="20"/>
                <w:szCs w:val="20"/>
              </w:rPr>
              <w:t xml:space="preserve">1.0241</w:t>
            </w:r>
          </w:p>
        </w:tc>
        <w:tc>
          <w:tcPr>
            <w:tcW w:w="0" w:type="auto"/>
          </w:tcPr>
          <w:p>
            <w:pPr>
              <w:spacing w:line="240" w:lineRule="auto" w:before="0" w:after="0"/>
              <w:pStyle w:val="Compact"/>
            </w:pPr>
            <w:r>
              <w:rPr>
                <w:sz w:val="20"/>
                <w:szCs w:val="20"/>
              </w:rPr>
              <w:t xml:space="preserve">0.2192</w:t>
            </w:r>
          </w:p>
        </w:tc>
        <w:tc>
          <w:tcPr>
            <w:tcW w:w="0" w:type="auto"/>
          </w:tcPr>
          <w:p>
            <w:pPr>
              <w:spacing w:line="240" w:lineRule="auto" w:before="0" w:after="0"/>
              <w:pStyle w:val="Compact"/>
            </w:pPr>
            <w:r>
              <w:rPr>
                <w:sz w:val="20"/>
                <w:szCs w:val="20"/>
              </w:rPr>
              <w:t xml:space="preserve">4.6709</w:t>
            </w:r>
          </w:p>
        </w:tc>
        <w:tc>
          <w:tcPr>
            <w:tcW w:w="0" w:type="auto"/>
          </w:tcPr>
          <w:p>
            <w:pPr>
              <w:spacing w:line="240" w:lineRule="auto" w:before="0" w:after="0"/>
              <w:pStyle w:val="Compact"/>
            </w:pPr>
            <w:r>
              <w:rPr>
                <w:sz w:val="20"/>
                <w:szCs w:val="20"/>
              </w:rPr>
              <w:t xml:space="preserve">2.998e-06</w:t>
            </w:r>
          </w:p>
        </w:tc>
        <w:tc>
          <w:tcPr>
            <w:tcW w:w="0" w:type="auto"/>
          </w:tcPr>
          <w:p>
            <w:pPr>
              <w:spacing w:line="240" w:lineRule="auto" w:before="0" w:after="0"/>
              <w:pStyle w:val="Compact"/>
            </w:pPr>
            <w:r>
              <w:rPr>
                <w:sz w:val="20"/>
                <w:szCs w:val="20"/>
              </w:rPr>
              <w:t xml:space="preserve">[0.5944, 1.4538]</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0.2378</w:t>
            </w:r>
          </w:p>
        </w:tc>
        <w:tc>
          <w:tcPr>
            <w:tcW w:w="0" w:type="auto"/>
          </w:tcPr>
          <w:p>
            <w:pPr>
              <w:spacing w:line="240" w:lineRule="auto" w:before="0" w:after="0"/>
              <w:pStyle w:val="Compact"/>
            </w:pPr>
            <w:r>
              <w:rPr>
                <w:sz w:val="20"/>
                <w:szCs w:val="20"/>
              </w:rPr>
              <w:t xml:space="preserve">0.1599</w:t>
            </w:r>
          </w:p>
        </w:tc>
        <w:tc>
          <w:tcPr>
            <w:tcW w:w="0" w:type="auto"/>
          </w:tcPr>
          <w:p>
            <w:pPr>
              <w:spacing w:line="240" w:lineRule="auto" w:before="0" w:after="0"/>
              <w:pStyle w:val="Compact"/>
            </w:pPr>
            <w:r>
              <w:rPr>
                <w:sz w:val="20"/>
                <w:szCs w:val="20"/>
              </w:rPr>
              <w:t xml:space="preserve">0.8729</w:t>
            </w:r>
          </w:p>
        </w:tc>
        <w:tc>
          <w:tcPr>
            <w:tcW w:w="0" w:type="auto"/>
          </w:tcPr>
          <w:p>
            <w:pPr>
              <w:spacing w:line="240" w:lineRule="auto" w:before="0" w:after="0"/>
              <w:pStyle w:val="Compact"/>
            </w:pPr>
            <w:r>
              <w:rPr>
                <w:sz w:val="20"/>
                <w:szCs w:val="20"/>
              </w:rPr>
              <w:t xml:space="preserve">[-0.428, 0.5041]</w:t>
            </w:r>
          </w:p>
        </w:tc>
      </w:tr>
      <w:tr>
        <w:tc>
          <w:tcPr>
            <w:tcW w:w="0" w:type="auto"/>
          </w:tcPr>
          <w:p>
            <w:pPr>
              <w:spacing w:line="240" w:lineRule="auto" w:before="0" w:after="0"/>
              <w:pStyle w:val="Compact"/>
            </w:pPr>
            <w:r>
              <w:rPr>
                <w:sz w:val="20"/>
                <w:szCs w:val="20"/>
              </w:rPr>
              <w:t xml:space="preserve">prior_federal_range</w:t>
            </w:r>
          </w:p>
        </w:tc>
        <w:tc>
          <w:tcPr>
            <w:tcW w:w="0" w:type="auto"/>
          </w:tcPr>
          <w:p>
            <w:pPr>
              <w:spacing w:line="240" w:lineRule="auto" w:before="0" w:after="0"/>
              <w:pStyle w:val="Compact"/>
            </w:pPr>
            <w:r>
              <w:rPr>
                <w:sz w:val="20"/>
                <w:szCs w:val="20"/>
              </w:rPr>
              <w:t xml:space="preserve">1.1845</w:t>
            </w:r>
          </w:p>
        </w:tc>
        <w:tc>
          <w:tcPr>
            <w:tcW w:w="0" w:type="auto"/>
          </w:tcPr>
          <w:p>
            <w:pPr>
              <w:spacing w:line="240" w:lineRule="auto" w:before="0" w:after="0"/>
              <w:pStyle w:val="Compact"/>
            </w:pPr>
            <w:r>
              <w:rPr>
                <w:sz w:val="20"/>
                <w:szCs w:val="20"/>
              </w:rPr>
              <w:t xml:space="preserve">0.2372</w:t>
            </w:r>
          </w:p>
        </w:tc>
        <w:tc>
          <w:tcPr>
            <w:tcW w:w="0" w:type="auto"/>
          </w:tcPr>
          <w:p>
            <w:pPr>
              <w:spacing w:line="240" w:lineRule="auto" w:before="0" w:after="0"/>
              <w:pStyle w:val="Compact"/>
            </w:pPr>
            <w:r>
              <w:rPr>
                <w:sz w:val="20"/>
                <w:szCs w:val="20"/>
              </w:rPr>
              <w:t xml:space="preserve">4.9939</w:t>
            </w:r>
          </w:p>
        </w:tc>
        <w:tc>
          <w:tcPr>
            <w:tcW w:w="0" w:type="auto"/>
          </w:tcPr>
          <w:p>
            <w:pPr>
              <w:spacing w:line="240" w:lineRule="auto" w:before="0" w:after="0"/>
              <w:pStyle w:val="Compact"/>
            </w:pPr>
            <w:r>
              <w:rPr>
                <w:sz w:val="20"/>
                <w:szCs w:val="20"/>
              </w:rPr>
              <w:t xml:space="preserve">5.919e-07</w:t>
            </w:r>
          </w:p>
        </w:tc>
        <w:tc>
          <w:tcPr>
            <w:tcW w:w="0" w:type="auto"/>
          </w:tcPr>
          <w:p>
            <w:pPr>
              <w:spacing w:line="240" w:lineRule="auto" w:before="0" w:after="0"/>
              <w:pStyle w:val="Compact"/>
            </w:pPr>
            <w:r>
              <w:rPr>
                <w:sz w:val="20"/>
                <w:szCs w:val="20"/>
              </w:rPr>
              <w:t xml:space="preserve">[0.7196, 1.6494]</w:t>
            </w:r>
          </w:p>
        </w:tc>
      </w:tr>
    </w:tbl>
    <w:p>
      <w:pPr>
        <w:pStyle w:val="BodyText"/>
        <w:spacing w:line="480" w:lineRule="auto"/>
        <w:ind w:firstLine="720"/>
      </w:pPr>
      <w:r>
        <w:t xml:space="preserve">Fit: N = 39 R2 = 0.6797 R2_adj = 0.6523 F = 20.4978 F_p = 7.661e-08</w:t>
      </w:r>
    </w:p>
    <w:bookmarkEnd w:id="185"/>
    <w:bookmarkStart w:id="18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State-year log-launch cadence against count of licensed Part 420 sites, 39 state-year observations across eight states (2018-2023), with coastal and prior-federal-range covariates as panel controls." title="" id="187" name="Picture"/>
            <a:graphic>
              <a:graphicData uri="http://schemas.openxmlformats.org/drawingml/2006/picture">
                <pic:pic>
                  <pic:nvPicPr>
                    <pic:cNvPr descr="D:/Claude_Code/brain/collegium/candidates/dissertations/LAUNCH_REG_04/research_papers/p2/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State-year log-launch cadence against count of licensed Part 420 sites, 39 state-year observations across eight states (2018-2023), with coastal and prior-federal-range covariates as panel controls.</w:t>
      </w:r>
    </w:p>
    <w:bookmarkEnd w:id="189"/>
    <w:bookmarkStart w:id="19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state_year</w:t>
            </w:r>
          </w:p>
        </w:tc>
        <w:tc>
          <w:tcPr>
            <w:tcW w:w="0" w:type="auto"/>
          </w:tcPr>
          <w:p>
            <w:pPr>
              <w:spacing w:line="240" w:lineRule="auto" w:before="0" w:after="0"/>
              <w:pStyle w:val="Compact"/>
            </w:pPr>
            <w:r>
              <w:rPr>
                <w:sz w:val="20"/>
                <w:szCs w:val="20"/>
              </w:rPr>
              <w:t xml:space="preserve">state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licensed_sites</w:t>
            </w:r>
          </w:p>
        </w:tc>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prior_federal_range</w:t>
            </w:r>
          </w:p>
        </w:tc>
        <w:tc>
          <w:tcPr>
            <w:tcW w:w="0" w:type="auto"/>
          </w:tcPr>
          <w:p>
            <w:pPr>
              <w:spacing w:line="240" w:lineRule="auto" w:before="0" w:after="0"/>
              <w:pStyle w:val="Compact"/>
            </w:pPr>
            <w:r>
              <w:rPr>
                <w:sz w:val="20"/>
                <w:szCs w:val="20"/>
              </w:rPr>
              <w:t xml:space="preserve">launches_per_year</w:t>
            </w:r>
          </w:p>
        </w:tc>
        <w:tc>
          <w:tcPr>
            <w:tcW w:w="0" w:type="auto"/>
          </w:tcPr>
          <w:p>
            <w:pPr>
              <w:spacing w:line="240" w:lineRule="auto" w:before="0" w:after="0"/>
              <w:pStyle w:val="Compact"/>
            </w:pPr>
            <w:r>
              <w:rPr>
                <w:sz w:val="20"/>
                <w:szCs w:val="20"/>
              </w:rPr>
              <w:t xml:space="preserve">log_launches_p1</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FL_2018</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3.044</w:t>
            </w:r>
          </w:p>
        </w:tc>
        <w:tc>
          <w:tcPr>
            <w:tcW w:w="0" w:type="auto"/>
          </w:tcPr>
          <w:p>
            <w:pPr>
              <w:spacing w:line="240" w:lineRule="auto" w:before="0" w:after="0"/>
              <w:pStyle w:val="Compact"/>
            </w:pPr>
            <w:r>
              <w:rPr>
                <w:sz w:val="20"/>
                <w:szCs w:val="20"/>
              </w:rPr>
              <w:t xml:space="preserve">FAA AST 2018 Annual Compendium of Commercial Space Transportation; FAA Licensed Launch Sites list (CCSFS, KSC LC-39A)</w:t>
            </w:r>
          </w:p>
        </w:tc>
      </w:tr>
      <w:tr>
        <w:tc>
          <w:tcPr>
            <w:tcW w:w="0" w:type="auto"/>
          </w:tcPr>
          <w:p>
            <w:pPr>
              <w:spacing w:line="240" w:lineRule="auto" w:before="0" w:after="0"/>
              <w:pStyle w:val="Compact"/>
            </w:pPr>
            <w:r>
              <w:rPr>
                <w:sz w:val="20"/>
                <w:szCs w:val="20"/>
              </w:rPr>
              <w:t xml:space="preserve">FL_2019</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FAA AST 2019 Annual Compendium of Commercial Space Transportation</w:t>
            </w:r>
          </w:p>
        </w:tc>
      </w:tr>
      <w:tr>
        <w:tc>
          <w:tcPr>
            <w:tcW w:w="0" w:type="auto"/>
          </w:tcPr>
          <w:p>
            <w:pPr>
              <w:spacing w:line="240" w:lineRule="auto" w:before="0" w:after="0"/>
              <w:pStyle w:val="Compact"/>
            </w:pPr>
            <w:r>
              <w:rPr>
                <w:sz w:val="20"/>
                <w:szCs w:val="20"/>
              </w:rPr>
              <w:t xml:space="preserve">FL_2020</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3.466</w:t>
            </w:r>
          </w:p>
        </w:tc>
        <w:tc>
          <w:tcPr>
            <w:tcW w:w="0" w:type="auto"/>
          </w:tcPr>
          <w:p>
            <w:pPr>
              <w:spacing w:line="240" w:lineRule="auto" w:before="0" w:after="0"/>
              <w:pStyle w:val="Compact"/>
            </w:pPr>
            <w:r>
              <w:rPr>
                <w:sz w:val="20"/>
                <w:szCs w:val="20"/>
              </w:rPr>
              <w:t xml:space="preserve">FAA AST 2020 Annual Compendium of Commercial Space Transportation</w:t>
            </w:r>
          </w:p>
        </w:tc>
      </w:tr>
      <w:tr>
        <w:tc>
          <w:tcPr>
            <w:tcW w:w="0" w:type="auto"/>
          </w:tcPr>
          <w:p>
            <w:pPr>
              <w:spacing w:line="240" w:lineRule="auto" w:before="0" w:after="0"/>
              <w:pStyle w:val="Compact"/>
            </w:pPr>
            <w:r>
              <w:rPr>
                <w:sz w:val="20"/>
                <w:szCs w:val="20"/>
              </w:rPr>
              <w:t xml:space="preserve">FL_2021</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3.466</w:t>
            </w:r>
          </w:p>
        </w:tc>
        <w:tc>
          <w:tcPr>
            <w:tcW w:w="0" w:type="auto"/>
          </w:tcPr>
          <w:p>
            <w:pPr>
              <w:spacing w:line="240" w:lineRule="auto" w:before="0" w:after="0"/>
              <w:pStyle w:val="Compact"/>
            </w:pPr>
            <w:r>
              <w:rPr>
                <w:sz w:val="20"/>
                <w:szCs w:val="20"/>
              </w:rPr>
              <w:t xml:space="preserve">FAA AST 2021 Annual Compendium of Commercial Space Transportation</w:t>
            </w:r>
          </w:p>
        </w:tc>
      </w:tr>
      <w:tr>
        <w:tc>
          <w:tcPr>
            <w:tcW w:w="0" w:type="auto"/>
          </w:tcPr>
          <w:p>
            <w:pPr>
              <w:spacing w:line="240" w:lineRule="auto" w:before="0" w:after="0"/>
              <w:pStyle w:val="Compact"/>
            </w:pPr>
            <w:r>
              <w:rPr>
                <w:sz w:val="20"/>
                <w:szCs w:val="20"/>
              </w:rPr>
              <w:t xml:space="preserve">FL_2022</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FAA AST 2022 U.S. Commercial Space Transportation Year in Review</w:t>
            </w:r>
          </w:p>
        </w:tc>
      </w:tr>
      <w:tr>
        <w:tc>
          <w:tcPr>
            <w:tcW w:w="0" w:type="auto"/>
          </w:tcPr>
          <w:p>
            <w:pPr>
              <w:spacing w:line="240" w:lineRule="auto" w:before="0" w:after="0"/>
              <w:pStyle w:val="Compact"/>
            </w:pPr>
            <w:r>
              <w:rPr>
                <w:sz w:val="20"/>
                <w:szCs w:val="20"/>
              </w:rPr>
              <w:t xml:space="preserve">FL_2023</w:t>
            </w:r>
          </w:p>
        </w:tc>
        <w:tc>
          <w:tcPr>
            <w:tcW w:w="0" w:type="auto"/>
          </w:tcPr>
          <w:p>
            <w:pPr>
              <w:spacing w:line="240" w:lineRule="auto" w:before="0" w:after="0"/>
              <w:pStyle w:val="Compact"/>
            </w:pPr>
            <w:r>
              <w:rPr>
                <w:sz w:val="20"/>
                <w:szCs w:val="20"/>
              </w:rPr>
              <w:t xml:space="preserve">FL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FAA AST 2023 U.S. Commercial Space Transportation Year in Review</w:t>
            </w:r>
          </w:p>
        </w:tc>
      </w:tr>
      <w:tr>
        <w:tc>
          <w:tcPr>
            <w:tcW w:w="0" w:type="auto"/>
          </w:tcPr>
          <w:p>
            <w:pPr>
              <w:spacing w:line="240" w:lineRule="auto" w:before="0" w:after="0"/>
              <w:pStyle w:val="Compact"/>
            </w:pPr>
            <w:r>
              <w:rPr>
                <w:sz w:val="20"/>
                <w:szCs w:val="20"/>
              </w:rPr>
              <w:t xml:space="preserve">CA_2018</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1.792</w:t>
            </w:r>
          </w:p>
        </w:tc>
        <w:tc>
          <w:tcPr>
            <w:tcW w:w="0" w:type="auto"/>
          </w:tcPr>
          <w:p>
            <w:pPr>
              <w:spacing w:line="240" w:lineRule="auto" w:before="0" w:after="0"/>
              <w:pStyle w:val="Compact"/>
            </w:pPr>
            <w:r>
              <w:rPr>
                <w:sz w:val="20"/>
                <w:szCs w:val="20"/>
              </w:rPr>
              <w:t xml:space="preserve">FAA AST 2018 Annual Compendium; Vandenberg SFB launch records; Mojave Air &amp; Space Port FAA license</w:t>
            </w:r>
          </w:p>
        </w:tc>
      </w:tr>
      <w:tr>
        <w:tc>
          <w:tcPr>
            <w:tcW w:w="0" w:type="auto"/>
          </w:tcPr>
          <w:p>
            <w:pPr>
              <w:spacing w:line="240" w:lineRule="auto" w:before="0" w:after="0"/>
              <w:pStyle w:val="Compact"/>
            </w:pPr>
            <w:r>
              <w:rPr>
                <w:sz w:val="20"/>
                <w:szCs w:val="20"/>
              </w:rPr>
              <w:t xml:space="preserve">CA_2019</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CA_2020</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CA_2021</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FAA AST 2021 Annual Compendium</w:t>
            </w:r>
          </w:p>
        </w:tc>
      </w:tr>
      <w:tr>
        <w:tc>
          <w:tcPr>
            <w:tcW w:w="0" w:type="auto"/>
          </w:tcPr>
          <w:p>
            <w:pPr>
              <w:spacing w:line="240" w:lineRule="auto" w:before="0" w:after="0"/>
              <w:pStyle w:val="Compact"/>
            </w:pPr>
            <w:r>
              <w:rPr>
                <w:sz w:val="20"/>
                <w:szCs w:val="20"/>
              </w:rPr>
              <w:t xml:space="preserve">CA_2022</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2.303</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CA_2023</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2.944</w:t>
            </w:r>
          </w:p>
        </w:tc>
        <w:tc>
          <w:tcPr>
            <w:tcW w:w="0" w:type="auto"/>
          </w:tcPr>
          <w:p>
            <w:pPr>
              <w:spacing w:line="240" w:lineRule="auto" w:before="0" w:after="0"/>
              <w:pStyle w:val="Compact"/>
            </w:pPr>
            <w:r>
              <w:rPr>
                <w:sz w:val="20"/>
                <w:szCs w:val="20"/>
              </w:rPr>
              <w:t xml:space="preserve">FAA AST 2023 Year in Review</w:t>
            </w:r>
          </w:p>
        </w:tc>
      </w:tr>
      <w:tr>
        <w:tc>
          <w:tcPr>
            <w:tcW w:w="0" w:type="auto"/>
          </w:tcPr>
          <w:p>
            <w:pPr>
              <w:spacing w:line="240" w:lineRule="auto" w:before="0" w:after="0"/>
              <w:pStyle w:val="Compact"/>
            </w:pPr>
            <w:r>
              <w:rPr>
                <w:sz w:val="20"/>
                <w:szCs w:val="20"/>
              </w:rPr>
              <w:t xml:space="preserve">VA_2018</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2018 Annual Compendium; Virginia Space Mid-Atlantic Regional Spaceport (MARS) records at Wallops</w:t>
            </w:r>
          </w:p>
        </w:tc>
      </w:tr>
      <w:tr>
        <w:tc>
          <w:tcPr>
            <w:tcW w:w="0" w:type="auto"/>
          </w:tcPr>
          <w:p>
            <w:pPr>
              <w:spacing w:line="240" w:lineRule="auto" w:before="0" w:after="0"/>
              <w:pStyle w:val="Compact"/>
            </w:pPr>
            <w:r>
              <w:rPr>
                <w:sz w:val="20"/>
                <w:szCs w:val="20"/>
              </w:rPr>
              <w:t xml:space="preserve">VA_2019</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VA_2020</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VA_2021</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2021 Annual Compendium</w:t>
            </w:r>
          </w:p>
        </w:tc>
      </w:tr>
      <w:tr>
        <w:tc>
          <w:tcPr>
            <w:tcW w:w="0" w:type="auto"/>
          </w:tcPr>
          <w:p>
            <w:pPr>
              <w:spacing w:line="240" w:lineRule="auto" w:before="0" w:after="0"/>
              <w:pStyle w:val="Compact"/>
            </w:pPr>
            <w:r>
              <w:rPr>
                <w:sz w:val="20"/>
                <w:szCs w:val="20"/>
              </w:rPr>
              <w:t xml:space="preserve">VA_2022</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VA_2023</w:t>
            </w:r>
          </w:p>
        </w:tc>
        <w:tc>
          <w:tcPr>
            <w:tcW w:w="0" w:type="auto"/>
          </w:tcPr>
          <w:p>
            <w:pPr>
              <w:spacing w:line="240" w:lineRule="auto" w:before="0" w:after="0"/>
              <w:pStyle w:val="Compact"/>
            </w:pPr>
            <w:r>
              <w:rPr>
                <w:sz w:val="20"/>
                <w:szCs w:val="20"/>
              </w:rPr>
              <w:t xml:space="preserve">VA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FAA AST 2023 Year in Review</w:t>
            </w:r>
          </w:p>
        </w:tc>
      </w:tr>
      <w:tr>
        <w:tc>
          <w:tcPr>
            <w:tcW w:w="0" w:type="auto"/>
          </w:tcPr>
          <w:p>
            <w:pPr>
              <w:spacing w:line="240" w:lineRule="auto" w:before="0" w:after="0"/>
              <w:pStyle w:val="Compact"/>
            </w:pPr>
            <w:r>
              <w:rPr>
                <w:sz w:val="20"/>
                <w:szCs w:val="20"/>
              </w:rPr>
              <w:t xml:space="preserve">TX_2018</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2018 Annual Compendium; SpaceX Boca Chica (Starbase) FAA license; Houston Spaceport license [illustrative pre-Starship cadence]</w:t>
            </w:r>
          </w:p>
        </w:tc>
      </w:tr>
      <w:tr>
        <w:tc>
          <w:tcPr>
            <w:tcW w:w="0" w:type="auto"/>
          </w:tcPr>
          <w:p>
            <w:pPr>
              <w:spacing w:line="240" w:lineRule="auto" w:before="0" w:after="0"/>
              <w:pStyle w:val="Compact"/>
            </w:pPr>
            <w:r>
              <w:rPr>
                <w:sz w:val="20"/>
                <w:szCs w:val="20"/>
              </w:rPr>
              <w:t xml:space="preserve">TX_2019</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TX_2020</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TX_2021</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FAA AST 2021 Annual Compendium</w:t>
            </w:r>
          </w:p>
        </w:tc>
      </w:tr>
      <w:tr>
        <w:tc>
          <w:tcPr>
            <w:tcW w:w="0" w:type="auto"/>
          </w:tcPr>
          <w:p>
            <w:pPr>
              <w:spacing w:line="240" w:lineRule="auto" w:before="0" w:after="0"/>
              <w:pStyle w:val="Compact"/>
            </w:pPr>
            <w:r>
              <w:rPr>
                <w:sz w:val="20"/>
                <w:szCs w:val="20"/>
              </w:rPr>
              <w:t xml:space="preserve">TX_2022</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TX_2023</w:t>
            </w:r>
          </w:p>
        </w:tc>
        <w:tc>
          <w:tcPr>
            <w:tcW w:w="0" w:type="auto"/>
          </w:tcPr>
          <w:p>
            <w:pPr>
              <w:spacing w:line="240" w:lineRule="auto" w:before="0" w:after="0"/>
              <w:pStyle w:val="Compact"/>
            </w:pPr>
            <w:r>
              <w:rPr>
                <w:sz w:val="20"/>
                <w:szCs w:val="20"/>
              </w:rPr>
              <w:t xml:space="preserve">TX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2023 Year in Review (Starship IFT-1, IFT-2 from Boca Chica)</w:t>
            </w:r>
          </w:p>
        </w:tc>
      </w:tr>
      <w:tr>
        <w:tc>
          <w:tcPr>
            <w:tcW w:w="0" w:type="auto"/>
          </w:tcPr>
          <w:p>
            <w:pPr>
              <w:spacing w:line="240" w:lineRule="auto" w:before="0" w:after="0"/>
              <w:pStyle w:val="Compact"/>
            </w:pPr>
            <w:r>
              <w:rPr>
                <w:sz w:val="20"/>
                <w:szCs w:val="20"/>
              </w:rPr>
              <w:t xml:space="preserve">AK_2018</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2018 Annual Compendium; Pacific Spaceport Complex - Alaska (Kodiak) records</w:t>
            </w:r>
          </w:p>
        </w:tc>
      </w:tr>
      <w:tr>
        <w:tc>
          <w:tcPr>
            <w:tcW w:w="0" w:type="auto"/>
          </w:tcPr>
          <w:p>
            <w:pPr>
              <w:spacing w:line="240" w:lineRule="auto" w:before="0" w:after="0"/>
              <w:pStyle w:val="Compact"/>
            </w:pPr>
            <w:r>
              <w:rPr>
                <w:sz w:val="20"/>
                <w:szCs w:val="20"/>
              </w:rPr>
              <w:t xml:space="preserve">AK_2019</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AK_2020</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AK_2021</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2021 Annual Compendium</w:t>
            </w:r>
          </w:p>
        </w:tc>
      </w:tr>
      <w:tr>
        <w:tc>
          <w:tcPr>
            <w:tcW w:w="0" w:type="auto"/>
          </w:tcPr>
          <w:p>
            <w:pPr>
              <w:spacing w:line="240" w:lineRule="auto" w:before="0" w:after="0"/>
              <w:pStyle w:val="Compact"/>
            </w:pPr>
            <w:r>
              <w:rPr>
                <w:sz w:val="20"/>
                <w:szCs w:val="20"/>
              </w:rPr>
              <w:t xml:space="preserve">AK_2022</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AK_2023</w:t>
            </w:r>
          </w:p>
        </w:tc>
        <w:tc>
          <w:tcPr>
            <w:tcW w:w="0" w:type="auto"/>
          </w:tcPr>
          <w:p>
            <w:pPr>
              <w:spacing w:line="240" w:lineRule="auto" w:before="0" w:after="0"/>
              <w:pStyle w:val="Compact"/>
            </w:pPr>
            <w:r>
              <w:rPr>
                <w:sz w:val="20"/>
                <w:szCs w:val="20"/>
              </w:rPr>
              <w:t xml:space="preserve">AK</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2023 Year in Review</w:t>
            </w:r>
          </w:p>
        </w:tc>
      </w:tr>
      <w:tr>
        <w:tc>
          <w:tcPr>
            <w:tcW w:w="0" w:type="auto"/>
          </w:tcPr>
          <w:p>
            <w:pPr>
              <w:spacing w:line="240" w:lineRule="auto" w:before="0" w:after="0"/>
              <w:pStyle w:val="Compact"/>
            </w:pPr>
            <w:r>
              <w:rPr>
                <w:sz w:val="20"/>
                <w:szCs w:val="20"/>
              </w:rPr>
              <w:t xml:space="preserve">NM_2018</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2018 Annual Compendium; Spaceport America FAA Part 420 license</w:t>
            </w:r>
          </w:p>
        </w:tc>
      </w:tr>
      <w:tr>
        <w:tc>
          <w:tcPr>
            <w:tcW w:w="0" w:type="auto"/>
          </w:tcPr>
          <w:p>
            <w:pPr>
              <w:spacing w:line="240" w:lineRule="auto" w:before="0" w:after="0"/>
              <w:pStyle w:val="Compact"/>
            </w:pPr>
            <w:r>
              <w:rPr>
                <w:sz w:val="20"/>
                <w:szCs w:val="20"/>
              </w:rPr>
              <w:t xml:space="preserve">NM_2019</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2019 Annual Compendium</w:t>
            </w:r>
          </w:p>
        </w:tc>
      </w:tr>
      <w:tr>
        <w:tc>
          <w:tcPr>
            <w:tcW w:w="0" w:type="auto"/>
          </w:tcPr>
          <w:p>
            <w:pPr>
              <w:spacing w:line="240" w:lineRule="auto" w:before="0" w:after="0"/>
              <w:pStyle w:val="Compact"/>
            </w:pPr>
            <w:r>
              <w:rPr>
                <w:sz w:val="20"/>
                <w:szCs w:val="20"/>
              </w:rPr>
              <w:t xml:space="preserve">NM_2020</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2020 Annual Compendium</w:t>
            </w:r>
          </w:p>
        </w:tc>
      </w:tr>
      <w:tr>
        <w:tc>
          <w:tcPr>
            <w:tcW w:w="0" w:type="auto"/>
          </w:tcPr>
          <w:p>
            <w:pPr>
              <w:spacing w:line="240" w:lineRule="auto" w:before="0" w:after="0"/>
              <w:pStyle w:val="Compact"/>
            </w:pPr>
            <w:r>
              <w:rPr>
                <w:sz w:val="20"/>
                <w:szCs w:val="20"/>
              </w:rPr>
              <w:t xml:space="preserve">NM_2021</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FAA AST 2021 Annual Compendium (Virgin Galactic Unity-22)</w:t>
            </w:r>
          </w:p>
        </w:tc>
      </w:tr>
      <w:tr>
        <w:tc>
          <w:tcPr>
            <w:tcW w:w="0" w:type="auto"/>
          </w:tcPr>
          <w:p>
            <w:pPr>
              <w:spacing w:line="240" w:lineRule="auto" w:before="0" w:after="0"/>
              <w:pStyle w:val="Compact"/>
            </w:pPr>
            <w:r>
              <w:rPr>
                <w:sz w:val="20"/>
                <w:szCs w:val="20"/>
              </w:rPr>
              <w:t xml:space="preserve">NM_2022</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Year in Review</w:t>
            </w:r>
          </w:p>
        </w:tc>
      </w:tr>
      <w:tr>
        <w:tc>
          <w:tcPr>
            <w:tcW w:w="0" w:type="auto"/>
          </w:tcPr>
          <w:p>
            <w:pPr>
              <w:spacing w:line="240" w:lineRule="auto" w:before="0" w:after="0"/>
              <w:pStyle w:val="Compact"/>
            </w:pPr>
            <w:r>
              <w:rPr>
                <w:sz w:val="20"/>
                <w:szCs w:val="20"/>
              </w:rPr>
              <w:t xml:space="preserve">NM_2023</w:t>
            </w:r>
          </w:p>
        </w:tc>
        <w:tc>
          <w:tcPr>
            <w:tcW w:w="0" w:type="auto"/>
          </w:tcPr>
          <w:p>
            <w:pPr>
              <w:spacing w:line="240" w:lineRule="auto" w:before="0" w:after="0"/>
              <w:pStyle w:val="Compact"/>
            </w:pPr>
            <w:r>
              <w:rPr>
                <w:sz w:val="20"/>
                <w:szCs w:val="20"/>
              </w:rPr>
              <w:t xml:space="preserve">NM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FAA AST 2023 Year in Review</w:t>
            </w:r>
          </w:p>
        </w:tc>
      </w:tr>
      <w:tr>
        <w:tc>
          <w:tcPr>
            <w:tcW w:w="0" w:type="auto"/>
          </w:tcPr>
          <w:p>
            <w:pPr>
              <w:spacing w:line="240" w:lineRule="auto" w:before="0" w:after="0"/>
              <w:pStyle w:val="Compact"/>
            </w:pPr>
            <w:r>
              <w:rPr>
                <w:sz w:val="20"/>
                <w:szCs w:val="20"/>
              </w:rPr>
              <w:t xml:space="preserve">OK_2022</w:t>
            </w:r>
          </w:p>
        </w:tc>
        <w:tc>
          <w:tcPr>
            <w:tcW w:w="0" w:type="auto"/>
          </w:tcPr>
          <w:p>
            <w:pPr>
              <w:spacing w:line="240" w:lineRule="auto" w:before="0" w:after="0"/>
              <w:pStyle w:val="Compact"/>
            </w:pPr>
            <w:r>
              <w:rPr>
                <w:sz w:val="20"/>
                <w:szCs w:val="20"/>
              </w:rPr>
              <w:t xml:space="preserve">OK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Year in Review; Oklahoma Air &amp; Space Port (Burns Flat) FAA license [illustrative zero-cadence confirmation]</w:t>
            </w:r>
          </w:p>
        </w:tc>
      </w:tr>
      <w:tr>
        <w:tc>
          <w:tcPr>
            <w:tcW w:w="0" w:type="auto"/>
          </w:tcPr>
          <w:p>
            <w:pPr>
              <w:spacing w:line="240" w:lineRule="auto" w:before="0" w:after="0"/>
              <w:pStyle w:val="Compact"/>
            </w:pPr>
            <w:r>
              <w:rPr>
                <w:sz w:val="20"/>
                <w:szCs w:val="20"/>
              </w:rPr>
              <w:t xml:space="preserve">GA_2022</w:t>
            </w:r>
          </w:p>
        </w:tc>
        <w:tc>
          <w:tcPr>
            <w:tcW w:w="0" w:type="auto"/>
          </w:tcPr>
          <w:p>
            <w:pPr>
              <w:spacing w:line="240" w:lineRule="auto" w:before="0" w:after="0"/>
              <w:pStyle w:val="Compact"/>
            </w:pPr>
            <w:r>
              <w:rPr>
                <w:sz w:val="20"/>
                <w:szCs w:val="20"/>
              </w:rPr>
              <w:t xml:space="preserve">GA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Year in Review; Spaceport Camden license denial 2022</w:t>
            </w:r>
          </w:p>
        </w:tc>
      </w:tr>
      <w:tr>
        <w:tc>
          <w:tcPr>
            <w:tcW w:w="0" w:type="auto"/>
          </w:tcPr>
          <w:p>
            <w:pPr>
              <w:spacing w:line="240" w:lineRule="auto" w:before="0" w:after="0"/>
              <w:pStyle w:val="Compact"/>
            </w:pPr>
            <w:r>
              <w:rPr>
                <w:sz w:val="20"/>
                <w:szCs w:val="20"/>
              </w:rPr>
              <w:t xml:space="preserve">CO_2022</w:t>
            </w:r>
          </w:p>
        </w:tc>
        <w:tc>
          <w:tcPr>
            <w:tcW w:w="0" w:type="auto"/>
          </w:tcPr>
          <w:p>
            <w:pPr>
              <w:spacing w:line="240" w:lineRule="auto" w:before="0" w:after="0"/>
              <w:pStyle w:val="Compact"/>
            </w:pPr>
            <w:r>
              <w:rPr>
                <w:sz w:val="20"/>
                <w:szCs w:val="20"/>
              </w:rPr>
              <w:t xml:space="preserve">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Year in Review; Colorado Air &amp; Space Port FAA license</w:t>
            </w:r>
          </w:p>
        </w:tc>
      </w:tr>
    </w:tbl>
    <w:bookmarkEnd w:id="190"/>
    <w:bookmarkStart w:id="19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log_launches_p1</w:t>
            </w:r>
          </w:p>
        </w:tc>
        <w:tc>
          <w:tcPr>
            <w:tcW w:w="0" w:type="auto"/>
          </w:tcPr>
          <w:p>
            <w:pPr>
              <w:spacing w:line="240" w:lineRule="auto" w:before="0" w:after="0"/>
              <w:pStyle w:val="Compact"/>
            </w:pPr>
            <w:r>
              <w:rPr>
                <w:sz w:val="20"/>
                <w:szCs w:val="20"/>
              </w:rPr>
              <w:t xml:space="preserve">Natural logarithm of one plus the count of FAA-attributed orbital and suborbital launches from sites in the state in the year</w:t>
            </w:r>
          </w:p>
        </w:tc>
        <w:tc>
          <w:tcPr>
            <w:tcW w:w="0" w:type="auto"/>
          </w:tcPr>
          <w:p>
            <w:pPr>
              <w:spacing w:line="240" w:lineRule="auto" w:before="0" w:after="0"/>
              <w:pStyle w:val="Compact"/>
            </w:pPr>
            <w:r>
              <w:rPr>
                <w:sz w:val="20"/>
                <w:szCs w:val="20"/>
              </w:rPr>
              <w:t xml:space="preserve">FAA AST Annual Compendium of Commercial Space Transportation (2018-2021); FAA AST U.S. Commercial Space Transportation Year in Review (2022-2023)</w:t>
            </w:r>
          </w:p>
        </w:tc>
      </w:tr>
      <w:tr>
        <w:tc>
          <w:tcPr>
            <w:tcW w:w="0" w:type="auto"/>
          </w:tcPr>
          <w:p>
            <w:pPr>
              <w:spacing w:line="240" w:lineRule="auto" w:before="0" w:after="0"/>
              <w:pStyle w:val="Compact"/>
            </w:pPr>
            <w:r>
              <w:rPr>
                <w:sz w:val="20"/>
                <w:szCs w:val="20"/>
              </w:rPr>
              <w:t xml:space="preserve">licensed_sites</w:t>
            </w:r>
          </w:p>
        </w:tc>
        <w:tc>
          <w:tcPr>
            <w:tcW w:w="0" w:type="auto"/>
          </w:tcPr>
          <w:p>
            <w:pPr>
              <w:spacing w:line="240" w:lineRule="auto" w:before="0" w:after="0"/>
              <w:pStyle w:val="Compact"/>
            </w:pPr>
            <w:r>
              <w:rPr>
                <w:sz w:val="20"/>
                <w:szCs w:val="20"/>
              </w:rPr>
              <w:t xml:space="preserve">Count of FAA Part 420 licensed launch sites active in the state in the observation year</w:t>
            </w:r>
          </w:p>
        </w:tc>
        <w:tc>
          <w:tcPr>
            <w:tcW w:w="0" w:type="auto"/>
          </w:tcPr>
          <w:p>
            <w:pPr>
              <w:spacing w:line="240" w:lineRule="auto" w:before="0" w:after="0"/>
              <w:pStyle w:val="Compact"/>
            </w:pPr>
            <w:r>
              <w:rPr>
                <w:sz w:val="20"/>
                <w:szCs w:val="20"/>
              </w:rPr>
              <w:t xml:space="preserve">FAA AST Licensed Launch Sites list; FAA Part 420 site-license records</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Indicator equal to one if the state hosts at least one licensed site with overwater downrange azimuths on a coast, zero otherwise</w:t>
            </w:r>
          </w:p>
        </w:tc>
        <w:tc>
          <w:tcPr>
            <w:tcW w:w="0" w:type="auto"/>
          </w:tcPr>
          <w:p>
            <w:pPr>
              <w:spacing w:line="240" w:lineRule="auto" w:before="0" w:after="0"/>
              <w:pStyle w:val="Compact"/>
            </w:pPr>
            <w:r>
              <w:rPr>
                <w:sz w:val="20"/>
                <w:szCs w:val="20"/>
              </w:rPr>
              <w:t xml:space="preserve">FAA AST site descriptions; site operator charters</w:t>
            </w:r>
          </w:p>
        </w:tc>
      </w:tr>
      <w:tr>
        <w:tc>
          <w:tcPr>
            <w:tcW w:w="0" w:type="auto"/>
          </w:tcPr>
          <w:p>
            <w:pPr>
              <w:spacing w:line="240" w:lineRule="auto" w:before="0" w:after="0"/>
              <w:pStyle w:val="Compact"/>
            </w:pPr>
            <w:r>
              <w:rPr>
                <w:sz w:val="20"/>
                <w:szCs w:val="20"/>
              </w:rPr>
              <w:t xml:space="preserve">prior_federal_range</w:t>
            </w:r>
          </w:p>
        </w:tc>
        <w:tc>
          <w:tcPr>
            <w:tcW w:w="0" w:type="auto"/>
          </w:tcPr>
          <w:p>
            <w:pPr>
              <w:spacing w:line="240" w:lineRule="auto" w:before="0" w:after="0"/>
              <w:pStyle w:val="Compact"/>
            </w:pPr>
            <w:r>
              <w:rPr>
                <w:sz w:val="20"/>
                <w:szCs w:val="20"/>
              </w:rPr>
              <w:t xml:space="preserve">Indicator equal to one if the state hosts a licensed site co-located with a pre-existing federal launch range (CCSFS, Vandenberg SFB, Wallops Flight Facility, Kodiak), zero otherwise</w:t>
            </w:r>
          </w:p>
        </w:tc>
        <w:tc>
          <w:tcPr>
            <w:tcW w:w="0" w:type="auto"/>
          </w:tcPr>
          <w:p>
            <w:pPr>
              <w:spacing w:line="240" w:lineRule="auto" w:before="0" w:after="0"/>
              <w:pStyle w:val="Compact"/>
            </w:pPr>
            <w:r>
              <w:rPr>
                <w:sz w:val="20"/>
                <w:szCs w:val="20"/>
              </w:rPr>
              <w:t xml:space="preserve">FAA AST records; range-operator memoranda of agreement</w:t>
            </w:r>
          </w:p>
        </w:tc>
      </w:tr>
      <w:tr>
        <w:tc>
          <w:tcPr>
            <w:tcW w:w="0" w:type="auto"/>
          </w:tcPr>
          <w:p>
            <w:pPr>
              <w:spacing w:line="240" w:lineRule="auto" w:before="0" w:after="0"/>
              <w:pStyle w:val="Compact"/>
            </w:pPr>
            <w:r>
              <w:rPr>
                <w:sz w:val="20"/>
                <w:szCs w:val="20"/>
              </w:rPr>
              <w:t xml:space="preserve">launches_per_year</w:t>
            </w:r>
          </w:p>
        </w:tc>
        <w:tc>
          <w:tcPr>
            <w:tcW w:w="0" w:type="auto"/>
          </w:tcPr>
          <w:p>
            <w:pPr>
              <w:spacing w:line="240" w:lineRule="auto" w:before="0" w:after="0"/>
              <w:pStyle w:val="Compact"/>
            </w:pPr>
            <w:r>
              <w:rPr>
                <w:sz w:val="20"/>
                <w:szCs w:val="20"/>
              </w:rPr>
              <w:t xml:space="preserve">Raw count of FAA-attributed orbital and suborbital launches from sites in the state in the year, used to construct the dependent variable</w:t>
            </w:r>
          </w:p>
        </w:tc>
        <w:tc>
          <w:tcPr>
            <w:tcW w:w="0" w:type="auto"/>
          </w:tcPr>
          <w:p>
            <w:pPr>
              <w:spacing w:line="240" w:lineRule="auto" w:before="0" w:after="0"/>
              <w:pStyle w:val="Compact"/>
            </w:pPr>
            <w:r>
              <w:rPr>
                <w:sz w:val="20"/>
                <w:szCs w:val="20"/>
              </w:rPr>
              <w:t xml:space="preserve">Same as log_launches_p1</w:t>
            </w:r>
          </w:p>
        </w:tc>
      </w:tr>
    </w:tbl>
    <w:bookmarkEnd w:id="191"/>
    <w:bookmarkEnd w:id="192"/>
    <w:bookmarkEnd w:id="1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8" Type="http://schemas.openxmlformats.org/officeDocument/2006/relationships/image" Target="media/rId178.png"/><Relationship Id="rId186" Type="http://schemas.openxmlformats.org/officeDocument/2006/relationships/image" Target="media/rId186.png"/><Relationship Id="rId161" Type="http://schemas.openxmlformats.org/officeDocument/2006/relationships/hyperlink" Target="https://doi.org/10.1016/j.actaastro.2018.08.014" TargetMode="External"/><Relationship Id="rId166" Type="http://schemas.openxmlformats.org/officeDocument/2006/relationships/hyperlink" Target="https://doi.org/10.1016/j.actaastro.2021.06.017" TargetMode="External"/><Relationship Id="rId151" Type="http://schemas.openxmlformats.org/officeDocument/2006/relationships/hyperlink" Target="https://doi.org/10.1016/j.actaastro.2023.07.009" TargetMode="External"/><Relationship Id="rId172" Type="http://schemas.openxmlformats.org/officeDocument/2006/relationships/hyperlink" Target="https://doi.org/10.1016/j.actaastro.2023.12.060" TargetMode="External"/><Relationship Id="rId148" Type="http://schemas.openxmlformats.org/officeDocument/2006/relationships/hyperlink" Target="https://doi.org/10.1016/j.actaastro.2024.05.009" TargetMode="External"/><Relationship Id="rId146" Type="http://schemas.openxmlformats.org/officeDocument/2006/relationships/hyperlink" Target="https://doi.org/10.1016/j.actaastro.2024.09.005" TargetMode="External"/><Relationship Id="rId170" Type="http://schemas.openxmlformats.org/officeDocument/2006/relationships/hyperlink" Target="https://doi.org/10.1016/j.actaastro.2024.09.011" TargetMode="External"/><Relationship Id="rId163" Type="http://schemas.openxmlformats.org/officeDocument/2006/relationships/hyperlink" Target="https://doi.org/10.1016/j.actaastro.2024.11.029" TargetMode="External"/><Relationship Id="rId174" Type="http://schemas.openxmlformats.org/officeDocument/2006/relationships/hyperlink" Target="https://doi.org/10.1016/j.actaastro.2026.01.045" TargetMode="External"/><Relationship Id="rId168" Type="http://schemas.openxmlformats.org/officeDocument/2006/relationships/hyperlink" Target="https://doi.org/10.1016/j.actaastro.2026.05.056" TargetMode="External"/><Relationship Id="rId140" Type="http://schemas.openxmlformats.org/officeDocument/2006/relationships/hyperlink" Target="https://doi.org/10.64861/KYFU6858" TargetMode="External"/></Relationships>
</file>

<file path=word/_rels/footnotes.xml.rels><?xml version='1.0' encoding='UTF-8' standalone='yes'?>
<Relationships xmlns="http://schemas.openxmlformats.org/package/2006/relationships"><Relationship Id="rId161" Type="http://schemas.openxmlformats.org/officeDocument/2006/relationships/hyperlink" Target="https://doi.org/10.1016/j.actaastro.2018.08.014" TargetMode="External"/><Relationship Id="rId166" Type="http://schemas.openxmlformats.org/officeDocument/2006/relationships/hyperlink" Target="https://doi.org/10.1016/j.actaastro.2021.06.017" TargetMode="External"/><Relationship Id="rId151" Type="http://schemas.openxmlformats.org/officeDocument/2006/relationships/hyperlink" Target="https://doi.org/10.1016/j.actaastro.2023.07.009" TargetMode="External"/><Relationship Id="rId172" Type="http://schemas.openxmlformats.org/officeDocument/2006/relationships/hyperlink" Target="https://doi.org/10.1016/j.actaastro.2023.12.060" TargetMode="External"/><Relationship Id="rId148" Type="http://schemas.openxmlformats.org/officeDocument/2006/relationships/hyperlink" Target="https://doi.org/10.1016/j.actaastro.2024.05.009" TargetMode="External"/><Relationship Id="rId146" Type="http://schemas.openxmlformats.org/officeDocument/2006/relationships/hyperlink" Target="https://doi.org/10.1016/j.actaastro.2024.09.005" TargetMode="External"/><Relationship Id="rId170" Type="http://schemas.openxmlformats.org/officeDocument/2006/relationships/hyperlink" Target="https://doi.org/10.1016/j.actaastro.2024.09.011" TargetMode="External"/><Relationship Id="rId163" Type="http://schemas.openxmlformats.org/officeDocument/2006/relationships/hyperlink" Target="https://doi.org/10.1016/j.actaastro.2024.11.029" TargetMode="External"/><Relationship Id="rId174" Type="http://schemas.openxmlformats.org/officeDocument/2006/relationships/hyperlink" Target="https://doi.org/10.1016/j.actaastro.2026.01.045" TargetMode="External"/><Relationship Id="rId168" Type="http://schemas.openxmlformats.org/officeDocument/2006/relationships/hyperlink" Target="https://doi.org/10.1016/j.actaastro.2026.05.056" TargetMode="External"/><Relationship Id="rId140" Type="http://schemas.openxmlformats.org/officeDocument/2006/relationships/hyperlink" Target="https://doi.org/10.64861/KYFU68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Spaceport Capital Stock and Cadence: Does Launch-Site Licensing Predict Regional Launch Activity?</dc:title>
  <dc:creator>Delia Patel (1B-INF-101)</dc:creator>
  <cp:keywords/>
  <dcterms:created xsi:type="dcterms:W3CDTF">2026-07-02T17:02:10Z</dcterms:created>
  <dcterms:modified xsi:type="dcterms:W3CDTF">2026-07-02T17:02:10Z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