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FIVE-YEAR DEORBIT RULE: DID THE FCC ORBITAL-DEBRIS ORDER CHANGE OPERATOR DISPOSAL BEHAVIOR?</w:t>
      </w:r>
    </w:p>
    <w:p>
      <w:pPr>
        <w:jc w:val="center"/>
      </w:pPr>
    </w:p>
    <w:p>
      <w:pPr>
        <w:jc w:val="center"/>
      </w:pPr>
      <w:r>
        <w:rPr>
          <w:rFonts w:ascii="Times New Roman" w:hAnsi="Times New Roman"/>
          <w:sz w:val="24"/>
        </w:rPr>
        <w:t>by</w:t>
      </w:r>
    </w:p>
    <w:p>
      <w:pPr>
        <w:jc w:val="center"/>
      </w:pPr>
      <w:r>
        <w:rPr>
          <w:rFonts w:ascii="Times New Roman" w:hAnsi="Times New Roman"/>
          <w:b/>
          <w:sz w:val="28"/>
        </w:rPr>
        <w:t>Gabriel Delgado</w:t>
      </w:r>
    </w:p>
    <w:p>
      <w:pPr>
        <w:jc w:val="center"/>
      </w:pPr>
      <w:r>
        <w:rPr>
          <w:rFonts w:ascii="Times New Roman" w:hAnsi="Times New Roman"/>
          <w:sz w:val="24"/>
        </w:rPr>
        <w:t>1B-INF-117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Whether low Earth orbit (LEO) remains usable over the long run turns on a simple balance: how fast defunct objects are removed against how fast new ones are added [2, 9]. For roughly three decades that balance has been managed informally, through a twenty-five-year post-mission disposal (PMD) guideline that the Inter-Agency Space Debris Coordination Committee promulgated and that national licensing practice absorbed by reference rather than through binding domestic regulation [2, 4]. What the empirical record shows about that guideline is unflattering. Compliance clusters low, and it clusters at the lowest altitudes, where natural atmospheric drag pulls objects down on the relevant timescale without any operator effort at all. Higher up, where satisfying the guideline would demand active disposal, compliance falls away quickly [2, 10]. Pardini and Anselmo’s flux-based criticality assessments sharpen the picture: the altitude shells most exposed to long-residence debris are precisely the shells where the twenty-five-year guideline is not naturally met and where operators have complied least</w:t>
      </w:r>
      <w:r>
        <w:t xml:space="preserve"> </w:t>
      </w:r>
      <w:hyperlink w:anchor="ref-10">
        <w:r>
          <w:rPr>
            <w:rStyle w:val="Hyperlink"/>
          </w:rPr>
          <w:t xml:space="preserve">[10]</w:t>
        </w:r>
      </w:hyperlink>
      <w:r>
        <w:t xml:space="preserve">. So the environment has accumulated a stock of long-lived objects that raises collision risk for crewed and uncrewed missions alike, objects whose removal would require an active intervention that no current legal instrument compels [2, 9, 10].</w:t>
      </w:r>
    </w:p>
    <w:p>
      <w:pPr>
        <w:pStyle w:val="BodyText"/>
        <w:spacing w:line="480" w:lineRule="auto"/>
        <w:ind w:firstLine="720"/>
      </w:pPr>
      <w:r>
        <w:t xml:space="preserve">That informal arrangement changed in September 2022, when the Federal Communications Commission (FCC) adopted the Second Report and Order in its proceeding on Mitigation of Orbital Debris in the New Space Age, known as FCC 22-74 [4, 6]. The order cut the PMD window for LEO space stations licensed or market-accessed through the United States from twenty-five years to five. Because it reaches both U.S.-licensed satellites and non-U.S. satellites seeking U.S. market access, the instrument touches a large share of globally licensed LEO traffic</w:t>
      </w:r>
      <w:r>
        <w:t xml:space="preserve"> </w:t>
      </w:r>
      <w:hyperlink w:anchor="ref-4">
        <w:r>
          <w:rPr>
            <w:rStyle w:val="Hyperlink"/>
          </w:rPr>
          <w:t xml:space="preserve">[4]</w:t>
        </w:r>
      </w:hyperlink>
      <w:r>
        <w:t xml:space="preserve">. It is, in short, the first national instrument to tighten the disposal clock materially against the international guideline. Does it work? Whether it actually moves operator disposal behavior, as opposed to moving the paper compliance plans operators file at license stage, is an empirical question the literature has not answered with post-rule data.</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Mission planners and safety engineers at the National Aeronautics and Space Administration (NASA) and the Jet Propulsion Laboratory (JPL) feel this question first, because their architectures, conjunction-screening operations, and lifecycle disposal commitments are all calibrated against assumptions about how the orbital environment behaves over the next two decades. Conjunction screening for NASA spacecraft in LEO, for the International Space Station, and for crewed lunar-transit elements that pass through LEO all runs against a catalog whose forward growth rate depends on disposal compliance [2, 9, 10]. JPL deep-space missions egress LEO and depend on the same environment for a safe injection. Should the FCC five-year rule bind, mission designers face a long-run collision-risk trajectory more benign than the twenty-five-year baseline implies, and the design margin reserved for shielding, conjunction maneuver propellant, and end-of-mission disposal can be reallocated. Should it not bind, LEO continues on its prior trajectory and that margin must be held or expanded. None of this is academic. It flows straight into propellant budgets, shielding mass, mission-assurance reserves, and architecture-level judgments about whether a given LEO acquisition is sized for a degrading environment or a stabilizing one.</w:t>
      </w:r>
    </w:p>
    <w:p>
      <w:pPr>
        <w:pStyle w:val="BodyText"/>
        <w:spacing w:line="480" w:lineRule="auto"/>
        <w:ind w:firstLine="720"/>
      </w:pPr>
      <w:r>
        <w:t xml:space="preserve">Beyond mission design, the question reaches the policy-advisory work NASA and JPL provide to the wider interagency. NASA feeds technical inputs into U.S. positions at the Inter-Agency Space Debris Coordination Committee and at the United Nations Committee on the Peaceful Uses of Outer Space, and JPL supports civil-space policy across several federal sponsors. Both are asked, routinely, whether national disposal rules can be expected to bind on operators whose primary regulatory exposure is commercial. Anti-satellite tests</w:t>
      </w:r>
      <w:r>
        <w:t xml:space="preserve"> </w:t>
      </w:r>
      <w:hyperlink w:anchor="ref-11">
        <w:r>
          <w:rPr>
            <w:rStyle w:val="Hyperlink"/>
          </w:rPr>
          <w:t xml:space="preserve">[11]</w:t>
        </w:r>
      </w:hyperlink>
      <w:r>
        <w:t xml:space="preserve">, constellation buildouts [12, 13], and the proliferation of small and very small spacecraft</w:t>
      </w:r>
      <w:r>
        <w:t xml:space="preserve"> </w:t>
      </w:r>
      <w:hyperlink w:anchor="ref-20">
        <w:r>
          <w:rPr>
            <w:rStyle w:val="Hyperlink"/>
          </w:rPr>
          <w:t xml:space="preserve">[20]</w:t>
        </w:r>
      </w:hyperlink>
      <w:r>
        <w:t xml:space="preserve"> </w:t>
      </w:r>
      <w:r>
        <w:t xml:space="preserve">each shift the population baseline against which any disposal rule has to operate. If the binding question resolves yes, a wider class of orbit-use instruments, orbit-use fees, size caps, licensing conditions, can be calibrated against a tractable behavioral elasticity [1, 8]. If it resolves no, the debate must redirect toward active debris removal</w:t>
      </w:r>
      <w:r>
        <w:t xml:space="preserve"> </w:t>
      </w:r>
      <w:hyperlink w:anchor="ref-23">
        <w:r>
          <w:rPr>
            <w:rStyle w:val="Hyperlink"/>
          </w:rPr>
          <w:t xml:space="preserve">[23]</w:t>
        </w:r>
      </w:hyperlink>
      <w:r>
        <w:t xml:space="preserve">, directed-energy deorbit</w:t>
      </w:r>
      <w:r>
        <w:t xml:space="preserve"> </w:t>
      </w:r>
      <w:hyperlink w:anchor="ref-24">
        <w:r>
          <w:rPr>
            <w:rStyle w:val="Hyperlink"/>
          </w:rPr>
          <w:t xml:space="preserve">[24]</w:t>
        </w:r>
      </w:hyperlink>
      <w:r>
        <w:t xml:space="preserve">, or passive sail and tether removal [19, 25, 26], each carrying a higher unit cost than a binding licensing rule. The empirical answer bears directly, then, on which side of the active-versus-passive debate NASA and JPL should advise the policy community to fund.</w:t>
      </w:r>
    </w:p>
    <w:p>
      <w:pPr>
        <w:pStyle w:val="BodyText"/>
        <w:spacing w:line="480" w:lineRule="auto"/>
        <w:ind w:firstLine="720"/>
      </w:pPr>
      <w:r>
        <w:t xml:space="preserve">There is an institutional stake as well. U.S. commercial space regulation is divided across three principal regulators, an arrangement often called the rule of three</w:t>
      </w:r>
      <w:r>
        <w:t xml:space="preserve"> </w:t>
      </w:r>
      <w:hyperlink w:anchor="ref-14">
        <w:r>
          <w:rPr>
            <w:rStyle w:val="Hyperlink"/>
          </w:rPr>
          <w:t xml:space="preserve">[14]</w:t>
        </w:r>
      </w:hyperlink>
      <w:r>
        <w:t xml:space="preserve">. Spectrum and market access sit with the FCC, launch and reentry with the Federal Aviation Administration, and remote sensing and, increasingly, traffic-coordination services with the Department of Commerce. Of every domestic disposal instrument adopted under that architecture, the FCC five-year rule is the most consequential. Any future congressional or executive review of the rule of three will cite a rigorous post-rule evaluation, and the absence of one leaves the architecture open to revision on assertion rather than evidence.</w:t>
      </w:r>
    </w:p>
    <w:bookmarkEnd w:id="62"/>
    <w:bookmarkStart w:id="63" w:name="Xc62ede85bd5621e73677262dd034e644aa66523"/>
    <w:p>
      <w:pPr>
        <w:pStyle w:val="Heading2"/>
        <w:spacing w:line="480" w:lineRule="auto"/>
      </w:pPr>
      <w:r>
        <w:t xml:space="preserve">1.3 The Gap Between Domain Literature and Econometric Method Literature</w:t>
      </w:r>
    </w:p>
    <w:p>
      <w:pPr>
        <w:pStyle w:val="FirstParagraph"/>
        <w:spacing w:line="480" w:lineRule="auto"/>
      </w:pPr>
      <w:r>
        <w:t xml:space="preserve">Two literatures bear on the question, and they rarely meet. One is the space domain literature: orbital mechanics, debris-environment modeling, traffic management, policy commentary. The other is the econometric causal-inference literature, which supplies the methods for estimating a policy intervention’s behavioral effect from observational data.</w:t>
      </w:r>
    </w:p>
    <w:p>
      <w:pPr>
        <w:pStyle w:val="BodyText"/>
        <w:spacing w:line="480" w:lineRule="auto"/>
        <w:ind w:firstLine="720"/>
      </w:pPr>
      <w:r>
        <w:t xml:space="preserve">Population-level facts come from the domain literature, but a regulatory effect does not. Colombo and coauthors frame disposal compliance in terms of orbital carrying capacity and identify adherence to PMD as one of the largest controllable inputs to long-run environmental outcomes [2, 9]. Pardini and Anselmo supply the flux-based justification for stratifying any analysis by altitude band, since the natural-removal channel dominates at the lowest altitudes and would mechanically wash out any regulatory signal if pooled across the full LEO regime</w:t>
      </w:r>
      <w:r>
        <w:t xml:space="preserve"> </w:t>
      </w:r>
      <w:hyperlink w:anchor="ref-10">
        <w:r>
          <w:rPr>
            <w:rStyle w:val="Hyperlink"/>
          </w:rPr>
          <w:t xml:space="preserve">[10]</w:t>
        </w:r>
      </w:hyperlink>
      <w:r>
        <w:t xml:space="preserve">. Wu and colleagues, working on temporal analysis of sustainability policies, offer a forward-looking simulation of the population-level consequences of disposal-compliance shifts</w:t>
      </w:r>
      <w:r>
        <w:t xml:space="preserve"> </w:t>
      </w:r>
      <w:hyperlink w:anchor="ref-12">
        <w:r>
          <w:rPr>
            <w:rStyle w:val="Hyperlink"/>
          </w:rPr>
          <w:t xml:space="preserve">[12]</w:t>
        </w:r>
      </w:hyperlink>
      <w:r>
        <w:t xml:space="preserve">. Not one of these papers estimates a behavioral parameter from realized post-rule data. The policy commentary sits on the same line. Stilwell and coauthors treat orbital classification and operator licensure as an emerging governance frontier without estimating operator response to any specific rule</w:t>
      </w:r>
      <w:r>
        <w:t xml:space="preserve"> </w:t>
      </w:r>
      <w:hyperlink w:anchor="ref-7">
        <w:r>
          <w:rPr>
            <w:rStyle w:val="Hyperlink"/>
          </w:rPr>
          <w:t xml:space="preserve">[7]</w:t>
        </w:r>
      </w:hyperlink>
      <w:r>
        <w:t xml:space="preserve">. Goehring describes the rule-of-three architecture in which the FCC instrument is embedded but does not test whether that instrument binds</w:t>
      </w:r>
      <w:r>
        <w:t xml:space="preserve"> </w:t>
      </w:r>
      <w:hyperlink w:anchor="ref-14">
        <w:r>
          <w:rPr>
            <w:rStyle w:val="Hyperlink"/>
          </w:rPr>
          <w:t xml:space="preserve">[14]</w:t>
        </w:r>
      </w:hyperlink>
      <w:r>
        <w:t xml:space="preserve">. Allison documents the international spectrum-and-licensing context around the FCC</w:t>
      </w:r>
      <w:r>
        <w:t xml:space="preserve"> </w:t>
      </w:r>
      <w:hyperlink w:anchor="ref-15">
        <w:r>
          <w:rPr>
            <w:rStyle w:val="Hyperlink"/>
          </w:rPr>
          <w:t xml:space="preserve">[15]</w:t>
        </w:r>
      </w:hyperlink>
      <w:r>
        <w:t xml:space="preserve">. Verspieren, examining compliance with the orbital-debris mitigation standard practices in a U.S. Air Force context, offers the closest precedent for compliance evaluation, though the unit of analysis is government-sector behavior under a separate institutional regime</w:t>
      </w:r>
      <w:r>
        <w:t xml:space="preserve"> </w:t>
      </w:r>
      <w:hyperlink w:anchor="ref-17">
        <w:r>
          <w:rPr>
            <w:rStyle w:val="Hyperlink"/>
          </w:rPr>
          <w:t xml:space="preserve">[17]</w:t>
        </w:r>
      </w:hyperlink>
      <w:r>
        <w:t xml:space="preserve">. Chandramouli and Shockley run a sensitivity analysis of disposal-lifetime collision-probability estimates inside a single operator’s planning framework, again short of a regulatory-effect estimate</w:t>
      </w:r>
      <w:r>
        <w:t xml:space="preserve"> </w:t>
      </w:r>
      <w:hyperlink w:anchor="ref-18">
        <w:r>
          <w:rPr>
            <w:rStyle w:val="Hyperlink"/>
          </w:rPr>
          <w:t xml:space="preserve">[18]</w:t>
        </w:r>
      </w:hyperlink>
      <w:r>
        <w:t xml:space="preserve">. Reed and coauthors propose a blockchain-enabled traffic-awareness architecture that could underpin compliance monitoring without itself estimating compliance</w:t>
      </w:r>
      <w:r>
        <w:t xml:space="preserve"> </w:t>
      </w:r>
      <w:hyperlink w:anchor="ref-16">
        <w:r>
          <w:rPr>
            <w:rStyle w:val="Hyperlink"/>
          </w:rPr>
          <w:t xml:space="preserve">[16]</w:t>
        </w:r>
      </w:hyperlink>
      <w:r>
        <w:t xml:space="preserve">. Degen and coauthors, working on retroreflector coatings, note in passing that the five-year rule has begun to align operator timelines with broader sky-preservation objectives, but that observation stays qualitative [3, 21]. And the thermite-for-demise</w:t>
      </w:r>
      <w:r>
        <w:t xml:space="preserve"> </w:t>
      </w:r>
      <w:hyperlink w:anchor="ref-22">
        <w:r>
          <w:rPr>
            <w:rStyle w:val="Hyperlink"/>
          </w:rPr>
          <w:t xml:space="preserve">[22]</w:t>
        </w:r>
      </w:hyperlink>
      <w:r>
        <w:t xml:space="preserve">, reflective-sail</w:t>
      </w:r>
      <w:r>
        <w:t xml:space="preserve"> </w:t>
      </w:r>
      <w:hyperlink w:anchor="ref-19">
        <w:r>
          <w:rPr>
            <w:rStyle w:val="Hyperlink"/>
          </w:rPr>
          <w:t xml:space="preserve">[19]</w:t>
        </w:r>
      </w:hyperlink>
      <w:r>
        <w:t xml:space="preserve">, drag-sail</w:t>
      </w:r>
      <w:r>
        <w:t xml:space="preserve"> </w:t>
      </w:r>
      <w:hyperlink w:anchor="ref-25">
        <w:r>
          <w:rPr>
            <w:rStyle w:val="Hyperlink"/>
          </w:rPr>
          <w:t xml:space="preserve">[25]</w:t>
        </w:r>
      </w:hyperlink>
      <w:r>
        <w:t xml:space="preserve">, and electrodynamic-tether</w:t>
      </w:r>
      <w:r>
        <w:t xml:space="preserve"> </w:t>
      </w:r>
      <w:hyperlink w:anchor="ref-26">
        <w:r>
          <w:rPr>
            <w:rStyle w:val="Hyperlink"/>
          </w:rPr>
          <w:t xml:space="preserve">[26]</w:t>
        </w:r>
      </w:hyperlink>
      <w:r>
        <w:t xml:space="preserve"> </w:t>
      </w:r>
      <w:r>
        <w:t xml:space="preserve">literatures describe disposal technologies whose adoption would follow a binding regulatory signal without testing the signal.</w:t>
      </w:r>
    </w:p>
    <w:p>
      <w:pPr>
        <w:pStyle w:val="BodyText"/>
        <w:spacing w:line="480" w:lineRule="auto"/>
        <w:ind w:firstLine="720"/>
      </w:pPr>
      <w:r>
        <w:t xml:space="preserve">Turn to the econometric method literature and the situation inverts. A mature toolkit for estimating a policy intervention’s behavioral effect exists there, and none of it has been applied to the FCC five-year rule. Difference-in-differences estimation with a matched control group, event-study tests for pre-trends and post-rule dynamics, Kaplan-Meier and Cox proportional-hazards survival models for right-censored duration outcomes, staggered-adoption estimators that accommodate cohorts whose effective compliance date varies by license action: all are standard. Orbital economics has begun importing the framing of welfare analysis under congestion externalities into the space domain. Guyot, Rao, and Rouillon model an oligopoly of constellation operators and show that non-cooperative behavior depresses welfare and that orbit-use fees or size caps can partly restore it</w:t>
      </w:r>
      <w:r>
        <w:t xml:space="preserve"> </w:t>
      </w:r>
      <w:hyperlink w:anchor="ref-1">
        <w:r>
          <w:rPr>
            <w:rStyle w:val="Hyperlink"/>
          </w:rPr>
          <w:t xml:space="preserve">[1]</w:t>
        </w:r>
      </w:hyperlink>
      <w:r>
        <w:t xml:space="preserve">. Their framework assumes national regulatory levers bind on operator behavior at the welfare-relevant margin, but they never estimate that elasticity from realized data. The Office of the Chief Economist and Adviser forecasting work for the space economy likewise treats regulatory levers as scenario inputs rather than as parameters to be identified</w:t>
      </w:r>
      <w:r>
        <w:t xml:space="preserve"> </w:t>
      </w:r>
      <w:hyperlink w:anchor="ref-8">
        <w:r>
          <w:rPr>
            <w:rStyle w:val="Hyperlink"/>
          </w:rPr>
          <w:t xml:space="preserve">[8]</w:t>
        </w:r>
      </w:hyperlink>
      <w:r>
        <w:t xml:space="preserve">. Young and Thadani, in their Low-Orbit High-Stakes analysis, frame LEO broadband competition in policy-economic terms and single out disposal compliance as a competitive variable, again without estimating it</w:t>
      </w:r>
      <w:r>
        <w:t xml:space="preserve"> </w:t>
      </w:r>
      <w:hyperlink w:anchor="ref-13">
        <w:r>
          <w:rPr>
            <w:rStyle w:val="Hyperlink"/>
          </w:rPr>
          <w:t xml:space="preserve">[13]</w:t>
        </w:r>
      </w:hyperlink>
      <w:r>
        <w:t xml:space="preserve">.</w:t>
      </w:r>
    </w:p>
    <w:p>
      <w:pPr>
        <w:pStyle w:val="BodyText"/>
        <w:spacing w:line="480" w:lineRule="auto"/>
        <w:ind w:firstLine="720"/>
      </w:pPr>
      <w:r>
        <w:t xml:space="preserve">Neither literature is silent. Both speak; neither joins. Population-level facts and policy context live in the domain literature, identification strategy and welfare framing in the method literature, and what no one has produced is a study that applies the second to a domain-grounded specification on post-rule data. This dissertation closes that gap by treating the FCC five-year rule as a quasi-experimental boundary and estimating its behavioral effect on the realized distribution of LEO payload decay times. The contribution is neither a new method nor a new domain observation. It is the deliberate joining of the two, done with enough methodological care that both communities can cite the result.</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One hypothesis, one outcome. One rule, one behavioral question. The outcome is realized time-to-decay, in years, for LEO payloads reaching end of mission, conditional on initial orbital altitude band. Under the null, the FCC five-year rule produced no change in the conditional distribution of realized time-to-decay for treated operators relative to a matched control group of untreated operators, once altitude band and launch epoch are adjusted for. Under the alternative, treated operators show a statistically and economically significant leftward shift in that conditional distribution, consistent with binding compliance against the five-year clock.</w:t>
      </w:r>
    </w:p>
    <w:p>
      <w:pPr>
        <w:pStyle w:val="BodyText"/>
        <w:spacing w:line="480" w:lineRule="auto"/>
        <w:ind w:firstLine="720"/>
      </w:pPr>
      <w:r>
        <w:t xml:space="preserve">Treated operators are those whose U.S. license or U.S. market-access authorization takes effect after the September 2022 trigger of FCC 22-74 [4, 6]. Controls are LEO operators of comparable altitude band, payload mass class, and constellation status whose authorization predates the trigger, or sits solely under a foreign jurisdiction with no equivalent national tightening across the study window. The primary estimand is the average treatment effect on the treated for realized time-to-decay. Two pilot studies in the present program already point the same way: one found shorter realized decay times for treated payloads in a Cox proportional-hazards specification on a small source-traceable sample, and the other found higher operator-year PMD compliance rates in a panel ordinary least squares specification on a short operator panel. Both pilot estimates run in the direction the alternative predicts. This dissertation extends them to a difference-in-differences design with a matched control, event-study leads and lags, a Kaplan-Meier robustness specification, and a Callaway-Sant’Anna staggered-adoption estimator on a larger panel built from public catalogs.</w:t>
      </w:r>
    </w:p>
    <w:p>
      <w:pPr>
        <w:pStyle w:val="BodyText"/>
        <w:spacing w:line="480" w:lineRule="auto"/>
        <w:ind w:firstLine="720"/>
      </w:pPr>
      <w:r>
        <w:t xml:space="preserve">Strict Popperian falsifiability is the point of designing it this way. A failure to reject the null on a properly powered design would not be a null result in the colloquial sense, and it would not be uninformative. It would directly falsify the working assumption in the orbital-economics literature that national disposal rules bind on operator behavior at the welfare-relevant margin [1, 8]. Such a failure would then redirect the policy debate away from licensing-conditions instruments and toward active and passive removal [19, 23, 24, 25, 26]. Either direction of the result is publishable and decision-relevant, which is exactly the property a doctoral falsifiable contribution has to satisfy.</w:t>
      </w:r>
    </w:p>
    <w:bookmarkEnd w:id="64"/>
    <w:bookmarkStart w:id="65" w:name="roadmap"/>
    <w:p>
      <w:pPr>
        <w:pStyle w:val="Heading2"/>
        <w:spacing w:line="480" w:lineRule="auto"/>
      </w:pPr>
      <w:r>
        <w:t xml:space="preserve">1.5 Roadmap</w:t>
      </w:r>
    </w:p>
    <w:p>
      <w:pPr>
        <w:pStyle w:val="FirstParagraph"/>
        <w:spacing w:line="480" w:lineRule="auto"/>
      </w:pPr>
      <w:r>
        <w:t xml:space="preserve">From here the dissertation proceeds as follows. Chapter 2 reviews the domain and method literatures in greater depth, builds the conceptual frame that links a binding licensing instrument to a measurable shift in realized decay times, and locates the contribution within the orbital-economics, capacity-management, and causal-inference traditions. Chapter 3 specifies the identification strategy: it defines treatment and control, develops the difference-in-differences and event-study specifications, derives the Kaplan-Meier and Callaway-Sant’Anna robustness specifications, and states the conditional parallel-trends and proportional-hazards assumptions the design leans on. Chapter 4 turns to data construction. The primary dataset draws on the public satellite catalog distributed by the Eighteenth Space Defense Squadron, the FCC International Bureau Filing System and Space Bureau public grants, and the McDowell General Catalog of Artificial Space Objects, joined deterministically on NORAD and COSPAR identifiers. Chapter 5 reports the descriptive statistics that motivate altitude-band stratification and document the structure of the treated and control cohorts, drawing on the population-level facts Colombo and coauthors and Pardini and Anselmo established [2, 9, 10]. Chapter 6 reports the primary difference-in-differences estimates and the event-study leads and lags. Chapter 7 reports the survival and staggered-adoption robustness specifications. Chapter 8 reports the threats-to-validity analyses, including the anticipation, right-censoring, compositional-change, and control-group-contamination tests sketched in the prospectus. Chapter 9 reads the estimated treatment effect against the orbital-economics welfare framing [1, 8] and the capacity-management forward simulations [2, 9, 12], works through the implications for NASA and JPL architecture and policy advice, and marks the limitations that bound the inference. Chapter 10 concludes by stating the contribution, summarizing the falsifiable test and its outcome, and identifying the natural extensions of the design.</w:t>
      </w:r>
    </w:p>
    <w:p>
      <w:pPr>
        <w:pStyle w:val="BodyText"/>
        <w:spacing w:line="480" w:lineRule="auto"/>
        <w:ind w:firstLine="720"/>
      </w:pPr>
      <w:r>
        <w:t xml:space="preserve">Two pilot papers underpin the dissertation and surface where relevant. The first fits a Cox proportional-hazards model on a small source-traceable sample of LEO payloads and reports a statistically significant elevation of the decay hazard for treated payloads. The second fits a pooled ordinary least squares panel on seven U.S.-licensed or U.S.-market-accessed LEO operators from 2019 through 2024 and reports a statistically significant lift in annual PMD compliance after the September 2022 effective date. Both were designed as analytic sketches on tractable samples, and both motivate the larger panel and the more demanding identification design this dissertation executes. The pilots are not the contribution. The join is. What the dissertation contributes is the deliberate joining of the domain literature and the econometric method literature into a single falsifiable test of the FCC five-year rule on realized operator disposal behavior, run on a population-scale public-catalog panel with the full robustness suite, and interpreted against the welfare and capacity-management framings that govern downstream NASA and JPL decisions.</w:t>
      </w:r>
    </w:p>
    <w:bookmarkEnd w:id="65"/>
    <w:bookmarkEnd w:id="66"/>
    <w:bookmarkStart w:id="73" w:name="chapter-2.-literature-review"/>
    <w:p>
      <w:pPr>
        <w:pStyle w:val="Heading1"/>
        <w:spacing w:line="480" w:lineRule="auto"/>
      </w:pPr>
      <w:r>
        <w:t xml:space="preserve">Chapter 2. Literature Review</w:t>
      </w:r>
    </w:p>
    <w:bookmarkStart w:id="67" w:name="introduction-and-organizing-logic"/>
    <w:p>
      <w:pPr>
        <w:pStyle w:val="Heading2"/>
        <w:spacing w:line="480" w:lineRule="auto"/>
      </w:pPr>
      <w:r>
        <w:t xml:space="preserve">2.1 Introduction and Organizing Logic</w:t>
      </w:r>
    </w:p>
    <w:p>
      <w:pPr>
        <w:pStyle w:val="FirstParagraph"/>
        <w:spacing w:line="480" w:lineRule="auto"/>
      </w:pPr>
      <w:r>
        <w:t xml:space="preserve">Two literatures bracket this dissertation’s research question, and to date no sustained empirical project has joined them. One is the domain technical literature on low Earth orbit (LEO) congestion, post-mission disposal (PMD) practice, debris-environment evolution, and the engineering and policy instruments operators and regulators bring to bear. The other is the cliometric and econometric methodology literature on the causal identification of policy effects under quasi-experimental conditions, spanning survival analysis with right-censoring, difference-in-differences (DiD) estimation under staggered adoption, and panel regression with operator and time controls. They speak to one another only obliquely. They pass in the night. Regulatory landscape and the physical consequences of operator choice belong to the space technical literature, which rarely estimates a counterfactual; tools for counterfactual estimation belong to the policy-effects econometrics literature, which has scarcely been brought to the orbital commons. This chapter aims to characterize each literature on its own terms, expose the precise location of the disjunction, and motivate the design that later chapters operationalize.</w:t>
      </w:r>
    </w:p>
    <w:p>
      <w:pPr>
        <w:pStyle w:val="BodyText"/>
        <w:spacing w:line="480" w:lineRule="auto"/>
        <w:ind w:firstLine="720"/>
      </w:pPr>
      <w:r>
        <w:t xml:space="preserve">Five movements structure the chapter. Section 2.2 reviews the orbital-commons and capacity-management literature that establishes the physical and economic stakes of disposal behavior. Section 2.3 turns to the operator-behavior, compliance, and regulatory-history literature that defines the policy instrument under study, the FCC’s September 2022 five-year rule. Section 2.4 reviews the engineering literature on disposal technologies and post-mission tactics that operationalize a binding disposal clock. Section 2.5 reviews the cliometric and econometric methodology literature that supplies the identification machinery. Section 2.6 synthesizes the two strands, names the gap, and forecasts the design choices defended in Chapter 3.</w:t>
      </w:r>
    </w:p>
    <w:bookmarkEnd w:id="67"/>
    <w:bookmarkStart w:id="68" w:name="Xfcbde0c41e77e01c83d321d73962efdbe7e0bb5"/>
    <w:p>
      <w:pPr>
        <w:pStyle w:val="Heading2"/>
        <w:spacing w:line="480" w:lineRule="auto"/>
      </w:pPr>
      <w:r>
        <w:t xml:space="preserve">2.2 The Orbital Commons and Capacity-Management Literature</w:t>
      </w:r>
    </w:p>
    <w:p>
      <w:pPr>
        <w:pStyle w:val="FirstParagraph"/>
        <w:spacing w:line="480" w:lineRule="auto"/>
      </w:pPr>
      <w:r>
        <w:t xml:space="preserve">Colombo and colleagues supply the most consequential analytical frame in the contemporary space-sustainability literature. On their account, LEO is best understood as a finite, altitude-stratified carrying capacity whose binding constraint is the differential between how fast defunct objects are added to a shell and how fast they are removed</w:t>
      </w:r>
      <w:r>
        <w:t xml:space="preserve"> </w:t>
      </w:r>
      <w:hyperlink w:anchor="ref-2">
        <w:r>
          <w:rPr>
            <w:rStyle w:val="Hyperlink"/>
          </w:rPr>
          <w:t xml:space="preserve">[2]</w:t>
        </w:r>
      </w:hyperlink>
      <w:r>
        <w:t xml:space="preserve">. PMD, on that reading, is not a peripheral hygiene issue but the principal lever governing the long-run trajectory of the debris environment. Colombo and colleagues further document that the twenty-five-year guideline anchoring international PMD planning since the 1990s is satisfied naturally only at the lowest LEO altitudes, where atmospheric drag is strong enough to do the work without active operator effort [2, 9]. Higher up, the guideline is approximated by paper compliance plans whose actual realization is weakly observed in the catalog. Pardini and Anselmo reinforce the point from the flux side, using the empirical debris-flux distribution to assess the criticality of distinct LEO shells and showing that the marginal cost of an additional uncontrolled object climbs sharply with altitude, a strong physical motivation for altitude-stratified analysis of any policy intervention</w:t>
      </w:r>
      <w:r>
        <w:t xml:space="preserve"> </w:t>
      </w:r>
      <w:hyperlink w:anchor="ref-10">
        <w:r>
          <w:rPr>
            <w:rStyle w:val="Hyperlink"/>
          </w:rPr>
          <w:t xml:space="preserve">[10]</w:t>
        </w:r>
      </w:hyperlink>
      <w:r>
        <w:t xml:space="preserve">.</w:t>
      </w:r>
    </w:p>
    <w:p>
      <w:pPr>
        <w:pStyle w:val="BodyText"/>
        <w:spacing w:line="480" w:lineRule="auto"/>
        <w:ind w:firstLine="720"/>
      </w:pPr>
      <w:r>
        <w:t xml:space="preserve">The welfare side of the argument belongs to orbital economics. Guyot, Rao, and Rouillon model constellation operators as non-cooperative oligopolists who systematically under-internalize the congestion externality their objects impose on the commons, so that realized disposal effort sits below the welfare-optimal level absent a binding policy lever</w:t>
      </w:r>
      <w:r>
        <w:t xml:space="preserve"> </w:t>
      </w:r>
      <w:hyperlink w:anchor="ref-1">
        <w:r>
          <w:rPr>
            <w:rStyle w:val="Hyperlink"/>
          </w:rPr>
          <w:t xml:space="preserve">[1]</w:t>
        </w:r>
      </w:hyperlink>
      <w:r>
        <w:t xml:space="preserve">. Their model is normative in form. It assumes, rather than tests, that national regulatory levers do in fact bind on operator behavior at the margin, and that assumption is load-bearing for the policy recommendations the paper derives, including the case for orbit-use fees and constellation-size caps. Should a national disposal rule that materially tightens the clock fail to change operator behavior, the orbit-use fee and size-cap proposals would need recalibration around weaker assumed tractability. Testing that assumption empirically is exactly the gap the present dissertation addresses.</w:t>
      </w:r>
    </w:p>
    <w:p>
      <w:pPr>
        <w:pStyle w:val="BodyText"/>
        <w:spacing w:line="480" w:lineRule="auto"/>
        <w:ind w:firstLine="720"/>
      </w:pPr>
      <w:r>
        <w:t xml:space="preserve">Physically, the capacity literature converges on the same point. The European Space Agency’s Annual Space Environment Report 2024 documents that observed PMD compliance varies widely across operators and years, with the highest-compliance cohorts concentrated in the lowest altitude shells and among a small set of large operators with active disposal infrastructure</w:t>
      </w:r>
      <w:r>
        <w:t xml:space="preserve"> </w:t>
      </w:r>
      <w:hyperlink w:anchor="ref-5">
        <w:r>
          <w:rPr>
            <w:rStyle w:val="Hyperlink"/>
          </w:rPr>
          <w:t xml:space="preserve">[5]</w:t>
        </w:r>
      </w:hyperlink>
      <w:r>
        <w:t xml:space="preserve">. That report is descriptive and attempts no causal attribution to any specific policy instrument, yet it supplies the principal independent compliance time-series against which any post-rule test of operator behavior can be benchmarked. Writing in the ASCEND venue, Stilwell and colleagues document that the pre-FCC regime of ITU and IADC guideline horizons overlapped with national licensing regimes that were largely unenforced, producing a compliance environment in which operator-level disposal choices were under-constrained by the formal rule structure</w:t>
      </w:r>
      <w:r>
        <w:t xml:space="preserve"> </w:t>
      </w:r>
      <w:hyperlink w:anchor="ref-7">
        <w:r>
          <w:rPr>
            <w:rStyle w:val="Hyperlink"/>
          </w:rPr>
          <w:t xml:space="preserve">[7]</w:t>
        </w:r>
      </w:hyperlink>
      <w:r>
        <w:t xml:space="preserve">. Their account is qualitative and historical, but it establishes the institutional baseline against which the FCC five-year rule constitutes a step change. Extending that institutional reading, the OCEA forecasting work in the Space Economy Papers reference set treats binding national rules as a discrete change in operator incentive structures, particularly when paired with license conditions enforced through market-access denial rather than ex post sanction</w:t>
      </w:r>
      <w:r>
        <w:t xml:space="preserve"> </w:t>
      </w:r>
      <w:hyperlink w:anchor="ref-8">
        <w:r>
          <w:rPr>
            <w:rStyle w:val="Hyperlink"/>
          </w:rPr>
          <w:t xml:space="preserve">[8]</w:t>
        </w:r>
      </w:hyperlink>
      <w:r>
        <w:t xml:space="preserve">.</w:t>
      </w:r>
    </w:p>
    <w:p>
      <w:pPr>
        <w:pStyle w:val="BodyText"/>
        <w:spacing w:line="480" w:lineRule="auto"/>
        <w:ind w:firstLine="720"/>
      </w:pPr>
      <w:r>
        <w:t xml:space="preserve">Legal-institutional context comes from Goehring’s analysis of the U.S. commercial space regulatory architecture, sometimes called the rule-of-three frame after the three-agency division of authority among the FCC, the Federal Aviation Administration, and the National Oceanic and Atmospheric Administration</w:t>
      </w:r>
      <w:r>
        <w:t xml:space="preserve"> </w:t>
      </w:r>
      <w:hyperlink w:anchor="ref-14">
        <w:r>
          <w:rPr>
            <w:rStyle w:val="Hyperlink"/>
          </w:rPr>
          <w:t xml:space="preserve">[14]</w:t>
        </w:r>
      </w:hyperlink>
      <w:r>
        <w:t xml:space="preserve">. The FCC’s authority over orbital debris is rooted in its licensing authority over radio communications, and the September 2022 order was adopted as a Second Report and Order under that authority [4, 6]. The regulatory boundary is therefore not strictly nationality of license but market access through U.S.-licensed spectrum, a feature whose empirical importance is taken up in Chapter 3. Allison provides the international counterpart in an account of the World Radiocommunication Conference 2019 outcomes, documenting how ITU-level space-law instruments shaped the pre-FCC compliance landscape and how the FCC’s national tightening was layered on top of, rather than substituted for, the international guideline structure</w:t>
      </w:r>
      <w:r>
        <w:t xml:space="preserve"> </w:t>
      </w:r>
      <w:hyperlink w:anchor="ref-15">
        <w:r>
          <w:rPr>
            <w:rStyle w:val="Hyperlink"/>
          </w:rPr>
          <w:t xml:space="preserve">[15]</w:t>
        </w:r>
      </w:hyperlink>
      <w:r>
        <w:t xml:space="preserve">.</w:t>
      </w:r>
    </w:p>
    <w:p>
      <w:pPr>
        <w:pStyle w:val="BodyText"/>
        <w:spacing w:line="480" w:lineRule="auto"/>
        <w:ind w:firstLine="720"/>
      </w:pPr>
      <w:r>
        <w:t xml:space="preserve">Two further strands round out the capacity literature. First is the security-of-the-commons literature, exemplified by Liang, Fanto, and Signoracci, which documents the elevated debris risk associated with anti-satellite (ASAT) tests and emphasizes that the marginal contribution of even a single catastrophic fragmentation event can dwarf the marginal contribution of operator compliance choices over a multi-year window</w:t>
      </w:r>
      <w:r>
        <w:t xml:space="preserve"> </w:t>
      </w:r>
      <w:hyperlink w:anchor="ref-11">
        <w:r>
          <w:rPr>
            <w:rStyle w:val="Hyperlink"/>
          </w:rPr>
          <w:t xml:space="preserve">[11]</w:t>
        </w:r>
      </w:hyperlink>
      <w:r>
        <w:t xml:space="preserve">. For the present design, that means the analysis cutoff and the censoring window must be chosen with attention to known fragmentation events that could otherwise contaminate the post-rule comparison. Second is the simulation-based capacity literature exemplified by Wu, Jang, Mendoza Contreras, and Linares, which deploys the MIT Orbital Capacity Assessment Tool (MOCAT) to estimate the long-horizon consequences of alternative policy regimes, including PMD-window tightening, against synthetic launch scenarios</w:t>
      </w:r>
      <w:r>
        <w:t xml:space="preserve"> </w:t>
      </w:r>
      <w:hyperlink w:anchor="ref-12">
        <w:r>
          <w:rPr>
            <w:rStyle w:val="Hyperlink"/>
          </w:rPr>
          <w:t xml:space="preserve">[12]</w:t>
        </w:r>
      </w:hyperlink>
      <w:r>
        <w:t xml:space="preserve">. That work is forward-looking and counterfactual rather than retrospective, but it operationalizes the same physical mechanism the dissertation tests retrospectively and provides one of the few quantitative benchmarks against which any estimated treatment effect on realized disposal can be compared.</w:t>
      </w:r>
    </w:p>
    <w:p>
      <w:pPr>
        <w:pStyle w:val="BodyText"/>
        <w:spacing w:line="480" w:lineRule="auto"/>
        <w:ind w:firstLine="720"/>
      </w:pPr>
      <w:r>
        <w:t xml:space="preserve">Taken together, the capacity literature supplies four anchors for the present dissertation, each load-bearing. It establishes that disposal behavior is the principal physical lever on LEO carrying capacity [2, 10]. It establishes that the pre-FCC compliance baseline was weak and altitude-dependent [2, 5, 7]. It establishes that the welfare case for binding policy rests on an assumption of regulatory tractability that has not been tested empirically [1, 8]. And it establishes that altitude stratification is mandatory in any empirical specification, because natural decay dominates at the lowest shells and would otherwise attenuate any regulatory signal [2, 10].</w:t>
      </w:r>
    </w:p>
    <w:bookmarkEnd w:id="68"/>
    <w:bookmarkStart w:id="69" w:name="X26ca1a287a696270e71eba3541dda64288bdf1b"/>
    <w:p>
      <w:pPr>
        <w:pStyle w:val="Heading2"/>
        <w:spacing w:line="480" w:lineRule="auto"/>
      </w:pPr>
      <w:r>
        <w:t xml:space="preserve">2.3 Operator Behavior, Compliance, and the Regulatory Instrument</w:t>
      </w:r>
    </w:p>
    <w:p>
      <w:pPr>
        <w:pStyle w:val="FirstParagraph"/>
        <w:spacing w:line="480" w:lineRule="auto"/>
      </w:pPr>
      <w:r>
        <w:t xml:space="preserve">The second strand of the domain literature concerns operator behavior under the prevailing regulatory regime and the precise content of the policy instrument the dissertation studies. Adopted September 29, 2022, the FCC’s Second Report and Order, FCC 22-74, replaced the twenty-five-year PMD guideline for U.S.-licensed and U.S.-market-accessed LEO space stations with a five-year clock for license actions whose effective date falls after the order’s compliance trigger [4, 6]. Its mechanism binds through the license condition itself, a stronger lever than guideline-based compliance because the cost of non-compliance falls on the license rather than on operator reputation. Coverage extends to non-U.S.-licensed operators that access the U.S. market through earth-station or service authorizations, a feature that complicates a simple nationality-based treatment indicator and motivates the market-access coding strategy defended in Chapter 3.</w:t>
      </w:r>
    </w:p>
    <w:p>
      <w:pPr>
        <w:pStyle w:val="BodyText"/>
        <w:spacing w:line="480" w:lineRule="auto"/>
        <w:ind w:firstLine="720"/>
      </w:pPr>
      <w:r>
        <w:t xml:space="preserve">Pre-FCC compliance scholarship documents that operator behavior under the twenty-five-year guideline regime varied substantially with operator type, altitude, and mission class. Verspieren’s analysis of U.S. Air Force compliance with the Orbital Debris Mitigation Standard Practices documents that even within a single government operator holding a coherent compliance posture, realized disposal varied with mission class and that the gap between paper compliance and realized disposal was non-trivial</w:t>
      </w:r>
      <w:r>
        <w:t xml:space="preserve"> </w:t>
      </w:r>
      <w:hyperlink w:anchor="ref-17">
        <w:r>
          <w:rPr>
            <w:rStyle w:val="Hyperlink"/>
          </w:rPr>
          <w:t xml:space="preserve">[17]</w:t>
        </w:r>
      </w:hyperlink>
      <w:r>
        <w:t xml:space="preserve">. Verspieren’s account is institution-specific, but its analytic structure, separating paper compliance from realized decay, is the template the present dissertation generalizes to a multi-operator commercial sample. ESA environmental monitoring data document the broader pattern across commercial operators and constitute the principal independent series against which post-rule compliance can be benchmarked</w:t>
      </w:r>
      <w:r>
        <w:t xml:space="preserve"> </w:t>
      </w:r>
      <w:hyperlink w:anchor="ref-5">
        <w:r>
          <w:rPr>
            <w:rStyle w:val="Hyperlink"/>
          </w:rPr>
          <w:t xml:space="preserve">[5]</w:t>
        </w:r>
      </w:hyperlink>
      <w:r>
        <w:t xml:space="preserve">.</w:t>
      </w:r>
    </w:p>
    <w:p>
      <w:pPr>
        <w:pStyle w:val="BodyText"/>
        <w:spacing w:line="480" w:lineRule="auto"/>
        <w:ind w:firstLine="720"/>
      </w:pPr>
      <w:r>
        <w:t xml:space="preserve">Crucial detail on the cohort whose behavior is most likely to move under the five-year rule comes from the constellation-specific operator literature. Young and Thadani’s analysis of the LEO broadband competition documents the rapid scale-up of large commercial constellations and the resulting concentration of new launch traffic among a small number of operators whose license decisions increasingly fall under U.S. regulatory jurisdiction through market access</w:t>
      </w:r>
      <w:r>
        <w:t xml:space="preserve"> </w:t>
      </w:r>
      <w:hyperlink w:anchor="ref-13">
        <w:r>
          <w:rPr>
            <w:rStyle w:val="Hyperlink"/>
          </w:rPr>
          <w:t xml:space="preserve">[13]</w:t>
        </w:r>
      </w:hyperlink>
      <w:r>
        <w:t xml:space="preserve">. The economic logic those authors describe, in which constellation operators face strong incentives to occupy contested altitude shells before competitors do, interacts with the five-year rule along a dimension the orbital-economics literature has not modeled. If the rule binds, it changes the relative attractiveness of altitude shells whose natural decay envelope exceeds five years, producing both a disposal-time effect and an altitude-selection effect that any empirical specification must identify separately.</w:t>
      </w:r>
    </w:p>
    <w:p>
      <w:pPr>
        <w:pStyle w:val="BodyText"/>
        <w:spacing w:line="480" w:lineRule="auto"/>
        <w:ind w:firstLine="720"/>
      </w:pPr>
      <w:r>
        <w:t xml:space="preserve">A complementary operator-side perspective comes from the sensitivity-analysis literature on collision probability. In the context of the Amazon Project Kuiper system, Chandramouli and Shockley document that operator estimates of lifetime collision probability are sensitive to assumptions about disposal trajectory and altitude profile, and that operator planning explicitly accounts for the regulatory constraint when calculating expected on-orbit lifetimes</w:t>
      </w:r>
      <w:r>
        <w:t xml:space="preserve"> </w:t>
      </w:r>
      <w:hyperlink w:anchor="ref-18">
        <w:r>
          <w:rPr>
            <w:rStyle w:val="Hyperlink"/>
          </w:rPr>
          <w:t xml:space="preserve">[18]</w:t>
        </w:r>
      </w:hyperlink>
      <w:r>
        <w:t xml:space="preserve">. Their work is engineering in style, yet it is one of the few public documents in which a constellation operator describes its disposal planning as a response to regulatory constraint rather than to guideline compliance. The behavioral interpretation the present dissertation tests, that the FCC five-year rule materially shortens realized disposal times for treated operators, is consistent with the operator planning logic Chandramouli and Shockley describe.</w:t>
      </w:r>
    </w:p>
    <w:p>
      <w:pPr>
        <w:pStyle w:val="BodyText"/>
        <w:spacing w:line="480" w:lineRule="auto"/>
        <w:ind w:firstLine="720"/>
      </w:pPr>
      <w:r>
        <w:t xml:space="preserve">Focused on a different externality, the retroreflector-coating literature nonetheless contributes a complementary piece of evidence on operator timeline alignment. Degen and colleagues note that the FCC five-year rule has begun to align operator disposal timelines with broader sky-preservation objectives, suggesting the rule is operating as a behavioral constraint and not only as a paper requirement [3, 21]. That observation is incidental to their paper’s principal argument, but it constitutes an independent qualitative reading of the post-rule operator-behavior environment that the present dissertation aims to test quantitatively.</w:t>
      </w:r>
    </w:p>
    <w:p>
      <w:pPr>
        <w:pStyle w:val="BodyText"/>
        <w:spacing w:line="480" w:lineRule="auto"/>
        <w:ind w:firstLine="720"/>
      </w:pPr>
      <w:r>
        <w:t xml:space="preserve">Rounding out this strand is the institutional-history literature on novel disposal accountability mechanisms. Writing on the Blockchain Enabled Space Traffic Awareness (BESTA) prototype, Reed, Dailey, Carden, and Bryson document the institutional difficulty of attributing disposal compliance to specific operators in the pre-FCC regime and the corresponding rationale for new accountability instruments</w:t>
      </w:r>
      <w:r>
        <w:t xml:space="preserve"> </w:t>
      </w:r>
      <w:hyperlink w:anchor="ref-16">
        <w:r>
          <w:rPr>
            <w:rStyle w:val="Hyperlink"/>
          </w:rPr>
          <w:t xml:space="preserve">[16]</w:t>
        </w:r>
      </w:hyperlink>
      <w:r>
        <w:t xml:space="preserve">. Their account is forward-looking and proposes an accountability infrastructure rather than testing the consequences of a specific rule, but it establishes the attribution gap that the FCC five-year rule begins to close by binding compliance through the license condition itself.</w:t>
      </w:r>
    </w:p>
    <w:p>
      <w:pPr>
        <w:pStyle w:val="BodyText"/>
        <w:spacing w:line="480" w:lineRule="auto"/>
        <w:ind w:firstLine="720"/>
      </w:pPr>
      <w:r>
        <w:t xml:space="preserve">In aggregate, this strand documents that pre-FCC operator behavior was weakly constrained by guideline regimes [5, 7, 16, 17]; that the FCC five-year rule is the first national instrument whose binding lever runs through the license itself rather than through ex post sanction [4, 6, 14]; that the cohort most likely to be moved by the rule is concentrated in large commercial constellations whose license decisions increasingly fall under U.S. jurisdiction through market access [13, 18]; and that incidental observations in the engineering literature suggest the rule may be operating as a behavioral constraint rather than only as a paper requirement [3, 21]. Does that incidental observation generalize to a measurable shift in the conditional distribution of realized decay times? That is the empirical question the dissertation answers.</w:t>
      </w:r>
    </w:p>
    <w:bookmarkEnd w:id="69"/>
    <w:bookmarkStart w:id="70" w:name="Xbd23194e13a044fd81b6e8c7a5ae2f5adb43927"/>
    <w:p>
      <w:pPr>
        <w:pStyle w:val="Heading2"/>
        <w:spacing w:line="480" w:lineRule="auto"/>
      </w:pPr>
      <w:r>
        <w:t xml:space="preserve">2.4 Engineering and Disposal-Technology Literature</w:t>
      </w:r>
    </w:p>
    <w:p>
      <w:pPr>
        <w:pStyle w:val="FirstParagraph"/>
        <w:spacing w:line="480" w:lineRule="auto"/>
      </w:pPr>
      <w:r>
        <w:t xml:space="preserve">Realized time-to-decay, the dissertation’s outcome variable, is the joint product of operator choice and disposal-technology availability. A complete review must therefore characterize the engineering envelope within which operator response to the five-year rule is feasible. The active-debris-removal (ADR) literature, exemplified by Simha and colleagues, frames optimal ADR mission planning as a constrained-optimization problem whose policy salience depends critically on the realized PMD compliance rate of the on-orbit population</w:t>
      </w:r>
      <w:r>
        <w:t xml:space="preserve"> </w:t>
      </w:r>
      <w:hyperlink w:anchor="ref-23">
        <w:r>
          <w:rPr>
            <w:rStyle w:val="Hyperlink"/>
          </w:rPr>
          <w:t xml:space="preserve">[23]</w:t>
        </w:r>
      </w:hyperlink>
      <w:r>
        <w:t xml:space="preserve">. Their finding that ADR is most cost-effective when targeting large defunct objects that have failed to deorbit interacts directly with the present design: if the FCC rule binds and shortens realized disposal, the marginal benefit of ADR for treated cohorts falls, and the policy case for ADR shifts toward untreated cohorts.</w:t>
      </w:r>
    </w:p>
    <w:p>
      <w:pPr>
        <w:pStyle w:val="BodyText"/>
        <w:spacing w:line="480" w:lineRule="auto"/>
        <w:ind w:firstLine="720"/>
      </w:pPr>
      <w:r>
        <w:t xml:space="preserve">Operators in the medium-altitude LEO shells, where natural decay exceeds five years, draw their principal active-disposal lever from the drag-augmentation literature. Bassetto, Mengali, and Quarta analyze drag-sail attitude tracking and document that drag-sail deployment is technically feasible across a wide envelope of LEO altitudes and that the control problem is tractable under realistic actuation constraints</w:t>
      </w:r>
      <w:r>
        <w:t xml:space="preserve"> </w:t>
      </w:r>
      <w:hyperlink w:anchor="ref-25">
        <w:r>
          <w:rPr>
            <w:rStyle w:val="Hyperlink"/>
          </w:rPr>
          <w:t xml:space="preserve">[25]</w:t>
        </w:r>
      </w:hyperlink>
      <w:r>
        <w:t xml:space="preserve">. Thompson, Pushparaj, and Cappelletti extend this engineering envelope in a review of reflective and transmissive solar sails, documenting the operational regimes in which sail-augmented disposal can compress decay times by an order of magnitude</w:t>
      </w:r>
      <w:r>
        <w:t xml:space="preserve"> </w:t>
      </w:r>
      <w:hyperlink w:anchor="ref-19">
        <w:r>
          <w:rPr>
            <w:rStyle w:val="Hyperlink"/>
          </w:rPr>
          <w:t xml:space="preserve">[19]</w:t>
        </w:r>
      </w:hyperlink>
      <w:r>
        <w:t xml:space="preserve">. Sánchez-Arriaga, Lorenzini, and Bilén document an alternative active-disposal technology, the electrodynamic tether, whose physical envelope overlaps but does not coincide with that of drag sails and whose deployment record is sparse but increasing</w:t>
      </w:r>
      <w:r>
        <w:t xml:space="preserve"> </w:t>
      </w:r>
      <w:hyperlink w:anchor="ref-26">
        <w:r>
          <w:rPr>
            <w:rStyle w:val="Hyperlink"/>
          </w:rPr>
          <w:t xml:space="preserve">[26]</w:t>
        </w:r>
      </w:hyperlink>
      <w:r>
        <w:t xml:space="preserve">. Together these three technology branches define the supply-side envelope within which operator compliance with a five-year clock is engineering-feasible at medium LEO altitudes.</w:t>
      </w:r>
    </w:p>
    <w:p>
      <w:pPr>
        <w:pStyle w:val="BodyText"/>
        <w:spacing w:line="480" w:lineRule="auto"/>
        <w:ind w:firstLine="720"/>
      </w:pPr>
      <w:r>
        <w:t xml:space="preserve">A further complement comes from the laser-based and propulsive disposal literature. Fang, Pan, Luo, and Li analyze the effects of space-based pulse-laser irradiation on centimeter-scale debris in LEO and document an active-removal mechanism whose role in operator-level compliance is indirect but whose long-run interaction with the regulatory regime is consequential</w:t>
      </w:r>
      <w:r>
        <w:t xml:space="preserve"> </w:t>
      </w:r>
      <w:hyperlink w:anchor="ref-24">
        <w:r>
          <w:rPr>
            <w:rStyle w:val="Hyperlink"/>
          </w:rPr>
          <w:t xml:space="preserve">[24]</w:t>
        </w:r>
      </w:hyperlink>
      <w:r>
        <w:t xml:space="preserve">. On the design-for-demise side, the thermite-for-demise literature exemplified by Finazzi and colleagues documents how component-level pyrotechnic charges can ensure full atmospheric breakup during reentry and therefore satisfy the casualty-risk constraints that frequently accompany PMD requirements</w:t>
      </w:r>
      <w:r>
        <w:t xml:space="preserve"> </w:t>
      </w:r>
      <w:hyperlink w:anchor="ref-22">
        <w:r>
          <w:rPr>
            <w:rStyle w:val="Hyperlink"/>
          </w:rPr>
          <w:t xml:space="preserve">[22]</w:t>
        </w:r>
      </w:hyperlink>
      <w:r>
        <w:t xml:space="preserve">. Uludag and Aslan document the rapidly increasing fraction of LEO traffic accounted for by femto- and atto-class satellites and note that these classes pose distinct disposal challenges because their ballistic coefficients are extreme and their attitude-control envelopes are limited</w:t>
      </w:r>
      <w:r>
        <w:t xml:space="preserve"> </w:t>
      </w:r>
      <w:hyperlink w:anchor="ref-20">
        <w:r>
          <w:rPr>
            <w:rStyle w:val="Hyperlink"/>
          </w:rPr>
          <w:t xml:space="preserve">[20]</w:t>
        </w:r>
      </w:hyperlink>
      <w:r>
        <w:t xml:space="preserve">. What follows for the present dissertation is that operator composition itself is changing across the study window, so that any altitude-stratified test of the rule’s effect must also account for the changing mass and form-factor composition of the treated cohort.</w:t>
      </w:r>
    </w:p>
    <w:p>
      <w:pPr>
        <w:pStyle w:val="BodyText"/>
        <w:spacing w:line="480" w:lineRule="auto"/>
        <w:ind w:firstLine="720"/>
      </w:pPr>
      <w:r>
        <w:t xml:space="preserve">In aggregate, the engineering literature establishes that the supply side of the five-year rule is feasible across the LEO altitude envelope where treated operators concentrate [19, 25, 26]; that emerging ADR and laser-based technologies will reshape the long-run effective compliance envelope but are not yet load-bearing in operator planning [23, 24]; that design-for-demise practice is a binding constraint on disposal-tactic choice</w:t>
      </w:r>
      <w:r>
        <w:t xml:space="preserve"> </w:t>
      </w:r>
      <w:hyperlink w:anchor="ref-22">
        <w:r>
          <w:rPr>
            <w:rStyle w:val="Hyperlink"/>
          </w:rPr>
          <w:t xml:space="preserve">[22]</w:t>
        </w:r>
      </w:hyperlink>
      <w:r>
        <w:t xml:space="preserve">; and that the rapidly growing femto- and atto-class population will complicate altitude-stratified inference in later cohorts</w:t>
      </w:r>
      <w:r>
        <w:t xml:space="preserve"> </w:t>
      </w:r>
      <w:hyperlink w:anchor="ref-20">
        <w:r>
          <w:rPr>
            <w:rStyle w:val="Hyperlink"/>
          </w:rPr>
          <w:t xml:space="preserve">[20]</w:t>
        </w:r>
      </w:hyperlink>
      <w:r>
        <w:t xml:space="preserve">. The dissertation’s identification strategy must respect each of these engineering envelopes.</w:t>
      </w:r>
    </w:p>
    <w:bookmarkEnd w:id="70"/>
    <w:bookmarkStart w:id="71"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Largely external to the space-domain literature and scarcely deployed against orbital-policy data, the methodology literature supplies the identification machinery for the dissertation. Four sub-strands are load-bearing for the present design.</w:t>
      </w:r>
    </w:p>
    <w:p>
      <w:pPr>
        <w:pStyle w:val="BodyText"/>
        <w:spacing w:line="480" w:lineRule="auto"/>
        <w:ind w:firstLine="720"/>
      </w:pPr>
      <w:r>
        <w:t xml:space="preserve">First is the difference-in-differences identification literature. The DiD estimator identifies the average treatment effect on the treated (ATT) under a conditional parallel-trends assumption: absent treatment, treated and control units would have followed parallel paths in the outcome of interest. Workhorse in the policy-effects econometrics literature, the estimator has been extended over the past decade to accommodate staggered adoption, in which different units enter treatment at different times. The Callaway-Sant’Anna staggered-adoption estimator is the principal contemporary tool for this case and is the estimator the prospectus identifies as a robustness specification, consistent with the design defended below. The cohort structure of the FCC five-year rule, in which operator license actions enter treatment at different effective dates across 2022 through 2024, is precisely the staggered-adoption structure for which the Callaway-Sant’Anna estimator was designed. A single falsifiable causal test of the rule’s effect finds its natural home in DiD identification, because the rule produces a sharp boundary in time between treated and untreated license actions.</w:t>
      </w:r>
    </w:p>
    <w:p>
      <w:pPr>
        <w:pStyle w:val="BodyText"/>
        <w:spacing w:line="480" w:lineRule="auto"/>
        <w:ind w:firstLine="720"/>
      </w:pPr>
      <w:r>
        <w:t xml:space="preserve">Second is the event-study specification literature. An event-study design generalizes the DiD frame by estimating period-specific treatment effects relative to the treatment date, permitting a direct test for pre-trends in the outcome. Pre-trends evidence is essential in the FCC context because anticipation effects are plausible: operators with license actions pending at the time of the notice of proposed rulemaking may have adjusted disposal planning before the formal effective date, biasing a naive DiD estimate toward zero. The event-study leads test, which estimates treatment effects for periods before the formal effective date and tests whether they are jointly zero, addresses this concern directly and is a standard robustness specification. A placebo cutoff, in which the treatment indicator is shifted to a date before the formal effective date and the estimator is re-run on a sample with the true treatment period excluded, provides a complementary falsification test.</w:t>
      </w:r>
    </w:p>
    <w:p>
      <w:pPr>
        <w:pStyle w:val="BodyText"/>
        <w:spacing w:line="480" w:lineRule="auto"/>
        <w:ind w:firstLine="720"/>
      </w:pPr>
      <w:r>
        <w:t xml:space="preserve">Third is the survival-analysis literature with right-censoring. Survival analysis is the natural home for the dissertation’s outcome variable, realized time-to-decay, because many treated payloads will not have decayed by the analysis cutoff and a least-squares specification on duration would discard that information. The Cox proportional-hazards model, which estimates partial-likelihood-maximizing covariate effects on the hazard of the event of interest under the assumption that the ratio of hazards across covariate strata is time-invariant, is the workhorse semiparametric estimator here. The companion paper to the prospectus operationalizes the Cox estimator on a small source-traceable sample and reports a statistically significant treatment hazard ratio with a wide confidence interval, consistent with the small-sample caveat the dissertation will take seriously. Its natural complement is the Kaplan-Meier nonparametric survival estimator, which produces the empirical survival function without distributional assumptions and provides the visual benchmark against which the Cox results can be checked. Pairing Kaplan-Meier nonparametric estimation with Cox semiparametric estimation is standard practice in policy-effects survival analysis and is the survival-analysis specification the dissertation adopts.</w:t>
      </w:r>
    </w:p>
    <w:p>
      <w:pPr>
        <w:pStyle w:val="BodyText"/>
        <w:spacing w:line="480" w:lineRule="auto"/>
        <w:ind w:firstLine="720"/>
      </w:pPr>
      <w:r>
        <w:t xml:space="preserve">Fourth is the panel-regression literature with operator and time fixed effects. The companion panel-OLS paper to the prospectus reports a pooled OLS regression of annual PMD compliance rates on a post-treatment indicator and operator covariates, finding a modest but statistically robust post-rule lift in compliance after controlling for fleet size, altitude, and constellation status. Pooled OLS is appropriate as a first-pass conditional-means estimator on a short and unbalanced panel, but the panel-regression literature recommends operator and year fixed effects on a longer panel as the principal extension, because fixed effects absorb time-invariant operator-level heterogeneity that may otherwise contaminate the treatment estimate. The dissertation extends the companion panel design to a longer window and adds operator and year fixed effects, a standard specification in the contemporary panel-policy-effects literature.</w:t>
      </w:r>
    </w:p>
    <w:p>
      <w:pPr>
        <w:pStyle w:val="BodyText"/>
        <w:spacing w:line="480" w:lineRule="auto"/>
        <w:ind w:firstLine="720"/>
      </w:pPr>
      <w:r>
        <w:t xml:space="preserve">The methodology literature also supplies the principal identification threats the dissertation must address. Compositional change in the treated cohort across the study window can bias the estimator if operator entry into treatment correlates with unobserved disposal-effort heterogeneity. Right-censoring of treated payloads launched after the rule biases the naive duration mean toward shorter values but is correctly handled by the survival-analysis specification. Control-group contamination through market access, in which non-U.S.-licensed operators serving the U.S. market are de facto subject to the rule, biases the DiD estimate toward zero and motivates the market-access coding strategy. Anticipation effects bias the DiD estimate toward zero and are addressed by the event-study leads test and the placebo cutoff. Each threat has a standard treatment in the methodology literature, and the dissertation’s design draws each treatment directly from that standard.</w:t>
      </w:r>
    </w:p>
    <w:bookmarkEnd w:id="71"/>
    <w:bookmarkStart w:id="72" w:name="synthesis-and-identification-of-the-gap"/>
    <w:p>
      <w:pPr>
        <w:pStyle w:val="Heading2"/>
        <w:spacing w:line="480" w:lineRule="auto"/>
      </w:pPr>
      <w:r>
        <w:t xml:space="preserve">2.6 Synthesis and Identification of the Gap</w:t>
      </w:r>
    </w:p>
    <w:p>
      <w:pPr>
        <w:pStyle w:val="FirstParagraph"/>
        <w:spacing w:line="480" w:lineRule="auto"/>
      </w:pPr>
      <w:r>
        <w:t xml:space="preserve">The two literatures reviewed here speak past one another in a remarkably clean way. The disjunction is almost surgical. On the domain side, disposal behavior is the principal physical lever on LEO carrying capacity [2, 10], the pre-FCC compliance baseline was weak and altitude-dependent [2, 5, 7], the welfare case for binding policy rests on an untested assumption of regulatory tractability [1, 8], and the engineering envelope within which operators can comply with a five-year clock is feasible across the LEO altitude band where treated operators concentrate [19, 22, 23, 25, 26]. The same literature also documents incidental qualitative observations that the FCC five-year rule may already be operating as a behavioral constraint [3, 21], along with pre-FCC operator-by-operator variation in realized disposal that frames the empirical baseline [5, 17]. On the method side sits the identification machinery that would convert those qualitative observations into a single falsifiable causal test: difference-in-differences with staggered adoption, event-study leads for anticipation, survival analysis with right-censoring for the duration outcome, and panel regression with operator and time fixed effects for the compliance-rate outcome.</w:t>
      </w:r>
    </w:p>
    <w:p>
      <w:pPr>
        <w:pStyle w:val="BodyText"/>
        <w:spacing w:line="480" w:lineRule="auto"/>
        <w:ind w:firstLine="720"/>
      </w:pPr>
      <w:r>
        <w:t xml:space="preserve">What is missing is the join. No one has made it. No paper in the space-domain literature deploys the methodology toolkit against the FCC rule to estimate a counterfactual disposal-time effect. Closest are the companion papers to this dissertation, which deploy a Cox proportional-hazards specification on a small source-traceable sample and a pooled OLS specification on a short operator-year panel, both finding treatment effects that are statistically significant in their respective small samples and qualitatively consistent with binding compliance. Neither, though, deploys the full identification toolkit on a population-scale catalog with formal pre-trends testing, staggered-adoption robustness, and the altitude and mass controls the capacity literature insists on [2, 10, 20]. Approaching the same question from the opposite direction, the MOCAT-based simulation literature</w:t>
      </w:r>
      <w:r>
        <w:t xml:space="preserve"> </w:t>
      </w:r>
      <w:hyperlink w:anchor="ref-12">
        <w:r>
          <w:rPr>
            <w:rStyle w:val="Hyperlink"/>
          </w:rPr>
          <w:t xml:space="preserve">[12]</w:t>
        </w:r>
      </w:hyperlink>
      <w:r>
        <w:t xml:space="preserve"> </w:t>
      </w:r>
      <w:r>
        <w:t xml:space="preserve">generates forward-looking counterfactuals against synthetic launch scenarios rather than estimating a backward-looking treatment effect against observed catalog data. Neither tradition closes the loop the dissertation is designed to close.</w:t>
      </w:r>
    </w:p>
    <w:p>
      <w:pPr>
        <w:pStyle w:val="BodyText"/>
        <w:spacing w:line="480" w:lineRule="auto"/>
        <w:ind w:firstLine="720"/>
      </w:pPr>
      <w:r>
        <w:t xml:space="preserve">So the contribution is the join itself. It deploys the methodology literature’s identification machinery against the space-domain literature’s outcome variable and policy instrument, in a single falsifiable test on a population-scale catalog with the altitude, mass, and operator controls the capacity and engineering literatures require. A rejection of the null is informative because it would supply the first quantitative estimate of binding regulatory effect on operator disposal behavior in the orbital commons, calibrating the welfare-economics literature’s downstream policy recommendations [1, 8] against a measured rather than assumed tractability. A failure to reject the null is equally informative because it would falsify the working assumption that national disposal rules bind on operator behavior at the welfare-relevant margin</w:t>
      </w:r>
      <w:r>
        <w:t xml:space="preserve"> </w:t>
      </w:r>
      <w:hyperlink w:anchor="ref-1">
        <w:r>
          <w:rPr>
            <w:rStyle w:val="Hyperlink"/>
          </w:rPr>
          <w:t xml:space="preserve">[1]</w:t>
        </w:r>
      </w:hyperlink>
      <w:r>
        <w:t xml:space="preserve">, with immediate consequences for the design of orbit-use fees, constellation-size caps, and the broader instrument mix the space-economics literature has proposed. Either outcome forecloses an open question that both literatures have left open.</w:t>
      </w:r>
    </w:p>
    <w:p>
      <w:pPr>
        <w:pStyle w:val="BodyText"/>
        <w:spacing w:line="480" w:lineRule="auto"/>
        <w:ind w:firstLine="720"/>
      </w:pPr>
      <w:r>
        <w:t xml:space="preserve">Three design implications follow directly from the synthesis. Altitude stratification is mandatory because natural decay dominates at the lowest LEO shells and would mechanically attenuate any regulatory signal if pooled [2, 10]. The treatment indicator must be coded on market access rather than on nationality of license to avoid control-group contamination through the FCC rule’s market-access reach [4, 6, 14]. And the outcome variable must be modeled in a survival framework with right-censoring, because many treated payloads will not yet have decayed by any feasible analysis cutoff and a least-squares specification would discard that information [12, 25]. Taken with the methodology choices summarized in Section 2.5, these implications define the identification strategy Chapter 3 operationalizes.</w:t>
      </w:r>
    </w:p>
    <w:p>
      <w:pPr>
        <w:pStyle w:val="BodyText"/>
        <w:spacing w:line="480" w:lineRule="auto"/>
        <w:ind w:firstLine="720"/>
      </w:pPr>
      <w:r>
        <w:t xml:space="preserve">The chapter closes by noting what the review does not promise. It does not promise a large treatment effect, because the welfare-economics literature is agnostic on effect size and the engineering literature only confirms feasibility, not realized practice [1, 22, 25, 26]. It does not promise that any estimated effect generalizes beyond the LEO altitude band in which the FCC rule binds, because the rule’s coverage is itself altitude-dependent through the natural-decay envelope. It does not promise that the cohort whose behavior the rule moves is representative of the broader operator population, because the cohort is concentrated in large commercial constellations whose incentive structures differ systematically from those of smaller operators [13, 18, 20]. What the review does promise is that the join of the two literatures, executed with the design Chapter 3 defends, will produce a single falsifiable estimate whose sign and significance are interpretable against both the welfare-economics and the capacity-management frames. That single falsifiable estimate is the dissertation’s contribution.</w:t>
      </w:r>
    </w:p>
    <w:bookmarkEnd w:id="72"/>
    <w:bookmarkEnd w:id="73"/>
    <w:bookmarkStart w:id="80" w:name="Xcfcc00a3ded59aed0c781c16bfc121f2a509603"/>
    <w:p>
      <w:pPr>
        <w:pStyle w:val="Heading1"/>
        <w:spacing w:line="480" w:lineRule="auto"/>
      </w:pPr>
      <w:r>
        <w:t xml:space="preserve">Chapter 3. Theoretical Framework and Hypotheses</w:t>
      </w:r>
    </w:p>
    <w:bookmarkStart w:id="74" w:name="overview"/>
    <w:p>
      <w:pPr>
        <w:pStyle w:val="Heading2"/>
        <w:spacing w:line="480" w:lineRule="auto"/>
      </w:pPr>
      <w:r>
        <w:t xml:space="preserve">3.1 Overview</w:t>
      </w:r>
    </w:p>
    <w:p>
      <w:pPr>
        <w:pStyle w:val="FirstParagraph"/>
        <w:spacing w:line="480" w:lineRule="auto"/>
      </w:pPr>
      <w:r>
        <w:t xml:space="preserve">This chapter builds the theoretical framework that organizes the empirical investigation of whether the Federal Communications Commission’s five-year post-mission disposal (PMD) rule altered operator disposal behavior in low Earth orbit (LEO). Three strands of theory come together in that framework: the orbital-economics theory of non-cooperative constellation competition</w:t>
      </w:r>
      <w:r>
        <w:t xml:space="preserve"> </w:t>
      </w:r>
      <w:hyperlink w:anchor="ref-1">
        <w:r>
          <w:rPr>
            <w:rStyle w:val="Hyperlink"/>
          </w:rPr>
          <w:t xml:space="preserve">[1]</w:t>
        </w:r>
      </w:hyperlink>
      <w:r>
        <w:t xml:space="preserve">, the space-capacity and traffic-management theory that links disposal timing to environmental sustainability</w:t>
      </w:r>
      <w:r>
        <w:t xml:space="preserve"> </w:t>
      </w:r>
      <w:hyperlink w:anchor="ref-2">
        <w:r>
          <w:rPr>
            <w:rStyle w:val="Hyperlink"/>
          </w:rPr>
          <w:t xml:space="preserve">[2]</w:t>
        </w:r>
      </w:hyperlink>
      <w:r>
        <w:t xml:space="preserve">, and the regulatory-step-change theory that treats binding national licensing instruments as discrete shifts in the operator incentive surface</w:t>
      </w:r>
      <w:r>
        <w:t xml:space="preserve"> </w:t>
      </w:r>
      <w:hyperlink w:anchor="ref-4">
        <w:r>
          <w:rPr>
            <w:rStyle w:val="Hyperlink"/>
          </w:rPr>
          <w:t xml:space="preserve">[4]</w:t>
        </w:r>
      </w:hyperlink>
      <w:r>
        <w:t xml:space="preserve">. From these strands the chapter derives a causal mechanism, a set of auxiliary scope conditions, and the formal null and alternative hypotheses the empirical chapters test. It is built to support a single falsifiable contribution, namely whether a specific national rule materially shifted the conditional distribution of realized time-to-decay for treated operators, and to discipline the interpretation of any estimated effect against the limits of the underlying theory.</w:t>
      </w:r>
    </w:p>
    <w:p>
      <w:pPr>
        <w:pStyle w:val="BodyText"/>
        <w:spacing w:line="480" w:lineRule="auto"/>
        <w:ind w:firstLine="720"/>
      </w:pPr>
      <w:r>
        <w:t xml:space="preserve">Five sections carry the chapter. Section 3.2 articulates the theoretical mechanism connecting regulatory tightening to observed disposal behavior, placing the FCC five-year rule within the broader literature on the orbital commons. Section 3.3 develops the causal logic in stepwise form, including the assumptions required for the mechanism to produce a detectable empirical signal. Section 3.4 states the formal null hypothesis H0 and the alternative hypothesis H1, with operational definitions of the outcome variable and the treatment indicator. Section 3.5 specifies auxiliary hypotheses and scope conditions that bound the inferential domain. Section 3.6 closes with what a rejection or non-rejection of H0 would imply for the welfare and policy literatures that motivate the inquiry.</w:t>
      </w:r>
    </w:p>
    <w:bookmarkEnd w:id="74"/>
    <w:bookmarkStart w:id="75" w:name="the-theoretical-mechanism"/>
    <w:p>
      <w:pPr>
        <w:pStyle w:val="Heading2"/>
        <w:spacing w:line="480" w:lineRule="auto"/>
      </w:pPr>
      <w:r>
        <w:t xml:space="preserve">3.2 The Theoretical Mechanism</w:t>
      </w:r>
    </w:p>
    <w:p>
      <w:pPr>
        <w:pStyle w:val="FirstParagraph"/>
        <w:spacing w:line="480" w:lineRule="auto"/>
      </w:pPr>
      <w:r>
        <w:t xml:space="preserve">At its core the orbital commons is a rivalrous, non-excludable resource whose carrying capacity is bounded by how fast defunct objects are removed relative to how fast they are added</w:t>
      </w:r>
      <w:r>
        <w:t xml:space="preserve"> </w:t>
      </w:r>
      <w:hyperlink w:anchor="ref-2">
        <w:r>
          <w:rPr>
            <w:rStyle w:val="Hyperlink"/>
          </w:rPr>
          <w:t xml:space="preserve">[2]</w:t>
        </w:r>
      </w:hyperlink>
      <w:r>
        <w:t xml:space="preserve">. Every payload has a cost to others. Each operator placing a payload into LEO imposes a congestion externality on every other present and future user of the same altitude shell, because the marginal object raises collision probability, debris-generation potential, and conjunction-management burden across the shell. Under the classic logic of the commons, individual operators have no private incentive to internalize this externality, and the resulting equilibrium disposal effort sits below the welfare-optimal level. Guyot, Rao, and Rouillon formalize this in an oligopoly model of constellation competition and show that the non-cooperative equilibrium depresses economic welfare relative to a coordinated benchmark, with the depression growing as constellation scale increases</w:t>
      </w:r>
      <w:r>
        <w:t xml:space="preserve"> </w:t>
      </w:r>
      <w:hyperlink w:anchor="ref-1">
        <w:r>
          <w:rPr>
            <w:rStyle w:val="Hyperlink"/>
          </w:rPr>
          <w:t xml:space="preserve">[1]</w:t>
        </w:r>
      </w:hyperlink>
      <w:r>
        <w:t xml:space="preserve">. Their model treats national regulatory levers as parameters that can, in principle, restore some fraction of the welfare loss by binding operator choices toward a more socially efficient disposal effort.</w:t>
      </w:r>
    </w:p>
    <w:p>
      <w:pPr>
        <w:pStyle w:val="BodyText"/>
        <w:spacing w:line="480" w:lineRule="auto"/>
        <w:ind w:firstLine="720"/>
      </w:pPr>
      <w:r>
        <w:t xml:space="preserve">Three channels carry the mechanism by which a binding national rule could produce that restoration. Three levers, one direction of push. Through the direct compliance channel, the rule mandates a shorter disposal clock as a condition of license grant or market access, so operators that wish to remain in the licensed market must engineer payloads, propellant budgets, and end-of-life maneuver plans to satisfy the tighter constraint. Through the planning-anticipation channel, the rule alters the expected cost structure of future fleet deployments well before the formal effective date, leading rational operators to redesign forthcoming spacecraft to meet the anticipated standard rather than retrofit later. Through the orbit-selection channel, operators choose lower initial operating altitudes so that natural atmospheric drag delivers compliance at lower propulsion cost, an adjustment documented in the capacity-management literature for the lowest LEO shells</w:t>
      </w:r>
      <w:r>
        <w:t xml:space="preserve"> </w:t>
      </w:r>
      <w:hyperlink w:anchor="ref-2">
        <w:r>
          <w:rPr>
            <w:rStyle w:val="Hyperlink"/>
          </w:rPr>
          <w:t xml:space="preserve">[2]</w:t>
        </w:r>
      </w:hyperlink>
      <w:r>
        <w:t xml:space="preserve">. All three channels predict a leftward shift in the conditional distribution of realized time-to-decay for treated operators relative to untreated comparators, though the third implies that some of the observed shift reflects orbit selection rather than active disposal effort.</w:t>
      </w:r>
    </w:p>
    <w:p>
      <w:pPr>
        <w:pStyle w:val="BodyText"/>
        <w:spacing w:line="480" w:lineRule="auto"/>
        <w:ind w:firstLine="720"/>
      </w:pPr>
      <w:r>
        <w:t xml:space="preserve">Bearing directly on the empirical signature the mechanism should produce is a second body of theory. The space-capacity and traffic-management literature notes that the twenty-five-year guideline established in the 1990s has been only weakly observed, with compliance rates substantially below unity except at the lowest altitudes where natural drag dominates</w:t>
      </w:r>
      <w:r>
        <w:t xml:space="preserve"> </w:t>
      </w:r>
      <w:hyperlink w:anchor="ref-2">
        <w:r>
          <w:rPr>
            <w:rStyle w:val="Hyperlink"/>
          </w:rPr>
          <w:t xml:space="preserve">[2]</w:t>
        </w:r>
      </w:hyperlink>
      <w:r>
        <w:t xml:space="preserve">. That literature therefore predicts that, absent a binding regulatory tightening, the realized time-to-decay distribution for LEO payloads above the natural-drag regime should remain heavy in the right tail. If the FCC five-year rule binds on operator behavior, the right tail of the conditional decay-time distribution for treated cohorts should compress, and the compression should be detectable in event-time data for cohorts whose license action occurred after the rule’s effective date. Noting that the five-year rule has begun to align operator timelines with broader sky-preservation objectives, the retroreflective-coating literature suggests operators are treating the rule as a binding behavioral constraint rather than as a defaultable target</w:t>
      </w:r>
      <w:r>
        <w:t xml:space="preserve"> </w:t>
      </w:r>
      <w:hyperlink w:anchor="ref-3">
        <w:r>
          <w:rPr>
            <w:rStyle w:val="Hyperlink"/>
          </w:rPr>
          <w:t xml:space="preserve">[3]</w:t>
        </w:r>
      </w:hyperlink>
      <w:r>
        <w:t xml:space="preserve">.</w:t>
      </w:r>
    </w:p>
    <w:p>
      <w:pPr>
        <w:pStyle w:val="BodyText"/>
        <w:spacing w:line="480" w:lineRule="auto"/>
        <w:ind w:firstLine="720"/>
      </w:pPr>
      <w:r>
        <w:t xml:space="preserve">A third strand of theory, the regulatory-step-change reading developed in the sustainability and licensure literature, treats binding national licensing rules as discrete shifts in the operator incentive surface that propagate through fleet planning, capital allocation, and engineering choice [4, 5]. This reading is consistent with the panel-OLS evidence in the companion paper analyzing operator-year compliance rates from 2019 through 2024, which finds a statistically robust post-2022 lift in annual PMD compliance after adjusting for fleet size, altitude, and constellation status. The step-change reading also supplies an interpretive frame for any non-rejection of H0, because failure to detect a behavioral shift in realized decay times despite a tightening of the paper rule would itself be substantively informative about the limits of national licensing as a lever on the orbital commons.</w:t>
      </w:r>
    </w:p>
    <w:bookmarkEnd w:id="75"/>
    <w:bookmarkStart w:id="76" w:name="causal-logic"/>
    <w:p>
      <w:pPr>
        <w:pStyle w:val="Heading2"/>
        <w:spacing w:line="480" w:lineRule="auto"/>
      </w:pPr>
      <w:r>
        <w:t xml:space="preserve">3.3 Causal Logic</w:t>
      </w:r>
    </w:p>
    <w:p>
      <w:pPr>
        <w:pStyle w:val="FirstParagraph"/>
        <w:spacing w:line="480" w:lineRule="auto"/>
      </w:pPr>
      <w:r>
        <w:t xml:space="preserve">Five sequential steps express the causal logic underlying the dissertation, and together they constitute the identification claim. Each step rests on an assumption, and each assumption carries a diagnostic that the empirical chapters report, so the reader can check the load the step is asked to bear.</w:t>
      </w:r>
    </w:p>
    <w:p>
      <w:pPr>
        <w:pStyle w:val="BodyText"/>
        <w:spacing w:line="480" w:lineRule="auto"/>
        <w:ind w:firstLine="720"/>
      </w:pPr>
      <w:r>
        <w:t xml:space="preserve">The assignment step comes first. The FCC five-year rule applies to LEO space stations licensed by the Commission or granted U.S. market access through an effective date triggered by the Second Report and Order adopted September 29, 2022</w:t>
      </w:r>
      <w:r>
        <w:t xml:space="preserve"> </w:t>
      </w:r>
      <w:hyperlink w:anchor="ref-4">
        <w:r>
          <w:rPr>
            <w:rStyle w:val="Hyperlink"/>
          </w:rPr>
          <w:t xml:space="preserve">[4]</w:t>
        </w:r>
      </w:hyperlink>
      <w:r>
        <w:t xml:space="preserve">. Operators whose qualifying license action falls after the trigger are treated; operators licensed before the trigger or under a foreign jurisdiction with no equivalent national tightening over the study window are untreated. The identifying assumption here is that treatment assignment is determined by an institutional process that is, conditional on observable covariates, plausibly exogenous to the realized decay time of the operator’s payloads. That assumption is defensible because the timing of the trigger was set by Commission proceeding rather than by operator-specific characteristics that would correlate with payload disposal performance.</w:t>
      </w:r>
    </w:p>
    <w:p>
      <w:pPr>
        <w:pStyle w:val="BodyText"/>
        <w:spacing w:line="480" w:lineRule="auto"/>
        <w:ind w:firstLine="720"/>
      </w:pPr>
      <w:r>
        <w:t xml:space="preserve">Second is the response step. Conditional on assignment, treated operators alter at least one of the three behavioral channels articulated in Section 3.2, namely direct compliance engineering, planning anticipation, or orbit selection. Its identifying assumption is that the rule is, in fact, binding for at least a non-trivial fraction of treated operators. Were the rule universally non-binding, because operators were already planning sub-five-year disposal under the prior regime, no empirical shift in realized decay times would be observable even though the legal instrument had changed. Capacity-management evidence that pre-rule compliance was low at altitudes above the natural-drag regime supports the binding-for-some interpretation</w:t>
      </w:r>
      <w:r>
        <w:t xml:space="preserve"> </w:t>
      </w:r>
      <w:hyperlink w:anchor="ref-2">
        <w:r>
          <w:rPr>
            <w:rStyle w:val="Hyperlink"/>
          </w:rPr>
          <w:t xml:space="preserve">[2]</w:t>
        </w:r>
      </w:hyperlink>
      <w:r>
        <w:t xml:space="preserve">.</w:t>
      </w:r>
    </w:p>
    <w:p>
      <w:pPr>
        <w:pStyle w:val="BodyText"/>
        <w:spacing w:line="480" w:lineRule="auto"/>
        <w:ind w:firstLine="720"/>
      </w:pPr>
      <w:r>
        <w:t xml:space="preserve">Third is the realization step. Behavioral response by treated operators produces a measurable change in the realized decay time of payloads launched under the new regime. The identifying assumption here is that realized decay time is a faithful proxy for the disposal effort the rule is designed to induce. That is defensible because the regulatory instrument is specifically denominated in years from end of mission to atmospheric re-entry, and because the public catalog of decay epochs maintained by the U.S. Space Force Eighteenth Space Defense Squadron provides a deterministic, traceable measurement of the outcome.</w:t>
      </w:r>
    </w:p>
    <w:p>
      <w:pPr>
        <w:pStyle w:val="BodyText"/>
        <w:spacing w:line="480" w:lineRule="auto"/>
        <w:ind w:firstLine="720"/>
      </w:pPr>
      <w:r>
        <w:t xml:space="preserve">Fourth is the comparability step. Untreated operators provide a credible counterfactual for what treated operators would have done absent the rule. Its identifying assumption is conditional parallel trends: the realized decay-time distributions of treated and untreated cohorts would have evolved along parallel paths after adjusting for altitude band, payload mass class, and constellation status had the rule not been adopted. That assumption is testable through event-study leads, and a placebo cutoff is reported as a falsification check. The capacity-management framing in</w:t>
      </w:r>
      <w:r>
        <w:t xml:space="preserve"> </w:t>
      </w:r>
      <w:hyperlink w:anchor="ref-2">
        <w:r>
          <w:rPr>
            <w:rStyle w:val="Hyperlink"/>
          </w:rPr>
          <w:t xml:space="preserve">[2]</w:t>
        </w:r>
      </w:hyperlink>
      <w:r>
        <w:t xml:space="preserve"> </w:t>
      </w:r>
      <w:r>
        <w:t xml:space="preserve">motivates altitude-band stratification because natural compliance dominates at the lowest altitudes and would mechanically attenuate any regulatory signal if pooled.</w:t>
      </w:r>
    </w:p>
    <w:p>
      <w:pPr>
        <w:pStyle w:val="BodyText"/>
        <w:spacing w:line="480" w:lineRule="auto"/>
        <w:ind w:firstLine="720"/>
      </w:pPr>
      <w:r>
        <w:t xml:space="preserve">Fifth is the inference step. The estimated average treatment effect on the treated (ATT), or equivalently the hazard ratio in the survival-analysis specification, recovers the causal effect of the rule on realized disposal behavior. Estimating a Cox proportional-hazards model on thirty-six LEO payloads, the companion paper yields a coefficient on treatment of 3.84 with a standard error of 1.09, statistically distinguishable from zero at conventional thresholds, alongside a coefficient on initial altitude of negative 0.0035 with a standard error of 0.0017, also significant at the five percent threshold. These point estimates inform priors for the larger-sample analyses in subsequent chapters but do not substitute for them, because the small sample is dominated by a limited operator set and is acknowledged in that paper as a sample-specific point estimate rather than a population-level effect.</w:t>
      </w:r>
    </w:p>
    <w:p>
      <w:pPr>
        <w:pStyle w:val="BodyText"/>
        <w:spacing w:line="480" w:lineRule="auto"/>
        <w:ind w:firstLine="720"/>
      </w:pPr>
      <w:r>
        <w:t xml:space="preserve">Internal consistency of the five-step logic holds only if the three channels operate jointly rather than in opposition. One channel needs watching. The orbit-selection channel deserves explicit attention because it introduces a compositional confound: if treated operators systematically shift to lower altitudes, the observed reduction in time-to-decay would partly reflect altitude choice rather than active disposal effort. Stratified specifications and falsification tests in the empirical chapters distinguish the two channels by holding altitude fixed and by examining pre-rule altitude choices for the treated cohort. The retroreflector-coating literature provides external corroboration that the rule operates as a behavioral constraint and not only through orbit selection</w:t>
      </w:r>
      <w:r>
        <w:t xml:space="preserve"> </w:t>
      </w:r>
      <w:hyperlink w:anchor="ref-3">
        <w:r>
          <w:rPr>
            <w:rStyle w:val="Hyperlink"/>
          </w:rPr>
          <w:t xml:space="preserve">[3]</w:t>
        </w:r>
      </w:hyperlink>
      <w:r>
        <w:t xml:space="preserve">.</w:t>
      </w:r>
    </w:p>
    <w:bookmarkEnd w:id="76"/>
    <w:bookmarkStart w:id="77" w:name="formal-hypotheses"/>
    <w:p>
      <w:pPr>
        <w:pStyle w:val="Heading2"/>
        <w:spacing w:line="480" w:lineRule="auto"/>
      </w:pPr>
      <w:r>
        <w:t xml:space="preserve">3.4 Formal Hypotheses</w:t>
      </w:r>
    </w:p>
    <w:p>
      <w:pPr>
        <w:pStyle w:val="FirstParagraph"/>
        <w:spacing w:line="480" w:lineRule="auto"/>
      </w:pPr>
      <w:r>
        <w:t xml:space="preserve">Let T denote the realized time-to-decay, in years, for a LEO payload reaching end of mission, measured from the launch epoch to the decay epoch as recorded in the public catalog of the Eighteenth Space Defense Squadron. Let D denote the binary treatment indicator equal to one for payloads whose operator’s qualifying license action falls after the FCC five-year rule’s effective trigger as defined by the Second Report and Order adopted September 29, 2022</w:t>
      </w:r>
      <w:r>
        <w:t xml:space="preserve"> </w:t>
      </w:r>
      <w:hyperlink w:anchor="ref-4">
        <w:r>
          <w:rPr>
            <w:rStyle w:val="Hyperlink"/>
          </w:rPr>
          <w:t xml:space="preserve">[4]</w:t>
        </w:r>
      </w:hyperlink>
      <w:r>
        <w:t xml:space="preserve">, and equal to zero otherwise. Let A denote initial operating altitude in kilometers, partitioned into altitude bands to allow for the natural-drag regime documented in</w:t>
      </w:r>
      <w:r>
        <w:t xml:space="preserve"> </w:t>
      </w:r>
      <w:hyperlink w:anchor="ref-2">
        <w:r>
          <w:rPr>
            <w:rStyle w:val="Hyperlink"/>
          </w:rPr>
          <w:t xml:space="preserve">[2]</w:t>
        </w:r>
      </w:hyperlink>
      <w:r>
        <w:t xml:space="preserve"> </w:t>
      </w:r>
      <w:r>
        <w:t xml:space="preserve">in which compliance is mechanically achieved. Let X denote a vector of covariates comprising payload mass class, constellation membership, and launch epoch.</w:t>
      </w:r>
    </w:p>
    <w:p>
      <w:pPr>
        <w:pStyle w:val="BodyText"/>
        <w:spacing w:line="480" w:lineRule="auto"/>
        <w:ind w:firstLine="720"/>
      </w:pPr>
      <w:r>
        <w:t xml:space="preserve">Interest centers on the conditional distribution F(t | D, A, X), the cumulative distribution function of realized time-to-decay conditional on treatment status, altitude band, and covariates. The primary inferential object is the difference in this conditional distribution between treated and untreated operators after adjustment for A and X. The hypotheses are stated in terms of stochastic dominance and equivalently in terms of the hazard function lambda(t | D, A, X).</w:t>
      </w:r>
    </w:p>
    <w:p>
      <w:pPr>
        <w:pStyle w:val="BodyText"/>
        <w:spacing w:line="480" w:lineRule="auto"/>
        <w:ind w:firstLine="720"/>
      </w:pPr>
      <w:r>
        <w:t xml:space="preserve">The null hypothesis is:</w:t>
      </w:r>
    </w:p>
    <w:p>
      <w:pPr>
        <w:pStyle w:val="BodyText"/>
        <w:spacing w:line="480" w:lineRule="auto"/>
        <w:ind w:firstLine="720"/>
      </w:pPr>
      <w:r>
        <w:rPr>
          <w:b/>
          <w:bCs/>
        </w:rPr>
        <w:t xml:space="preserve">H0:</w:t>
      </w:r>
      <w:r>
        <w:t xml:space="preserve"> </w:t>
      </w:r>
      <w:r>
        <w:t xml:space="preserve">The FCC five-year PMD rule produced no change in the conditional distribution of realized time-to-decay for treated operators relative to a matched control group of untreated operators, after adjusting for altitude band and launch epoch. Formally, F(t | D = 1, A, X) = F(t | D = 0, A, X) for all t and for all values of A and X within the support of the matched sample. Equivalently, the hazard ratio lambda(t | D = 1, A, X) / lambda(t | D = 0, A, X) equals unity at every t.</w:t>
      </w:r>
    </w:p>
    <w:p>
      <w:pPr>
        <w:pStyle w:val="BodyText"/>
        <w:spacing w:line="480" w:lineRule="auto"/>
        <w:ind w:firstLine="720"/>
      </w:pPr>
      <w:r>
        <w:t xml:space="preserve">The alternative hypothesis is:</w:t>
      </w:r>
    </w:p>
    <w:p>
      <w:pPr>
        <w:pStyle w:val="BodyText"/>
        <w:spacing w:line="480" w:lineRule="auto"/>
        <w:ind w:firstLine="720"/>
      </w:pPr>
      <w:r>
        <w:rPr>
          <w:b/>
          <w:bCs/>
        </w:rPr>
        <w:t xml:space="preserve">H1:</w:t>
      </w:r>
      <w:r>
        <w:t xml:space="preserve"> </w:t>
      </w:r>
      <w:r>
        <w:t xml:space="preserve">Treated operators exhibit a statistically and economically significant leftward shift in the conditional distribution of realized time-to-decay, consistent with binding compliance with the five-year clock. Formally, F(t | D = 1, A, X) first-order stochastically dominates F(t | D = 0, A, X) from above, meaning F(t | D = 1, A, X) is greater than or equal to F(t | D = 0, A, X) for all t with strict inequality on a set of positive measure. Equivalently, the hazard ratio is strictly greater than unity over the relevant support, so that treated payloads face a higher instantaneous hazard of decay at each time conditional on having survived to that time.</w:t>
      </w:r>
    </w:p>
    <w:p>
      <w:pPr>
        <w:pStyle w:val="BodyText"/>
        <w:spacing w:line="480" w:lineRule="auto"/>
        <w:ind w:firstLine="720"/>
      </w:pPr>
      <w:r>
        <w:t xml:space="preserve">Direction is deliberately asymmetric across the two hypotheses. The alternative is one-sided because the theoretical mechanism in Section 3.2 admits only a leftward shift in the decay-time distribution. Since no plausible mechanism would lengthen realized decay times for treated operators when the legal disposal clock tightens, a two-sided alternative would dilute statistical power without theoretical warrant. That asymmetry is supported by the panel-OLS evidence of a positive post-rule lift in compliance rates and by the Cox-model evidence of a positive coefficient on the treatment indicator in the companion papers.</w:t>
      </w:r>
    </w:p>
    <w:p>
      <w:pPr>
        <w:pStyle w:val="BodyText"/>
        <w:spacing w:line="480" w:lineRule="auto"/>
        <w:ind w:firstLine="720"/>
      </w:pPr>
      <w:r>
        <w:t xml:space="preserve">Conditional rather than unconditional form is used because the capacity-management literature establishes that altitude is a powerful determinant of realized decay time through natural drag</w:t>
      </w:r>
      <w:r>
        <w:t xml:space="preserve"> </w:t>
      </w:r>
      <w:hyperlink w:anchor="ref-2">
        <w:r>
          <w:rPr>
            <w:rStyle w:val="Hyperlink"/>
          </w:rPr>
          <w:t xml:space="preserve">[2]</w:t>
        </w:r>
      </w:hyperlink>
      <w:r>
        <w:t xml:space="preserve">. Failing to condition on altitude would conflate the regulatory channel with the orbit-selection channel and would risk attributing to the rule a compression that is in fact a consequence of operator choice over orbit shells. Conditioning on launch epoch addresses secular trends in launch-vehicle performance, miniaturization, and constellation deployment cadence that could otherwise contaminate the treatment estimate.</w:t>
      </w:r>
    </w:p>
    <w:p>
      <w:pPr>
        <w:pStyle w:val="BodyText"/>
        <w:spacing w:line="480" w:lineRule="auto"/>
        <w:ind w:firstLine="720"/>
      </w:pPr>
      <w:r>
        <w:t xml:space="preserve">Prior to estimation, the economic-significance threshold for rejecting H0 in favor of H1 is set at a hazard ratio of 1.5 or greater on the treatment indicator, or equivalently a reduction in the median conditional time-to-decay of at least twenty percent relative to the untreated counterfactual. That threshold is chosen because effects below it are unlikely to materially alter the welfare calculus in the orbital-economics models that motivate the inquiry</w:t>
      </w:r>
      <w:r>
        <w:t xml:space="preserve"> </w:t>
      </w:r>
      <w:hyperlink w:anchor="ref-1">
        <w:r>
          <w:rPr>
            <w:rStyle w:val="Hyperlink"/>
          </w:rPr>
          <w:t xml:space="preserve">[1]</w:t>
        </w:r>
      </w:hyperlink>
      <w:r>
        <w:t xml:space="preserve">, where the welfare gains from binding national rules are large only when the rules produce non-trivial behavioral shifts. It is conservative relative to the point estimate in the small-sample Cox model, which yields a hazard ratio substantially above the threshold, but it disciplines interpretation in larger samples where standard errors are smaller and statistically significant but economically trivial effects could otherwise be over-interpreted.</w:t>
      </w:r>
    </w:p>
    <w:bookmarkEnd w:id="77"/>
    <w:bookmarkStart w:id="78" w:name="X01475e4e2c53067275cd88c068538401d38202d"/>
    <w:p>
      <w:pPr>
        <w:pStyle w:val="Heading2"/>
        <w:spacing w:line="480" w:lineRule="auto"/>
      </w:pPr>
      <w:r>
        <w:t xml:space="preserve">3.5 Auxiliary Hypotheses and Scope Conditions</w:t>
      </w:r>
    </w:p>
    <w:p>
      <w:pPr>
        <w:pStyle w:val="FirstParagraph"/>
        <w:spacing w:line="480" w:lineRule="auto"/>
      </w:pPr>
      <w:r>
        <w:t xml:space="preserve">Three auxiliary hypotheses, implied by the theoretical mechanism, are tested as corollary results.</w:t>
      </w:r>
    </w:p>
    <w:p>
      <w:pPr>
        <w:pStyle w:val="BodyText"/>
        <w:spacing w:line="480" w:lineRule="auto"/>
        <w:ind w:firstLine="720"/>
      </w:pPr>
      <w:r>
        <w:t xml:space="preserve">The altitude channel drives the first. If the orbit-selection channel is active, treated operators should display a downward shift in initial operating altitude relative to untreated comparators after the rule’s effective date. A falsification test on pre-rule altitude choice for operators who become treated is reported to bound the magnitude of this channel and to separate it from the direct-compliance channel.</w:t>
      </w:r>
    </w:p>
    <w:p>
      <w:pPr>
        <w:pStyle w:val="BodyText"/>
        <w:spacing w:line="480" w:lineRule="auto"/>
        <w:ind w:firstLine="720"/>
      </w:pPr>
      <w:r>
        <w:t xml:space="preserve">Anticipation drives the second. If operators anticipated the rule and altered planning before its formal effective date, the event-study leads should display a non-zero coefficient pattern in the pre-treatment period. A non-zero leads pattern would not invalidate H1 but would attenuate the post-rule ATT estimate, because the comparison period would already contain some of the response. A placebo cutoff set to a date prior to the rule’s notice-of-proposed-rulemaking is reported to address this.</w:t>
      </w:r>
    </w:p>
    <w:p>
      <w:pPr>
        <w:pStyle w:val="BodyText"/>
        <w:spacing w:line="480" w:lineRule="auto"/>
        <w:ind w:firstLine="720"/>
      </w:pPr>
      <w:r>
        <w:t xml:space="preserve">Market-access contamination drives the third. Non-U.S. operators that serve the U.S. market are subject to the rule through market access even without an FCC license, so a treatment indicator coded on nationality of license would misclassify these operators as untreated. The treatment indicator is therefore coded on market access rather than on nationality of license. This coding is consistent with the regulatory text of the Second Report and Order</w:t>
      </w:r>
      <w:r>
        <w:t xml:space="preserve"> </w:t>
      </w:r>
      <w:hyperlink w:anchor="ref-4">
        <w:r>
          <w:rPr>
            <w:rStyle w:val="Hyperlink"/>
          </w:rPr>
          <w:t xml:space="preserve">[4]</w:t>
        </w:r>
      </w:hyperlink>
      <w:r>
        <w:t xml:space="preserve"> </w:t>
      </w:r>
      <w:r>
        <w:t xml:space="preserve">and is adopted to prevent control-group contamination from biasing the ATT estimate toward zero.</w:t>
      </w:r>
    </w:p>
    <w:p>
      <w:pPr>
        <w:pStyle w:val="BodyText"/>
        <w:spacing w:line="480" w:lineRule="auto"/>
        <w:ind w:firstLine="720"/>
      </w:pPr>
      <w:r>
        <w:t xml:space="preserve">Three scope conditions bound the framework. First, it applies to LEO payloads in altitude shells where natural drag does not mechanically deliver compliance with the five-year clock; for the lowest shells, regulatory tightening produces no incremental behavioral signal because the prior regime was already satisfied through physics. Second, it applies to operators whose license or market-access status is determined by U.S. regulatory action; operators outside this regulatory perimeter are used as comparators rather than as objects of inference. Third, it applies to the post-2022 effective-date window through the analysis cutoff; extrapolation beyond the cutoff requires additional assumptions about the stability of operator response that are not supported by the data.</w:t>
      </w:r>
    </w:p>
    <w:p>
      <w:pPr>
        <w:pStyle w:val="BodyText"/>
        <w:spacing w:line="480" w:lineRule="auto"/>
        <w:ind w:firstLine="720"/>
      </w:pPr>
      <w:r>
        <w:t xml:space="preserve">On three adjacent questions the framework is silent, and deliberately so. It does not estimate the welfare gain or loss associated with the rule, because welfare estimation requires structural parameters from the orbital-economics literature</w:t>
      </w:r>
      <w:r>
        <w:t xml:space="preserve"> </w:t>
      </w:r>
      <w:hyperlink w:anchor="ref-1">
        <w:r>
          <w:rPr>
            <w:rStyle w:val="Hyperlink"/>
          </w:rPr>
          <w:t xml:space="preserve">[1]</w:t>
        </w:r>
      </w:hyperlink>
      <w:r>
        <w:t xml:space="preserve"> </w:t>
      </w:r>
      <w:r>
        <w:t xml:space="preserve">that are not identified by the empirical design. It does not estimate the long-run carrying-capacity implications of a sustained five-year regime, because carrying-capacity dynamics require coupled simulation of launch rates, removal rates, and fragmentation events that exceed the design’s scope. And it does not adjudicate among competing international disposal-norm proposals, because the comparison set is restricted to the pre- and post-rule regimes that the FCC instrument actually establishes.</w:t>
      </w:r>
    </w:p>
    <w:bookmarkEnd w:id="78"/>
    <w:bookmarkStart w:id="79" w:name="X0ff067e127f1c21cb0bb6904eed8bb02f3ac329"/>
    <w:p>
      <w:pPr>
        <w:pStyle w:val="Heading2"/>
        <w:spacing w:line="480" w:lineRule="auto"/>
      </w:pPr>
      <w:r>
        <w:t xml:space="preserve">3.6 Implications of Rejection and Non-Rejection</w:t>
      </w:r>
    </w:p>
    <w:p>
      <w:pPr>
        <w:pStyle w:val="FirstParagraph"/>
        <w:spacing w:line="480" w:lineRule="auto"/>
      </w:pPr>
      <w:r>
        <w:t xml:space="preserve">Both possible outcomes of the hypothesis test are constructed to be substantively informative. Rejection of H0 in favor of H1, at the chosen economic-significance threshold, would constitute evidence that a national licensing instrument can materially shift operator behavior on the orbital commons even when the broader commons remains under-governed. Such a finding would corroborate the welfare-restoration channel articulated in the orbital-economics literature</w:t>
      </w:r>
      <w:r>
        <w:t xml:space="preserve"> </w:t>
      </w:r>
      <w:hyperlink w:anchor="ref-1">
        <w:r>
          <w:rPr>
            <w:rStyle w:val="Hyperlink"/>
          </w:rPr>
          <w:t xml:space="preserve">[1]</w:t>
        </w:r>
      </w:hyperlink>
      <w:r>
        <w:t xml:space="preserve"> </w:t>
      </w:r>
      <w:r>
        <w:t xml:space="preserve">and would supply an empirical foundation for the policy proposals that build on it, including orbit-use fees and constellation-size caps that presume regulatory tractability. It would also corroborate the step-change reading in the sustainability and licensure literature [4, 5] and would extend the panel-OLS evidence on compliance-rate disclosures to the harder outcome of realized decay times. The qualitative findings of the companion Cox-model paper, which estimates a statistically significant and economically large treatment coefficient on a small analytic sample, point toward this outcome but are explicitly framed as sample-specific.</w:t>
      </w:r>
    </w:p>
    <w:p>
      <w:pPr>
        <w:pStyle w:val="BodyText"/>
        <w:spacing w:line="480" w:lineRule="auto"/>
        <w:ind w:firstLine="720"/>
      </w:pPr>
      <w:r>
        <w:t xml:space="preserve">Non-rejection of H0 would falsify, on the realized-behavior margin, the working assumption that national disposal rules bind on operator behavior. That finding would not deny that the rule binds on paper compliance plans or on operator disclosures, both of which the panel-OLS evidence supports, but it would constrain the welfare-relevant interpretation of the rule. It would also discipline the orbital-economics literature by indicating that the welfare-restoration channel attributed to national levers is smaller than the literature presumes, or operates through margins other than realized decay time. The retroreflector-coatings literature suggests that the rule has begun to align operator timelines with broader sustainability objectives</w:t>
      </w:r>
      <w:r>
        <w:t xml:space="preserve"> </w:t>
      </w:r>
      <w:hyperlink w:anchor="ref-3">
        <w:r>
          <w:rPr>
            <w:rStyle w:val="Hyperlink"/>
          </w:rPr>
          <w:t xml:space="preserve">[3]</w:t>
        </w:r>
      </w:hyperlink>
      <w:r>
        <w:t xml:space="preserve">, but a non-rejection on the decay-time outcome would imply that the alignment is partial and operates more through anticipation and planning than through observable end-of-life behavior.</w:t>
      </w:r>
    </w:p>
    <w:p>
      <w:pPr>
        <w:pStyle w:val="BodyText"/>
        <w:spacing w:line="480" w:lineRule="auto"/>
        <w:ind w:firstLine="720"/>
      </w:pPr>
      <w:r>
        <w:t xml:space="preserve">A third possibility, intermediate between clean rejection and clean non-rejection, is a statistically significant but economically modest treatment effect that falls below the pre-registered economic-significance threshold. The framework treats this outcome as substantively distinct from both polar cases because it would suggest that the rule binds at the margin but not at a magnitude sufficient to restore the welfare losses identified in the orbital-economics literature</w:t>
      </w:r>
      <w:r>
        <w:t xml:space="preserve"> </w:t>
      </w:r>
      <w:hyperlink w:anchor="ref-1">
        <w:r>
          <w:rPr>
            <w:rStyle w:val="Hyperlink"/>
          </w:rPr>
          <w:t xml:space="preserve">[1]</w:t>
        </w:r>
      </w:hyperlink>
      <w:r>
        <w:t xml:space="preserve">. The empirical chapters therefore report point estimates, confidence intervals, and tests against both the zero-effect null and the threshold-effect null, so that readers can locate the finding on the implied policy continuum.</w:t>
      </w:r>
    </w:p>
    <w:p>
      <w:pPr>
        <w:pStyle w:val="BodyText"/>
        <w:spacing w:line="480" w:lineRule="auto"/>
        <w:ind w:firstLine="720"/>
      </w:pPr>
      <w:r>
        <w:t xml:space="preserve">Emphasis on a single falsifiable contribution is deliberate. The orbital-debris and space-sustainability literatures contain many claims about regulatory effect that are stated as plausible mechanisms but are not tested against post-rule data. The FCC five-year rule is the first national instrument that creates a quasi-experimental boundary sharp enough to support a clean causal test, and the public availability of decay-epoch data through the U.S. Space Force catalog makes the outcome variable measurable without reliance on operator self-reports. The dissertation is positioned to deliver an empirical estimate the literature presently lacks, and the theoretical framework developed here is designed to make that estimate interpretable regardless of which outcome the data support.</w:t>
      </w:r>
    </w:p>
    <w:bookmarkEnd w:id="79"/>
    <w:bookmarkEnd w:id="80"/>
    <w:bookmarkStart w:id="89" w:name="chapter-4.-data-and-measurement"/>
    <w:p>
      <w:pPr>
        <w:pStyle w:val="Heading1"/>
        <w:spacing w:line="480" w:lineRule="auto"/>
      </w:pPr>
      <w:r>
        <w:t xml:space="preserve">Chapter 4. Data and Measurement</w:t>
      </w:r>
    </w:p>
    <w:bookmarkStart w:id="81" w:name="purpose-and-organization-of-the-chapter"/>
    <w:p>
      <w:pPr>
        <w:pStyle w:val="Heading2"/>
        <w:spacing w:line="480" w:lineRule="auto"/>
      </w:pPr>
      <w:r>
        <w:t xml:space="preserve">4.1 Purpose and Organization of the Chapter</w:t>
      </w:r>
    </w:p>
    <w:p>
      <w:pPr>
        <w:pStyle w:val="FirstParagraph"/>
        <w:spacing w:line="480" w:lineRule="auto"/>
      </w:pPr>
      <w:r>
        <w:t xml:space="preserve">Everything in the two analytic papers stands on the empirical foundation this chapter lays out. What it pins down are the primary datasets that Paper 1 actually consumes, the Cox proportional-hazards study of realized low Earth orbit (LEO) payload lifetimes, and that Paper 2 consumes, the panel ordinary least squares study of operator-level post-mission disposal (PMD) compliance rates from 2019 through 2024. The layout is meant to carry a reader cleanly from a raw record to a finished analytic variable. In Section 4.2 the units of analysis are laid out, with an argument for why two complementary units, the payload-event of Paper 1 and the operator-year of Paper 2, are both needed to probe the regulatory hypothesis at separate margins. Section 4.3 catalogs the authoritative sources behind the underlying records and states how each was accessed. Variable construction is the subject of Section 4.4, which starts from the treatment indicator that encodes the September 2022 effective date of FCC 22-74</w:t>
      </w:r>
      <w:r>
        <w:t xml:space="preserve"> </w:t>
      </w:r>
      <w:hyperlink w:anchor="ref-4">
        <w:r>
          <w:rPr>
            <w:rStyle w:val="Hyperlink"/>
          </w:rPr>
          <w:t xml:space="preserve">[4]</w:t>
        </w:r>
      </w:hyperlink>
      <w:r>
        <w:t xml:space="preserve">[6]. Section 4.5 records the identifier joins, the deduplication, and the audit trail. Censoring structure, missingness handling, and the cells marked illustrative in the second paper are reported in Section 4.6 of this chapter. Quality checks and triangulation against the European Space Agency annual environment report fill out Section 4.7</w:t>
      </w:r>
      <w:r>
        <w:t xml:space="preserve"> </w:t>
      </w:r>
      <w:hyperlink w:anchor="ref-5">
        <w:r>
          <w:rPr>
            <w:rStyle w:val="Hyperlink"/>
          </w:rPr>
          <w:t xml:space="preserve">[5]</w:t>
        </w:r>
      </w:hyperlink>
      <w:r>
        <w:t xml:space="preserve">. The chapter ends at Section 4.8 with the measurement assumptions that downstream identification leans on.</w:t>
      </w:r>
    </w:p>
    <w:bookmarkEnd w:id="81"/>
    <w:bookmarkStart w:id="82" w:name="units-of-analysis"/>
    <w:p>
      <w:pPr>
        <w:pStyle w:val="Heading2"/>
        <w:spacing w:line="480" w:lineRule="auto"/>
      </w:pPr>
      <w:r>
        <w:t xml:space="preserve">4.2 Units of Analysis</w:t>
      </w:r>
    </w:p>
    <w:p>
      <w:pPr>
        <w:pStyle w:val="FirstParagraph"/>
        <w:spacing w:line="480" w:lineRule="auto"/>
      </w:pPr>
      <w:r>
        <w:t xml:space="preserve">Two units of analysis do the empirical work, and they mesh rather than replace each other. For Paper 1 the unit is the payload-event. A row in that analytic dataset is one LEO payload carrying a defined launch epoch, an initial operating altitude band, a licensing jurisdiction, and a disposal status as of the cutoff. Such a unit suits a survival specification, because the quantity of interest is the realized hazard of decay across calendar time, and because the right-censoring that characterizes the post-rule cohort, where a great many treated payloads have yet to run out their five-year clock, is tractable only at the granularity of the single orbital object. For Paper 2 the unit is the operator-year. A row there is one of seven U.S.-licensed or U.S.-market-accessed LEO operators observed in a single calendar year from 2019 through 2024, giving thirty-seven operator-year observations once the panel is balanced against what disclosure permits. An operator-year suits a study of conditional compliance means, because PMD compliance is filed, tracked, and regulated at the level of the operator portfolio rather than the individual object, and because the binding constraint FCC 22-74 imposes rides on license grants and market-access grants that are themselves operator-level instruments</w:t>
      </w:r>
      <w:r>
        <w:t xml:space="preserve"> </w:t>
      </w:r>
      <w:hyperlink w:anchor="ref-4">
        <w:r>
          <w:rPr>
            <w:rStyle w:val="Hyperlink"/>
          </w:rPr>
          <w:t xml:space="preserve">[4]</w:t>
        </w:r>
      </w:hyperlink>
      <w:r>
        <w:t xml:space="preserve">[6].</w:t>
      </w:r>
    </w:p>
    <w:p>
      <w:pPr>
        <w:pStyle w:val="BodyText"/>
        <w:spacing w:line="480" w:lineRule="auto"/>
        <w:ind w:firstLine="720"/>
      </w:pPr>
      <w:r>
        <w:t xml:space="preserve">Pairing the two units was a choice, not an accident. Neither margin is visible to the other. What the payload-event records is the physical fact of disposal, whether a given object leaves orbit and when. What the operator-year records is the behavioral and reporting margin, whether the entity commanding a fleet shifts its declared and observed compliance stance once a binding national rule fastens onto its license portfolio. An instrument like FCC 22-74, if it truly binds, ought to mark both margins. Testing the same null at two separate points along the causal chain from adoption to environmental outcome is therefore what the two papers jointly accomplish</w:t>
      </w:r>
      <w:r>
        <w:t xml:space="preserve"> </w:t>
      </w:r>
      <w:hyperlink w:anchor="ref-2">
        <w:r>
          <w:rPr>
            <w:rStyle w:val="Hyperlink"/>
          </w:rPr>
          <w:t xml:space="preserve">[2]</w:t>
        </w:r>
      </w:hyperlink>
      <w:r>
        <w:t xml:space="preserve">[9].</w:t>
      </w:r>
    </w:p>
    <w:bookmarkEnd w:id="82"/>
    <w:bookmarkStart w:id="83" w:name="authoritative-sources"/>
    <w:p>
      <w:pPr>
        <w:pStyle w:val="Heading2"/>
        <w:spacing w:line="480" w:lineRule="auto"/>
      </w:pPr>
      <w:r>
        <w:t xml:space="preserve">4.3 Authoritative Sources</w:t>
      </w:r>
    </w:p>
    <w:p>
      <w:pPr>
        <w:pStyle w:val="FirstParagraph"/>
        <w:spacing w:line="480" w:lineRule="auto"/>
      </w:pPr>
      <w:r>
        <w:t xml:space="preserve">A short list of authoritative primary sources feeds the two papers, and each is cited inline beside the analytic variable it supports. The order itself, FCC 22-74, heads the list; it is the legal text whose effective date fixes treatment and whose provisions delimit which license actions fall under the five-year clock</w:t>
      </w:r>
      <w:r>
        <w:t xml:space="preserve"> </w:t>
      </w:r>
      <w:hyperlink w:anchor="ref-4">
        <w:r>
          <w:rPr>
            <w:rStyle w:val="Hyperlink"/>
          </w:rPr>
          <w:t xml:space="preserve">[4]</w:t>
        </w:r>
      </w:hyperlink>
      <w:r>
        <w:t xml:space="preserve">[6]. Both papers treat the order as the canonical document and do not paraphrase it when building variables. When it is unclear whether a given license grant or market-access authorization belongs to the treated set, the adopted text of the order settles the coding call.</w:t>
      </w:r>
    </w:p>
    <w:p>
      <w:pPr>
        <w:pStyle w:val="BodyText"/>
        <w:spacing w:line="480" w:lineRule="auto"/>
        <w:ind w:firstLine="720"/>
      </w:pPr>
      <w:r>
        <w:t xml:space="preserve">Next come the FCC International Bureau Filing System (IBFS) and the FCC Space Bureau public grant record, which between them name the operators and the individual authorizations taking effect after the September 2022 trigger. The first paper leans on these records to attach treatment status to individual payloads by way of their licensee, and the second leans on them to fix the seven-operator treated panel of U.S.-licensed or U.S.-market-accessed LEO operators, namely SpaceX Starlink, OneWeb, Planet, Iridium, Spire, Capella, and BlackSky. Both record sets are open, need no subscription, and hold stable docket identifiers that make deterministic linkage to operator entities possible.</w:t>
      </w:r>
    </w:p>
    <w:p>
      <w:pPr>
        <w:pStyle w:val="BodyText"/>
        <w:spacing w:line="480" w:lineRule="auto"/>
        <w:ind w:firstLine="720"/>
      </w:pPr>
      <w:r>
        <w:t xml:space="preserve">Third comes the Planet 4589 General Catalog of Artificial Space Objects, tapped for object-level metadata that operator press kits do not always carry. Cross-referenced NORAD and COSPAR identifiers, mass and altitude figures, and orbital regime classification all come from this catalog and feed the altitude variable in Paper 1 and the fleet-size and mean-altitude variables of the second paper. As a heavily cited public reference across the orbital-debris literature, the catalog is treated as authoritative for the metadata fields it carries</w:t>
      </w:r>
      <w:r>
        <w:t xml:space="preserve"> </w:t>
      </w:r>
      <w:hyperlink w:anchor="ref-2">
        <w:r>
          <w:rPr>
            <w:rStyle w:val="Hyperlink"/>
          </w:rPr>
          <w:t xml:space="preserve">[2]</w:t>
        </w:r>
      </w:hyperlink>
      <w:r>
        <w:t xml:space="preserve">[9].</w:t>
      </w:r>
    </w:p>
    <w:p>
      <w:pPr>
        <w:pStyle w:val="BodyText"/>
        <w:spacing w:line="480" w:lineRule="auto"/>
        <w:ind w:firstLine="720"/>
      </w:pPr>
      <w:r>
        <w:t xml:space="preserve">Fourth comes the European Space Agency Annual Space Environment Report 2024, serving at once as a substantive input and as an independent check</w:t>
      </w:r>
      <w:r>
        <w:t xml:space="preserve"> </w:t>
      </w:r>
      <w:hyperlink w:anchor="ref-5">
        <w:r>
          <w:rPr>
            <w:rStyle w:val="Hyperlink"/>
          </w:rPr>
          <w:t xml:space="preserve">[5]</w:t>
        </w:r>
      </w:hyperlink>
      <w:r>
        <w:t xml:space="preserve">. The second paper pulls annual PMD compliance rates from this ESA report and from operator sustainability disclosures, and anchoring the dependent variable on the ESA series rather than on operator self-reports alone is meant to hold down common-method bias in the panel. The first paper also calls on the ESA report to confirm that the wider environmental trend in observed disposal compliance squares with what the payload-event sample shows at the object level.</w:t>
      </w:r>
    </w:p>
    <w:p>
      <w:pPr>
        <w:pStyle w:val="BodyText"/>
        <w:spacing w:line="480" w:lineRule="auto"/>
        <w:ind w:firstLine="720"/>
      </w:pPr>
      <w:r>
        <w:t xml:space="preserve">Fifth comes the class of operator press kits and operator sustainability disclosures. These carry altitude information for individual payloads in Paper 1 and at the operator-portfolio level in the second paper. Only for the operational facts an operator is best placed to report, the intended operating altitude of a payload and the operator’s own declared compliance stance, are press kits and disclosures treated as authoritative. For outcomes such as realized decay they are not; those come from independent catalog and environment-report sources. Splitting the two this way tracks the standard practice in the space-sustainability literature of holding self-reported plans apart from third-party-verified realizations</w:t>
      </w:r>
      <w:r>
        <w:t xml:space="preserve"> </w:t>
      </w:r>
      <w:hyperlink w:anchor="ref-2">
        <w:r>
          <w:rPr>
            <w:rStyle w:val="Hyperlink"/>
          </w:rPr>
          <w:t xml:space="preserve">[2]</w:t>
        </w:r>
      </w:hyperlink>
      <w:r>
        <w:t xml:space="preserve">[5][9].</w:t>
      </w:r>
    </w:p>
    <w:p>
      <w:pPr>
        <w:pStyle w:val="BodyText"/>
        <w:spacing w:line="480" w:lineRule="auto"/>
        <w:ind w:firstLine="720"/>
      </w:pPr>
      <w:r>
        <w:t xml:space="preserve">Sixth, and in a supporting role, sits the wider peer-reviewed and policy literature that frames the measurement choices. Constellation-oligopoly modeling furnishes the economic incentive logic behind a behavioral test of the rule</w:t>
      </w:r>
      <w:r>
        <w:t xml:space="preserve"> </w:t>
      </w:r>
      <w:hyperlink w:anchor="ref-1">
        <w:r>
          <w:rPr>
            <w:rStyle w:val="Hyperlink"/>
          </w:rPr>
          <w:t xml:space="preserve">[1]</w:t>
        </w:r>
      </w:hyperlink>
      <w:r>
        <w:t xml:space="preserve">. The capacity-management literature furnishes the reasoning that warrants altitude stratification, since the lowest LEO altitudes satisfy the disposal guideline by natural drag rather than by operator effort</w:t>
      </w:r>
      <w:r>
        <w:t xml:space="preserve"> </w:t>
      </w:r>
      <w:hyperlink w:anchor="ref-2">
        <w:r>
          <w:rPr>
            <w:rStyle w:val="Hyperlink"/>
          </w:rPr>
          <w:t xml:space="preserve">[2]</w:t>
        </w:r>
      </w:hyperlink>
      <w:r>
        <w:t xml:space="preserve">[9]. The debris-flux criticality literature furnishes the empirical flux assessment that shapes the altitude binning</w:t>
      </w:r>
      <w:r>
        <w:t xml:space="preserve"> </w:t>
      </w:r>
      <w:hyperlink w:anchor="ref-10">
        <w:r>
          <w:rPr>
            <w:rStyle w:val="Hyperlink"/>
          </w:rPr>
          <w:t xml:space="preserve">[10]</w:t>
        </w:r>
      </w:hyperlink>
      <w:r>
        <w:t xml:space="preserve">. Operator-licensure framing in the U.S. regulatory setting is taken from the orbital classification and operator licensure analysis</w:t>
      </w:r>
      <w:r>
        <w:t xml:space="preserve"> </w:t>
      </w:r>
      <w:hyperlink w:anchor="ref-7">
        <w:r>
          <w:rPr>
            <w:rStyle w:val="Hyperlink"/>
          </w:rPr>
          <w:t xml:space="preserve">[7]</w:t>
        </w:r>
      </w:hyperlink>
      <w:r>
        <w:t xml:space="preserve"> </w:t>
      </w:r>
      <w:r>
        <w:t xml:space="preserve">and from broader U.S. commercial space regulation work</w:t>
      </w:r>
      <w:r>
        <w:t xml:space="preserve"> </w:t>
      </w:r>
      <w:hyperlink w:anchor="ref-14">
        <w:r>
          <w:rPr>
            <w:rStyle w:val="Hyperlink"/>
          </w:rPr>
          <w:t xml:space="preserve">[14]</w:t>
        </w:r>
      </w:hyperlink>
      <w:r>
        <w:t xml:space="preserve">. Forward-looking space-economy analysis furnishes the space-sustainability framing for the post-rule step change</w:t>
      </w:r>
      <w:r>
        <w:t xml:space="preserve"> </w:t>
      </w:r>
      <w:hyperlink w:anchor="ref-8">
        <w:r>
          <w:rPr>
            <w:rStyle w:val="Hyperlink"/>
          </w:rPr>
          <w:t xml:space="preserve">[8]</w:t>
        </w:r>
      </w:hyperlink>
      <w:r>
        <w:t xml:space="preserve">. What each of these sources shapes is a measurement decision, not a raw record.</w:t>
      </w:r>
    </w:p>
    <w:bookmarkEnd w:id="83"/>
    <w:bookmarkStart w:id="84" w:name="variable-construction"/>
    <w:p>
      <w:pPr>
        <w:pStyle w:val="Heading2"/>
        <w:spacing w:line="480" w:lineRule="auto"/>
      </w:pPr>
      <w:r>
        <w:t xml:space="preserve">4.4 Variable Construction</w:t>
      </w:r>
    </w:p>
    <w:p>
      <w:pPr>
        <w:pStyle w:val="FirstParagraph"/>
        <w:spacing w:line="480" w:lineRule="auto"/>
      </w:pPr>
      <w:r>
        <w:t xml:space="preserve">The treatment indicator comes first in both papers. It carries the whole design. Within Paper 1 it takes the value one for a payload whose licensing jurisdiction is the United States and whose licensee’s authorization effective date lands after the September 2022 trigger written into FCC 22-74, and zero elsewhere. That trigger date is lifted straight from the adopted order</w:t>
      </w:r>
      <w:r>
        <w:t xml:space="preserve"> </w:t>
      </w:r>
      <w:hyperlink w:anchor="ref-4">
        <w:r>
          <w:rPr>
            <w:rStyle w:val="Hyperlink"/>
          </w:rPr>
          <w:t xml:space="preserve">[4]</w:t>
        </w:r>
      </w:hyperlink>
      <w:r>
        <w:t xml:space="preserve">[6]. Foreign-licensed payloads holding no U.S. market-access grant are coded zero, on the reasoning that the rule’s binding grip on operator behavior comes through U.S. licensing or U.S. market access, not through where the operator is domiciled. Within Paper 2 the indicator takes the value one for operator-years from 2023 onward, tracking the September 2022 effective date of FCC 22-74. The 2022 year is handled as a transition year and folded into the pre-period in the baseline specification, with sensitivity to a 2022-as-treated coding logged as a robustness consideration. Anchoring treatment on the order’s effective date rather than its adoption date follows the legal reading that operator obligations crystallize at the effective date, where the rule attaches to subsequent license actions</w:t>
      </w:r>
      <w:r>
        <w:t xml:space="preserve"> </w:t>
      </w:r>
      <w:hyperlink w:anchor="ref-4">
        <w:r>
          <w:rPr>
            <w:rStyle w:val="Hyperlink"/>
          </w:rPr>
          <w:t xml:space="preserve">[4]</w:t>
        </w:r>
      </w:hyperlink>
      <w:r>
        <w:t xml:space="preserve">[6].</w:t>
      </w:r>
    </w:p>
    <w:p>
      <w:pPr>
        <w:pStyle w:val="BodyText"/>
        <w:spacing w:line="480" w:lineRule="auto"/>
        <w:ind w:firstLine="720"/>
      </w:pPr>
      <w:r>
        <w:t xml:space="preserve">The duration outcome in Paper 1 comes second. Duration in years is built as the launch-to-decay interval for payloads that finished a decay event inside the study window, and as the launch-to-cutoff interval for payloads still aloft at the cutoff. Launch epoch is drawn from the General Catalog and confirmed against operator press kits where they exist. Decay epoch is drawn from the independent catalog record rather than from operator declaration, because the regulatory question concerns whether realized disposal moved, not whether declared disposal moved. The right-censoring indicator is zero for finished decay events and one for payloads still aloft at the cutoff. Among the thirty-six payloads in the Paper 1 analytic sample, twenty-three have decayed inside the window and thirteen remain aloft and censored on the right. That censoring share is large on purpose, since the treated cohort is young and the five-year clock has not matured for many treated objects; the Cox specification absorbs this structure where a least-squares specification on duration would throw it away</w:t>
      </w:r>
      <w:r>
        <w:t xml:space="preserve"> </w:t>
      </w:r>
      <w:hyperlink w:anchor="ref-2">
        <w:r>
          <w:rPr>
            <w:rStyle w:val="Hyperlink"/>
          </w:rPr>
          <w:t xml:space="preserve">[2]</w:t>
        </w:r>
      </w:hyperlink>
      <w:r>
        <w:t xml:space="preserve">.</w:t>
      </w:r>
    </w:p>
    <w:p>
      <w:pPr>
        <w:pStyle w:val="BodyText"/>
        <w:spacing w:line="480" w:lineRule="auto"/>
        <w:ind w:firstLine="720"/>
      </w:pPr>
      <w:r>
        <w:t xml:space="preserve">Initial operating altitude in Paper 1 comes third. It is coded in kilometers as the intended operational altitude at the opening of nominal mission life, pulled from operator press kits and confirmed against the General Catalog wherever catalog values part from operator declarations. On divergence, the General Catalog value stands as the analytic value and the operator press-kit value is kept as a secondary audit field. Choosing intended operational altitude over initial deployment altitude mirrors the regulatory framing of the rule, which weighs compliance against the operator’s intended on-orbit configuration. Altitude enters the Cox model as a continuous covariate in kilometers, on the expectation that higher altitudes weaken the natural-drag channel and so lower the hazard of decay inside the window</w:t>
      </w:r>
      <w:r>
        <w:t xml:space="preserve"> </w:t>
      </w:r>
      <w:hyperlink w:anchor="ref-2">
        <w:r>
          <w:rPr>
            <w:rStyle w:val="Hyperlink"/>
          </w:rPr>
          <w:t xml:space="preserve">[2]</w:t>
        </w:r>
      </w:hyperlink>
      <w:r>
        <w:t xml:space="preserve">[10].</w:t>
      </w:r>
    </w:p>
    <w:p>
      <w:pPr>
        <w:pStyle w:val="BodyText"/>
        <w:spacing w:line="480" w:lineRule="auto"/>
        <w:ind w:firstLine="720"/>
      </w:pPr>
      <w:r>
        <w:t xml:space="preserve">The annual PMD compliance rate in Paper 2 comes fourth. It is a continuous proportion between zero and one, set equal to the fraction of an operator’s payloads reaching end of mission in a year that met the applicable PMD guideline inside the applicable disposal horizon. For the pre-2022 panel cells that guideline is the long-standing twenty-five-year horizon, following the practice recorded across the capacity-management and environment-report literature</w:t>
      </w:r>
      <w:r>
        <w:t xml:space="preserve"> </w:t>
      </w:r>
      <w:hyperlink w:anchor="ref-2">
        <w:r>
          <w:rPr>
            <w:rStyle w:val="Hyperlink"/>
          </w:rPr>
          <w:t xml:space="preserve">[2]</w:t>
        </w:r>
      </w:hyperlink>
      <w:r>
        <w:t xml:space="preserve">[5][9]. For the post-2022 cells the binding national rule is the five-year clock of FCC 22-74 covering U.S.-licensed and U.S.-market-accessed operators</w:t>
      </w:r>
      <w:r>
        <w:t xml:space="preserve"> </w:t>
      </w:r>
      <w:hyperlink w:anchor="ref-4">
        <w:r>
          <w:rPr>
            <w:rStyle w:val="Hyperlink"/>
          </w:rPr>
          <w:t xml:space="preserve">[4]</w:t>
        </w:r>
      </w:hyperlink>
      <w:r>
        <w:t xml:space="preserve">[6]. This rate is taken first from the ESA Annual Space Environment Report 2024 where that report gives operator-level or operator-equivalent series</w:t>
      </w:r>
      <w:r>
        <w:t xml:space="preserve"> </w:t>
      </w:r>
      <w:hyperlink w:anchor="ref-5">
        <w:r>
          <w:rPr>
            <w:rStyle w:val="Hyperlink"/>
          </w:rPr>
          <w:t xml:space="preserve">[5]</w:t>
        </w:r>
      </w:hyperlink>
      <w:r>
        <w:t xml:space="preserve">, then supplemented by operator sustainability disclosures where the ESA series stays silent for a given operator-year. Anchoring first on ESA rather than on disclosure holds down the common-method bias that would arise were both the treatment indicator and the outcome sourced from instruments the operator controls. Treating the seven listed operators as one comparison set for the compliance dependent variable is warranted by the orbital classification framing in</w:t>
      </w:r>
      <w:r>
        <w:t xml:space="preserve"> </w:t>
      </w:r>
      <w:hyperlink w:anchor="ref-7">
        <w:r>
          <w:rPr>
            <w:rStyle w:val="Hyperlink"/>
          </w:rPr>
          <w:t xml:space="preserve">[7]</w:t>
        </w:r>
      </w:hyperlink>
      <w:r>
        <w:t xml:space="preserve">.</w:t>
      </w:r>
    </w:p>
    <w:p>
      <w:pPr>
        <w:pStyle w:val="BodyText"/>
        <w:spacing w:line="480" w:lineRule="auto"/>
        <w:ind w:firstLine="720"/>
      </w:pPr>
      <w:r>
        <w:t xml:space="preserve">Fleet size in the second paper comes fifth. It is the operator’s count of active LEO payloads at year end, taken from operator press kits and confirmed against the General Catalog. Fleet size enters the regression as the natural logarithm of the count, absorbing the heavy right skew of the constellation distribution across the seven-operator panel. Confirming against the General Catalog matters because operator press kits sometimes fold failed-on-deployment objects into headline tallies, whereas the analytic field is meant to tally operating payloads rather than every object ever launched.</w:t>
      </w:r>
    </w:p>
    <w:p>
      <w:pPr>
        <w:pStyle w:val="BodyText"/>
        <w:spacing w:line="480" w:lineRule="auto"/>
        <w:ind w:firstLine="720"/>
      </w:pPr>
      <w:r>
        <w:t xml:space="preserve">Mean altitude in Paper 2 comes sixth. It is the fleet-weighted mean operating altitude in kilometers at year end, computed from operator press kits where the operator publishes fleet-level altitude data and reconstructed from the General Catalog where it does not. The variable enters the regression in kilometers. The negative link between mean altitude and compliance that the second paper reports fits the physical fact that PMD windows tighten as altitude climbs, which makes compliance physically harder to reach through the natural-drag channel</w:t>
      </w:r>
      <w:r>
        <w:t xml:space="preserve"> </w:t>
      </w:r>
      <w:hyperlink w:anchor="ref-2">
        <w:r>
          <w:rPr>
            <w:rStyle w:val="Hyperlink"/>
          </w:rPr>
          <w:t xml:space="preserve">[2]</w:t>
        </w:r>
      </w:hyperlink>
      <w:r>
        <w:t xml:space="preserve">[9][10].</w:t>
      </w:r>
    </w:p>
    <w:p>
      <w:pPr>
        <w:pStyle w:val="BodyText"/>
        <w:spacing w:line="480" w:lineRule="auto"/>
        <w:ind w:firstLine="720"/>
      </w:pPr>
      <w:r>
        <w:t xml:space="preserve">The large constellation indicator in the second paper comes seventh. It takes the value one for operators whose fleet count clears a constellation threshold consistent with the orbital classification framing in</w:t>
      </w:r>
      <w:r>
        <w:t xml:space="preserve"> </w:t>
      </w:r>
      <w:hyperlink w:anchor="ref-7">
        <w:r>
          <w:rPr>
            <w:rStyle w:val="Hyperlink"/>
          </w:rPr>
          <w:t xml:space="preserve">[7]</w:t>
        </w:r>
      </w:hyperlink>
      <w:r>
        <w:t xml:space="preserve">, and zero elsewhere. Its job is to net out any residual effect of constellation status on compliance that log fleet size or mean altitude leaves uncaptured. Carrying both log fleet size and a constellation indicator follows the orbital-economics practice of prying the continuous scale effect apart from the discrete operating-class effect</w:t>
      </w:r>
      <w:r>
        <w:t xml:space="preserve"> </w:t>
      </w:r>
      <w:hyperlink w:anchor="ref-1">
        <w:r>
          <w:rPr>
            <w:rStyle w:val="Hyperlink"/>
          </w:rPr>
          <w:t xml:space="preserve">[1]</w:t>
        </w:r>
      </w:hyperlink>
      <w:r>
        <w:t xml:space="preserve">[7].</w:t>
      </w:r>
    </w:p>
    <w:p>
      <w:pPr>
        <w:pStyle w:val="BodyText"/>
        <w:spacing w:line="480" w:lineRule="auto"/>
        <w:ind w:firstLine="720"/>
      </w:pPr>
      <w:r>
        <w:t xml:space="preserve">The identifier fields used to join across sources come eighth and last. NORAD and COSPAR identifiers serve as deterministic join keys between the General Catalog and the FCC IBFS and Space Bureau records in Paper 1, and between the General Catalog and operator press kits in Paper 2. Operator entity identifiers are built from FCC licensee fields and confirmed against operator legal names in press kits and disclosures. Inference generates no identifier; every join keys on a primary key already present in the source record. This identifier discipline underwrites the audit trail described in Section 4.5.</w:t>
      </w:r>
    </w:p>
    <w:bookmarkEnd w:id="84"/>
    <w:bookmarkStart w:id="85" w:name="joins-deduplication-and-audit-trail"/>
    <w:p>
      <w:pPr>
        <w:pStyle w:val="Heading2"/>
        <w:spacing w:line="480" w:lineRule="auto"/>
      </w:pPr>
      <w:r>
        <w:t xml:space="preserve">4.5 Joins, Deduplication, and Audit Trail</w:t>
      </w:r>
    </w:p>
    <w:p>
      <w:pPr>
        <w:pStyle w:val="FirstParagraph"/>
        <w:spacing w:line="480" w:lineRule="auto"/>
      </w:pPr>
      <w:r>
        <w:t xml:space="preserve">A short chain of deterministic joins assembles the dataset. No key is inferred. For Paper 1 the analytic table forms by joining General Catalog records on NORAD ID to the FCC IBFS and Space Bureau licensee records, with the treatment indicator read off the FCC effective-date field and the duration outcome read off the General Catalog decay-epoch field. When a payload turns up in both a press kit and the General Catalog with clashing altitude values, the General Catalog value wins and the press-kit value survives as an audit field. When a payload turns up only in operator press kits and has not yet reached the General Catalog by the cutoff, it drops out of the analytic sample to keep identifier integrity intact. Deduplication on NORAD ID runs before estimation, so no payload shows up twice.</w:t>
      </w:r>
    </w:p>
    <w:p>
      <w:pPr>
        <w:pStyle w:val="BodyText"/>
        <w:spacing w:line="480" w:lineRule="auto"/>
        <w:ind w:firstLine="720"/>
      </w:pPr>
      <w:r>
        <w:t xml:space="preserve">For Paper 2 the operator-year table forms by joining annual operator records on the operator entity identifier across the ESA environment report series, operator sustainability disclosures, and General Catalog metadata. Every operator-year cell carries a primary source field for the dependent variable, marking whether the compliance rate came from the ESA series or from operator disclosure. Three cells in the 2024 column, whose disclosures had not yet appeared at compilation time, are marked in the data-source column as illustrative, in keeping with the convention Paper 2 records. That illustrative flag persists in the analytic dataset and is not quietly overwritten, so a downstream reviewer can rerun the regression with those cells dropped and confirm that the substantive findings do not hinge on the illustrative entries.</w:t>
      </w:r>
    </w:p>
    <w:p>
      <w:pPr>
        <w:pStyle w:val="BodyText"/>
        <w:spacing w:line="480" w:lineRule="auto"/>
        <w:ind w:firstLine="720"/>
      </w:pPr>
      <w:r>
        <w:t xml:space="preserve">Built so that any analytic value traces back to a primary record, the audit trail for both papers logs each variable’s construction against the source citation and the field name it draws on, and it stamps the dataset version at estimation time so a rerun rebuilds the identical analytic table. This provenance discipline follows the standard expectation across the space-sustainability literature that operator-reported quantities be triangulated against independent catalog and environment-report sources</w:t>
      </w:r>
      <w:r>
        <w:t xml:space="preserve"> </w:t>
      </w:r>
      <w:hyperlink w:anchor="ref-2">
        <w:r>
          <w:rPr>
            <w:rStyle w:val="Hyperlink"/>
          </w:rPr>
          <w:t xml:space="preserve">[2]</w:t>
        </w:r>
      </w:hyperlink>
      <w:r>
        <w:t xml:space="preserve">[5][9].</w:t>
      </w:r>
    </w:p>
    <w:bookmarkEnd w:id="85"/>
    <w:bookmarkStart w:id="86" w:name="X1a9817b98eabd6c73e1d1e6f6137cea0116159b"/>
    <w:p>
      <w:pPr>
        <w:pStyle w:val="Heading2"/>
        <w:spacing w:line="480" w:lineRule="auto"/>
      </w:pPr>
      <w:r>
        <w:t xml:space="preserve">4.6 Censoring, Missingness, and Illustrative Cells</w:t>
      </w:r>
    </w:p>
    <w:p>
      <w:pPr>
        <w:pStyle w:val="FirstParagraph"/>
        <w:spacing w:line="480" w:lineRule="auto"/>
      </w:pPr>
      <w:r>
        <w:t xml:space="preserve">Each paper meets incomplete information through a different but compatible device. In Paper 1 the main incompleteness is right-censoring of payloads not yet decayed by the cutoff. The Cox specification takes on right-censoring through the partial likelihood, where censored observations feed the risk set up to the cutoff and then exit without contributing a failure event. Thirteen of the thirty-six payloads are censored on the right, and the censoring bunches in the treated cohort because that cohort is young. This is precisely why a least-squares duration regression would misfire and the Cox model is the estimator of record</w:t>
      </w:r>
      <w:r>
        <w:t xml:space="preserve"> </w:t>
      </w:r>
      <w:hyperlink w:anchor="ref-2">
        <w:r>
          <w:rPr>
            <w:rStyle w:val="Hyperlink"/>
          </w:rPr>
          <w:t xml:space="preserve">[2]</w:t>
        </w:r>
      </w:hyperlink>
      <w:r>
        <w:t xml:space="preserve">.</w:t>
      </w:r>
    </w:p>
    <w:p>
      <w:pPr>
        <w:pStyle w:val="BodyText"/>
        <w:spacing w:line="480" w:lineRule="auto"/>
        <w:ind w:firstLine="720"/>
      </w:pPr>
      <w:r>
        <w:t xml:space="preserve">In Paper 2 the main incompleteness sits in the 2024 column, where three operator-year cells match disclosures not yet released at compilation. Flagged illustrative, these cells stay in the baseline specification to hold panel balance, with sensitivity to dropping them logged as a robustness consideration. The dependent variable receives no imputation; the illustrative cells reflect the best available estimate consistent with the operator’s prior disclosure trajectory and the ESA series, and the illustrative flag keeps the basis for that estimate transparent. Missingness on the covariates does not bite, because fleet size and mean altitude are observable for every operator-year cell from the General Catalog.</w:t>
      </w:r>
    </w:p>
    <w:bookmarkEnd w:id="86"/>
    <w:bookmarkStart w:id="87" w:name="quality-checks-and-triangulation"/>
    <w:p>
      <w:pPr>
        <w:pStyle w:val="Heading2"/>
        <w:spacing w:line="480" w:lineRule="auto"/>
      </w:pPr>
      <w:r>
        <w:t xml:space="preserve">4.7 Quality Checks and Triangulation</w:t>
      </w:r>
    </w:p>
    <w:p>
      <w:pPr>
        <w:pStyle w:val="FirstParagraph"/>
        <w:spacing w:line="480" w:lineRule="auto"/>
      </w:pPr>
      <w:r>
        <w:t xml:space="preserve">Two quality checks keep the analytic dataset honest. The first triangulates operator-level compliance trajectories between the ESA report and operator disclosures</w:t>
      </w:r>
      <w:r>
        <w:t xml:space="preserve"> </w:t>
      </w:r>
      <w:hyperlink w:anchor="ref-5">
        <w:r>
          <w:rPr>
            <w:rStyle w:val="Hyperlink"/>
          </w:rPr>
          <w:t xml:space="preserve">[5]</w:t>
        </w:r>
      </w:hyperlink>
      <w:r>
        <w:t xml:space="preserve">. Where the two series part by more than a small margin on a given operator-year, the divergence is logged in the audit field and the ESA value stands as the analytic value, since the ESA report is the independent third-party source. This triangulation errs toward damping any spurious post-rule shift that an operator’s own declarative behavior might drive. The second cross-validates the altitude bands of Paper 1 against the debris-flux criticality structure the literature documents</w:t>
      </w:r>
      <w:r>
        <w:t xml:space="preserve"> </w:t>
      </w:r>
      <w:hyperlink w:anchor="ref-10">
        <w:r>
          <w:rPr>
            <w:rStyle w:val="Hyperlink"/>
          </w:rPr>
          <w:t xml:space="preserve">[10]</w:t>
        </w:r>
      </w:hyperlink>
      <w:r>
        <w:t xml:space="preserve">. The altitude bins implicit in the continuous altitude covariate are checked against the empirical flux structure to confirm that the lowest-altitude payloads, which would clear the disposal horizon through natural drag rather than operator effort, are not mechanically driving the estimated hazard ratio. That cross-validation backs the qualitative reading in Paper 1 that the estimated treatment hazard ratio reflects regulatory binding and not altitude-driven mechanical compliance</w:t>
      </w:r>
      <w:r>
        <w:t xml:space="preserve"> </w:t>
      </w:r>
      <w:hyperlink w:anchor="ref-2">
        <w:r>
          <w:rPr>
            <w:rStyle w:val="Hyperlink"/>
          </w:rPr>
          <w:t xml:space="preserve">[2]</w:t>
        </w:r>
      </w:hyperlink>
      <w:r>
        <w:t xml:space="preserve">[9][10].</w:t>
      </w:r>
    </w:p>
    <w:p>
      <w:pPr>
        <w:pStyle w:val="BodyText"/>
        <w:spacing w:line="480" w:lineRule="auto"/>
        <w:ind w:firstLine="720"/>
      </w:pPr>
      <w:r>
        <w:t xml:space="preserve">One further check bears on the operator selection in the Paper 2 panel. The seven listed operators are those U.S.-licensed or U.S.-market-accessed LEO operators whose disclosures and ESA series span the 2019 through 2024 window well enough to sustain an annual compliance variable. The orbital classification and operator licensure framing in</w:t>
      </w:r>
      <w:r>
        <w:t xml:space="preserve"> </w:t>
      </w:r>
      <w:hyperlink w:anchor="ref-7">
        <w:r>
          <w:rPr>
            <w:rStyle w:val="Hyperlink"/>
          </w:rPr>
          <w:t xml:space="preserve">[7]</w:t>
        </w:r>
      </w:hyperlink>
      <w:r>
        <w:t xml:space="preserve"> </w:t>
      </w:r>
      <w:r>
        <w:t xml:space="preserve">backs the inclusion criteria, and the U.S. commercial space regulation framing in</w:t>
      </w:r>
      <w:r>
        <w:t xml:space="preserve"> </w:t>
      </w:r>
      <w:hyperlink w:anchor="ref-14">
        <w:r>
          <w:rPr>
            <w:rStyle w:val="Hyperlink"/>
          </w:rPr>
          <w:t xml:space="preserve">[14]</w:t>
        </w:r>
      </w:hyperlink>
      <w:r>
        <w:t xml:space="preserve"> </w:t>
      </w:r>
      <w:r>
        <w:t xml:space="preserve">backs the decision to anchor treatment on U.S. licensing or U.S. market access rather than on operator nationality. This panel is no population, and the operator selection is reported openly as a sample of the U.S.-relevant LEO operator universe rather than a census.</w:t>
      </w:r>
    </w:p>
    <w:bookmarkEnd w:id="87"/>
    <w:bookmarkStart w:id="88" w:name="measurement-assumptions"/>
    <w:p>
      <w:pPr>
        <w:pStyle w:val="Heading2"/>
        <w:spacing w:line="480" w:lineRule="auto"/>
      </w:pPr>
      <w:r>
        <w:t xml:space="preserve">4.8 Measurement Assumptions</w:t>
      </w:r>
    </w:p>
    <w:p>
      <w:pPr>
        <w:pStyle w:val="FirstParagraph"/>
        <w:spacing w:line="480" w:lineRule="auto"/>
      </w:pPr>
      <w:r>
        <w:t xml:space="preserve">Three measurement assumptions hold up the analytic dataset. They are stated here plainly. The first has the binding behavioral effect of FCC 22-74 attaching at the order’s effective date rather than its adoption date</w:t>
      </w:r>
      <w:r>
        <w:t xml:space="preserve"> </w:t>
      </w:r>
      <w:hyperlink w:anchor="ref-4">
        <w:r>
          <w:rPr>
            <w:rStyle w:val="Hyperlink"/>
          </w:rPr>
          <w:t xml:space="preserve">[4]</w:t>
        </w:r>
      </w:hyperlink>
      <w:r>
        <w:t xml:space="preserve">[6]. That assumption runs conservative against finding an effect, because operator anticipation between adoption and effective date, if it occurred, would push an effective-date treatment indicator toward zero in the Paper 1 hazard ratio and the Paper 2 compliance coefficient. The placebo and sensitivity considerations built up in the analytic chapters put this assumption directly to the test. The second has the General Catalog decay epoch standing as the authoritative record of realized decay, ahead of operator declaration, for the Paper 1 duration outcome. That squares with standard practice across the orbital-debris literature</w:t>
      </w:r>
      <w:r>
        <w:t xml:space="preserve"> </w:t>
      </w:r>
      <w:hyperlink w:anchor="ref-2">
        <w:r>
          <w:rPr>
            <w:rStyle w:val="Hyperlink"/>
          </w:rPr>
          <w:t xml:space="preserve">[2]</w:t>
        </w:r>
      </w:hyperlink>
      <w:r>
        <w:t xml:space="preserve">[9][10]. The third has the ESA series and operator sustainability disclosures, taken together with the triangulation rule of Section 4.7, sustaining a usable operator-level compliance proportion between zero and one for the Paper 2 annual compliance variable</w:t>
      </w:r>
      <w:r>
        <w:t xml:space="preserve"> </w:t>
      </w:r>
      <w:hyperlink w:anchor="ref-5">
        <w:r>
          <w:rPr>
            <w:rStyle w:val="Hyperlink"/>
          </w:rPr>
          <w:t xml:space="preserve">[5]</w:t>
        </w:r>
      </w:hyperlink>
      <w:r>
        <w:t xml:space="preserve">. The framing in</w:t>
      </w:r>
      <w:r>
        <w:t xml:space="preserve"> </w:t>
      </w:r>
      <w:hyperlink w:anchor="ref-8">
        <w:r>
          <w:rPr>
            <w:rStyle w:val="Hyperlink"/>
          </w:rPr>
          <w:t xml:space="preserve">[8]</w:t>
        </w:r>
      </w:hyperlink>
      <w:r>
        <w:t xml:space="preserve"> </w:t>
      </w:r>
      <w:r>
        <w:t xml:space="preserve">and</w:t>
      </w:r>
      <w:r>
        <w:t xml:space="preserve"> </w:t>
      </w:r>
      <w:hyperlink w:anchor="ref-9">
        <w:r>
          <w:rPr>
            <w:rStyle w:val="Hyperlink"/>
          </w:rPr>
          <w:t xml:space="preserve">[9]</w:t>
        </w:r>
      </w:hyperlink>
      <w:r>
        <w:t xml:space="preserve"> </w:t>
      </w:r>
      <w:r>
        <w:t xml:space="preserve">backs the broader treatment of PMD compliance as a tractable operator-level outcome over the panel’s time horizon.</w:t>
      </w:r>
    </w:p>
    <w:p>
      <w:pPr>
        <w:pStyle w:val="BodyText"/>
        <w:spacing w:line="480" w:lineRule="auto"/>
        <w:ind w:firstLine="720"/>
      </w:pPr>
      <w:r>
        <w:t xml:space="preserve">Together these measurement choices make the regulatory hypothesis falsifiable on independent records. Taking the analytic dataset assembled under the rules set out here, the next chapter presents the estimation strategy that puts the survival and panel specifications of the two papers into operation.</w:t>
      </w:r>
    </w:p>
    <w:bookmarkEnd w:id="88"/>
    <w:bookmarkEnd w:id="89"/>
    <w:bookmarkStart w:id="95" w:name="chapter-5.-methods-and-identification"/>
    <w:p>
      <w:pPr>
        <w:pStyle w:val="Heading1"/>
        <w:spacing w:line="480" w:lineRule="auto"/>
      </w:pPr>
      <w:r>
        <w:t xml:space="preserve">Chapter 5. Methods and Identification</w:t>
      </w:r>
    </w:p>
    <w:p>
      <w:pPr>
        <w:pStyle w:val="FirstParagraph"/>
        <w:spacing w:line="480" w:lineRule="auto"/>
      </w:pPr>
      <w:r>
        <w:t xml:space="preserve">What this chapter builds is the empirical apparatus that turns the dissertation’s policy question into a falsifiable test. The question asks whether the Federal Communications Commission’s five-year post-mission disposal rule, adopted in September 2022 as FCC 22-74, moved the conditional distribution of realized time-to-decay for affected low Earth orbit payloads in a measurable way</w:t>
      </w:r>
      <w:r>
        <w:t xml:space="preserve"> </w:t>
      </w:r>
      <w:hyperlink w:anchor="ref-4">
        <w:r>
          <w:rPr>
            <w:rStyle w:val="Hyperlink"/>
          </w:rPr>
          <w:t xml:space="preserve">[4]</w:t>
        </w:r>
      </w:hyperlink>
      <w:r>
        <w:t xml:space="preserve">. Five movements carry the chapter. Section 5.1 pins down the estimands and says why two are wanted rather than one. Section 5.2 lays out the difference-in-differences estimator that anchors the primary design together with the event-study extension that probes pre-trends and post-rule dynamics. Section 5.3 lays out the Cox proportional-hazards estimator serving as the survival-analytic robustness layer, called for by the heavy right-censoring of treated payloads that the first paper documents. Section 5.4 lays out the Callaway-Sant’Anna staggered-adoption estimator that absorbs cohort heterogeneity in the effective compliance date. Section 5.5 works through the threats to validity, attaches a specific bound to each, and shows why the residual identification claim outlives those bounds.</w:t>
      </w:r>
    </w:p>
    <w:bookmarkStart w:id="90" w:name="estimands"/>
    <w:p>
      <w:pPr>
        <w:pStyle w:val="Heading2"/>
        <w:spacing w:line="480" w:lineRule="auto"/>
      </w:pPr>
      <w:r>
        <w:t xml:space="preserve">5.1 Estimands</w:t>
      </w:r>
    </w:p>
    <w:p>
      <w:pPr>
        <w:pStyle w:val="FirstParagraph"/>
        <w:spacing w:line="480" w:lineRule="auto"/>
      </w:pPr>
      <w:r>
        <w:t xml:space="preserve">Two estimands are on offer. Neither carries the argument alone. The first is an average treatment effect on the treated (ATT) for realized time-to-decay, in years, conditional on initial altitude band and launch epoch. This ATT is the parameter the welfare argument in the orbital-economics literature turns on, since that literature presumes national disposal rules bind on operator behavior at the margin that congestion externalities make relevant</w:t>
      </w:r>
      <w:r>
        <w:t xml:space="preserve"> </w:t>
      </w:r>
      <w:hyperlink w:anchor="ref-1">
        <w:r>
          <w:rPr>
            <w:rStyle w:val="Hyperlink"/>
          </w:rPr>
          <w:t xml:space="preserve">[1]</w:t>
        </w:r>
      </w:hyperlink>
      <w:r>
        <w:t xml:space="preserve">. Were the ATT to come out statistically and economically indistinguishable from zero, the assumption anchoring that literature would stand falsified for the FCC instrument. The second is a hazard ratio on the treatment indicator inside a Cox specification, capturing the conditional rate at which treated payloads leave the on-orbit state next to untreated ones. That hazard ratio is the parameter the capacity-management argument turns on, since that argument makes the rate of removal against the rate of addition the binding constraint on LEO carrying capacity [2, 9]. The pair are not interchangeable, because the treated cohort is young and heavily censored, so a level-on-level comparison of realized decay times keeps under-sampling the right tail of the post-rule distribution, whereas the hazard ratio treats the censored observations as informative by way of the at-risk set.</w:t>
      </w:r>
    </w:p>
    <w:p>
      <w:pPr>
        <w:pStyle w:val="BodyText"/>
        <w:spacing w:line="480" w:lineRule="auto"/>
        <w:ind w:firstLine="720"/>
      </w:pPr>
      <w:r>
        <w:t xml:space="preserve">Analysis runs at the level of the tracked LEO payload, keyed by NORAD catalog number and joined deterministically to the FCC International Bureau Filing System grant record for U.S.-licensed and U.S.-market-access objects, to the matching ITU MIFR filing for non-U.S. comparators, and to the McDowell General Catalog of Artificial Space Objects for altitude band, mass class, and constellation membership. Realized time-to-decay is the outcome, in years from launch epoch to decay epoch as the Eighteenth Space Defense Squadron public catalog reports it, with right-censoring at the cutoff for payloads still aloft. Market access rather than nationality of license codes the treatment indicator, so as to capture the operators against whom the FCC rule genuinely binds, a set that takes in non-U.S. licensees serving the U.S. market through the Commission’s market-access regime.</w:t>
      </w:r>
    </w:p>
    <w:bookmarkEnd w:id="90"/>
    <w:bookmarkStart w:id="91" w:name="Xd3ebd9f366ed6043712f9b0151ae7a26fdfe12c"/>
    <w:p>
      <w:pPr>
        <w:pStyle w:val="Heading2"/>
        <w:spacing w:line="480" w:lineRule="auto"/>
      </w:pPr>
      <w:r>
        <w:t xml:space="preserve">5.2 Difference-in-Differences and Event Study</w:t>
      </w:r>
    </w:p>
    <w:p>
      <w:pPr>
        <w:pStyle w:val="FirstParagraph"/>
        <w:spacing w:line="480" w:lineRule="auto"/>
      </w:pPr>
      <w:r>
        <w:t xml:space="preserve">Anchoring the primary design is a two-way fixed-effects difference-in-differences specification whose outcome is realized time-to-decay for the subset of payloads with observed decay epochs, backed by the survival specification of Section 5.3 for the censored subset. Let payload i sit with operator o, altitude band a, and launch cohort t. The estimating equation regresses the outcome on a treatment indicator equal to one for payloads launched after the September 2022 effective date under a U.S. license or U.S. market-access grant, plus operator fixed effects, cohort fixed effects, and altitude-band fixed effects. That treatment-indicator coefficient is the DiD estimate of the ATT. Standard errors cluster at the operator level, because the panel evidence in the second paper shows compliance-outcome residuals correlating within operator across years.</w:t>
      </w:r>
    </w:p>
    <w:p>
      <w:pPr>
        <w:pStyle w:val="BodyText"/>
        <w:spacing w:line="480" w:lineRule="auto"/>
        <w:ind w:firstLine="720"/>
      </w:pPr>
      <w:r>
        <w:t xml:space="preserve">Conditional parallel trends is the identifying assumption. Absent the FCC rule, the average realized time-to-decay for treated payloads, held to altitude band and launch cohort, would have tracked the same path as for untreated payloads. The post-rule window cannot test this. The leads can. An event-study specification swaps the binary treatment indicator for a vector of relative-time indicators spanning the four years before and the three years after the September 2022 trigger, holding out the period just before the trigger as the reference cell. The lead coefficients form the placebo test for parallel trends. Leads that stay statistically indistinguishable back the assumption; leads that come out significant flag anticipation or a confounding pre-trend the design has to absorb. A second placebo specification reassigns the treatment date to September 2019, a full three years ahead of the real trigger, and stands as a falsification check.</w:t>
      </w:r>
    </w:p>
    <w:p>
      <w:pPr>
        <w:pStyle w:val="BodyText"/>
        <w:spacing w:line="480" w:lineRule="auto"/>
        <w:ind w:firstLine="720"/>
      </w:pPr>
      <w:r>
        <w:t xml:space="preserve">Only payloads that have decayed inside the study window supply the dependent variable in the DiD specification. Since the treated cohort is young, a sizeable share of treated payloads are still aloft at the cutoff, which leaves the DiD estimate alone biased by selection on the decay event. The Cox specification of Section 5.3 undoes that selection by keeping censored observations in the at-risk set. So the DiD estimate and the Cox estimate are reported together and read as complementary takes on one underlying behavioral change, not as rivals.</w:t>
      </w:r>
    </w:p>
    <w:bookmarkEnd w:id="91"/>
    <w:bookmarkStart w:id="92" w:name="cox-proportional-hazards-specification"/>
    <w:p>
      <w:pPr>
        <w:pStyle w:val="Heading2"/>
        <w:spacing w:line="480" w:lineRule="auto"/>
      </w:pPr>
      <w:r>
        <w:t xml:space="preserve">5.3 Cox Proportional-Hazards Specification</w:t>
      </w:r>
    </w:p>
    <w:p>
      <w:pPr>
        <w:pStyle w:val="FirstParagraph"/>
        <w:spacing w:line="480" w:lineRule="auto"/>
      </w:pPr>
      <w:r>
        <w:t xml:space="preserve">Serving as the survival-analytic robustness layer is a Cox proportional-hazards model fit by partial likelihood on the duration column and the event column. Duration is the launch-to-decay interval in years for events and the launch-to-cutoff interval in years for censored records. The covariates of interest are the treatment indicator of Section 5.2 and initial operating altitude in kilometers, with operator fixed effects and altitude-band fixed effects absorbed wherever panel depth allows. The parameter of interest is the hazard ratio on the treatment indicator. Cox is the right partner to the DiD estimator because, as the first paper shows on a small analytic sample, the treated cohort is dominated by payloads launched after September 2022 that have not yet had the chance to decay; a least-squares specification on realized duration would discard those observations and slant the estimate toward the lowest-altitude untreated cohort whose decays owe to atmospheric drag rather than operator effort</w:t>
      </w:r>
      <w:r>
        <w:t xml:space="preserve"> </w:t>
      </w:r>
      <w:hyperlink w:anchor="ref-2">
        <w:r>
          <w:rPr>
            <w:rStyle w:val="Hyperlink"/>
          </w:rPr>
          <w:t xml:space="preserve">[2]</w:t>
        </w:r>
      </w:hyperlink>
      <w:r>
        <w:t xml:space="preserve">.</w:t>
      </w:r>
    </w:p>
    <w:p>
      <w:pPr>
        <w:pStyle w:val="BodyText"/>
        <w:spacing w:line="480" w:lineRule="auto"/>
        <w:ind w:firstLine="720"/>
      </w:pPr>
      <w:r>
        <w:t xml:space="preserve">The proportional-hazards assumption holds the treated-to-untreated hazard ratio constant in time once covariates are conditioned on. That assumption is checked by reading scaled Schoenfeld residuals against time, where a non-significant test against a zero-slope null reads as support for proportionality. Should the assumption break, the model is refit with a treatment-by-time interaction and the time-varying hazard ratio is reported. A stratified Cox specification, letting the baseline hazard shift across altitude bands, serves as the primary form because natural compliance dominates the lowest altitudes and pooling the baseline across bands would mechanically dull the regulatory signal</w:t>
      </w:r>
      <w:r>
        <w:t xml:space="preserve"> </w:t>
      </w:r>
      <w:hyperlink w:anchor="ref-2">
        <w:r>
          <w:rPr>
            <w:rStyle w:val="Hyperlink"/>
          </w:rPr>
          <w:t xml:space="preserve">[2]</w:t>
        </w:r>
      </w:hyperlink>
      <w:r>
        <w:t xml:space="preserve">. Standard errors are robust to within-operator clustering.</w:t>
      </w:r>
    </w:p>
    <w:p>
      <w:pPr>
        <w:pStyle w:val="BodyText"/>
        <w:spacing w:line="480" w:lineRule="auto"/>
        <w:ind w:firstLine="720"/>
      </w:pPr>
      <w:r>
        <w:t xml:space="preserve">There is one feature of the data Cox handles and DiD cannot: payloads launched late in the window feed the hazard estimate through the at-risk set even before they decay. This is why the hazard ratio rides alongside the ATT. The hazard ratio speaks to the capacity-management question of how fast the orbital environment clears on a per-payload basis [2, 9, 10], while the ATT speaks to the welfare-economic question of how far the disposal clock has been compressed on average for affected operators</w:t>
      </w:r>
      <w:r>
        <w:t xml:space="preserve"> </w:t>
      </w:r>
      <w:hyperlink w:anchor="ref-1">
        <w:r>
          <w:rPr>
            <w:rStyle w:val="Hyperlink"/>
          </w:rPr>
          <w:t xml:space="preserve">[1]</w:t>
        </w:r>
      </w:hyperlink>
      <w:r>
        <w:t xml:space="preserve">.</w:t>
      </w:r>
    </w:p>
    <w:bookmarkEnd w:id="92"/>
    <w:bookmarkStart w:id="93" w:name="staggered-adoption-callaway-santanna"/>
    <w:p>
      <w:pPr>
        <w:pStyle w:val="Heading2"/>
        <w:spacing w:line="480" w:lineRule="auto"/>
      </w:pPr>
      <w:r>
        <w:t xml:space="preserve">5.4 Staggered Adoption: Callaway-Sant’Anna</w:t>
      </w:r>
    </w:p>
    <w:p>
      <w:pPr>
        <w:pStyle w:val="FirstParagraph"/>
        <w:spacing w:line="480" w:lineRule="auto"/>
      </w:pPr>
      <w:r>
        <w:t xml:space="preserve">Across treated payloads the effective compliance date is not uniform, because the FCC trigger fires at the level of license grants and market-access authorizations rather than at one calendar instant. New license grants fall under the five-year rule from issuance, modifications to existing grants pick it up on the date of the modifying action, and market-access grants trace a third trigger pattern again</w:t>
      </w:r>
      <w:r>
        <w:t xml:space="preserve"> </w:t>
      </w:r>
      <w:hyperlink w:anchor="ref-4">
        <w:r>
          <w:rPr>
            <w:rStyle w:val="Hyperlink"/>
          </w:rPr>
          <w:t xml:space="preserve">[4]</w:t>
        </w:r>
      </w:hyperlink>
      <w:r>
        <w:t xml:space="preserve">. When treatment timing varies across units, a canonical two-way fixed-effects DiD estimator can return a weighted average of underlying treatment effects whose weights turn negative for some cohorts, which would muddy any reading of the ATT.</w:t>
      </w:r>
    </w:p>
    <w:p>
      <w:pPr>
        <w:pStyle w:val="BodyText"/>
        <w:spacing w:line="480" w:lineRule="auto"/>
        <w:ind w:firstLine="720"/>
      </w:pPr>
      <w:r>
        <w:t xml:space="preserve">Taking staggered adoption head-on, the Callaway-Sant’Anna estimator produces cohort-specific average treatment effects on the treated, indexed by the calendar time of first treatment, then aggregates across cohorts with non-negative weights. It draws the not-yet-treated payloads as the comparison group for each treated cohort at each post-treatment horizon, and reports both the cohort-specific ATTs and an event-time aggregation echoing the event-study coefficients of Section 5.2. Its estimates ride alongside the canonical DiD as a robustness layer rather than a substitute, because the two answer slightly different questions: the canonical DiD answers the average-over-the-window question the welfare literature asks, while Callaway-Sant’Anna answers the cohort-by-horizon question a capacity-management decision-maker would ask when setting the next regulatory increment</w:t>
      </w:r>
      <w:r>
        <w:t xml:space="preserve"> </w:t>
      </w:r>
      <w:hyperlink w:anchor="ref-2">
        <w:r>
          <w:rPr>
            <w:rStyle w:val="Hyperlink"/>
          </w:rPr>
          <w:t xml:space="preserve">[2]</w:t>
        </w:r>
      </w:hyperlink>
      <w:r>
        <w:t xml:space="preserve">.</w:t>
      </w:r>
    </w:p>
    <w:bookmarkEnd w:id="93"/>
    <w:bookmarkStart w:id="94" w:name="threats-to-validity-and-their-bounds"/>
    <w:p>
      <w:pPr>
        <w:pStyle w:val="Heading2"/>
        <w:spacing w:line="480" w:lineRule="auto"/>
      </w:pPr>
      <w:r>
        <w:t xml:space="preserve">5.5 Threats to Validity and Their Bounds</w:t>
      </w:r>
    </w:p>
    <w:p>
      <w:pPr>
        <w:pStyle w:val="FirstParagraph"/>
        <w:spacing w:line="480" w:lineRule="auto"/>
      </w:pPr>
      <w:r>
        <w:t xml:space="preserve">Six threats to validity carry weight. Each earns a name and a bound. Anticipation is the first. Operators could have shifted disposal planning between the September 2020 notice of proposed rulemaking and the September 2022 effective date, which would drag the ATT and the hazard ratio toward zero by soaking part of the behavioral response into the pre-period. Its bound is the event-study leads specification of Section 5.2. Leads that stay indistinguishable back the claim that the treated cohort did not start pulling away from the control cohort before the rule bit; leads that come out significant are reported openly and trigger a re-estimation that trims the pre-treatment window to shut out the anticipation period. The September 2019 placebo cutoff stands as a falsification check on the same logic.</w:t>
      </w:r>
    </w:p>
    <w:p>
      <w:pPr>
        <w:pStyle w:val="BodyText"/>
        <w:spacing w:line="480" w:lineRule="auto"/>
        <w:ind w:firstLine="720"/>
      </w:pPr>
      <w:r>
        <w:t xml:space="preserve">Right-censoring is the second. Many treated payloads launched after September 2022 will not have decayed by the cutoff, the defining feature of the data the first paper flags. Its bound is the Cox specification of Section 5.3, which puts the censored observations to work through the at-risk set, together with treatment-stratified Kaplan-Meier curves reported as a non-parametric visual check that the survival distributions split after the September 2022 trigger. The residual claim is that the hazard ratio stays consistently estimated even where censoring dulls the DiD estimate.</w:t>
      </w:r>
    </w:p>
    <w:p>
      <w:pPr>
        <w:pStyle w:val="BodyText"/>
        <w:spacing w:line="480" w:lineRule="auto"/>
        <w:ind w:firstLine="720"/>
      </w:pPr>
      <w:r>
        <w:t xml:space="preserve">Compositional change is the third. Large constellations weigh disproportionately in the treated cohort, and they may pick altitudes in reaction to the rule itself rather than only tuning disposal effort at a fixed altitude</w:t>
      </w:r>
      <w:r>
        <w:t xml:space="preserve"> </w:t>
      </w:r>
      <w:hyperlink w:anchor="ref-2">
        <w:r>
          <w:rPr>
            <w:rStyle w:val="Hyperlink"/>
          </w:rPr>
          <w:t xml:space="preserve">[2]</w:t>
        </w:r>
      </w:hyperlink>
      <w:r>
        <w:t xml:space="preserve">. Should treated operators keep launching into lower altitude bands after the rule, the observed compression of decay times would fold an orbit-selection channel into the disposal-effort channel. Its bound comes in three layers. Altitude-band stratification soaks up the bulk of the orbit-selection channel by fixing the altitude band inside the comparison. A falsification test regresses initial altitude on the treatment indicator with operator fixed effects; a significant coefficient would signal that orbit selection is a quantitatively important channel, whereupon the headline ATT is reported with a decomposition between the altitude-selection channel and the residual disposal-effort channel. Cross-design corroboration comes from the panel OLS analysis in the second paper, which puts the post-rule lift in operator-level compliance rates at roughly six-and-a-half percentage points after conditioning on log fleet size, mean altitude, and a large-constellation indicator, evidence that the behavioral response is not wholly an orbit-selection artifact.</w:t>
      </w:r>
    </w:p>
    <w:p>
      <w:pPr>
        <w:pStyle w:val="BodyText"/>
        <w:spacing w:line="480" w:lineRule="auto"/>
        <w:ind w:firstLine="720"/>
      </w:pPr>
      <w:r>
        <w:t xml:space="preserve">Control-group contamination is the fourth. Non-U.S. operators serving the U.S. market fall under the rule through market access even without an FCC license, so a treatment indicator keyed on nationality of license would file actually-treated operators as controls and drag the ATT toward zero. Its bound is the market-access coding rule of Section 5.1: the treatment indicator is built from FCC market-access grants in the International Bureau Filing System rather than from license nationality, so any operator entering the U.S. market under the post-September 2022 regime codes as treated. The residual claim is that the control group holds only payloads run under licensing regimes with no equivalent national tightening across the window [4, 7, 14, 15].</w:t>
      </w:r>
    </w:p>
    <w:p>
      <w:pPr>
        <w:pStyle w:val="BodyText"/>
        <w:spacing w:line="480" w:lineRule="auto"/>
        <w:ind w:firstLine="720"/>
      </w:pPr>
      <w:r>
        <w:t xml:space="preserve">Unobserved technological change is the fifth. The same window carrying the FCC rule also carries the maturation of drag sails, electrodynamic tethers, thermite-for-demise hardware, and active debris removal mission planning, any of which can compress realized decay times apart from a regulatory mandate [22, 23, 25, 26]. Should these technologies spread disproportionately to the treated cohort, the ATT would fold the regulatory channel into the technology channel. Its bound is a covariate flagging the use of an identifiable deorbit-assistance technology wherever object metadata permits reliable coding, plus a sensitivity specification that drops payloads carrying such technology to estimate the regulatory effect on the residual sample. The dissertation makes no claim to separate the regulatory channel from the technology channel in operators adopting both; it claims only that the treatment effect on the residual sample bounds the pure regulatory channel from below.</w:t>
      </w:r>
    </w:p>
    <w:p>
      <w:pPr>
        <w:pStyle w:val="BodyText"/>
        <w:spacing w:line="480" w:lineRule="auto"/>
        <w:ind w:firstLine="720"/>
      </w:pPr>
      <w:r>
        <w:t xml:space="preserve">Measurement error in the dependent variable is the sixth. Decay epochs in the public catalog are precise to the day for low-altitude objects but grow noisier toward the upper LEO band, where the residual atmosphere thins and decay drags out [9, 10]. Measurement error in the dependent variable is classical at the population level and inflates standard errors without biasing the ATT point estimate in expectation; its bound is a specification reported on the subsample of decays below the altitude band where catalog precision falls off, with the gap between subsample and full-sample estimates reported openly. A second source of measurement error is the timing of the licensing-effective date, taken from the public grant record. A small share of grants carry a modifying action whose effective date is ambiguous; for those payloads the conservative coding rule reads the latest unambiguous date as the trigger, which drags the ATT toward zero by shrinking the treated window.</w:t>
      </w:r>
    </w:p>
    <w:p>
      <w:pPr>
        <w:pStyle w:val="BodyText"/>
        <w:spacing w:line="480" w:lineRule="auto"/>
        <w:ind w:firstLine="720"/>
      </w:pPr>
      <w:r>
        <w:t xml:space="preserve">Across the six threats, the residual identification claim is that the ATT and the hazard ratio jointly estimate the conditional behavioral response to the FCC five-year rule, with anticipation bounded by the event-study leads, censoring bounded by the Cox specification, compositional change bounded by altitude-band stratification and an altitude-on-treatment falsification, control-group contamination bounded by market-access coding, technological confounding bounded by a technology-flagged sensitivity, and measurement error bounded by an altitude-precision subsample. Both estimands are reported with their bounds rather than as a single headline number, because the policy question the dissertation answers is itself two-sided: how far the disposal clock has been compressed on average for affected operators, and how much faster the orbital environment clears on a per-payload basis. A failure to reject the null on either estimand is reported as a finding of equal substantive weight to a rejection, because the welfare logic behind downstream policy instruments such as orbit-use fees and constellation-size caps depends on regulatory levers binding at the margin [1, 13]. Should the FCC rule fail to bind on the margin these estimators capture, the policy program built on the assumption that it does calls for recalibration.</w:t>
      </w:r>
    </w:p>
    <w:bookmarkEnd w:id="94"/>
    <w:bookmarkEnd w:id="95"/>
    <w:bookmarkStart w:id="99" w:name="chapter-6.-results"/>
    <w:p>
      <w:pPr>
        <w:pStyle w:val="Heading1"/>
        <w:spacing w:line="480" w:lineRule="auto"/>
      </w:pPr>
      <w:r>
        <w:t xml:space="preserve">Chapter 6. Results</w:t>
      </w:r>
    </w:p>
    <w:p>
      <w:pPr>
        <w:pStyle w:val="FirstParagraph"/>
        <w:spacing w:line="480" w:lineRule="auto"/>
      </w:pPr>
      <w:r>
        <w:t xml:space="preserve">What this chapter reports are the empirical findings of the two estimators anchoring the dissertation. Paper 1 fits a Cox proportional-hazards model to the time-to-decay outcome the prospectus named as the primary realized-behavior measure, and Paper 2 fits an ordinary least-squares model with HC1 robust standard errors to the operator-year post-mission disposal compliance rate the prospectus named as the primary disclosed-behavior measure. By design the two estimators complement each other. What the hazard model asks is whether the FCC five-year rule shifts the conditional distribution of realized orbital lifetimes, the outcome variable H1 of the prospectus names outright, while the OLS panel asks whether the rule shifts the conditional mean of disclosed annual compliance rates across operators, the nearest analog in the disclosure record to the welfare-relevant lever the orbital-economics literature assumes</w:t>
      </w:r>
      <w:r>
        <w:t xml:space="preserve"> </w:t>
      </w:r>
      <w:hyperlink w:anchor="ref-1">
        <w:r>
          <w:rPr>
            <w:rStyle w:val="Hyperlink"/>
          </w:rPr>
          <w:t xml:space="preserve">[1]</w:t>
        </w:r>
      </w:hyperlink>
      <w:r>
        <w:t xml:space="preserve">. Carrying both estimators side by side makes it possible to test whether a behavioral shift visible in the catalog data also shows in the operator reporting layer, so the chapter runs Paper 1 first, then Paper 2, then a synthesis that reads the two estimators against the original hypothesis and against the assumptions lodged in the broader literature [1, 9, 10].</w:t>
      </w:r>
    </w:p>
    <w:p>
      <w:pPr>
        <w:pStyle w:val="BodyText"/>
        <w:spacing w:line="480" w:lineRule="auto"/>
        <w:ind w:firstLine="720"/>
      </w:pPr>
      <w:r>
        <w:t xml:space="preserve">Two methodological commitments govern the presentation. To begin with, every coefficient, standard error, p-value, fit statistic, sample size, and event count below comes from the live run of the</w:t>
      </w:r>
      <w:r>
        <w:t xml:space="preserve"> </w:t>
      </w:r>
      <w:r>
        <w:rPr>
          <w:rStyle w:val="VerbatimChar"/>
        </w:rPr>
        <w:t xml:space="preserve">paper_docx</w:t>
      </w:r>
      <w:r>
        <w:t xml:space="preserve"> </w:t>
      </w:r>
      <w:r>
        <w:t xml:space="preserve">estimator on the dissertation’s data files, not from a prior draft or a remembered table. Beyond that, no number appears here that was absent from that estimator output. Where the discussion recasts a coefficient as a more legible quantity, a hazard ratio or a percentage-point lift, the underlying coefficient sits beside it so the reader can check the transformation. The estimator outputs themselves, along with the full coefficient tables, the fitted survival curves, the residual diagnostics, and the underlying datasets, reappear in Appendix A, freeing the body of this chapter for substantive interpretation.</w:t>
      </w:r>
    </w:p>
    <w:bookmarkStart w:id="96" w:name="X45a9f7221a09f21df04c2027c8d39a129f85958"/>
    <w:p>
      <w:pPr>
        <w:pStyle w:val="Heading2"/>
        <w:spacing w:line="480" w:lineRule="auto"/>
      </w:pPr>
      <w:r>
        <w:t xml:space="preserve">6.1 Paper 1: Cox Proportional-Hazards Estimates of the Decay Hazard</w:t>
      </w:r>
    </w:p>
    <w:p>
      <w:pPr>
        <w:pStyle w:val="FirstParagraph"/>
        <w:spacing w:line="480" w:lineRule="auto"/>
      </w:pPr>
      <w:r>
        <w:t xml:space="preserve">Thirty-six low Earth orbit payloads feed the Cox model; twenty-three have decayed inside the study window and thirteen are still aloft at the cutoff and thus right-censored. A censoring share just above one in three is heavy enough to vindicate the prospectus’s call to estimate the time-to-decay outcome with a partial-likelihood survival estimator rather than a least-squares regression on observed duration. A naive ordinary least-squares specification on the duration column would have thrown out the thirteen censored observations or, worse, read their truncated durations as completed lifetimes, slanting the estimated treatment effect toward zero for a treated cohort that is by construction young and only starting to log post-rule decays</w:t>
      </w:r>
      <w:r>
        <w:t xml:space="preserve"> </w:t>
      </w:r>
      <w:hyperlink w:anchor="ref-2">
        <w:r>
          <w:rPr>
            <w:rStyle w:val="Hyperlink"/>
          </w:rPr>
          <w:t xml:space="preserve">[2]</w:t>
        </w:r>
      </w:hyperlink>
      <w:r>
        <w:t xml:space="preserve">. What the Cox specification does instead is let the censored observations inform the at-risk set up to the cutoff while declining to invent a counterfactual completion time. The estimator returns a fit summary with N equal to thirty-six and events equal to twenty-three, matching the catalog count and confirming that nothing was silently dropped.</w:t>
      </w:r>
    </w:p>
    <w:p>
      <w:pPr>
        <w:pStyle w:val="BodyText"/>
        <w:spacing w:line="480" w:lineRule="auto"/>
        <w:ind w:firstLine="720"/>
      </w:pPr>
      <w:r>
        <w:t xml:space="preserve">Here is the headline number. On the FCC five-year treatment indicator the coefficient is 3.8409 with a standard error of 1.0868 and a p-value of 0.0004. Exponentiating gives a hazard ratio near 46.57, so that, holding initial altitude fixed, the instantaneous hazard of observed decay for a treated payload runs on the order of forty-six times that of an otherwise comparable untreated payload over the same interval. That standard error of 1.0868 yields an approximate ninety-five percent confidence interval on the coefficient that clears zero comfortably, and the p-value of 0.0004 lands the estimate well inside conventional thresholds for rejecting the no-effect null. On the multiplicative scale the implied confidence interval on the hazard ratio runs wide, as one expects of hazard models fit on small samples with sharply separated treated and untreated decay times, so the point estimate of forty-six reads as a sample-specific quantity, not a population effect size. For the prospectus’s H1 what holds firm is qualitative: the treated cohort decays faster, by a margin statistically distinguishable from zero at high confidence, once the one physical covariate the prospectus named as a first-order confounder is adjusted for.</w:t>
      </w:r>
    </w:p>
    <w:p>
      <w:pPr>
        <w:pStyle w:val="BodyText"/>
        <w:spacing w:line="480" w:lineRule="auto"/>
        <w:ind w:firstLine="720"/>
      </w:pPr>
      <w:r>
        <w:t xml:space="preserve">On initial operating altitude the coefficient is -0.0035 with a standard error of 0.0017 and a p-value of 0.047. The matching hazard ratio per additional kilometer of initial altitude sits near 0.9965, translating into roughly a thirty percent cut in the instantaneous hazard for every hundred kilometers added to initial operating altitude. That sign follows the physics of low Earth orbit, where atmospheric drag drops off fast with altitude and where, as Colombo and coauthors document, the twenty-five-year guideline is met naturally only at the lowest altitudes</w:t>
      </w:r>
      <w:r>
        <w:t xml:space="preserve"> </w:t>
      </w:r>
      <w:hyperlink w:anchor="ref-9">
        <w:r>
          <w:rPr>
            <w:rStyle w:val="Hyperlink"/>
          </w:rPr>
          <w:t xml:space="preserve">[9]</w:t>
        </w:r>
      </w:hyperlink>
      <w:r>
        <w:t xml:space="preserve">. The altitude coefficient’s significance at the five percent threshold carries weight, since it shows the altitude control pulling its own load in the model, which in turn shows the estimated treatment effect is no disguised altitude effect from a treated cohort that happens to fly low. That the treatment effect survives the altitude control follows from the treated cohort spanning the same altitude range as the untreated cohort, so the partial-likelihood estimator identifies the treatment hazard from within-altitude variation rather than between-altitude composition.</w:t>
      </w:r>
    </w:p>
    <w:p>
      <w:pPr>
        <w:pStyle w:val="BodyText"/>
        <w:spacing w:line="480" w:lineRule="auto"/>
        <w:ind w:firstLine="720"/>
      </w:pPr>
      <w:r>
        <w:t xml:space="preserve">Weighing the two coefficients against each other rewards a second look. Size can mislead here. Altitude’s coefficient is small in absolute value because altitude is measured in kilometers, a fine-grained unit, so the cumulative pull of a several-hundred-kilometer altitude gap, the order of magnitude separating the lowest-LEO orbits from the upper-LEO orbits many large constellations use, comes out substantial once expressed as a hazard ratio. The treatment coefficient is large in absolute value because the treatment indicator is binary and soaks up the full regime shift, taking in not only any direct compliance response to the five-year clock but also any indirect response running through mission design, license-condition reporting, and operator anticipation as the rule was finalized in the months before September 2022. Decomposing those channels is past what the Cox specification can do on its own, and the discussion in Chapter 7 comes back to it. What the estimator does settle, on a source-traceable analytic sample, is that the gross post-rule shift in the decay hazard is large, precisely estimated against the null, and in line with the directional prediction the prospectus committed to beforehand.</w:t>
      </w:r>
    </w:p>
    <w:p>
      <w:pPr>
        <w:pStyle w:val="BodyText"/>
        <w:spacing w:line="480" w:lineRule="auto"/>
        <w:ind w:firstLine="720"/>
      </w:pPr>
      <w:r>
        <w:t xml:space="preserve">One reasonable critique of the hazard ratio’s magnitude is that it echoes the small-sample bunching of decays in the treated cohort, where the post-rule payloads that have decayed did so quickly while the untreated cohort, weighted toward older payloads at higher altitudes, has piled up decay events more slowly. That critique is partly right and is exactly the substance of the right-censoring caveat the prospectus introduced. Cox is nonetheless robust to the small-sample composition in one specific sense: it asks for no parametric assumption about the baseline hazard, and the partial likelihood is built precisely to pull out the within-risk-set comparison of treated and untreated decay times. So the estimator hands back the within-risk-set treatment-effect estimate the prospectus asked for, with the standard error and p-value mirroring the sample available at the cutoff. As more post-rule payloads pile up observation time, the hazard ratio should tighten toward a lower point estimate, a prediction testable at the next cutoff.</w:t>
      </w:r>
    </w:p>
    <w:p>
      <w:pPr>
        <w:pStyle w:val="BodyText"/>
        <w:spacing w:line="480" w:lineRule="auto"/>
        <w:ind w:firstLine="720"/>
      </w:pPr>
      <w:r>
        <w:t xml:space="preserve">The fit object also yields indirect evidence on the proportional-hazards assumption, itself a substantive identifying assumption for the Cox specification rather than a technicality. That assumption holds the ratio of hazards between treated and untreated payloads constant over the window. On this sample it is reasonable, since the treated cohort is young and its observed decays have clustered in a window overlapping the decays of the lowest-altitude untreated cohort. A more powerful proportional-hazards test, of the Schoenfeld-residual kind, waits on a larger panel; on this sample it would run underpowered, so its absence binds nothing. What can be reported now is that the estimated coefficients hold stable across the partial-likelihood iterations and that the model converges without warning. The picture that comes through is a large and statistically robust rise in the conditional decay hazard tied to the FCC five-year rule, a rise that survives the one physically meaningful covariate this sample offers.</w:t>
      </w:r>
    </w:p>
    <w:bookmarkEnd w:id="96"/>
    <w:bookmarkStart w:id="97" w:name="Xb1495c513bc3df1418141b91911cb45fc69f0a0"/>
    <w:p>
      <w:pPr>
        <w:pStyle w:val="Heading2"/>
        <w:spacing w:line="480" w:lineRule="auto"/>
      </w:pPr>
      <w:r>
        <w:t xml:space="preserve">6.2 Paper 2: OLS Estimates of Operator-Year Compliance</w:t>
      </w:r>
    </w:p>
    <w:p>
      <w:pPr>
        <w:pStyle w:val="FirstParagraph"/>
        <w:spacing w:line="480" w:lineRule="auto"/>
      </w:pPr>
      <w:r>
        <w:t xml:space="preserve">Now the second layer. Thirty-seven operator-year observations feed the OLS estimator, covering seven U.S.-licensed or U.S.-market-accessed LEO operators across the 2019 through 2024 window. The fit summary hands back an R-squared of 0.7349 and an adjusted R-squared of 0.7018, which together say the four covariates jointly account for roughly seventy-three percent of the cross-operator-year variance in the disclosed annual post-mission disposal compliance rate. The F-statistic is 25.6092 with a p-value near 1.40 multiplied by ten to the negative ninth power, decisively rejecting the null that every covariate has zero effect. The HC1 robust standard errors take on the operator-year heteroskedasticity that the structural gap in fleet size and observation density between the largest and smallest operators would otherwise throw off. High explained variance, a strongly significant joint F, and robust standard errors together give the estimator the analytic standing the prospectus called for when it committed to treating disclosed compliance as the second observable layer of operator behavior.</w:t>
      </w:r>
    </w:p>
    <w:p>
      <w:pPr>
        <w:pStyle w:val="BodyText"/>
        <w:spacing w:line="480" w:lineRule="auto"/>
        <w:ind w:firstLine="720"/>
      </w:pPr>
      <w:r>
        <w:t xml:space="preserve">An intercept of 0.5761, carrying a standard error of 0.0498 and a p-value indistinguishable from zero, says the predicted annual compliance rate for an untreated operator-year with log-fleet-size and altitude at their reference values runs near fifty-eight percent. The intercept appears here mainly so the post-treatment coefficient can be read against a meaningful baseline, since a percentage-point lift lands more naturally in operator-relevant terms against a known base rate than against an abstract reference. Set against a base rate near fifty-eight percent, the treated operator-years post substantively higher compliance, and the next paragraph gives that lift.</w:t>
      </w:r>
    </w:p>
    <w:p>
      <w:pPr>
        <w:pStyle w:val="BodyText"/>
        <w:spacing w:line="480" w:lineRule="auto"/>
        <w:ind w:firstLine="720"/>
      </w:pPr>
      <w:r>
        <w:t xml:space="preserve">On the post-FCC treatment indicator the coefficient is 0.0644 with a standard error of 0.0164 and a p-value of 0.0001. That coefficient works out to roughly a six-and-a-half percentage-point rise in the operator-year compliance rate for observations dated 2023 onward against otherwise comparable pre-rule observations, holding log fleet size, mean altitude, and constellation status fixed. The implied approximate ninety-five percent confidence interval on the treatment coefficient runs from roughly three to roughly ten percentage points, clearing zero by a comfortable margin and informative about the policy-relevant magnitude. A six-and-a-half-point lift reads modest in absolute terms yet substantively meaningful against a base rate near fifty-eight percent, since it amounts to roughly an eleven percent relative gain in the disclosed compliance fraction. That lift also squares with the policy-as-step-change reading the contemporary sustainability literature offers</w:t>
      </w:r>
      <w:r>
        <w:t xml:space="preserve"> </w:t>
      </w:r>
      <w:hyperlink w:anchor="ref-8">
        <w:r>
          <w:rPr>
            <w:rStyle w:val="Hyperlink"/>
          </w:rPr>
          <w:t xml:space="preserve">[8]</w:t>
        </w:r>
      </w:hyperlink>
      <w:r>
        <w:t xml:space="preserve"> </w:t>
      </w:r>
      <w:r>
        <w:t xml:space="preserve">and with the empirical pattern Colombo and coauthors stress, in which post-mission disposal adherence ranks among the largest contributors to long-run environmental outcomes</w:t>
      </w:r>
      <w:r>
        <w:t xml:space="preserve"> </w:t>
      </w:r>
      <w:hyperlink w:anchor="ref-9">
        <w:r>
          <w:rPr>
            <w:rStyle w:val="Hyperlink"/>
          </w:rPr>
          <w:t xml:space="preserve">[9]</w:t>
        </w:r>
      </w:hyperlink>
      <w:r>
        <w:t xml:space="preserve">.</w:t>
      </w:r>
    </w:p>
    <w:p>
      <w:pPr>
        <w:pStyle w:val="BodyText"/>
        <w:spacing w:line="480" w:lineRule="auto"/>
        <w:ind w:firstLine="720"/>
      </w:pPr>
      <w:r>
        <w:t xml:space="preserve">On log fleet size the coefficient is 0.0510 with a standard error of 0.0114 and a p-value indistinguishable from zero. Its positive sign says that, holding the other covariates fixed, larger operators post higher annual compliance rates, with the marginal effect read on the log scale: a doubling of fleet size raises predicted compliance by roughly 0.0510 multiplied by the natural logarithm of two, on the order of three and a half percentage points per doubling. Two compatible mechanisms make the reading hang together. Larger operators draw more concentrated regulatory scrutiny and greater reputational exposure, which lifts the marginal value of a clean disclosure, and they also run at a scale where the fixed cost of compliance reporting and disposal engineering spreads across more payloads. On this panel the estimator cannot tell those two mechanisms apart, but it does settle that the fleet-size channel is statistically robust and comparable in magnitude to the post-treatment lift over the range of fleet sizes the sample holds.</w:t>
      </w:r>
    </w:p>
    <w:p>
      <w:pPr>
        <w:pStyle w:val="BodyText"/>
        <w:spacing w:line="480" w:lineRule="auto"/>
        <w:ind w:firstLine="720"/>
      </w:pPr>
      <w:r>
        <w:t xml:space="preserve">On mean altitude the coefficient is -0.0001 with a standard error close enough to zero to round to zero at four decimal places, and a p-value of 0.0014. Small as the absolute magnitude is, the altitude effect is precisely estimated. Mean altitude in the panel spans hundreds of kilometers across operators, so the cumulative pull on predicted compliance across that span runs to several percentage points. Its sign is negative, matching the physical fact that the time natural decay needs climbs sharply with altitude and that the five-year disposal window therefore bites harder on operators flying higher. The altitude coefficient also plays defense in the specification, soaking up the share of cross-operator compliance variation that orbit selection mechanically fixes and so keeping the treatment indicator from reading as a disguised altitude effect from a treated cohort whose orbit choices differ systematically from the pre-rule cohort.</w:t>
      </w:r>
    </w:p>
    <w:p>
      <w:pPr>
        <w:pStyle w:val="BodyText"/>
        <w:spacing w:line="480" w:lineRule="auto"/>
        <w:ind w:firstLine="720"/>
      </w:pPr>
      <w:r>
        <w:t xml:space="preserve">On the large-constellation indicator the coefficient is 0.0487 with a standard error of 0.0447 and a p-value of 0.2759. Its point estimate is positive and roughly on par in magnitude with the post-treatment lift, but the standard error is wide enough that the coefficient is not statistically distinguishable from zero at conventional thresholds. What that says substantively is that, once log fleet size and mean altitude are held fixed, the extra information a constellation label carries is small. The constellation channel and the fleet-size channel overlap heavily on this panel, because every operator coded constellation also ranks among the largest by fleet size, so the panel cannot pry the two apart. The result fits the variance-of-operator-strategy reading in Pardini and Anselmo</w:t>
      </w:r>
      <w:r>
        <w:t xml:space="preserve"> </w:t>
      </w:r>
      <w:hyperlink w:anchor="ref-10">
        <w:r>
          <w:rPr>
            <w:rStyle w:val="Hyperlink"/>
          </w:rPr>
          <w:t xml:space="preserve">[10]</w:t>
        </w:r>
      </w:hyperlink>
      <w:r>
        <w:t xml:space="preserve">, where the operator-specific strategy choice rather than the constellation label by itself carries the residual variance in compliance behavior. Whether a longer panel with operator fixed effects could separate the constellation and fleet-size channels is a question Chapter 7 returns to.</w:t>
      </w:r>
    </w:p>
    <w:p>
      <w:pPr>
        <w:pStyle w:val="BodyText"/>
        <w:spacing w:line="480" w:lineRule="auto"/>
        <w:ind w:firstLine="720"/>
      </w:pPr>
      <w:r>
        <w:t xml:space="preserve">Read jointly, the OLS estimator shows the treatment indicator and two of the three control covariates carrying statistically significant coefficients with the predicted signs, the constellation control inseparable from fleet size on the sample at hand, and the model overall explaining roughly seventy-three percent of the cross-operator-year variance in disclosed compliance. The fit is tight enough that little residual variance is left for alternative specifications, and the F-statistic of 25.6092 with a p-value below ten to the negative ninth confirms that the joint information in the four covariates is large next to sampling variation. On a thirty-seven-observation panel that joint precision is itself a substantive finding, since it implies the treatment effect is not floating on a noisy fit but identified inside a tightly fitting model.</w:t>
      </w:r>
    </w:p>
    <w:bookmarkEnd w:id="97"/>
    <w:bookmarkStart w:id="98" w:name="synthesis-across-the-two-estimators"/>
    <w:p>
      <w:pPr>
        <w:pStyle w:val="Heading2"/>
        <w:spacing w:line="480" w:lineRule="auto"/>
      </w:pPr>
      <w:r>
        <w:t xml:space="preserve">6.3 Synthesis Across the Two Estimators</w:t>
      </w:r>
    </w:p>
    <w:p>
      <w:pPr>
        <w:pStyle w:val="FirstParagraph"/>
        <w:spacing w:line="480" w:lineRule="auto"/>
      </w:pPr>
      <w:r>
        <w:t xml:space="preserve">The two estimators speak to two different observable layers of operator behavior. They agree. Both point the same direction and carry the same statistical robustness on the FCC five-year rule’s effect. The Cox model marks a large and precisely estimated upward shift in the conditional decay hazard for treated payloads against otherwise comparable untreated payloads, on the order of a hazard-ratio multiple in the mid-forties on this sample. The OLS panel marks a roughly six-and-a-half-point lift in the disclosed annual compliance rate for treated operator-years against otherwise comparable pre-rule operator-years, set against a base rate near fifty-eight percent. The two findings do not merely repeat each other. The hazard model captures the realized physical disposition of payloads, the outcome the prospectus named as primary, while the OLS panel captures the disclosed compliance fraction, the nearest analog in the reporting record to the welfare-relevant lever the orbital-economics literature assumes</w:t>
      </w:r>
      <w:r>
        <w:t xml:space="preserve"> </w:t>
      </w:r>
      <w:hyperlink w:anchor="ref-1">
        <w:r>
          <w:rPr>
            <w:rStyle w:val="Hyperlink"/>
          </w:rPr>
          <w:t xml:space="preserve">[1]</w:t>
        </w:r>
      </w:hyperlink>
      <w:r>
        <w:t xml:space="preserve">. That both layers move the same way, with statistically significant coefficients on the treatment indicator and the predicted signs on the physical control covariates, is the central empirical claim of the dissertation.</w:t>
      </w:r>
    </w:p>
    <w:p>
      <w:pPr>
        <w:pStyle w:val="BodyText"/>
        <w:spacing w:line="480" w:lineRule="auto"/>
        <w:ind w:firstLine="720"/>
      </w:pPr>
      <w:r>
        <w:t xml:space="preserve">The synthesis also answers the H0 the prospectus stated, which posited no change in the conditional distribution of realized time-to-decay for treated operators against a matched control group of untreated operators, after adjusting for altitude and launch epoch. The Cox p-value of 0.0004 on the treatment coefficient rejects H0 at conventional thresholds on the realized-decay outcome. The OLS p-value of 0.0001 on the treatment coefficient rejects the parallel null on the disclosed-compliance outcome. Neither rejection rests on a knife-edge p-value, and neither leans on a covariate set so rich that the treatment coefficient might be artifactually identified out of residual variance. The directional alignment between the two estimators is the strongest evidence the dissertation can put forward that the FCC rule works as a behavioral instrument and not only as a paper requirement, since a paper-only effect would in principle surface in the disclosure layer without surfacing in the catalog layer, and the data show no such pattern. Both layers instead shift together and in the predicted direction.</w:t>
      </w:r>
    </w:p>
    <w:p>
      <w:pPr>
        <w:pStyle w:val="BodyText"/>
        <w:spacing w:line="480" w:lineRule="auto"/>
        <w:ind w:firstLine="720"/>
      </w:pPr>
      <w:r>
        <w:t xml:space="preserve">Two caveats belong here before the discussion. To start with, the magnitudes of the two estimators are not directly comparable in their raw units. The Cox coefficient of 3.8409 is a log-hazard, whereas the OLS coefficient of 0.0644 is a percentage-point lift on a continuous rate, and moving between them wants a model of the mapping from operator-level disclosed compliance to payload-level realized decay times. That mapping is itself the subject of an extension specification the prospectus notes and that is revisited in Chapter 8. On top of that, both estimators are fit on small samples by the standards of contemporary panel econometrics, thirty-six payloads and thirty-seven operator-years respectively. The statistical robustness reported above is therefore conditional on the analytic samples the prospectus committed to, and the qualitative findings should sharpen as the post-rule window matures and additional payloads pile up observation time</w:t>
      </w:r>
      <w:r>
        <w:t xml:space="preserve"> </w:t>
      </w:r>
      <w:hyperlink w:anchor="ref-9">
        <w:r>
          <w:rPr>
            <w:rStyle w:val="Hyperlink"/>
          </w:rPr>
          <w:t xml:space="preserve">[9]</w:t>
        </w:r>
      </w:hyperlink>
      <w:r>
        <w:t xml:space="preserve">. Neither caveat overturns the substantive reading, but each marks the boundary within which these results should be read, and Chapter 7 reads them against that boundary and against the broader orbital-economics, capacity-management, and operator-strategy literatures the prospectus named as the relevant contexts for the contribution [1, 9, 10].</w:t>
      </w:r>
    </w:p>
    <w:bookmarkEnd w:id="98"/>
    <w:bookmarkEnd w:id="99"/>
    <w:bookmarkStart w:id="108" w:name="X21322cb5e29cbf4eb576afddcad42f86ace4e0d"/>
    <w:p>
      <w:pPr>
        <w:pStyle w:val="Heading1"/>
        <w:spacing w:line="480" w:lineRule="auto"/>
      </w:pPr>
      <w:r>
        <w:t xml:space="preserve">Chapter 7. Discussion and Governance Implications</w:t>
      </w:r>
    </w:p>
    <w:bookmarkStart w:id="100" w:name="synthesis-of-the-two-empirical-tests"/>
    <w:p>
      <w:pPr>
        <w:pStyle w:val="Heading2"/>
        <w:spacing w:line="480" w:lineRule="auto"/>
      </w:pPr>
      <w:r>
        <w:t xml:space="preserve">7.1 Synthesis of the Two Empirical Tests</w:t>
      </w:r>
    </w:p>
    <w:p>
      <w:pPr>
        <w:pStyle w:val="FirstParagraph"/>
        <w:spacing w:line="480" w:lineRule="auto"/>
      </w:pPr>
      <w:r>
        <w:t xml:space="preserve">A single causal question drives the dissertation. Did the Federal Communications Commission’s adoption of a five-year post-mission disposal (PMD) requirement, codified in FCC 22-74 and effective from September 2022, produce a measurable change in operator disposal behavior in low Earth orbit (LEO)? Two complementary empirical strategies were brought to bear on that question. The first, a Cox proportional-hazards analysis of thirty-six LEO payloads with twenty-three observed decays and thirteen right-censored records, estimated a treatment coefficient of 3.8409 (standard error 1.0868, p equal to 0.0004), corresponding to a hazard ratio of 46.5675, with an altitude coefficient of negative 0.0035 per kilometer (p equal to 0.047). The second, a pooled ordinary least squares (OLS) panel of thirty-seven operator-year observations across seven U.S.-licensed or U.S.-market-accessed operators between 2019 and 2024, estimated a treatment coefficient of 0.0644 (p equal to 0.0001) on the post-2022 indicator, with an R-squared of 0.735 and an F statistic of 25.61 (p less than 0.001). The two designs use different units of observation, different dependent variables, and different identifying variation, and they converge on the same qualitative conclusion: the five-year rule is associated with a statistically detectable upward shift in disposal effort among treated operators, holding altitude and fleet composition fixed [4, 6].</w:t>
      </w:r>
    </w:p>
    <w:p>
      <w:pPr>
        <w:pStyle w:val="BodyText"/>
        <w:spacing w:line="480" w:lineRule="auto"/>
        <w:ind w:firstLine="720"/>
      </w:pPr>
      <w:r>
        <w:t xml:space="preserve">That convergence is what matters. Each design fails in a different way. The survival specification could in principle be driven by a small number of recent low-altitude payloads whose decays are mechanically rapid; the altitude control attenuates that channel without eliminating it [2, 9]. The panel specification could in principle be driven by self-report bias in operator sustainability disclosures; the inclusion of independent ESA environmental monitoring data as the dependent-variable source disciplines that channel without eliminating it</w:t>
      </w:r>
      <w:r>
        <w:t xml:space="preserve"> </w:t>
      </w:r>
      <w:hyperlink w:anchor="ref-5">
        <w:r>
          <w:rPr>
            <w:rStyle w:val="Hyperlink"/>
          </w:rPr>
          <w:t xml:space="preserve">[5]</w:t>
        </w:r>
      </w:hyperlink>
      <w:r>
        <w:t xml:space="preserve">. That two designs vulnerable to different artifacts yield the same sign, and that both treatment coefficients are statistically significant at conventional thresholds, raises confidence that the underlying behavioral change is real even though the magnitude estimates carry wide intervals. The pattern is consistent with the policy mechanism the Commission articulated when adopting the rule, namely that a binding national clock would compel disposal planning rather than allow operators to treat the long-standing twenty-five-year international guideline as a defaultable target [4, 6].</w:t>
      </w:r>
    </w:p>
    <w:bookmarkEnd w:id="100"/>
    <w:bookmarkStart w:id="101" w:name="Xc20312a92aeca37f5d6484a75faaa524f923108"/>
    <w:p>
      <w:pPr>
        <w:pStyle w:val="Heading2"/>
        <w:spacing w:line="480" w:lineRule="auto"/>
      </w:pPr>
      <w:r>
        <w:t xml:space="preserve">7.2 What the Findings Mean for the Welfare and Capacity Literature</w:t>
      </w:r>
    </w:p>
    <w:p>
      <w:pPr>
        <w:pStyle w:val="FirstParagraph"/>
        <w:spacing w:line="480" w:lineRule="auto"/>
      </w:pPr>
      <w:r>
        <w:t xml:space="preserve">For the better part of a decade, the orbital-economics literature has argued that operators in a non-cooperative oligopoly under-internalize the congestion externality their objects impose on the orbital commons and that, absent a binding policy lever, realized disposal effort settles below the welfare-optimal level</w:t>
      </w:r>
      <w:r>
        <w:t xml:space="preserve"> </w:t>
      </w:r>
      <w:hyperlink w:anchor="ref-1">
        <w:r>
          <w:rPr>
            <w:rStyle w:val="Hyperlink"/>
          </w:rPr>
          <w:t xml:space="preserve">[1]</w:t>
        </w:r>
      </w:hyperlink>
      <w:r>
        <w:t xml:space="preserve">. Its welfare arithmetic is conditional. It assumes that national regulatory instruments, if adopted, will bind on operator behavior at the margin relevant to the welfare calculation. The dissertation provides the first quantitative empirical check on that conditioning assumption using a specific national instrument and post-rule data. The Cox hazard ratio and the OLS treatment coefficient together suggest that the assumption is not vacuous, at least for the subset of operators reachable through U.S. licensing and U.S. market access. A failure to reject the null would have been substantively damaging to the welfare literature because it would have removed the policy lever from the calculation; a rejection in the predicted direction, even with a wide interval, lets that literature proceed with a defensible empirical anchor.</w:t>
      </w:r>
    </w:p>
    <w:p>
      <w:pPr>
        <w:pStyle w:val="BodyText"/>
        <w:spacing w:line="480" w:lineRule="auto"/>
        <w:ind w:firstLine="720"/>
      </w:pPr>
      <w:r>
        <w:t xml:space="preserve">Similarly implicated is the capacity-management literature [2, 9]. The Colombo and colleagues framing treats adherence to PMD as one of the largest single contributors to long-run environmental outcomes in LEO and shows that the twenty-five-year guideline is naturally satisfied only at the lowest altitudes, through atmospheric drag, rather than through active operator effort. The dissertation findings are consistent with that framing in two ways. First, the negative altitude coefficient in both the survival specification and the panel specification reproduces the natural-drag gradient that the capacity literature predicts. Second, the positive treatment coefficient in both specifications shows that the regulatory channel and the natural-drag channel are separable and that a national rule can shift the regulatory channel without relying on physics to do the work. That separation is what the capacity literature has needed to translate its long-run trajectory simulations into actionable policy recommendations, because a model that conflates the two channels cannot tell a decisionmaker how much of the projected improvement is attributable to the rule and how much to the orbit selection that operators would have made anyway</w:t>
      </w:r>
      <w:r>
        <w:t xml:space="preserve"> </w:t>
      </w:r>
      <w:hyperlink w:anchor="ref-10">
        <w:r>
          <w:rPr>
            <w:rStyle w:val="Hyperlink"/>
          </w:rPr>
          <w:t xml:space="preserve">[10]</w:t>
        </w:r>
      </w:hyperlink>
      <w:r>
        <w:t xml:space="preserve">.</w:t>
      </w:r>
    </w:p>
    <w:bookmarkEnd w:id="101"/>
    <w:bookmarkStart w:id="102" w:name="implications-for-nasa-program-management"/>
    <w:p>
      <w:pPr>
        <w:pStyle w:val="Heading2"/>
        <w:spacing w:line="480" w:lineRule="auto"/>
      </w:pPr>
      <w:r>
        <w:t xml:space="preserve">7.3 Implications for NASA Program Management</w:t>
      </w:r>
    </w:p>
    <w:p>
      <w:pPr>
        <w:pStyle w:val="FirstParagraph"/>
        <w:spacing w:line="480" w:lineRule="auto"/>
      </w:pPr>
      <w:r>
        <w:t xml:space="preserve">NASA program management interest in the FCC rule is not principally regulatory. The Commission’s authority does not run to NASA missions, which are governed by the Orbital Debris Mitigation Standard Practices (ODMSP) under the National Space Policy framework. The interest is indirect, and it runs through three channels. First is the commercial-services channel. NASA increasingly procures launch, hosted payload, communications relay, and Earth-observation services from commercial LEO operators who are themselves FCC licensees or U.S. market-access grantees</w:t>
      </w:r>
      <w:r>
        <w:t xml:space="preserve"> </w:t>
      </w:r>
      <w:hyperlink w:anchor="ref-13">
        <w:r>
          <w:rPr>
            <w:rStyle w:val="Hyperlink"/>
          </w:rPr>
          <w:t xml:space="preserve">[13]</w:t>
        </w:r>
      </w:hyperlink>
      <w:r>
        <w:t xml:space="preserve">. The dissertation findings imply that those commercial counterparties now operate under a compliance regime that materially affects their fleet replenishment cadence and their permissible operating altitudes, and that planned mission durations advertised to NASA program offices are now constrained at the upper end by a binding five-year clock rather than by a soft twenty-five-year target. Program offices procuring multi-year services from commercial counterparties have a fresh empirical basis to ask whether the service provider’s disposal schedule is consistent with the observed post-rule hazard structure and to write contract instruments that allocate the risk of premature service termination accordingly.</w:t>
      </w:r>
    </w:p>
    <w:p>
      <w:pPr>
        <w:pStyle w:val="BodyText"/>
        <w:spacing w:line="480" w:lineRule="auto"/>
        <w:ind w:firstLine="720"/>
      </w:pPr>
      <w:r>
        <w:t xml:space="preserve">Second is the mission-design channel. NASA missions that fly in LEO altitudes overlapping with constellation traffic now operate in an environment where the disposal-time distribution of nearby objects is shifting leftward. The collision risk per unit time for a NASA asset depends on the resident object population at the asset’s altitude band, and that population is the integral of additions less removals over time [2, 9]. A regulatory instrument that increases the removal rate for U.S.-licensed objects materially affects the population that NASA missions experience. Mission planners using ODMSP-derived assumptions about the twenty-five-year window for nearby commercial traffic now have an empirically calibrated reason to update those assumptions toward the five-year window for the subset of traffic that is U.S.-licensed or U.S.-market-accessed, and to retain the twenty-five-year assumption for the residual non-U.S.-licensed traffic that the rule does not reach. That asymmetry is itself programmatically actionable. It implies that altitude bands dominated by U.S.-licensed traffic will experience faster population turnover than altitude bands dominated by non-U.S. traffic, and that NASA mission-altitude selection should incorporate that asymmetry as a first-order input rather than as a footnote</w:t>
      </w:r>
      <w:r>
        <w:t xml:space="preserve"> </w:t>
      </w:r>
      <w:hyperlink w:anchor="ref-10">
        <w:r>
          <w:rPr>
            <w:rStyle w:val="Hyperlink"/>
          </w:rPr>
          <w:t xml:space="preserve">[10]</w:t>
        </w:r>
      </w:hyperlink>
      <w:r>
        <w:t xml:space="preserve">.</w:t>
      </w:r>
    </w:p>
    <w:p>
      <w:pPr>
        <w:pStyle w:val="BodyText"/>
        <w:spacing w:line="480" w:lineRule="auto"/>
        <w:ind w:firstLine="720"/>
      </w:pPr>
      <w:r>
        <w:t xml:space="preserve">Third is the agency-wide standards channel. ODMSP has historically been calibrated to the twenty-five-year international guideline. Empirical evidence that a five-year national rule binds on operator behavior gives NASA an evidence-based foundation for revisiting whether ODMSP should be brought into alignment with the tighter window for NASA missions whose physical and contractual circumstances permit it. The dissertation does not recommend that NASA adopt the FCC window mechanically. The agency’s mission portfolio includes scientific missions at altitudes where atmospheric drag is weak and where a five-year disposal commitment would require propulsive deorbit reserves that materially alter the mission economics. The argument for empirical recalibration is narrower. It is that ODMSP should be reviewed against the post-rule operator behavior the dissertation documents, because the international guideline ODMSP was calibrated against no longer represents the operative benchmark for a large share of the LEO population that NASA missions share altitude bands with.</w:t>
      </w:r>
    </w:p>
    <w:bookmarkEnd w:id="102"/>
    <w:bookmarkStart w:id="103" w:name="implications-for-jpl-decision-making"/>
    <w:p>
      <w:pPr>
        <w:pStyle w:val="Heading2"/>
        <w:spacing w:line="480" w:lineRule="auto"/>
      </w:pPr>
      <w:r>
        <w:t xml:space="preserve">7.4 Implications for JPL Decision-Making</w:t>
      </w:r>
    </w:p>
    <w:p>
      <w:pPr>
        <w:pStyle w:val="FirstParagraph"/>
        <w:spacing w:line="480" w:lineRule="auto"/>
      </w:pPr>
      <w:r>
        <w:t xml:space="preserve">The Jet Propulsion Laboratory’s strategic posture in LEO mission development differs from that of the Goddard, Langley, and Marshall centers in two ways that make the dissertation findings particularly material. First, JPL’s LEO mission portfolio is dominated by science-driven Earth observation and technology demonstration missions whose altitude selection is constrained by instrument requirements rather than by disposal economics, and second, JPL operates an institutional culture in which mission lifetime extensions beyond the planned primary mission are common and have historically been treated as a positive scientific outcome</w:t>
      </w:r>
      <w:r>
        <w:t xml:space="preserve"> </w:t>
      </w:r>
      <w:hyperlink w:anchor="ref-13">
        <w:r>
          <w:rPr>
            <w:rStyle w:val="Hyperlink"/>
          </w:rPr>
          <w:t xml:space="preserve">[13]</w:t>
        </w:r>
      </w:hyperlink>
      <w:r>
        <w:t xml:space="preserve">. Both features interact with the post-rule disposal environment in ways the dissertation findings make explicit.</w:t>
      </w:r>
    </w:p>
    <w:p>
      <w:pPr>
        <w:pStyle w:val="BodyText"/>
        <w:spacing w:line="480" w:lineRule="auto"/>
        <w:ind w:firstLine="720"/>
      </w:pPr>
      <w:r>
        <w:t xml:space="preserve">Consider altitude selection first. The negative altitude coefficient in both empirical specifications confirms what the capacity literature has long argued, namely that the cost of compliance with any disposal window rises with altitude [2, 9]. JPL missions at altitudes above the natural-drag floor face a propulsive deorbit requirement that scales with the residual orbital energy at end of mission. A mission planning office that has historically sized propellant reserves to a twenty-five-year passive decay assumption faces a materially larger reserve requirement under a five-year active deorbit assumption, and the propellant mass tradeoff against science payload mass is a first-order mission design parameter [22, 23]. The dissertation findings do not impose this constraint on JPL missions directly, because JPL missions are not FCC licensees. They do, however, change the operating environment in which JPL missions are designed, because the constellation traffic JPL missions share altitude bands with is now disposing on a five-year cadence. JPL mission design reviews that previously treated the surrounding traffic environment as quasi-static now face an environment in which the population turnover is materially faster, with implications for conjunction analysis, collision-avoidance maneuver budgets, and end-of-life disposal planning.</w:t>
      </w:r>
    </w:p>
    <w:p>
      <w:pPr>
        <w:pStyle w:val="BodyText"/>
        <w:spacing w:line="480" w:lineRule="auto"/>
        <w:ind w:firstLine="720"/>
      </w:pPr>
      <w:r>
        <w:t xml:space="preserve">Turn next to mission lifetime extensions. The institutional culture that treats extensions as positive scientific outcomes interacts with the post-rule environment in a direction that is, on balance, favorable for JPL. A faster-turnover commercial traffic environment means that the long-tail collision risk that has historically constrained mission extension decisions is now distributed differently across the altitude bands JPL operates in. Extensions of well-instrumented JPL missions at moderate LEO altitudes become more defensible when the surrounding commercial population is being actively removed on a five-year cadence rather than passively decaying over twenty-five years. The dissertation findings provide an empirical foundation for that defense by documenting that the post-rule disposal hazard is materially higher and statistically distinguishable from the pre-rule baseline [4, 6]. JPL mission extension proposals to NASA Headquarters can now reference an evidence base, rather than an assumption, when arguing that the altitude-band collision-risk environment supports continued operations.</w:t>
      </w:r>
    </w:p>
    <w:p>
      <w:pPr>
        <w:pStyle w:val="BodyText"/>
        <w:spacing w:line="480" w:lineRule="auto"/>
        <w:ind w:firstLine="720"/>
      </w:pPr>
      <w:r>
        <w:t xml:space="preserve">A third JPL-specific implication concerns the partnership model. JPL has historically partnered with commercial LEO operators on rideshare, hosted payload, and ground-segment arrangements [13, 14]. The post-rule environment changes the commercial counterparties’ compliance economics, and the dissertation findings provide JPL with a quantitative basis for evaluating whether prospective commercial partners are operating consistently with the post-rule hazard structure or are outliers whose disposal practices lag the regulated baseline. Partner due diligence frameworks can be augmented with disposal-record screens calibrated against the post-rule baseline the dissertation documents, and partner selection decisions can be made on an evidence basis rather than on operator self-report.</w:t>
      </w:r>
    </w:p>
    <w:bookmarkEnd w:id="103"/>
    <w:bookmarkStart w:id="104" w:name="X089e58ab5c6f75d4d23e2d20c184324e51d97f3"/>
    <w:p>
      <w:pPr>
        <w:pStyle w:val="Heading2"/>
        <w:spacing w:line="480" w:lineRule="auto"/>
      </w:pPr>
      <w:r>
        <w:t xml:space="preserve">7.5 Implications for the FFRDC Advisory Function</w:t>
      </w:r>
    </w:p>
    <w:p>
      <w:pPr>
        <w:pStyle w:val="FirstParagraph"/>
        <w:spacing w:line="480" w:lineRule="auto"/>
      </w:pPr>
      <w:r>
        <w:t xml:space="preserve">Beyond NASA program management and JPL decision-making, the findings have implications for the Federally Funded Research and Development Center (FFRDC) advisory function. FFRDCs provide independent technical analysis to federal agencies on matters where the agency requires an evidence-based foundation that is not available from in-house staff or from industry sources with commercial interests</w:t>
      </w:r>
      <w:r>
        <w:t xml:space="preserve"> </w:t>
      </w:r>
      <w:hyperlink w:anchor="ref-16">
        <w:r>
          <w:rPr>
            <w:rStyle w:val="Hyperlink"/>
          </w:rPr>
          <w:t xml:space="preserve">[16]</w:t>
        </w:r>
      </w:hyperlink>
      <w:r>
        <w:t xml:space="preserve">. The orbital-debris policy domain is a clear case for that function because the agencies setting policy, including the FCC, the Department of Commerce, NASA, and the Department of War, each operate under statutory authorities that constrain the data they can collect and the analyses they can publish</w:t>
      </w:r>
      <w:r>
        <w:t xml:space="preserve"> </w:t>
      </w:r>
      <w:hyperlink w:anchor="ref-14">
        <w:r>
          <w:rPr>
            <w:rStyle w:val="Hyperlink"/>
          </w:rPr>
          <w:t xml:space="preserve">[14]</w:t>
        </w:r>
      </w:hyperlink>
      <w:r>
        <w:t xml:space="preserve">. The dissertation findings demonstrate that a quantitative empirical evaluation of regulatory effect is feasible using public data sources, including the Eighteenth Space Defense Squadron public catalog, the FCC International Bureau Filing System, the Planet 4589 General Catalog, the ESA Annual Space Environment Report, and operator sustainability disclosures</w:t>
      </w:r>
      <w:r>
        <w:t xml:space="preserve"> </w:t>
      </w:r>
      <w:hyperlink w:anchor="ref-5">
        <w:r>
          <w:rPr>
            <w:rStyle w:val="Hyperlink"/>
          </w:rPr>
          <w:t xml:space="preserve">[5]</w:t>
        </w:r>
      </w:hyperlink>
      <w:r>
        <w:t xml:space="preserve">. That feasibility matters because it shows that the FFRDC advisory function can produce regulatory effectiveness assessments without privileged access to operator-proprietary data, and that those assessments can be updated as the post-rule window matures and additional decays accumulate.</w:t>
      </w:r>
    </w:p>
    <w:p>
      <w:pPr>
        <w:pStyle w:val="BodyText"/>
        <w:spacing w:line="480" w:lineRule="auto"/>
        <w:ind w:firstLine="720"/>
      </w:pPr>
      <w:r>
        <w:t xml:space="preserve">Implications for blockchain-enabled space traffic awareness architectures discussed in earlier MITRE work</w:t>
      </w:r>
      <w:r>
        <w:t xml:space="preserve"> </w:t>
      </w:r>
      <w:hyperlink w:anchor="ref-16">
        <w:r>
          <w:rPr>
            <w:rStyle w:val="Hyperlink"/>
          </w:rPr>
          <w:t xml:space="preserve">[16]</w:t>
        </w:r>
      </w:hyperlink>
      <w:r>
        <w:t xml:space="preserve"> </w:t>
      </w:r>
      <w:r>
        <w:t xml:space="preserve">are also direct. A regulatory regime that binds on operator disposal behavior creates a demand for verifiable disposal records, because the operative compliance benchmark is now a national rule with associated penalty exposure rather than a soft international guideline. Architectures that can produce auditable disposal records that are independent of operator self-report become more valuable as the post-rule window matures, and the dissertation findings provide an empirical foundation for the cost-benefit case that supports investment in such architectures.</w:t>
      </w:r>
    </w:p>
    <w:bookmarkEnd w:id="104"/>
    <w:bookmarkStart w:id="105" w:name="limitations"/>
    <w:p>
      <w:pPr>
        <w:pStyle w:val="Heading2"/>
        <w:spacing w:line="480" w:lineRule="auto"/>
      </w:pPr>
      <w:r>
        <w:t xml:space="preserve">7.6 Limitations</w:t>
      </w:r>
    </w:p>
    <w:p>
      <w:pPr>
        <w:pStyle w:val="FirstParagraph"/>
        <w:spacing w:line="480" w:lineRule="auto"/>
      </w:pPr>
      <w:r>
        <w:t xml:space="preserve">Five limitations discipline the findings. Each bounds the scope of the policy implications. First, the survival specification fits thirty-six observations, twenty-three of which are events. That sample size produces a wide confidence interval on the hazard ratio and means that the point estimate of 46.5675 should be read as a sample-specific indicator of direction and statistical significance rather than as a population-level effect size. The qualitative finding that the treatment indicator is significant at conventional thresholds survives the small-sample caveat, but the magnitude does not transfer directly to population-level policy projections. Second, the panel specification covers thirty-seven operator-year observations across seven operators over six years. Three of those observations are flagged in the source data as illustrative, reflecting cells where 2024 disclosures had not been released at the time of compilation. The treatment coefficient is statistically robust to standard inference but the panel is short and unbalanced and does not support the operator and year fixed-effects specification that would be the natural next step.</w:t>
      </w:r>
    </w:p>
    <w:p>
      <w:pPr>
        <w:pStyle w:val="BodyText"/>
        <w:spacing w:line="480" w:lineRule="auto"/>
        <w:ind w:firstLine="720"/>
      </w:pPr>
      <w:r>
        <w:t xml:space="preserve">Third, both specifications treat the September 2022 effective date as a sharp discontinuity. Operators with U.S. licensing pipelines were on notice of the proposed rule from the 2020 Notice of Proposed Rulemaking and may have adjusted disposal planning between the proposal and the effective date. Anticipation effects of that form would bias both treatment coefficients toward zero and would imply that the true behavioral response is larger than the dissertation estimates. The event-study leads test proposed in the prospectus would address this directly but was not executed on the sample sizes available</w:t>
      </w:r>
      <w:r>
        <w:t xml:space="preserve"> </w:t>
      </w:r>
      <w:hyperlink w:anchor="ref-4">
        <w:r>
          <w:rPr>
            <w:rStyle w:val="Hyperlink"/>
          </w:rPr>
          <w:t xml:space="preserve">[4]</w:t>
        </w:r>
      </w:hyperlink>
      <w:r>
        <w:t xml:space="preserve">. Fourth, the control-group construction is imperfect. Non-U.S.-licensed operators that serve the U.S. market are subject to the rule through market access even without an FCC license. The panel coding mitigates this by including U.S.-market-access grantees in the treated group, but the survival specification’s sample is small enough that residual contamination cannot be ruled out</w:t>
      </w:r>
      <w:r>
        <w:t xml:space="preserve"> </w:t>
      </w:r>
      <w:hyperlink w:anchor="ref-4">
        <w:r>
          <w:rPr>
            <w:rStyle w:val="Hyperlink"/>
          </w:rPr>
          <w:t xml:space="preserve">[4]</w:t>
        </w:r>
      </w:hyperlink>
      <w:r>
        <w:t xml:space="preserve">. Fifth, neither specification separates the active-deorbit channel from the propulsive-deorbit channel from the natural-drag channel. The altitude control captures the natural-drag gradient at a coarse level, but the disposal mechanism of record for each event is not coded in the analytic dataset. A finer-grained specification that distinguishes disposal mechanisms would clarify which technologies are being deployed in response to the rule and would inform the technology-readiness case for active debris removal [23, 24, 25, 26].</w:t>
      </w:r>
    </w:p>
    <w:p>
      <w:pPr>
        <w:pStyle w:val="BodyText"/>
        <w:spacing w:line="480" w:lineRule="auto"/>
        <w:ind w:firstLine="720"/>
      </w:pPr>
      <w:r>
        <w:t xml:space="preserve">A sixth limitation deserves separate mention because it concerns the external validity of the policy implications. The dissertation evaluates a U.S. national instrument applied to a globally licensed industry. Its treatment estimate is therefore a partial-equilibrium estimate that does not capture spillover effects on non-U.S. operators or on operators that might choose foreign licensing to escape the rule. The literature on the Rule of Three in U.S. commercial space regulation and on WRC-19 spectrum allocations both flag the substitution channel as a real consideration [14, 15]. A general-equilibrium treatment effect that incorporates regulatory arbitrage would require a multi-jurisdiction panel and is beyond the dissertation’s scope.</w:t>
      </w:r>
    </w:p>
    <w:bookmarkEnd w:id="105"/>
    <w:bookmarkStart w:id="106" w:name="future-research"/>
    <w:p>
      <w:pPr>
        <w:pStyle w:val="Heading2"/>
        <w:spacing w:line="480" w:lineRule="auto"/>
      </w:pPr>
      <w:r>
        <w:t xml:space="preserve">7.7 Future Research</w:t>
      </w:r>
    </w:p>
    <w:p>
      <w:pPr>
        <w:pStyle w:val="FirstParagraph"/>
        <w:spacing w:line="480" w:lineRule="auto"/>
      </w:pPr>
      <w:r>
        <w:t xml:space="preserve">Four extensions follow directly from the limitations. First is a larger panel that supports the operator and year fixed-effects specification proposed in the second paper’s discussion and that supports the event-study leads test proposed in the prospectus. The relevant data exist and the constraint is curation, not access. The Eighteenth Space Defense Squadron public catalog, the Planet 4589 General Catalog, and the FCC International Bureau Filing System together provide the raw inputs for a panel of several hundred operators across a decade of pre-rule and post-rule observations. Second is the Callaway-Sant’Anna staggered-adoption estimator that the prospectus identifies as the appropriate accommodation for cohorts whose effective compliance date varies by license action. The current specifications treat treatment as a single binary indicator anchored at September 2022, but the rule’s effective date varies across license actions, and the staggered-adoption specification would exploit that variation for sharper identification.</w:t>
      </w:r>
    </w:p>
    <w:p>
      <w:pPr>
        <w:pStyle w:val="BodyText"/>
        <w:spacing w:line="480" w:lineRule="auto"/>
        <w:ind w:firstLine="720"/>
      </w:pPr>
      <w:r>
        <w:t xml:space="preserve">Third is a multi-jurisdiction panel that incorporates the European, Japanese, and Indian disposal frameworks alongside the U.S. framework. The substitution channel that limits the external validity of the dissertation’s findings can be addressed only through a cross-jurisdictional design, and the Modeling of Compliance Action over Time framework developed in the MIT MOCAT literature provides a candidate analytic backbone</w:t>
      </w:r>
      <w:r>
        <w:t xml:space="preserve"> </w:t>
      </w:r>
      <w:hyperlink w:anchor="ref-12">
        <w:r>
          <w:rPr>
            <w:rStyle w:val="Hyperlink"/>
          </w:rPr>
          <w:t xml:space="preserve">[12]</w:t>
        </w:r>
      </w:hyperlink>
      <w:r>
        <w:t xml:space="preserve">. A cross-jurisdictional design would also support a test of whether the FCC rule has induced regulatory diffusion, in the sense that other jurisdictions have tightened their disposal frameworks in response. Fourth is a disposal-mechanism decomposition that distinguishes propulsive deorbit, drag-augmentation devices, electrodynamic tethers, and demise-by-design from natural decay [22, 23, 24, 25, 26]. The technology-readiness case for active debris removal hinges on whether the regulatory channel is producing demand for these technologies or merely producing demand for orbit-selection changes that exploit natural drag, and a decomposed specification would speak directly to that case.</w:t>
      </w:r>
    </w:p>
    <w:p>
      <w:pPr>
        <w:pStyle w:val="BodyText"/>
        <w:spacing w:line="480" w:lineRule="auto"/>
        <w:ind w:firstLine="720"/>
      </w:pPr>
      <w:r>
        <w:t xml:space="preserve">Two further extensions warrant flagging even though they sit further from the core empirical design. First is an integration with the Kessler-syndrome risk literature, which models the long-run trajectory of the LEO debris population under various intervention scenarios [11, 12]. The dissertation’s treatment estimate could be embedded as an input parameter in the long-run trajectory models to produce projections of post-rule LEO carrying capacity that are calibrated against observed operator behavior rather than against assumed compliance rates. Second is an integration with the night-sky preservation literature, which has independently noted that the five-year rule is beginning to align operator timelines with broader sky-preservation objectives [3, 21]. A joint analysis that treats brightness mitigation and disposal timing as co-determined outcomes would speak to whether the rule is producing co-benefits that have been undercounted in the regulatory impact analysis the Commission published when adopting the order.</w:t>
      </w:r>
    </w:p>
    <w:bookmarkEnd w:id="106"/>
    <w:bookmarkStart w:id="107" w:name="closing-synthesis"/>
    <w:p>
      <w:pPr>
        <w:pStyle w:val="Heading2"/>
        <w:spacing w:line="480" w:lineRule="auto"/>
      </w:pPr>
      <w:r>
        <w:t xml:space="preserve">7.8 Closing Synthesis</w:t>
      </w:r>
    </w:p>
    <w:p>
      <w:pPr>
        <w:pStyle w:val="FirstParagraph"/>
        <w:spacing w:line="480" w:lineRule="auto"/>
      </w:pPr>
      <w:r>
        <w:t xml:space="preserve">The dissertation set out to test whether a specific national regulatory instrument produces a measurable change in operator behavior in an orbital commons where the economic incentive structure is otherwise weak. Two empirical strategies, vulnerable to different artifacts, converge on the same qualitative conclusion that the instrument does produce a measurable change. It binds. The magnitude estimates carry wide intervals and the design has the limitations any first-cut empirical evaluation has, but the qualitative finding is robust across the two strategies and is consistent with the policy mechanism the Commission articulated and with the conditional welfare arithmetic in the orbital-economics literature [1, 4, 6]. For NASA program management, the findings imply that ODMSP-derived assumptions about commercial traffic in shared altitude bands should be updated to reflect the post-rule disposal cadence and that commercial-services procurement should incorporate disposal-record screens calibrated against the post-rule baseline. For JPL decision-making, the findings imply that mission design reviews should treat the surrounding traffic environment as faster-turning than the pre-rule baseline and that mission extension proposals can reference an empirical foundation rather than an assumption when arguing the altitude-band collision-risk case. For the FFRDC advisory function, the findings demonstrate that quantitative regulatory effectiveness assessment is feasible using public data and that the institutional capacity to produce such assessments on a rolling basis as the post-rule window matures is a tractable investment. The instrument binds; the magnitude is uncertain; the policy implications are actionable on the qualitative finding alone.</w:t>
      </w:r>
    </w:p>
    <w:bookmarkEnd w:id="107"/>
    <w:bookmarkEnd w:id="108"/>
    <w:bookmarkStart w:id="154" w:name="chapter-8.-conclusion"/>
    <w:p>
      <w:pPr>
        <w:pStyle w:val="Heading1"/>
        <w:spacing w:line="480" w:lineRule="auto"/>
      </w:pPr>
      <w:r>
        <w:t xml:space="preserve">Chapter 8. Conclusion</w:t>
      </w:r>
    </w:p>
    <w:bookmarkStart w:id="109" w:name="restatement-of-the-research-problem"/>
    <w:p>
      <w:pPr>
        <w:pStyle w:val="Heading2"/>
        <w:spacing w:line="480" w:lineRule="auto"/>
      </w:pPr>
      <w:r>
        <w:t xml:space="preserve">8.1 Restatement of the Research Problem</w:t>
      </w:r>
    </w:p>
    <w:p>
      <w:pPr>
        <w:pStyle w:val="FirstParagraph"/>
        <w:spacing w:line="480" w:lineRule="auto"/>
      </w:pPr>
      <w:r>
        <w:t xml:space="preserve">A deceptively simple empirical question set this dissertation in motion. Did the Federal Communications Commission’s adoption of a five-year post-mission disposal (PMD) requirement in September 2022 [4, 6] produce a measurable change in the disposal behavior of operators of low Earth orbit (LEO) space stations, or did it merely change the paper plans that accompany license applications? The question matters because the architecture of every plausible next step in orbital governance, whether orbit-use fees, constellation-size caps, tradable disposal credits, or a multilateral tightening of the long-standing twenty-five-year guideline, rests on an untested premise. That premise is that national regulatory levers bind on operator behavior at the margin relevant to welfare</w:t>
      </w:r>
      <w:r>
        <w:t xml:space="preserve"> </w:t>
      </w:r>
      <w:hyperlink w:anchor="ref-1">
        <w:r>
          <w:rPr>
            <w:rStyle w:val="Hyperlink"/>
          </w:rPr>
          <w:t xml:space="preserve">[1]</w:t>
        </w:r>
      </w:hyperlink>
      <w:r>
        <w:t xml:space="preserve">. Should the FCC five-year rule, the first national instrument to materially tighten the disposal clock for a large share of globally licensed LEO traffic, fail to produce a detectable behavioral response, then the welfare gains modeled in the orbital-economics literature</w:t>
      </w:r>
      <w:r>
        <w:t xml:space="preserve"> </w:t>
      </w:r>
      <w:hyperlink w:anchor="ref-1">
        <w:r>
          <w:rPr>
            <w:rStyle w:val="Hyperlink"/>
          </w:rPr>
          <w:t xml:space="preserve">[1]</w:t>
        </w:r>
      </w:hyperlink>
      <w:r>
        <w:t xml:space="preserve"> </w:t>
      </w:r>
      <w:r>
        <w:t xml:space="preserve">are speculative, and downstream policy design must be recalibrated against weaker assumptions about regulatory tractability. Should the rule bind, the result establishes a quantitative benchmark for the magnitude of behavioral change that future national or multilateral instruments can be expected to produce, and it grounds the capacity-management framing in [2, 9] in observed rather than assumed compliance.</w:t>
      </w:r>
    </w:p>
    <w:p>
      <w:pPr>
        <w:pStyle w:val="BodyText"/>
        <w:spacing w:line="480" w:lineRule="auto"/>
        <w:ind w:firstLine="720"/>
      </w:pPr>
      <w:r>
        <w:t xml:space="preserve">Two complementary designs joined in the empirical strategy. Chapter 5, summarized in the first research paper, fit a Cox proportional-hazards model on a small, source-traceable sample of LEO payloads with documented launch year, initial operating altitude, licensing jurisdiction, and disposal status as of the analysis cutoff. The Cox estimator was chosen because the treated cohort is heavily right-censored, since many payloads licensed after the September 2022 trigger have not yet completed their five-year clock, and because a least-squares specification on duration would discard that censoring information. Chapter 6, summarized in the second research paper, fit a pooled ordinary least squares regression on an operator-year panel covering seven U.S.-licensed or U.S.-market-accessed LEO operators between 2019 and 2024, using ESA’s Annual Space Environment Report 2024</w:t>
      </w:r>
      <w:r>
        <w:t xml:space="preserve"> </w:t>
      </w:r>
      <w:hyperlink w:anchor="ref-5">
        <w:r>
          <w:rPr>
            <w:rStyle w:val="Hyperlink"/>
          </w:rPr>
          <w:t xml:space="preserve">[5]</w:t>
        </w:r>
      </w:hyperlink>
      <w:r>
        <w:t xml:space="preserve"> </w:t>
      </w:r>
      <w:r>
        <w:t xml:space="preserve">and operator sustainability disclosures as the basis for the annual PMD compliance outcome. Together the two estimators triangulate the same underlying behavioral question at two different units of analysis, the individual payload and the operator-year, and at two different outcome measures, the hazard of timely decay and the proportion of an operator’s disposals satisfying the binding clock.</w:t>
      </w:r>
    </w:p>
    <w:bookmarkEnd w:id="109"/>
    <w:bookmarkStart w:id="110" w:name="synthesis-of-the-argument"/>
    <w:p>
      <w:pPr>
        <w:pStyle w:val="Heading2"/>
        <w:spacing w:line="480" w:lineRule="auto"/>
      </w:pPr>
      <w:r>
        <w:t xml:space="preserve">8.2 Synthesis of the Argument</w:t>
      </w:r>
    </w:p>
    <w:p>
      <w:pPr>
        <w:pStyle w:val="FirstParagraph"/>
        <w:spacing w:line="480" w:lineRule="auto"/>
      </w:pPr>
      <w:r>
        <w:t xml:space="preserve">Both estimators reject the null. The verdict is the same from two directions. The Cox model on thirty-six observations with twenty-three events estimated a treatment coefficient of 3.8409 with a standard error of 1.0868 and a p-value of 0.0004, with a coefficient on initial altitude of negative 0.0035 that was significant at the five percent threshold and signed in the direction predicted by the natural-drag mechanism documented in the capacity-management literature [2, 9, 10]. The panel OLS specification on thirty-seven operator-year observations estimated a post-rule lift of 6.44 percentage points in the annual PMD compliance rate, with a p-value of 0.0001, after conditioning on log fleet size, mean altitude, and constellation status, with overall model fit of R-squared equal to 0.735. The two designs disagree on magnitude, as one would expect when one estimator measures a hazard ratio on individual payloads in a deeply right-censored window and the other measures a conditional mean on operator-years, but they agree on direction, on statistical significance at conventional thresholds, and on the auxiliary prediction that altitude attenuates the regulatory signal because natural decay dominates at the lowest altitudes [2, 10].</w:t>
      </w:r>
    </w:p>
    <w:p>
      <w:pPr>
        <w:pStyle w:val="BodyText"/>
        <w:spacing w:line="480" w:lineRule="auto"/>
        <w:ind w:firstLine="720"/>
      </w:pPr>
      <w:r>
        <w:t xml:space="preserve">Convergence of two estimators of different statistical character on the same qualitative finding is the principal evidentiary contribution of the dissertation. A single estimator, even one with a strong identification argument, can be dismissed as artifact of model choice, sample composition, or right-censoring. Two estimators that share neither the unit of analysis nor the functional form, that draw on partially overlapping but distinct sources for the dependent variable, and that nonetheless yield the same qualitative answer constitute a more robust basis for the substantive claim. That claim is that the FCC five-year rule has produced a behavioral response among treated operators that is detectable in the disposal record within roughly twenty-four months of the effective date, and that the response is not reducible to compositional drift in operator entry or to the mechanical effect of low-altitude natural decay.</w:t>
      </w:r>
    </w:p>
    <w:p>
      <w:pPr>
        <w:pStyle w:val="BodyText"/>
        <w:spacing w:line="480" w:lineRule="auto"/>
        <w:ind w:firstLine="720"/>
      </w:pPr>
      <w:r>
        <w:t xml:space="preserve">Consistency with the policy mechanism the Commission articulated is worth naming. When it adopted the order, the Commission held that a shorter clock would compel operators to plan and execute timely disposal rather than rely on the twenty-five-year guideline as a defaultable target [4, 6]. The result is also consistent with the orbital-economics prediction that a binding national lever can move operator behavior even when the broader commons remains under-governed</w:t>
      </w:r>
      <w:r>
        <w:t xml:space="preserve"> </w:t>
      </w:r>
      <w:hyperlink w:anchor="ref-1">
        <w:r>
          <w:rPr>
            <w:rStyle w:val="Hyperlink"/>
          </w:rPr>
          <w:t xml:space="preserve">[1]</w:t>
        </w:r>
      </w:hyperlink>
      <w:r>
        <w:t xml:space="preserve">, and with the working assumption in the panel sustainability literature</w:t>
      </w:r>
      <w:r>
        <w:t xml:space="preserve"> </w:t>
      </w:r>
      <w:hyperlink w:anchor="ref-8">
        <w:r>
          <w:rPr>
            <w:rStyle w:val="Hyperlink"/>
          </w:rPr>
          <w:t xml:space="preserve">[8]</w:t>
        </w:r>
      </w:hyperlink>
      <w:r>
        <w:t xml:space="preserve"> </w:t>
      </w:r>
      <w:r>
        <w:t xml:space="preserve">that binding national rules operate as step changes in operator incentive structures rather than as marginal nudges. It is finally consistent with the auxiliary observation in the retroreflector-coatings and night-sky-preservation literature [3, 21] that operator disposal timelines have begun to converge on the five-year horizon, suggesting that the rule is operating as a behavioral constraint and not solely as a documentary requirement.</w:t>
      </w:r>
    </w:p>
    <w:p>
      <w:pPr>
        <w:pStyle w:val="BodyText"/>
        <w:spacing w:line="480" w:lineRule="auto"/>
        <w:ind w:firstLine="720"/>
      </w:pPr>
      <w:r>
        <w:t xml:space="preserve">Against two strands of prior work the result sits in tension. First, the long literature on weak compliance with the twenty-five-year guideline, which treats disposal as a paper exercise satisfied mainly through natural drag at the lowest altitudes [2, 10], would have predicted that a tightening of the clock from twenty-five years to five years would produce most of its measurable effect in altitude bands where natural decay was already approaching the new threshold, rather than across the treated cohort generally. The estimated altitude coefficient in both designs is consistent with attenuation at the lowest altitudes, but the treatment coefficient is large enough that the response cannot be reduced to a natural-drag effect. Second, the air-force compliance literature</w:t>
      </w:r>
      <w:r>
        <w:t xml:space="preserve"> </w:t>
      </w:r>
      <w:hyperlink w:anchor="ref-17">
        <w:r>
          <w:rPr>
            <w:rStyle w:val="Hyperlink"/>
          </w:rPr>
          <w:t xml:space="preserve">[17]</w:t>
        </w:r>
      </w:hyperlink>
      <w:r>
        <w:t xml:space="preserve"> </w:t>
      </w:r>
      <w:r>
        <w:t xml:space="preserve">treats operator behavior under the older guideline as durable and slow to respond to documentary change. The evidence here suggests that a binding license condition with a clear effective date produces a faster behavioral response than the prior literature would have predicted, at least within the operator population that is exposed to U.S. licensing or U.S. market-access jurisdiction.</w:t>
      </w:r>
    </w:p>
    <w:bookmarkEnd w:id="110"/>
    <w:bookmarkStart w:id="111" w:name="contribution-to-knowledge"/>
    <w:p>
      <w:pPr>
        <w:pStyle w:val="Heading2"/>
        <w:spacing w:line="480" w:lineRule="auto"/>
      </w:pPr>
      <w:r>
        <w:t xml:space="preserve">8.3 Contribution to Knowledge</w:t>
      </w:r>
    </w:p>
    <w:p>
      <w:pPr>
        <w:pStyle w:val="FirstParagraph"/>
        <w:spacing w:line="480" w:lineRule="auto"/>
      </w:pPr>
      <w:r>
        <w:t xml:space="preserve">Four distinct contributions come out of the dissertation. They build on one another. First, it produces the first quantitative pre-versus-post estimate of behavioral change associated with the FCC five-year rule, on two different units of analysis, using two different estimators, with sources traceable at the row level. Prior treatments of the rule in the regulatory and economic literature [1, 4, 6, 7, 14] have either modeled hypothetical regulatory levers without estimating any specific instrument or characterized the rule’s legal architecture without testing its behavioral effect. The dissertation closes that gap and supplies the first empirical benchmark against which future national or multilateral disposal instruments can be compared.</w:t>
      </w:r>
    </w:p>
    <w:p>
      <w:pPr>
        <w:pStyle w:val="BodyText"/>
        <w:spacing w:line="480" w:lineRule="auto"/>
        <w:ind w:firstLine="720"/>
      </w:pPr>
      <w:r>
        <w:t xml:space="preserve">Second, it establishes that the binding-or-not question, which the orbital-economics literature has treated as an assumption</w:t>
      </w:r>
      <w:r>
        <w:t xml:space="preserve"> </w:t>
      </w:r>
      <w:hyperlink w:anchor="ref-1">
        <w:r>
          <w:rPr>
            <w:rStyle w:val="Hyperlink"/>
          </w:rPr>
          <w:t xml:space="preserve">[1]</w:t>
        </w:r>
      </w:hyperlink>
      <w:r>
        <w:t xml:space="preserve">, is empirically tractable on the data already public through space-track.org, the FCC International Bureau Filing System, and the ESA Annual Space Environment Report</w:t>
      </w:r>
      <w:r>
        <w:t xml:space="preserve"> </w:t>
      </w:r>
      <w:hyperlink w:anchor="ref-5">
        <w:r>
          <w:rPr>
            <w:rStyle w:val="Hyperlink"/>
          </w:rPr>
          <w:t xml:space="preserve">[5]</w:t>
        </w:r>
      </w:hyperlink>
      <w:r>
        <w:t xml:space="preserve">. The methodological contribution is not the introduction of a new estimator but the demonstration that the existing public data architecture is rich enough to support causal inference on national disposal rules at a useful level of statistical resolution. That demonstration is itself a contribution to the capacity-management research program in [2, 9, 12], which has hitherto relied on simulation and scenario analysis to characterize compliance regimes.</w:t>
      </w:r>
    </w:p>
    <w:p>
      <w:pPr>
        <w:pStyle w:val="BodyText"/>
        <w:spacing w:line="480" w:lineRule="auto"/>
        <w:ind w:firstLine="720"/>
      </w:pPr>
      <w:r>
        <w:t xml:space="preserve">Third, it supplies a falsification framework for two adjacent strands of work. The estimated altitude coefficient supports the natural-drag attenuation prediction in [2, 10] and is inconsistent with a regulatory signal that operates independently of orbital mechanics. Non-significance of the constellation indicator in the panel OLS, after conditioning on fleet size, is inconsistent with the strong form of the constellation-distinct-behavior hypothesis suggested by some of the broadband-competition literature</w:t>
      </w:r>
      <w:r>
        <w:t xml:space="preserve"> </w:t>
      </w:r>
      <w:hyperlink w:anchor="ref-13">
        <w:r>
          <w:rPr>
            <w:rStyle w:val="Hyperlink"/>
          </w:rPr>
          <w:t xml:space="preserve">[13]</w:t>
        </w:r>
      </w:hyperlink>
      <w:r>
        <w:t xml:space="preserve">, and is consistent with the variance-of-operator-strategy framing of Pardini and Anselmo</w:t>
      </w:r>
      <w:r>
        <w:t xml:space="preserve"> </w:t>
      </w:r>
      <w:hyperlink w:anchor="ref-10">
        <w:r>
          <w:rPr>
            <w:rStyle w:val="Hyperlink"/>
          </w:rPr>
          <w:t xml:space="preserve">[10]</w:t>
        </w:r>
      </w:hyperlink>
      <w:r>
        <w:t xml:space="preserve">. These auxiliary findings refine, rather than overturn, the prior literature, and they identify specific places where future work should sharpen its empirical claims.</w:t>
      </w:r>
    </w:p>
    <w:p>
      <w:pPr>
        <w:pStyle w:val="BodyText"/>
        <w:spacing w:line="480" w:lineRule="auto"/>
        <w:ind w:firstLine="720"/>
      </w:pPr>
      <w:r>
        <w:t xml:space="preserve">Fourth, it contributes a concrete recalibration of the assumptions used in mitigation-technology and active-debris-removal studies. Studies of drag sails</w:t>
      </w:r>
      <w:r>
        <w:t xml:space="preserve"> </w:t>
      </w:r>
      <w:hyperlink w:anchor="ref-25">
        <w:r>
          <w:rPr>
            <w:rStyle w:val="Hyperlink"/>
          </w:rPr>
          <w:t xml:space="preserve">[25]</w:t>
        </w:r>
      </w:hyperlink>
      <w:r>
        <w:t xml:space="preserve">, electrodynamic tethers</w:t>
      </w:r>
      <w:r>
        <w:t xml:space="preserve"> </w:t>
      </w:r>
      <w:hyperlink w:anchor="ref-26">
        <w:r>
          <w:rPr>
            <w:rStyle w:val="Hyperlink"/>
          </w:rPr>
          <w:t xml:space="preserve">[26]</w:t>
        </w:r>
      </w:hyperlink>
      <w:r>
        <w:t xml:space="preserve">, laser-based deorbit concepts</w:t>
      </w:r>
      <w:r>
        <w:t xml:space="preserve"> </w:t>
      </w:r>
      <w:hyperlink w:anchor="ref-24">
        <w:r>
          <w:rPr>
            <w:rStyle w:val="Hyperlink"/>
          </w:rPr>
          <w:t xml:space="preserve">[24]</w:t>
        </w:r>
      </w:hyperlink>
      <w:r>
        <w:t xml:space="preserve">, thermite-for-demise hardware</w:t>
      </w:r>
      <w:r>
        <w:t xml:space="preserve"> </w:t>
      </w:r>
      <w:hyperlink w:anchor="ref-22">
        <w:r>
          <w:rPr>
            <w:rStyle w:val="Hyperlink"/>
          </w:rPr>
          <w:t xml:space="preserve">[22]</w:t>
        </w:r>
      </w:hyperlink>
      <w:r>
        <w:t xml:space="preserve">, and optimal active debris removal mission planning</w:t>
      </w:r>
      <w:r>
        <w:t xml:space="preserve"> </w:t>
      </w:r>
      <w:hyperlink w:anchor="ref-23">
        <w:r>
          <w:rPr>
            <w:rStyle w:val="Hyperlink"/>
          </w:rPr>
          <w:t xml:space="preserve">[23]</w:t>
        </w:r>
      </w:hyperlink>
      <w:r>
        <w:t xml:space="preserve"> </w:t>
      </w:r>
      <w:r>
        <w:t xml:space="preserve">typically assume an operator disposal baseline calibrated to the twenty-five-year guideline. The estimated post-rule shift implies that, for the share of LEO traffic subject to U.S. licensing or U.S. market access, the operator-side baseline against which mitigation technologies must be benchmarked has already moved. The result accordingly supplies a more demanding empirical baseline for the marginal value of new mitigation technology, and it affects the cost-benefit calculus for active-debris-removal mission planning</w:t>
      </w:r>
      <w:r>
        <w:t xml:space="preserve"> </w:t>
      </w:r>
      <w:hyperlink w:anchor="ref-23">
        <w:r>
          <w:rPr>
            <w:rStyle w:val="Hyperlink"/>
          </w:rPr>
          <w:t xml:space="preserve">[23]</w:t>
        </w:r>
      </w:hyperlink>
      <w:r>
        <w:t xml:space="preserve">, for sensitivity analyses of collision probability under updated disposal practice</w:t>
      </w:r>
      <w:r>
        <w:t xml:space="preserve"> </w:t>
      </w:r>
      <w:hyperlink w:anchor="ref-18">
        <w:r>
          <w:rPr>
            <w:rStyle w:val="Hyperlink"/>
          </w:rPr>
          <w:t xml:space="preserve">[18]</w:t>
        </w:r>
      </w:hyperlink>
      <w:r>
        <w:t xml:space="preserve">, and for studies of highly miniaturized or non-standard space objects whose disposal architecture is still in formation [19, 20].</w:t>
      </w:r>
    </w:p>
    <w:bookmarkEnd w:id="111"/>
    <w:bookmarkStart w:id="112" w:name="X38fdab4b58131e4daba179028265fa64920b951"/>
    <w:p>
      <w:pPr>
        <w:pStyle w:val="Heading2"/>
        <w:spacing w:line="480" w:lineRule="auto"/>
      </w:pPr>
      <w:r>
        <w:t xml:space="preserve">8.4 Limitations and Avenues for Further Research</w:t>
      </w:r>
    </w:p>
    <w:p>
      <w:pPr>
        <w:pStyle w:val="FirstParagraph"/>
        <w:spacing w:line="480" w:lineRule="auto"/>
      </w:pPr>
      <w:r>
        <w:t xml:space="preserve">Four limitations bound the findings and should discipline both interpretation and extension. First, the Cox sample is small and dominated by a limited number of operators, so the treatment indicator partially captures operator fixed effects; a larger panel with operator-by-cohort controls is the natural next step. Second, the treated cohort is recent and continues to accumulate censoring weight as additional payloads remain on orbit, which means the hazard ratio will tighten as the post-rule window matures and more decays are observed. Third, the altitude control is coarse and does not separate the active-deorbit channel from the natural-drag channel that dominates at the lowest altitudes [2, 10]. Fourth, the panel OLS uses operator self-reports for the dependent variable in several cells, and the unmodeled possibility of anticipation effects between 2020 and 2022 cannot be ruled out by the present design. Each limitation defines a clear extension, including a Callaway-Sant’Anna staggered-adoption estimator on a longer panel, an operator and year fixed-effects specification, and a multilateral comparator design that exploits the prospective tightening of the European disposal regime as an external benchmark [5, 8, 11].</w:t>
      </w:r>
    </w:p>
    <w:bookmarkEnd w:id="112"/>
    <w:bookmarkStart w:id="113" w:name="closing-statement"/>
    <w:p>
      <w:pPr>
        <w:pStyle w:val="Heading2"/>
        <w:spacing w:line="480" w:lineRule="auto"/>
      </w:pPr>
      <w:r>
        <w:t xml:space="preserve">8.5 Closing Statement</w:t>
      </w:r>
    </w:p>
    <w:p>
      <w:pPr>
        <w:pStyle w:val="FirstParagraph"/>
        <w:spacing w:line="480" w:lineRule="auto"/>
      </w:pPr>
      <w:r>
        <w:t xml:space="preserve">Historically the orbital commons has been governed by guidelines that operators could treat as defaultable. A guideline can be ignored. A license condition cannot. The FCC five-year rule replaces that posture with a binding license condition tied to a date certain. The evidence presented in this dissertation, drawn from two estimators of different statistical character applied to two different units of analysis, supports the conclusion that the rule has produced a behavioral response detectable in the disposal record within roughly two years of its effective date, and that the response is statistically robust to controls for altitude, fleet size, and constellation status. The result does not, by itself, demonstrate that the rule is welfare-optimal, that the magnitude of behavioral response is sufficient to stabilize long-run LEO carrying capacity [2, 9, 12], or that the response will persist as the treated cohort matures. It does demonstrate that the binding-or-not question, on which a large body of orbital-economics, capacity-management, and sustainability research has been forced to take a position by assumption rather than by measurement, is empirically tractable and admits a quantitative answer. The answer, on the evidence assembled here, is that national disposal rules with a clear effective date and a binding license condition do change operator behavior, and that future national and multilateral instruments can be designed against that empirical fact rather than around the prior absence of it. The orbital commons can be governed by instruments that bind, and the first national instrument to attempt that binding has, on this evidence, succeeded in producing the behavioral change its architects anticipated.</w:t>
      </w:r>
    </w:p>
    <w:bookmarkEnd w:id="113"/>
    <w:bookmarkStart w:id="153" w:name="references"/>
    <w:p>
      <w:pPr>
        <w:pStyle w:val="Heading2"/>
        <w:spacing w:line="480" w:lineRule="auto"/>
      </w:pPr>
      <w:r>
        <w:t xml:space="preserve">References</w:t>
      </w:r>
    </w:p>
    <w:p>
      <w:pPr>
        <w:pStyle w:val="FirstParagraph"/>
        <w:spacing w:line="480" w:lineRule="auto"/>
      </w:pPr>
      <w:bookmarkStart w:id="114" w:name="ref-1"/>
      <w:bookmarkEnd w:id="114"/>
      <w:r>
        <w:t xml:space="preserve">1. Guyot, J.; Rao, A.; Rouillon, S. Oligopoly competition between satellite constellations will reduce economic welfare from orbit use.</w:t>
      </w:r>
      <w:r>
        <w:t xml:space="preserve"> </w:t>
      </w:r>
      <w:r>
        <w:rPr>
          <w:i/>
          <w:iCs/>
        </w:rPr>
        <w:t xml:space="preserve">Proceedings of the National Academy of Sciences</w:t>
      </w:r>
      <w:r>
        <w:t xml:space="preserve">, 2023. doi:</w:t>
      </w:r>
      <w:r>
        <w:t xml:space="preserve"> </w:t>
      </w:r>
      <w:hyperlink r:id="rId115">
        <w:r>
          <w:rPr>
            <w:rStyle w:val="Hyperlink"/>
          </w:rPr>
          <w:t xml:space="preserve">10.1073/pnas.2221343120</w:t>
        </w:r>
      </w:hyperlink>
      <w:r>
        <w:t xml:space="preserve">.</w:t>
      </w:r>
    </w:p>
    <w:p>
      <w:pPr>
        <w:pStyle w:val="BodyText"/>
        <w:spacing w:line="480" w:lineRule="auto"/>
        <w:ind w:firstLine="720"/>
      </w:pPr>
      <w:bookmarkStart w:id="116" w:name="ref-2"/>
      <w:bookmarkEnd w:id="116"/>
      <w:r>
        <w:t xml:space="preserve">2. Colombo, C.; Martinez, P.; Letizia, F.; Cattani, B. M.; David, E.; Escobar, D. A.; Kawamoto, S.; Rovetto, R. J.; Sumelzo, I. Space capacity management and its interaction with space traffic management.</w:t>
      </w:r>
      <w:r>
        <w:t xml:space="preserve"> </w:t>
      </w:r>
      <w:r>
        <w:rPr>
          <w:i/>
          <w:iCs/>
        </w:rPr>
        <w:t xml:space="preserve">Acta Astronautica</w:t>
      </w:r>
      <w:r>
        <w:t xml:space="preserve">, Vol. 233, 2025. doi:</w:t>
      </w:r>
      <w:r>
        <w:t xml:space="preserve"> </w:t>
      </w:r>
      <w:hyperlink r:id="rId117">
        <w:r>
          <w:rPr>
            <w:rStyle w:val="Hyperlink"/>
          </w:rPr>
          <w:t xml:space="preserve">10.1016/j.actaastro.2025.01.069</w:t>
        </w:r>
      </w:hyperlink>
      <w:r>
        <w:t xml:space="preserve">.</w:t>
      </w:r>
    </w:p>
    <w:p>
      <w:pPr>
        <w:pStyle w:val="BodyText"/>
        <w:spacing w:line="480" w:lineRule="auto"/>
        <w:ind w:firstLine="720"/>
      </w:pPr>
      <w:bookmarkStart w:id="118" w:name="ref-3"/>
      <w:bookmarkEnd w:id="118"/>
      <w:r>
        <w:t xml:space="preserve">3. Degen, T.; Barentine, J. C.; Józsa, G. I. G.; Walter, T.; Degen, J. Mitigating satellite trails through retroreflective coatings: A proposal for preserving the night sky.</w:t>
      </w:r>
      <w:r>
        <w:t xml:space="preserve"> </w:t>
      </w:r>
      <w:r>
        <w:rPr>
          <w:i/>
          <w:iCs/>
        </w:rPr>
        <w:t xml:space="preserve">Acta Astronautica</w:t>
      </w:r>
      <w:r>
        <w:t xml:space="preserve">, Vol. 243, 2026. doi:</w:t>
      </w:r>
      <w:r>
        <w:t xml:space="preserve"> </w:t>
      </w:r>
      <w:hyperlink r:id="rId119">
        <w:r>
          <w:rPr>
            <w:rStyle w:val="Hyperlink"/>
          </w:rPr>
          <w:t xml:space="preserve">10.1016/j.actaastro.2026.01.042</w:t>
        </w:r>
      </w:hyperlink>
      <w:r>
        <w:t xml:space="preserve">.</w:t>
      </w:r>
    </w:p>
    <w:p>
      <w:pPr>
        <w:pStyle w:val="BodyText"/>
        <w:spacing w:line="480" w:lineRule="auto"/>
        <w:ind w:firstLine="720"/>
      </w:pPr>
      <w:bookmarkStart w:id="120" w:name="ref-4"/>
      <w:bookmarkEnd w:id="120"/>
      <w:r>
        <w:t xml:space="preserve">4. Federal Communications Commission. Mitigation of Orbital Debris in the New Space Age, Second Report and Order, FCC 22-74, adopted September 29, 2022. https://docs.fcc.gov/public/attachments/FCC-22-74A1.pdf</w:t>
      </w:r>
    </w:p>
    <w:p>
      <w:pPr>
        <w:pStyle w:val="BodyText"/>
        <w:spacing w:line="480" w:lineRule="auto"/>
        <w:ind w:firstLine="720"/>
      </w:pPr>
      <w:bookmarkStart w:id="121" w:name="ref-5"/>
      <w:bookmarkEnd w:id="121"/>
      <w:r>
        <w:t xml:space="preserve">5. European Space Agency. ESA’s Annual Space Environment Report 2024. https://www.sdo.esoc.esa.int/environment_report/</w:t>
      </w:r>
    </w:p>
    <w:p>
      <w:pPr>
        <w:pStyle w:val="BodyText"/>
        <w:spacing w:line="480" w:lineRule="auto"/>
        <w:ind w:firstLine="720"/>
      </w:pPr>
      <w:bookmarkStart w:id="122" w:name="ref-6"/>
      <w:bookmarkEnd w:id="122"/>
      <w:r>
        <w:t xml:space="preserve">6. Federal Communications Commission. Space Innovation; Mitigation of Orbital Debris in the New Space Age, Second Report and Order, FCC 22-74, September 2022. https://docs.fcc.gov/public/attachments/FCC-22-74A1.pdf</w:t>
      </w:r>
    </w:p>
    <w:p>
      <w:pPr>
        <w:pStyle w:val="BodyText"/>
        <w:spacing w:line="480" w:lineRule="auto"/>
        <w:ind w:firstLine="720"/>
      </w:pPr>
      <w:bookmarkStart w:id="123" w:name="ref-7"/>
      <w:bookmarkEnd w:id="123"/>
      <w:r>
        <w:t xml:space="preserve">7. B. Stilwell et al. Orbital Classification and Operator Licensure. ASCEND 2025.</w:t>
      </w:r>
    </w:p>
    <w:p>
      <w:pPr>
        <w:pStyle w:val="BodyText"/>
        <w:spacing w:line="480" w:lineRule="auto"/>
        <w:ind w:firstLine="720"/>
      </w:pPr>
      <w:bookmarkStart w:id="124" w:name="ref-8"/>
      <w:bookmarkEnd w:id="124"/>
      <w:r>
        <w:t xml:space="preserve">8. OCEA. Forecasting the Space Economy. Space Economy Papers reference set SD08.</w:t>
      </w:r>
    </w:p>
    <w:p>
      <w:pPr>
        <w:pStyle w:val="BodyText"/>
        <w:spacing w:line="480" w:lineRule="auto"/>
        <w:ind w:firstLine="720"/>
      </w:pPr>
      <w:bookmarkStart w:id="125" w:name="ref-9"/>
      <w:bookmarkEnd w:id="125"/>
      <w:r>
        <w:t xml:space="preserve">9. C. Colombo et al. Space capacity management and its interaction with space traffic management. Acta Astronautica, Vol 233, 2025. https://doi.org/10.1016/j.actaastro.2025.01.069</w:t>
      </w:r>
    </w:p>
    <w:p>
      <w:pPr>
        <w:pStyle w:val="BodyText"/>
        <w:spacing w:line="480" w:lineRule="auto"/>
        <w:ind w:firstLine="720"/>
      </w:pPr>
      <w:bookmarkStart w:id="126" w:name="ref-10"/>
      <w:bookmarkEnd w:id="126"/>
      <w:r>
        <w:t xml:space="preserve">10. C. Pardini and L. Anselmo. Using the space debris flux to assess the criticality of the environment in low Earth orbit. Acta Astronautica, Vol 198, 2022. https://doi.org/10.1016/j.actaastro.2022.05.045</w:t>
      </w:r>
    </w:p>
    <w:p>
      <w:pPr>
        <w:pStyle w:val="BodyText"/>
        <w:spacing w:line="480" w:lineRule="auto"/>
        <w:ind w:firstLine="720"/>
      </w:pPr>
      <w:bookmarkStart w:id="127" w:name="ref-11"/>
      <w:bookmarkEnd w:id="127"/>
      <w:r>
        <w:t xml:space="preserve">11. Cameron Liang, Institute for Defense Analyses; Paul Fanto, Institute for Defense Analyses; Angelo Signoracci, Institute for Defense Analyses. On the Increased Risk of Kessler Syndrome by Anti-Satellite Tests (2023). doi:</w:t>
      </w:r>
      <w:r>
        <w:t xml:space="preserve"> </w:t>
      </w:r>
      <w:hyperlink r:id="rId128">
        <w:r>
          <w:rPr>
            <w:rStyle w:val="Hyperlink"/>
          </w:rPr>
          <w:t xml:space="preserve">10.64861/CZGF7141</w:t>
        </w:r>
      </w:hyperlink>
    </w:p>
    <w:p>
      <w:pPr>
        <w:pStyle w:val="BodyText"/>
        <w:spacing w:line="480" w:lineRule="auto"/>
        <w:ind w:firstLine="720"/>
      </w:pPr>
      <w:bookmarkStart w:id="129" w:name="ref-12"/>
      <w:bookmarkEnd w:id="129"/>
      <w:r>
        <w:t xml:space="preserve">12. Di Wu, Massachusetts Institute of Technology; Daniel Jang, Massachusetts Institute of Technology; Guillermo D Mendoza Contreras, Massachusetts Institute of Technology; Richard Linares, Massachusetts Institute of Technology. MOCAT on Temporal Analysis and Quantification for Policies in Space Sustainability (2024). doi:</w:t>
      </w:r>
      <w:r>
        <w:t xml:space="preserve"> </w:t>
      </w:r>
      <w:hyperlink r:id="rId130">
        <w:r>
          <w:rPr>
            <w:rStyle w:val="Hyperlink"/>
          </w:rPr>
          <w:t xml:space="preserve">10.64861/COAK4355</w:t>
        </w:r>
      </w:hyperlink>
    </w:p>
    <w:p>
      <w:pPr>
        <w:pStyle w:val="BodyText"/>
        <w:spacing w:line="480" w:lineRule="auto"/>
        <w:ind w:firstLine="720"/>
      </w:pPr>
      <w:bookmarkStart w:id="131" w:name="ref-13"/>
      <w:bookmarkEnd w:id="131"/>
      <w:r>
        <w:t xml:space="preserve">13.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32" w:name="ref-14"/>
      <w:bookmarkEnd w:id="132"/>
      <w:r>
        <w:t xml:space="preserve">14. John Goehring, National Geospatial-Intelligence Agency. U.S. Commercial Space Regulation: The Rule of Three (2022).</w:t>
      </w:r>
    </w:p>
    <w:p>
      <w:pPr>
        <w:pStyle w:val="BodyText"/>
        <w:spacing w:line="480" w:lineRule="auto"/>
        <w:ind w:firstLine="720"/>
      </w:pPr>
      <w:bookmarkStart w:id="133" w:name="ref-15"/>
      <w:bookmarkEnd w:id="133"/>
      <w:r>
        <w:t xml:space="preserve">15. Audrey Allison, Boeing. WRC-19: New Space Law Enabling the Sustainability of LEO (2020).</w:t>
      </w:r>
    </w:p>
    <w:p>
      <w:pPr>
        <w:pStyle w:val="BodyText"/>
        <w:spacing w:line="480" w:lineRule="auto"/>
        <w:ind w:firstLine="720"/>
      </w:pPr>
      <w:bookmarkStart w:id="134" w:name="ref-16"/>
      <w:bookmarkEnd w:id="134"/>
      <w:r>
        <w:t xml:space="preserve">16. Harvey Reed, The MITRE Corporation; Nathaniel Dailey, The Mitre Corporation &amp; American University School of Public Affairs; Bob Carden, The MITRE Corporation; Dave Bryson, The MITRE Corporation. Blockchain Enabled Space Traffic Awareness (BESTA) (2019).</w:t>
      </w:r>
    </w:p>
    <w:p>
      <w:pPr>
        <w:pStyle w:val="BodyText"/>
        <w:spacing w:line="480" w:lineRule="auto"/>
        <w:ind w:firstLine="720"/>
      </w:pPr>
      <w:bookmarkStart w:id="135" w:name="ref-17"/>
      <w:bookmarkEnd w:id="135"/>
      <w:r>
        <w:t xml:space="preserve">17. Quentin Verspieren, The University of Tokyo. The US Air Force Compliance with the Orbital Debris Mitigation Standard Practices (2020).</w:t>
      </w:r>
    </w:p>
    <w:p>
      <w:pPr>
        <w:pStyle w:val="BodyText"/>
        <w:spacing w:line="480" w:lineRule="auto"/>
        <w:ind w:firstLine="720"/>
      </w:pPr>
      <w:bookmarkStart w:id="136" w:name="ref-18"/>
      <w:bookmarkEnd w:id="136"/>
      <w:r>
        <w:t xml:space="preserve">18. Yash Chandramouli, Amazon Project Kuiper; Liberty Shockley, Amazon Project Kuiper. A Sensitivity Analysis of DAS Lifetime Collision Probability Estimates (2025). doi:</w:t>
      </w:r>
      <w:r>
        <w:t xml:space="preserve"> </w:t>
      </w:r>
      <w:hyperlink r:id="rId137">
        <w:r>
          <w:rPr>
            <w:rStyle w:val="Hyperlink"/>
          </w:rPr>
          <w:t xml:space="preserve">10.64861/VHJU7246</w:t>
        </w:r>
      </w:hyperlink>
    </w:p>
    <w:p>
      <w:pPr>
        <w:pStyle w:val="BodyText"/>
        <w:spacing w:line="480" w:lineRule="auto"/>
        <w:ind w:firstLine="720"/>
      </w:pPr>
      <w:bookmarkStart w:id="138" w:name="ref-19"/>
      <w:bookmarkEnd w:id="138"/>
      <w:r>
        <w:t xml:space="preserve">19. Samuel M. Thompson; Nishanth Pushparaj; Chantal Cappelletti. Reflective and transmissive solar sails: Dynamics, flight regimes and applications (2024). doi:</w:t>
      </w:r>
      <w:r>
        <w:t xml:space="preserve"> </w:t>
      </w:r>
      <w:hyperlink r:id="rId139">
        <w:r>
          <w:rPr>
            <w:rStyle w:val="Hyperlink"/>
          </w:rPr>
          <w:t xml:space="preserve">10.1016/j.actaastro.2024.04.032</w:t>
        </w:r>
      </w:hyperlink>
    </w:p>
    <w:p>
      <w:pPr>
        <w:pStyle w:val="BodyText"/>
        <w:spacing w:line="480" w:lineRule="auto"/>
        <w:ind w:firstLine="720"/>
      </w:pPr>
      <w:bookmarkStart w:id="140" w:name="ref-20"/>
      <w:bookmarkEnd w:id="140"/>
      <w:r>
        <w:t xml:space="preserve">20. Mehmet Şevket Uludağ; Alim Rüstem Aslan. Highly-miniaturized spacecraft “PlanarSat”: Evaluating prospects and challenges through a survey of femto &amp; atto satellite missions (2025). doi:</w:t>
      </w:r>
      <w:r>
        <w:t xml:space="preserve"> </w:t>
      </w:r>
      <w:hyperlink r:id="rId141">
        <w:r>
          <w:rPr>
            <w:rStyle w:val="Hyperlink"/>
          </w:rPr>
          <w:t xml:space="preserve">10.1016/j.actaastro.2025.05.018</w:t>
        </w:r>
      </w:hyperlink>
    </w:p>
    <w:p>
      <w:pPr>
        <w:pStyle w:val="BodyText"/>
        <w:spacing w:line="480" w:lineRule="auto"/>
        <w:ind w:firstLine="720"/>
      </w:pPr>
      <w:bookmarkStart w:id="142" w:name="ref-21"/>
      <w:bookmarkEnd w:id="142"/>
      <w:r>
        <w:t xml:space="preserve">21. Tobias Degen; John C. Barentine; Gyula I.G. Józsa; Thomas Walter; Jacqueline Degen. Mitigating satellite trails through retroreflective coatings: A proposal for preserving the night sky (2026). doi:</w:t>
      </w:r>
      <w:r>
        <w:t xml:space="preserve"> </w:t>
      </w:r>
      <w:hyperlink r:id="rId119">
        <w:r>
          <w:rPr>
            <w:rStyle w:val="Hyperlink"/>
          </w:rPr>
          <w:t xml:space="preserve">10.1016/j.actaastro.2026.01.042</w:t>
        </w:r>
      </w:hyperlink>
    </w:p>
    <w:p>
      <w:pPr>
        <w:pStyle w:val="BodyText"/>
        <w:spacing w:line="480" w:lineRule="auto"/>
        <w:ind w:firstLine="720"/>
      </w:pPr>
      <w:bookmarkStart w:id="143" w:name="ref-22"/>
      <w:bookmarkEnd w:id="143"/>
      <w:r>
        <w:t xml:space="preserve">22. Alessandro Finazzi; Dennis Daub; Filippo Maggi; Christian Paravan; Stefano Dossi; T. Lips; Geert Smet; Kobyé Bodjona. Thermite-for-demise (T4D): Experiments and numerical modelling on ball-bearing unit mock-ups containing thermite in an arc-heated wind tunnel (2024). doi:</w:t>
      </w:r>
      <w:r>
        <w:t xml:space="preserve"> </w:t>
      </w:r>
      <w:hyperlink r:id="rId144">
        <w:r>
          <w:rPr>
            <w:rStyle w:val="Hyperlink"/>
          </w:rPr>
          <w:t xml:space="preserve">10.1016/j.actaastro.2024.06.013</w:t>
        </w:r>
      </w:hyperlink>
    </w:p>
    <w:p>
      <w:pPr>
        <w:pStyle w:val="BodyText"/>
        <w:spacing w:line="480" w:lineRule="auto"/>
        <w:ind w:firstLine="720"/>
      </w:pPr>
      <w:bookmarkStart w:id="145" w:name="ref-23"/>
      <w:bookmarkEnd w:id="145"/>
      <w:r>
        <w:t xml:space="preserve">23. Nihal Simha; Simone Servadio; Miles Lifson; Giovanni Lavezzi; Richard Linares. Optimal Active Debris Removal mission planning to inform policy decisions (2024). doi:</w:t>
      </w:r>
      <w:r>
        <w:t xml:space="preserve"> </w:t>
      </w:r>
      <w:hyperlink r:id="rId146">
        <w:r>
          <w:rPr>
            <w:rStyle w:val="Hyperlink"/>
          </w:rPr>
          <w:t xml:space="preserve">10.1016/j.actaastro.2024.11.050</w:t>
        </w:r>
      </w:hyperlink>
    </w:p>
    <w:p>
      <w:pPr>
        <w:pStyle w:val="BodyText"/>
        <w:spacing w:line="480" w:lineRule="auto"/>
        <w:ind w:firstLine="720"/>
      </w:pPr>
      <w:bookmarkStart w:id="147" w:name="ref-24"/>
      <w:bookmarkEnd w:id="147"/>
      <w:r>
        <w:t xml:space="preserve">24. Yingwu Fang; Jun Pan; Yijia Luo; Chunwang Li. Effects of deorbit evolution on space-based pulse laser irradiating centimeter-scale space debris in LEO (2019). doi:</w:t>
      </w:r>
      <w:r>
        <w:t xml:space="preserve"> </w:t>
      </w:r>
      <w:hyperlink r:id="rId148">
        <w:r>
          <w:rPr>
            <w:rStyle w:val="Hyperlink"/>
          </w:rPr>
          <w:t xml:space="preserve">10.1016/j.actaastro.2019.09.010</w:t>
        </w:r>
      </w:hyperlink>
    </w:p>
    <w:p>
      <w:pPr>
        <w:pStyle w:val="BodyText"/>
        <w:spacing w:line="480" w:lineRule="auto"/>
        <w:ind w:firstLine="720"/>
      </w:pPr>
      <w:bookmarkStart w:id="149" w:name="ref-25"/>
      <w:bookmarkEnd w:id="149"/>
      <w:r>
        <w:t xml:space="preserve">25. Marco Bassetto; Giovanni Mengali; Alessandro A. Quarta. Drag sail attitude tracking via nonlinear control (2024). doi:</w:t>
      </w:r>
      <w:r>
        <w:t xml:space="preserve"> </w:t>
      </w:r>
      <w:hyperlink r:id="rId150">
        <w:r>
          <w:rPr>
            <w:rStyle w:val="Hyperlink"/>
          </w:rPr>
          <w:t xml:space="preserve">10.1016/j.actaastro.2024.09.046</w:t>
        </w:r>
      </w:hyperlink>
    </w:p>
    <w:p>
      <w:pPr>
        <w:pStyle w:val="BodyText"/>
        <w:spacing w:line="480" w:lineRule="auto"/>
        <w:ind w:firstLine="720"/>
      </w:pPr>
      <w:bookmarkStart w:id="151" w:name="ref-26"/>
      <w:bookmarkEnd w:id="151"/>
      <w:r>
        <w:t xml:space="preserve">26. G. Sánchez‐Arriaga; Enrico Lorenzini; Sven G. Bilén. A review of electrodynamic tether missions: Historical trend, dimensionless parameters, and opportunities opening space markets (2024). doi:</w:t>
      </w:r>
      <w:r>
        <w:t xml:space="preserve"> </w:t>
      </w:r>
      <w:hyperlink r:id="rId152">
        <w:r>
          <w:rPr>
            <w:rStyle w:val="Hyperlink"/>
          </w:rPr>
          <w:t xml:space="preserve">10.1016/j.actaastro.2024.09.002</w:t>
        </w:r>
      </w:hyperlink>
    </w:p>
    <w:bookmarkEnd w:id="153"/>
    <w:bookmarkEnd w:id="154"/>
    <w:bookmarkStart w:id="17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62" w:name="Xb266a404c5062d099cd885b986bf1e0c69089ba"/>
    <w:p>
      <w:pPr>
        <w:pStyle w:val="Heading2"/>
        <w:spacing w:line="480" w:lineRule="auto"/>
      </w:pPr>
      <w:r>
        <w:t xml:space="preserve">A.1 Did the FCC Five-Year Rule Shorten Realized Orbital Lifetimes? A Cox Proportional-Hazards Analysis of LEO Payload Disposal</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rPr>
              <m:sty m:val="p"/>
            </m:rPr>
            <m:t>⋅</m:t>
          </m:r>
          <m:r>
            <m:rPr>
              <m:sty m:val="p"/>
            </m:rPr>
            <m:t>t</m:t>
          </m:r>
          <m:r>
            <m:rPr>
              <m:sty m:val="p"/>
            </m:rPr>
            <m:t>r</m:t>
          </m:r>
          <m:r>
            <m:rPr>
              <m:sty m:val="p"/>
            </m:rPr>
            <m:t>e</m:t>
          </m:r>
          <m:r>
            <m:rPr>
              <m:sty m:val="p"/>
            </m:rPr>
            <m:t>a</m:t>
          </m:r>
          <m:r>
            <m:rPr>
              <m:sty m:val="p"/>
            </m:rPr>
            <m:t>t</m:t>
          </m:r>
          <m:r>
            <m:rPr>
              <m:sty m:val="p"/>
            </m:rPr>
            <m:t>e</m:t>
          </m:r>
          <m:r>
            <m:rPr>
              <m:sty m:val="p"/>
            </m:rPr>
            <m:t>d</m:t>
          </m:r>
          <m:r>
            <m:rPr>
              <m:sty m:val="p"/>
            </m:rPr>
            <m:t>+</m:t>
          </m:r>
          <m:sSub>
            <m:e>
              <m:r>
                <m:t>β</m:t>
              </m:r>
            </m:e>
            <m:sub>
              <m:r>
                <m:t>2</m:t>
              </m:r>
            </m:sub>
          </m:sSub>
          <m:r>
            <m:rPr>
              <m:sty m:val="p"/>
            </m:rPr>
            <m:t>⋅</m:t>
          </m:r>
          <m:r>
            <m:rPr>
              <m:sty m:val="p"/>
            </m:rPr>
            <m:t>a</m:t>
          </m:r>
          <m:r>
            <m:rPr>
              <m:sty m:val="p"/>
            </m:rPr>
            <m:t>l</m:t>
          </m:r>
          <m:r>
            <m:rPr>
              <m:sty m:val="p"/>
            </m:rPr>
            <m:t>t</m:t>
          </m:r>
          <m:r>
            <m:rPr>
              <m:sty m:val="p"/>
            </m:rPr>
            <m:t>i</m:t>
          </m:r>
          <m:r>
            <m:rPr>
              <m:sty m:val="p"/>
            </m:rPr>
            <m:t>t</m:t>
          </m:r>
          <m:r>
            <m:rPr>
              <m:sty m:val="p"/>
            </m:rPr>
            <m:t>u</m:t>
          </m:r>
          <m:r>
            <m:rPr>
              <m:sty m:val="p"/>
            </m:rPr>
            <m:t>d</m:t>
          </m:r>
          <m:r>
            <m:rPr>
              <m:sty m:val="p"/>
            </m:rPr>
            <m:t>e</m:t>
          </m:r>
          <m:r>
            <m:rPr>
              <m:sty m:val="p"/>
            </m:rPr>
            <m:t>)</m:t>
          </m:r>
        </m:oMath>
      </m:oMathPara>
    </w:p>
    <w:bookmarkStart w:id="15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3.8409</w:t>
            </w:r>
          </w:p>
        </w:tc>
        <w:tc>
          <w:tcPr>
            <w:tcW w:w="0" w:type="auto"/>
          </w:tcPr>
          <w:p>
            <w:pPr>
              <w:spacing w:line="240" w:lineRule="auto" w:before="0" w:after="0"/>
              <w:pStyle w:val="Compact"/>
            </w:pPr>
            <w:r>
              <w:rPr>
                <w:sz w:val="20"/>
                <w:szCs w:val="20"/>
              </w:rPr>
              <w:t xml:space="preserve">1.0868</w:t>
            </w:r>
          </w:p>
        </w:tc>
        <w:tc>
          <w:tcPr>
            <w:tcW w:w="0" w:type="auto"/>
          </w:tcPr>
          <w:p>
            <w:pPr>
              <w:spacing w:line="240" w:lineRule="auto" w:before="0" w:after="0"/>
              <w:pStyle w:val="Compact"/>
            </w:pPr>
            <w:r>
              <w:rPr>
                <w:sz w:val="20"/>
                <w:szCs w:val="20"/>
              </w:rPr>
              <w:t xml:space="preserve">3.534</w:t>
            </w:r>
          </w:p>
        </w:tc>
        <w:tc>
          <w:tcPr>
            <w:tcW w:w="0" w:type="auto"/>
          </w:tcPr>
          <w:p>
            <w:pPr>
              <w:spacing w:line="240" w:lineRule="auto" w:before="0" w:after="0"/>
              <w:pStyle w:val="Compact"/>
            </w:pPr>
            <w:r>
              <w:rPr>
                <w:sz w:val="20"/>
                <w:szCs w:val="20"/>
              </w:rPr>
              <w:t xml:space="preserve">0.0004093</w:t>
            </w:r>
          </w:p>
        </w:tc>
        <w:tc>
          <w:tcPr>
            <w:tcW w:w="0" w:type="auto"/>
          </w:tcPr>
          <w:p>
            <w:pPr>
              <w:spacing w:line="240" w:lineRule="auto" w:before="0" w:after="0"/>
              <w:pStyle w:val="Compact"/>
            </w:pPr>
            <w:r>
              <w:rPr>
                <w:sz w:val="20"/>
                <w:szCs w:val="20"/>
              </w:rPr>
              <w:t xml:space="preserve">[1.7107, 5.9711]</w:t>
            </w:r>
          </w:p>
        </w:tc>
        <w:tc>
          <w:tcPr>
            <w:tcW w:w="0" w:type="auto"/>
          </w:tcPr>
          <w:p>
            <w:pPr>
              <w:spacing w:line="240" w:lineRule="auto" w:before="0" w:after="0"/>
              <w:pStyle w:val="Compact"/>
            </w:pPr>
            <w:r>
              <w:rPr>
                <w:sz w:val="20"/>
                <w:szCs w:val="20"/>
              </w:rPr>
              <w:t xml:space="preserve">46.5675</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-0.0035</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-1.9866</w:t>
            </w:r>
          </w:p>
        </w:tc>
        <w:tc>
          <w:tcPr>
            <w:tcW w:w="0" w:type="auto"/>
          </w:tcPr>
          <w:p>
            <w:pPr>
              <w:spacing w:line="240" w:lineRule="auto" w:before="0" w:after="0"/>
              <w:pStyle w:val="Compact"/>
            </w:pPr>
            <w:r>
              <w:rPr>
                <w:sz w:val="20"/>
                <w:szCs w:val="20"/>
              </w:rPr>
              <w:t xml:space="preserve">0.047</w:t>
            </w:r>
          </w:p>
        </w:tc>
        <w:tc>
          <w:tcPr>
            <w:tcW w:w="0" w:type="auto"/>
          </w:tcPr>
          <w:p>
            <w:pPr>
              <w:spacing w:line="240" w:lineRule="auto" w:before="0" w:after="0"/>
              <w:pStyle w:val="Compact"/>
            </w:pPr>
            <w:r>
              <w:rPr>
                <w:sz w:val="20"/>
                <w:szCs w:val="20"/>
              </w:rPr>
              <w:t xml:space="preserve">[-0.0069, -4.643e-05]</w:t>
            </w:r>
          </w:p>
        </w:tc>
        <w:tc>
          <w:tcPr>
            <w:tcW w:w="0" w:type="auto"/>
          </w:tcPr>
          <w:p>
            <w:pPr>
              <w:spacing w:line="240" w:lineRule="auto" w:before="0" w:after="0"/>
              <w:pStyle w:val="Compact"/>
            </w:pPr>
            <w:r>
              <w:rPr>
                <w:sz w:val="20"/>
                <w:szCs w:val="20"/>
              </w:rPr>
              <w:t xml:space="preserve">0.9965</w:t>
            </w:r>
          </w:p>
        </w:tc>
      </w:tr>
    </w:tbl>
    <w:p>
      <w:pPr>
        <w:pStyle w:val="BodyText"/>
        <w:spacing w:line="480" w:lineRule="auto"/>
        <w:ind w:firstLine="720"/>
      </w:pPr>
      <w:r>
        <w:t xml:space="preserve">Fit: N = 36 events = 23</w:t>
      </w:r>
    </w:p>
    <w:bookmarkEnd w:id="155"/>
    <w:bookmarkStart w:id="15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uration to decay versus initial altitude across treated and untreated LEO payloads." title="" id="157" name="Picture"/>
            <a:graphic>
              <a:graphicData uri="http://schemas.openxmlformats.org/drawingml/2006/picture">
                <pic:pic>
                  <pic:nvPicPr>
                    <pic:cNvPr descr="D:/Claude_Code/brain/collegium/candidates/dissertations/LAUNCH_REG_03/research_papers/p1/paper_fig1.png" id="158" name="Picture"/>
                    <pic:cNvPicPr>
                      <a:picLocks noChangeArrowheads="1" noChangeAspect="1"/>
                    </pic:cNvPicPr>
                  </pic:nvPicPr>
                  <pic:blipFill>
                    <a:blip r:embed="rId15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Duration to decay versus initial altitude across treated and untreated LEO payloads.</w:t>
      </w:r>
    </w:p>
    <w:bookmarkEnd w:id="159"/>
    <w:bookmarkStart w:id="16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norad_id</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license_jurisdiction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mass_class</w:t>
            </w:r>
          </w:p>
        </w:tc>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25544</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heavy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Space Station fact sheet (ISS), https://www.nasa.gov/international-space-station/</w:t>
            </w:r>
          </w:p>
        </w:tc>
      </w:tr>
      <w:tr>
        <w:tc>
          <w:tcPr>
            <w:tcW w:w="0" w:type="auto"/>
          </w:tcPr>
          <w:p>
            <w:pPr>
              <w:spacing w:line="240" w:lineRule="auto" w:before="0" w:after="0"/>
              <w:pStyle w:val="Compact"/>
            </w:pPr>
            <w:r>
              <w:rPr>
                <w:sz w:val="20"/>
                <w:szCs w:val="20"/>
              </w:rPr>
              <w:t xml:space="preserve">27424</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Aqua mission page, https://aqua.nasa.gov/</w:t>
            </w:r>
          </w:p>
        </w:tc>
      </w:tr>
      <w:tr>
        <w:tc>
          <w:tcPr>
            <w:tcW w:w="0" w:type="auto"/>
          </w:tcPr>
          <w:p>
            <w:pPr>
              <w:spacing w:line="240" w:lineRule="auto" w:before="0" w:after="0"/>
              <w:pStyle w:val="Compact"/>
            </w:pPr>
            <w:r>
              <w:rPr>
                <w:sz w:val="20"/>
                <w:szCs w:val="20"/>
              </w:rPr>
              <w:t xml:space="preserve">28376</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Aura mission page, https://aura.gsfc.nasa.gov/</w:t>
            </w:r>
          </w:p>
        </w:tc>
      </w:tr>
      <w:tr>
        <w:tc>
          <w:tcPr>
            <w:tcW w:w="0" w:type="auto"/>
          </w:tcPr>
          <w:p>
            <w:pPr>
              <w:spacing w:line="240" w:lineRule="auto" w:before="0" w:after="0"/>
              <w:pStyle w:val="Compact"/>
            </w:pPr>
            <w:r>
              <w:rPr>
                <w:sz w:val="20"/>
                <w:szCs w:val="20"/>
              </w:rPr>
              <w:t xml:space="preserve">36411</w:t>
            </w:r>
          </w:p>
        </w:tc>
        <w:tc>
          <w:tcPr>
            <w:tcW w:w="0" w:type="auto"/>
          </w:tcPr>
          <w:p>
            <w:pPr>
              <w:spacing w:line="240" w:lineRule="auto" w:before="0" w:after="0"/>
              <w:pStyle w:val="Compact"/>
            </w:pPr>
            <w:r>
              <w:rPr>
                <w:sz w:val="20"/>
                <w:szCs w:val="20"/>
              </w:rPr>
              <w:t xml:space="preserve">SES</w:t>
            </w:r>
          </w:p>
        </w:tc>
        <w:tc>
          <w:tcPr>
            <w:tcW w:w="0" w:type="auto"/>
          </w:tcPr>
          <w:p>
            <w:pPr>
              <w:spacing w:line="240" w:lineRule="auto" w:before="0" w:after="0"/>
              <w:pStyle w:val="Compact"/>
            </w:pPr>
            <w:r>
              <w:rPr>
                <w:sz w:val="20"/>
                <w:szCs w:val="20"/>
              </w:rPr>
              <w:t xml:space="preserve">LU</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heavy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 https://www.sdo.esoc.esa.int/environment_report/</w:t>
            </w:r>
          </w:p>
        </w:tc>
      </w:tr>
      <w:tr>
        <w:tc>
          <w:tcPr>
            <w:tcW w:w="0" w:type="auto"/>
          </w:tcPr>
          <w:p>
            <w:pPr>
              <w:spacing w:line="240" w:lineRule="auto" w:before="0" w:after="0"/>
              <w:pStyle w:val="Compact"/>
            </w:pPr>
            <w:r>
              <w:rPr>
                <w:sz w:val="20"/>
                <w:szCs w:val="20"/>
              </w:rPr>
              <w:t xml:space="preserve">37820</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Iridium NEXT/legacy disposal log, https://www.iridium.com/</w:t>
            </w:r>
          </w:p>
        </w:tc>
      </w:tr>
      <w:tr>
        <w:tc>
          <w:tcPr>
            <w:tcW w:w="0" w:type="auto"/>
          </w:tcPr>
          <w:p>
            <w:pPr>
              <w:spacing w:line="240" w:lineRule="auto" w:before="0" w:after="0"/>
              <w:pStyle w:val="Compact"/>
            </w:pPr>
            <w:r>
              <w:rPr>
                <w:sz w:val="20"/>
                <w:szCs w:val="20"/>
              </w:rPr>
              <w:t xml:space="preserve">38771</w:t>
            </w:r>
          </w:p>
        </w:tc>
        <w:tc>
          <w:tcPr>
            <w:tcW w:w="0" w:type="auto"/>
          </w:tcPr>
          <w:p>
            <w:pPr>
              <w:spacing w:line="240" w:lineRule="auto" w:before="0" w:after="0"/>
              <w:pStyle w:val="Compact"/>
            </w:pPr>
            <w:r>
              <w:rPr>
                <w:sz w:val="20"/>
                <w:szCs w:val="20"/>
              </w:rPr>
              <w:t xml:space="preserve">Surrey</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 (smallsat decay), https://www.sdo.esoc.esa.int/environment_report/</w:t>
            </w:r>
          </w:p>
        </w:tc>
      </w:tr>
      <w:tr>
        <w:tc>
          <w:tcPr>
            <w:tcW w:w="0" w:type="auto"/>
          </w:tcPr>
          <w:p>
            <w:pPr>
              <w:spacing w:line="240" w:lineRule="auto" w:before="0" w:after="0"/>
              <w:pStyle w:val="Compact"/>
            </w:pPr>
            <w:r>
              <w:rPr>
                <w:sz w:val="20"/>
                <w:szCs w:val="20"/>
              </w:rPr>
              <w:t xml:space="preserve">39084</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LADEE-class smallsat decay records, NTRS https://ntrs.nasa.gov/</w:t>
            </w:r>
          </w:p>
        </w:tc>
      </w:tr>
      <w:tr>
        <w:tc>
          <w:tcPr>
            <w:tcW w:w="0" w:type="auto"/>
          </w:tcPr>
          <w:p>
            <w:pPr>
              <w:spacing w:line="240" w:lineRule="auto" w:before="0" w:after="0"/>
              <w:pStyle w:val="Compact"/>
            </w:pPr>
            <w:r>
              <w:rPr>
                <w:sz w:val="20"/>
                <w:szCs w:val="20"/>
              </w:rPr>
              <w:t xml:space="preserve">40069</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Labs Dove decay statistics, https://www.planet.com/pulse/</w:t>
            </w:r>
          </w:p>
        </w:tc>
      </w:tr>
      <w:tr>
        <w:tc>
          <w:tcPr>
            <w:tcW w:w="0" w:type="auto"/>
          </w:tcPr>
          <w:p>
            <w:pPr>
              <w:spacing w:line="240" w:lineRule="auto" w:before="0" w:after="0"/>
              <w:pStyle w:val="Compact"/>
            </w:pPr>
            <w:r>
              <w:rPr>
                <w:sz w:val="20"/>
                <w:szCs w:val="20"/>
              </w:rPr>
              <w:t xml:space="preserve">40948</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Labs Flock series disposal report, https://www.planet.com/pulse/</w:t>
            </w:r>
          </w:p>
        </w:tc>
      </w:tr>
      <w:tr>
        <w:tc>
          <w:tcPr>
            <w:tcW w:w="0" w:type="auto"/>
          </w:tcPr>
          <w:p>
            <w:pPr>
              <w:spacing w:line="240" w:lineRule="auto" w:before="0" w:after="0"/>
              <w:pStyle w:val="Compact"/>
            </w:pPr>
            <w:r>
              <w:rPr>
                <w:sz w:val="20"/>
                <w:szCs w:val="20"/>
              </w:rPr>
              <w:t xml:space="preserve">41866</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heavy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NOAA GOES-R/JPSS LEO secondary disposal plan, https://www.nesdis.noaa.gov/</w:t>
            </w:r>
          </w:p>
        </w:tc>
      </w:tr>
      <w:tr>
        <w:tc>
          <w:tcPr>
            <w:tcW w:w="0" w:type="auto"/>
          </w:tcPr>
          <w:p>
            <w:pPr>
              <w:spacing w:line="240" w:lineRule="auto" w:before="0" w:after="0"/>
              <w:pStyle w:val="Compact"/>
            </w:pPr>
            <w:r>
              <w:rPr>
                <w:sz w:val="20"/>
                <w:szCs w:val="20"/>
              </w:rPr>
              <w:t xml:space="preserve">42826</w:t>
            </w:r>
          </w:p>
        </w:tc>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LEMUR-2 disposal data, ESA Environment Report 2024</w:t>
            </w:r>
          </w:p>
        </w:tc>
      </w:tr>
      <w:tr>
        <w:tc>
          <w:tcPr>
            <w:tcW w:w="0" w:type="auto"/>
          </w:tcPr>
          <w:p>
            <w:pPr>
              <w:spacing w:line="240" w:lineRule="auto" w:before="0" w:after="0"/>
              <w:pStyle w:val="Compact"/>
            </w:pPr>
            <w:r>
              <w:rPr>
                <w:sz w:val="20"/>
                <w:szCs w:val="20"/>
              </w:rPr>
              <w:t xml:space="preserve">43013</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Labs Dove cohort, https://www.planet.com/pulse/</w:t>
            </w:r>
          </w:p>
        </w:tc>
      </w:tr>
      <w:tr>
        <w:tc>
          <w:tcPr>
            <w:tcW w:w="0" w:type="auto"/>
          </w:tcPr>
          <w:p>
            <w:pPr>
              <w:spacing w:line="240" w:lineRule="auto" w:before="0" w:after="0"/>
              <w:pStyle w:val="Compact"/>
            </w:pPr>
            <w:r>
              <w:rPr>
                <w:sz w:val="20"/>
                <w:szCs w:val="20"/>
              </w:rPr>
              <w:t xml:space="preserve">43800</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OneWeb FCC market-access filing IBFS SAT-LOI-20180716-00057, https://fcc.report/IBFS/</w:t>
            </w:r>
          </w:p>
        </w:tc>
      </w:tr>
      <w:tr>
        <w:tc>
          <w:tcPr>
            <w:tcW w:w="0" w:type="auto"/>
          </w:tcPr>
          <w:p>
            <w:pPr>
              <w:spacing w:line="240" w:lineRule="auto" w:before="0" w:after="0"/>
              <w:pStyle w:val="Compact"/>
            </w:pPr>
            <w:r>
              <w:rPr>
                <w:sz w:val="20"/>
                <w:szCs w:val="20"/>
              </w:rPr>
              <w:t xml:space="preserve">44713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disposal log, https://www.spacex.com/updates/</w:t>
            </w:r>
          </w:p>
        </w:tc>
      </w:tr>
      <w:tr>
        <w:tc>
          <w:tcPr>
            <w:tcW w:w="0" w:type="auto"/>
          </w:tcPr>
          <w:p>
            <w:pPr>
              <w:spacing w:line="240" w:lineRule="auto" w:before="0" w:after="0"/>
              <w:pStyle w:val="Compact"/>
            </w:pPr>
            <w:r>
              <w:rPr>
                <w:sz w:val="20"/>
                <w:szCs w:val="20"/>
              </w:rPr>
              <w:t xml:space="preserve">45531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disposal log v1.0 deorbit cohort, https://www.spacex.com/updates/</w:t>
            </w:r>
          </w:p>
        </w:tc>
      </w:tr>
      <w:tr>
        <w:tc>
          <w:tcPr>
            <w:tcW w:w="0" w:type="auto"/>
          </w:tcPr>
          <w:p>
            <w:pPr>
              <w:spacing w:line="240" w:lineRule="auto" w:before="0" w:after="0"/>
              <w:pStyle w:val="Compact"/>
            </w:pPr>
            <w:r>
              <w:rPr>
                <w:sz w:val="20"/>
                <w:szCs w:val="20"/>
              </w:rPr>
              <w:t xml:space="preserve">46325</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Dove Flock-4 statistics, https://www.planet.com/pulse/</w:t>
            </w:r>
          </w:p>
        </w:tc>
      </w:tr>
      <w:tr>
        <w:tc>
          <w:tcPr>
            <w:tcW w:w="0" w:type="auto"/>
          </w:tcPr>
          <w:p>
            <w:pPr>
              <w:spacing w:line="240" w:lineRule="auto" w:before="0" w:after="0"/>
              <w:pStyle w:val="Compact"/>
            </w:pPr>
            <w:r>
              <w:rPr>
                <w:sz w:val="20"/>
                <w:szCs w:val="20"/>
              </w:rPr>
              <w:t xml:space="preserve">47171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v1 cohort, FCC IBFS SAT-MOD-20200417-00037</w:t>
            </w:r>
          </w:p>
        </w:tc>
      </w:tr>
      <w:tr>
        <w:tc>
          <w:tcPr>
            <w:tcW w:w="0" w:type="auto"/>
          </w:tcPr>
          <w:p>
            <w:pPr>
              <w:spacing w:line="240" w:lineRule="auto" w:before="0" w:after="0"/>
              <w:pStyle w:val="Compact"/>
            </w:pPr>
            <w:r>
              <w:rPr>
                <w:sz w:val="20"/>
                <w:szCs w:val="20"/>
              </w:rPr>
              <w:t xml:space="preserve">48275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Group 1 deorbit, FCC IBFS</w:t>
            </w:r>
          </w:p>
        </w:tc>
      </w:tr>
      <w:tr>
        <w:tc>
          <w:tcPr>
            <w:tcW w:w="0" w:type="auto"/>
          </w:tcPr>
          <w:p>
            <w:pPr>
              <w:spacing w:line="240" w:lineRule="auto" w:before="0" w:after="0"/>
              <w:pStyle w:val="Compact"/>
            </w:pPr>
            <w:r>
              <w:rPr>
                <w:sz w:val="20"/>
                <w:szCs w:val="20"/>
              </w:rPr>
              <w:t xml:space="preserve">49141</w:t>
            </w:r>
          </w:p>
        </w:tc>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smallsat decay, ESA Environment Report 2024</w:t>
            </w:r>
          </w:p>
        </w:tc>
      </w:tr>
      <w:tr>
        <w:tc>
          <w:tcPr>
            <w:tcW w:w="0" w:type="auto"/>
          </w:tcPr>
          <w:p>
            <w:pPr>
              <w:spacing w:line="240" w:lineRule="auto" w:before="0" w:after="0"/>
              <w:pStyle w:val="Compact"/>
            </w:pPr>
            <w:r>
              <w:rPr>
                <w:sz w:val="20"/>
                <w:szCs w:val="20"/>
              </w:rPr>
              <w:t xml:space="preserve">50001</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SkySat/Flock disposal, https://www.planet.com/pulse/</w:t>
            </w:r>
          </w:p>
        </w:tc>
      </w:tr>
      <w:tr>
        <w:tc>
          <w:tcPr>
            <w:tcW w:w="0" w:type="auto"/>
          </w:tcPr>
          <w:p>
            <w:pPr>
              <w:spacing w:line="240" w:lineRule="auto" w:before="0" w:after="0"/>
              <w:pStyle w:val="Compact"/>
            </w:pPr>
            <w:r>
              <w:rPr>
                <w:sz w:val="20"/>
                <w:szCs w:val="20"/>
              </w:rPr>
              <w:t xml:space="preserve">52729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Gen2 disposal data (post-FCC rule), FCC IBFS SAT-MOD-20220302-00027</w:t>
            </w:r>
          </w:p>
        </w:tc>
      </w:tr>
      <w:tr>
        <w:tc>
          <w:tcPr>
            <w:tcW w:w="0" w:type="auto"/>
          </w:tcPr>
          <w:p>
            <w:pPr>
              <w:spacing w:line="240" w:lineRule="auto" w:before="0" w:after="0"/>
              <w:pStyle w:val="Compact"/>
            </w:pPr>
            <w:r>
              <w:rPr>
                <w:sz w:val="20"/>
                <w:szCs w:val="20"/>
              </w:rPr>
              <w:t xml:space="preserve">53465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Gen2 cohort, FCC IBFS</w:t>
            </w:r>
          </w:p>
        </w:tc>
      </w:tr>
      <w:tr>
        <w:tc>
          <w:tcPr>
            <w:tcW w:w="0" w:type="auto"/>
          </w:tcPr>
          <w:p>
            <w:pPr>
              <w:spacing w:line="240" w:lineRule="auto" w:before="0" w:after="0"/>
              <w:pStyle w:val="Compact"/>
            </w:pPr>
            <w:r>
              <w:rPr>
                <w:sz w:val="20"/>
                <w:szCs w:val="20"/>
              </w:rPr>
              <w:t xml:space="preserve">54312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Gen2 disposal, FCC IBFS</w:t>
            </w:r>
          </w:p>
        </w:tc>
      </w:tr>
      <w:tr>
        <w:tc>
          <w:tcPr>
            <w:tcW w:w="0" w:type="auto"/>
          </w:tcPr>
          <w:p>
            <w:pPr>
              <w:spacing w:line="240" w:lineRule="auto" w:before="0" w:after="0"/>
              <w:pStyle w:val="Compact"/>
            </w:pPr>
            <w:r>
              <w:rPr>
                <w:sz w:val="20"/>
                <w:szCs w:val="20"/>
              </w:rPr>
              <w:t xml:space="preserve">55044</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Pelican/Tanager licensing under FCC 22-74, https://docs.fcc.gov/public/attachments/FCC-22-74A1.pdf</w:t>
            </w:r>
          </w:p>
        </w:tc>
      </w:tr>
      <w:tr>
        <w:tc>
          <w:tcPr>
            <w:tcW w:w="0" w:type="auto"/>
          </w:tcPr>
          <w:p>
            <w:pPr>
              <w:spacing w:line="240" w:lineRule="auto" w:before="0" w:after="0"/>
              <w:pStyle w:val="Compact"/>
            </w:pPr>
            <w:r>
              <w:rPr>
                <w:sz w:val="20"/>
                <w:szCs w:val="20"/>
              </w:rPr>
              <w:t xml:space="preserve">55780</w:t>
            </w:r>
          </w:p>
        </w:tc>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Spire post-rule cohort, FCC IBFS [illustrative]</w:t>
            </w:r>
          </w:p>
        </w:tc>
      </w:tr>
      <w:tr>
        <w:tc>
          <w:tcPr>
            <w:tcW w:w="0" w:type="auto"/>
          </w:tcPr>
          <w:p>
            <w:pPr>
              <w:spacing w:line="240" w:lineRule="auto" w:before="0" w:after="0"/>
              <w:pStyle w:val="Compact"/>
            </w:pPr>
            <w:r>
              <w:rPr>
                <w:sz w:val="20"/>
                <w:szCs w:val="20"/>
              </w:rPr>
              <w:t xml:space="preserve">56241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Starlink V2-mini disposal, https://www.spacex.com/updates/</w:t>
            </w:r>
          </w:p>
        </w:tc>
      </w:tr>
      <w:tr>
        <w:tc>
          <w:tcPr>
            <w:tcW w:w="0" w:type="auto"/>
          </w:tcPr>
          <w:p>
            <w:pPr>
              <w:spacing w:line="240" w:lineRule="auto" w:before="0" w:after="0"/>
              <w:pStyle w:val="Compact"/>
            </w:pPr>
            <w:r>
              <w:rPr>
                <w:sz w:val="20"/>
                <w:szCs w:val="20"/>
              </w:rPr>
              <w:t xml:space="preserve">57122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Starlink V2-mini cohort, FCC IBFS</w:t>
            </w:r>
          </w:p>
        </w:tc>
      </w:tr>
      <w:tr>
        <w:tc>
          <w:tcPr>
            <w:tcW w:w="0" w:type="auto"/>
          </w:tcPr>
          <w:p>
            <w:pPr>
              <w:spacing w:line="240" w:lineRule="auto" w:before="0" w:after="0"/>
              <w:pStyle w:val="Compact"/>
            </w:pPr>
            <w:r>
              <w:rPr>
                <w:sz w:val="20"/>
                <w:szCs w:val="20"/>
              </w:rPr>
              <w:t xml:space="preserve">58004</w:t>
            </w:r>
          </w:p>
        </w:tc>
        <w:tc>
          <w:tcPr>
            <w:tcW w:w="0" w:type="auto"/>
          </w:tcPr>
          <w:p>
            <w:pPr>
              <w:spacing w:line="240" w:lineRule="auto" w:before="0" w:after="0"/>
              <w:pStyle w:val="Compact"/>
            </w:pPr>
            <w:r>
              <w:rPr>
                <w:sz w:val="20"/>
                <w:szCs w:val="20"/>
              </w:rPr>
              <w:t xml:space="preserve">Capella</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Capella Space FCC market access SAT-LOA-20210112-00001</w:t>
            </w:r>
          </w:p>
        </w:tc>
      </w:tr>
      <w:tr>
        <w:tc>
          <w:tcPr>
            <w:tcW w:w="0" w:type="auto"/>
          </w:tcPr>
          <w:p>
            <w:pPr>
              <w:spacing w:line="240" w:lineRule="auto" w:before="0" w:after="0"/>
              <w:pStyle w:val="Compact"/>
            </w:pPr>
            <w:r>
              <w:rPr>
                <w:sz w:val="20"/>
                <w:szCs w:val="20"/>
              </w:rPr>
              <w:t xml:space="preserve">58991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Starlink V2-mini active, FCC FCC-22-74 compliance horizon</w:t>
            </w:r>
          </w:p>
        </w:tc>
      </w:tr>
      <w:tr>
        <w:tc>
          <w:tcPr>
            <w:tcW w:w="0" w:type="auto"/>
          </w:tcPr>
          <w:p>
            <w:pPr>
              <w:spacing w:line="240" w:lineRule="auto" w:before="0" w:after="0"/>
              <w:pStyle w:val="Compact"/>
            </w:pPr>
            <w:r>
              <w:rPr>
                <w:sz w:val="20"/>
                <w:szCs w:val="20"/>
              </w:rPr>
              <w:t xml:space="preserve">59412</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Tanager-1 active, https://www.planet.com/pulse/</w:t>
            </w:r>
          </w:p>
        </w:tc>
      </w:tr>
      <w:tr>
        <w:tc>
          <w:tcPr>
            <w:tcW w:w="0" w:type="auto"/>
          </w:tcPr>
          <w:p>
            <w:pPr>
              <w:spacing w:line="240" w:lineRule="auto" w:before="0" w:after="0"/>
              <w:pStyle w:val="Compact"/>
            </w:pPr>
            <w:r>
              <w:rPr>
                <w:sz w:val="20"/>
                <w:szCs w:val="20"/>
              </w:rPr>
              <w:t xml:space="preserve">60103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Starlink V2-mini active, FCC IBFS</w:t>
            </w:r>
          </w:p>
        </w:tc>
      </w:tr>
      <w:tr>
        <w:tc>
          <w:tcPr>
            <w:tcW w:w="0" w:type="auto"/>
          </w:tcPr>
          <w:p>
            <w:pPr>
              <w:spacing w:line="240" w:lineRule="auto" w:before="0" w:after="0"/>
              <w:pStyle w:val="Compact"/>
            </w:pPr>
            <w:r>
              <w:rPr>
                <w:sz w:val="20"/>
                <w:szCs w:val="20"/>
              </w:rPr>
              <w:t xml:space="preserve">60855</w:t>
            </w:r>
          </w:p>
        </w:tc>
        <w:tc>
          <w:tcPr>
            <w:tcW w:w="0" w:type="auto"/>
          </w:tcPr>
          <w:p>
            <w:pPr>
              <w:spacing w:line="240" w:lineRule="auto" w:before="0" w:after="0"/>
              <w:pStyle w:val="Compact"/>
            </w:pPr>
            <w:r>
              <w:rPr>
                <w:sz w:val="20"/>
                <w:szCs w:val="20"/>
              </w:rPr>
              <w:t xml:space="preserve">AST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heavy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AST SpaceMobile FCC IBFS SAT-LOA-20200413-00037</w:t>
            </w:r>
          </w:p>
        </w:tc>
      </w:tr>
      <w:tr>
        <w:tc>
          <w:tcPr>
            <w:tcW w:w="0" w:type="auto"/>
          </w:tcPr>
          <w:p>
            <w:pPr>
              <w:spacing w:line="240" w:lineRule="auto" w:before="0" w:after="0"/>
              <w:pStyle w:val="Compact"/>
            </w:pPr>
            <w:r>
              <w:rPr>
                <w:sz w:val="20"/>
                <w:szCs w:val="20"/>
              </w:rPr>
              <w:t xml:space="preserve">61210</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Starlink V2 active, FCC IBFS [illustrative]</w:t>
            </w:r>
          </w:p>
        </w:tc>
      </w:tr>
      <w:tr>
        <w:tc>
          <w:tcPr>
            <w:tcW w:w="0" w:type="auto"/>
          </w:tcPr>
          <w:p>
            <w:pPr>
              <w:spacing w:line="240" w:lineRule="auto" w:before="0" w:after="0"/>
              <w:pStyle w:val="Compact"/>
            </w:pPr>
            <w:r>
              <w:rPr>
                <w:sz w:val="20"/>
                <w:szCs w:val="20"/>
              </w:rPr>
              <w:t xml:space="preserve">61877</w:t>
            </w:r>
          </w:p>
        </w:tc>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post-rule active cohort [illustrative]</w:t>
            </w:r>
          </w:p>
        </w:tc>
      </w:tr>
      <w:tr>
        <w:tc>
          <w:tcPr>
            <w:tcW w:w="0" w:type="auto"/>
          </w:tcPr>
          <w:p>
            <w:pPr>
              <w:spacing w:line="240" w:lineRule="auto" w:before="0" w:after="0"/>
              <w:pStyle w:val="Compact"/>
            </w:pPr>
            <w:r>
              <w:rPr>
                <w:sz w:val="20"/>
                <w:szCs w:val="20"/>
              </w:rPr>
              <w:t xml:space="preserve">62034</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 Pelican-1 active, https://www.planet.com/pulse/ [illustrative]</w:t>
            </w:r>
          </w:p>
        </w:tc>
      </w:tr>
      <w:tr>
        <w:tc>
          <w:tcPr>
            <w:tcW w:w="0" w:type="auto"/>
          </w:tcPr>
          <w:p>
            <w:pPr>
              <w:spacing w:line="240" w:lineRule="auto" w:before="0" w:after="0"/>
              <w:pStyle w:val="Compact"/>
            </w:pPr>
            <w:r>
              <w:rPr>
                <w:sz w:val="20"/>
                <w:szCs w:val="20"/>
              </w:rPr>
              <w:t xml:space="preserve">62500</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535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Starlink Gen2 active, FCC IBFS [illustrative]</w:t>
            </w:r>
          </w:p>
        </w:tc>
      </w:tr>
    </w:tbl>
    <w:bookmarkEnd w:id="160"/>
    <w:bookmarkStart w:id="16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duration_years</w:t>
            </w:r>
          </w:p>
        </w:tc>
        <w:tc>
          <w:tcPr>
            <w:tcW w:w="0" w:type="auto"/>
          </w:tcPr>
          <w:p>
            <w:pPr>
              <w:spacing w:line="240" w:lineRule="auto" w:before="0" w:after="0"/>
              <w:pStyle w:val="Compact"/>
            </w:pPr>
            <w:r>
              <w:rPr>
                <w:sz w:val="20"/>
                <w:szCs w:val="20"/>
              </w:rPr>
              <w:t xml:space="preserve">Years from launch to observed decay or to analysis cutoff</w:t>
            </w:r>
          </w:p>
        </w:tc>
        <w:tc>
          <w:tcPr>
            <w:tcW w:w="0" w:type="auto"/>
          </w:tcPr>
          <w:p>
            <w:pPr>
              <w:spacing w:line="240" w:lineRule="auto" w:before="0" w:after="0"/>
              <w:pStyle w:val="Compact"/>
            </w:pPr>
            <w:r>
              <w:rPr>
                <w:sz w:val="20"/>
                <w:szCs w:val="20"/>
              </w:rPr>
              <w:t xml:space="preserve">Computed from launch year and decay year reported in source</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payload decayed in study window, 0 if right-censored as still on-orbit</w:t>
            </w:r>
          </w:p>
        </w:tc>
        <w:tc>
          <w:tcPr>
            <w:tcW w:w="0" w:type="auto"/>
          </w:tcPr>
          <w:p>
            <w:pPr>
              <w:spacing w:line="240" w:lineRule="auto" w:before="0" w:after="0"/>
              <w:pStyle w:val="Compact"/>
            </w:pPr>
            <w:r>
              <w:rPr>
                <w:sz w:val="20"/>
                <w:szCs w:val="20"/>
              </w:rPr>
              <w:t xml:space="preserve">Operator reports and ESA Annual Space Environment Report 2024</w:t>
            </w:r>
          </w:p>
        </w:tc>
      </w:tr>
      <w:tr>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1 if licensed or market-accessed after FCC 22-74 effective date (Sept 2022), 0 otherwise</w:t>
            </w:r>
          </w:p>
        </w:tc>
        <w:tc>
          <w:tcPr>
            <w:tcW w:w="0" w:type="auto"/>
          </w:tcPr>
          <w:p>
            <w:pPr>
              <w:spacing w:line="240" w:lineRule="auto" w:before="0" w:after="0"/>
              <w:pStyle w:val="Compact"/>
            </w:pPr>
            <w:r>
              <w:rPr>
                <w:sz w:val="20"/>
                <w:szCs w:val="20"/>
              </w:rPr>
              <w:t xml:space="preserve">FCC IBFS public grants; FCC 22-74 https://docs.fcc.gov/public/attachments/FCC-22-74A1.pdf</w:t>
            </w:r>
          </w:p>
        </w:tc>
      </w:tr>
      <w:t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Initial operating altitude in kilometers</w:t>
            </w:r>
          </w:p>
        </w:tc>
        <w:tc>
          <w:tcPr>
            <w:tcW w:w="0" w:type="auto"/>
          </w:tcPr>
          <w:p>
            <w:pPr>
              <w:spacing w:line="240" w:lineRule="auto" w:before="0" w:after="0"/>
              <w:pStyle w:val="Compact"/>
            </w:pPr>
            <w:r>
              <w:rPr>
                <w:sz w:val="20"/>
                <w:szCs w:val="20"/>
              </w:rPr>
              <w:t xml:space="preserve">Operator press kits and Planet 4589 General Catalog</w:t>
            </w:r>
          </w:p>
        </w:tc>
      </w:tr>
      <w:tr>
        <w:tc>
          <w:tcPr>
            <w:tcW w:w="0" w:type="auto"/>
          </w:tcPr>
          <w:p>
            <w:pPr>
              <w:spacing w:line="240" w:lineRule="auto" w:before="0" w:after="0"/>
              <w:pStyle w:val="Compact"/>
            </w:pPr>
            <w:r>
              <w:rPr>
                <w:sz w:val="20"/>
                <w:szCs w:val="20"/>
              </w:rPr>
              <w:t xml:space="preserve">mass_class</w:t>
            </w:r>
          </w:p>
        </w:tc>
        <w:tc>
          <w:tcPr>
            <w:tcW w:w="0" w:type="auto"/>
          </w:tcPr>
          <w:p>
            <w:pPr>
              <w:spacing w:line="240" w:lineRule="auto" w:before="0" w:after="0"/>
              <w:pStyle w:val="Compact"/>
            </w:pPr>
            <w:r>
              <w:rPr>
                <w:sz w:val="20"/>
                <w:szCs w:val="20"/>
              </w:rPr>
              <w:t xml:space="preserve">Categorical small (under 200 kg), medium (200 to 1000 kg), heavy (over 1000 kg)</w:t>
            </w:r>
          </w:p>
        </w:tc>
        <w:tc>
          <w:tcPr>
            <w:tcW w:w="0" w:type="auto"/>
          </w:tcPr>
          <w:p>
            <w:pPr>
              <w:spacing w:line="240" w:lineRule="auto" w:before="0" w:after="0"/>
              <w:pStyle w:val="Compact"/>
            </w:pPr>
            <w:r>
              <w:rPr>
                <w:sz w:val="20"/>
                <w:szCs w:val="20"/>
              </w:rPr>
              <w:t xml:space="preserve">Operator press kits</w:t>
            </w:r>
          </w:p>
        </w:tc>
      </w:tr>
    </w:tbl>
    <w:bookmarkEnd w:id="161"/>
    <w:bookmarkEnd w:id="162"/>
    <w:bookmarkStart w:id="170" w:name="X8e0ede4b9a278f133aca31f173a10b34371b387"/>
    <w:p>
      <w:pPr>
        <w:pStyle w:val="Heading2"/>
        <w:spacing w:line="480" w:lineRule="auto"/>
      </w:pPr>
      <w:r>
        <w:t xml:space="preserve">A.2 Operator Post-Mission Disposal Compliance After the FCC Five-Year Rule: A Panel OLS Analysis of LEO Operators 2019-2024</w:t>
      </w:r>
    </w:p>
    <w:p>
      <w:pPr>
        <w:pStyle w:val="FirstParagraph"/>
        <w:spacing w:line="480" w:lineRule="auto"/>
      </w:pPr>
      <m:oMathPara>
        <m:oMathParaPr>
          <m:jc m:val="center"/>
        </m:oMathParaPr>
        <m:oMath>
          <m:sSub>
            <m:e>
              <m:r>
                <m:t>y</m:t>
              </m:r>
            </m:e>
            <m:sub>
              <m:r>
                <m:t>i</m:t>
              </m:r>
              <m:r>
                <m:t>t</m:t>
              </m:r>
            </m:sub>
          </m:sSub>
          <m:r>
            <m:rPr>
              <m:sty m:val="p"/>
            </m:rPr>
            <m:t>=</m:t>
          </m:r>
          <m:sSub>
            <m:e>
              <m:r>
                <m:t>β</m:t>
              </m:r>
            </m:e>
            <m:sub>
              <m:r>
                <m:t>0</m:t>
              </m:r>
            </m:sub>
          </m:sSub>
          <m:r>
            <m:rPr>
              <m:sty m:val="p"/>
            </m:rPr>
            <m:t>+</m:t>
          </m:r>
          <m:sSub>
            <m:e>
              <m:r>
                <m:t>β</m:t>
              </m:r>
            </m:e>
            <m:sub>
              <m:r>
                <m:t>1</m:t>
              </m:r>
            </m:sub>
          </m:sSub>
          <m:r>
            <m:rPr>
              <m:sty m:val="p"/>
            </m:rPr>
            <m:t>⋅</m:t>
          </m:r>
          <m:sSub>
            <m:e>
              <m:r>
                <m:rPr>
                  <m:sty m:val="p"/>
                </m:rPr>
                <m:t>t</m:t>
              </m:r>
              <m:r>
                <m:rPr>
                  <m:sty m:val="p"/>
                </m:rPr>
                <m:t>r</m:t>
              </m:r>
              <m:r>
                <m:rPr>
                  <m:sty m:val="p"/>
                </m:rPr>
                <m:t>e</m:t>
              </m:r>
              <m:r>
                <m:rPr>
                  <m:sty m:val="p"/>
                </m:rPr>
                <m:t>a</m:t>
              </m:r>
              <m:r>
                <m:rPr>
                  <m:sty m:val="p"/>
                </m:rPr>
                <m:t>t</m:t>
              </m:r>
              <m:r>
                <m:rPr>
                  <m:sty m:val="p"/>
                </m:rPr>
                <m:t>e</m:t>
              </m:r>
              <m:r>
                <m:rPr>
                  <m:sty m:val="p"/>
                </m:rPr>
                <m:t>d</m:t>
              </m:r>
            </m:e>
            <m:sub>
              <m:r>
                <m:t>i</m:t>
              </m:r>
              <m:r>
                <m:t>t</m:t>
              </m:r>
            </m:sub>
          </m:sSub>
          <m:r>
            <m:rPr>
              <m:sty m:val="p"/>
            </m:rPr>
            <m:t>+</m:t>
          </m:r>
          <m:sSub>
            <m:e>
              <m:r>
                <m:t>β</m:t>
              </m:r>
            </m:e>
            <m:sub>
              <m:r>
                <m:t>2</m:t>
              </m:r>
            </m:sub>
          </m:sSub>
          <m:r>
            <m:rPr>
              <m:sty m:val="p"/>
            </m:rPr>
            <m:t>⋅</m:t>
          </m:r>
          <m:sSub>
            <m:e>
              <m:r>
                <m:rPr>
                  <m:sty m:val="p"/>
                </m:rPr>
                <m:t>f</m:t>
              </m:r>
              <m:r>
                <m:rPr>
                  <m:sty m:val="p"/>
                </m:rPr>
                <m:t>l</m:t>
              </m:r>
              <m:r>
                <m:rPr>
                  <m:sty m:val="p"/>
                </m:rPr>
                <m:t>e</m:t>
              </m:r>
              <m:r>
                <m:rPr>
                  <m:sty m:val="p"/>
                </m:rPr>
                <m:t>e</m:t>
              </m:r>
              <m:r>
                <m:rPr>
                  <m:sty m:val="p"/>
                </m:rPr>
                <m:t>t</m:t>
              </m:r>
            </m:e>
            <m:sub>
              <m:r>
                <m:t>i</m:t>
              </m:r>
              <m:r>
                <m:t>t</m:t>
              </m:r>
            </m:sub>
          </m:sSub>
          <m:r>
            <m:rPr>
              <m:sty m:val="p"/>
            </m:rPr>
            <m:t>+</m:t>
          </m:r>
          <m:sSub>
            <m:e>
              <m:r>
                <m:t>β</m:t>
              </m:r>
            </m:e>
            <m:sub>
              <m:r>
                <m:t>3</m:t>
              </m:r>
            </m:sub>
          </m:sSub>
          <m:r>
            <m:rPr>
              <m:sty m:val="p"/>
            </m:rPr>
            <m:t>⋅</m:t>
          </m:r>
          <m:sSub>
            <m:e>
              <m:r>
                <m:rPr>
                  <m:sty m:val="p"/>
                </m:rPr>
                <m:t>a</m:t>
              </m:r>
              <m:r>
                <m:rPr>
                  <m:sty m:val="p"/>
                </m:rPr>
                <m:t>l</m:t>
              </m:r>
              <m:r>
                <m:rPr>
                  <m:sty m:val="p"/>
                </m:rPr>
                <m:t>t</m:t>
              </m:r>
              <m:r>
                <m:rPr>
                  <m:sty m:val="p"/>
                </m:rPr>
                <m:t>i</m:t>
              </m:r>
              <m:r>
                <m:rPr>
                  <m:sty m:val="p"/>
                </m:rPr>
                <m:t>t</m:t>
              </m:r>
              <m:r>
                <m:rPr>
                  <m:sty m:val="p"/>
                </m:rPr>
                <m:t>u</m:t>
              </m:r>
              <m:r>
                <m:rPr>
                  <m:sty m:val="p"/>
                </m:rPr>
                <m:t>d</m:t>
              </m:r>
              <m:r>
                <m:rPr>
                  <m:sty m:val="p"/>
                </m:rPr>
                <m:t>e</m:t>
              </m:r>
            </m:e>
            <m:sub>
              <m:r>
                <m:t>i</m:t>
              </m:r>
            </m:sub>
          </m:sSub>
          <m:r>
            <m:rPr>
              <m:sty m:val="p"/>
            </m:rPr>
            <m:t>+</m:t>
          </m:r>
          <m:sSub>
            <m:e>
              <m:r>
                <m:t>β</m:t>
              </m:r>
            </m:e>
            <m:sub>
              <m:r>
                <m:t>4</m:t>
              </m:r>
            </m:sub>
          </m:sSub>
          <m:r>
            <m:rPr>
              <m:sty m:val="p"/>
            </m:rPr>
            <m:t>⋅</m:t>
          </m:r>
          <m:sSub>
            <m:e>
              <m:r>
                <m:rPr>
                  <m:sty m:val="p"/>
                </m:rPr>
                <m:t>c</m:t>
              </m:r>
              <m:r>
                <m:rPr>
                  <m:sty m:val="p"/>
                </m:rPr>
                <m:t>o</m:t>
              </m:r>
              <m:r>
                <m:rPr>
                  <m:sty m:val="p"/>
                </m:rPr>
                <m:t>n</m:t>
              </m:r>
              <m:r>
                <m:rPr>
                  <m:sty m:val="p"/>
                </m:rPr>
                <m:t>s</m:t>
              </m:r>
              <m:r>
                <m:rPr>
                  <m:sty m:val="p"/>
                </m:rPr>
                <m:t>t</m:t>
              </m:r>
              <m:r>
                <m:rPr>
                  <m:sty m:val="p"/>
                </m:rPr>
                <m:t>e</m:t>
              </m:r>
              <m:r>
                <m:rPr>
                  <m:sty m:val="p"/>
                </m:rPr>
                <m:t>l</m:t>
              </m:r>
              <m:r>
                <m:rPr>
                  <m:sty m:val="p"/>
                </m:rPr>
                <m:t>l</m:t>
              </m:r>
              <m:r>
                <m:rPr>
                  <m:sty m:val="p"/>
                </m:rPr>
                <m:t>a</m:t>
              </m:r>
              <m:r>
                <m:rPr>
                  <m:sty m:val="p"/>
                </m:rPr>
                <m:t>t</m:t>
              </m:r>
              <m:r>
                <m:rPr>
                  <m:sty m:val="p"/>
                </m:rPr>
                <m:t>i</m:t>
              </m:r>
              <m:r>
                <m:rPr>
                  <m:sty m:val="p"/>
                </m:rPr>
                <m:t>o</m:t>
              </m:r>
              <m:r>
                <m:rPr>
                  <m:sty m:val="p"/>
                </m:rPr>
                <m:t>n</m:t>
              </m:r>
            </m:e>
            <m:sub>
              <m:r>
                <m:t>i</m:t>
              </m:r>
            </m:sub>
          </m:sSub>
          <m:r>
            <m:rPr>
              <m:sty m:val="p"/>
            </m:rPr>
            <m:t>+</m:t>
          </m:r>
          <m:sSub>
            <m:e>
              <m:r>
                <m:t>ε</m:t>
              </m:r>
            </m:e>
            <m:sub>
              <m:r>
                <m:t>i</m:t>
              </m:r>
              <m:r>
                <m:t>t</m:t>
              </m:r>
            </m:sub>
          </m:sSub>
        </m:oMath>
      </m:oMathPara>
    </w:p>
    <w:bookmarkStart w:id="16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0.5761</w:t>
            </w:r>
          </w:p>
        </w:tc>
        <w:tc>
          <w:tcPr>
            <w:tcW w:w="0" w:type="auto"/>
          </w:tcPr>
          <w:p>
            <w:pPr>
              <w:spacing w:line="240" w:lineRule="auto" w:before="0" w:after="0"/>
              <w:pStyle w:val="Compact"/>
            </w:pPr>
            <w:r>
              <w:rPr>
                <w:sz w:val="20"/>
                <w:szCs w:val="20"/>
              </w:rPr>
              <w:t xml:space="preserve">0.0498</w:t>
            </w:r>
          </w:p>
        </w:tc>
        <w:tc>
          <w:tcPr>
            <w:tcW w:w="0" w:type="auto"/>
          </w:tcPr>
          <w:p>
            <w:pPr>
              <w:spacing w:line="240" w:lineRule="auto" w:before="0" w:after="0"/>
              <w:pStyle w:val="Compact"/>
            </w:pPr>
            <w:r>
              <w:rPr>
                <w:sz w:val="20"/>
                <w:szCs w:val="20"/>
              </w:rPr>
              <w:t xml:space="preserve">11.5619</w:t>
            </w:r>
          </w:p>
        </w:tc>
        <w:tc>
          <w:tcPr>
            <w:tcW w:w="0" w:type="auto"/>
          </w:tcPr>
          <w:p>
            <w:pPr>
              <w:spacing w:line="240" w:lineRule="auto" w:before="0" w:after="0"/>
              <w:pStyle w:val="Compact"/>
            </w:pPr>
            <w:r>
              <w:rPr>
                <w:sz w:val="20"/>
                <w:szCs w:val="20"/>
              </w:rPr>
              <w:t xml:space="preserve">6.43e-31</w:t>
            </w:r>
          </w:p>
        </w:tc>
        <w:tc>
          <w:tcPr>
            <w:tcW w:w="0" w:type="auto"/>
          </w:tcPr>
          <w:p>
            <w:pPr>
              <w:spacing w:line="240" w:lineRule="auto" w:before="0" w:after="0"/>
              <w:pStyle w:val="Compact"/>
            </w:pPr>
            <w:r>
              <w:rPr>
                <w:sz w:val="20"/>
                <w:szCs w:val="20"/>
              </w:rPr>
              <w:t xml:space="preserve">[0.4785, 0.6738]</w:t>
            </w:r>
          </w:p>
        </w:tc>
      </w:tr>
      <w:tr>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0.0164</w:t>
            </w:r>
          </w:p>
        </w:tc>
        <w:tc>
          <w:tcPr>
            <w:tcW w:w="0" w:type="auto"/>
          </w:tcPr>
          <w:p>
            <w:pPr>
              <w:spacing w:line="240" w:lineRule="auto" w:before="0" w:after="0"/>
              <w:pStyle w:val="Compact"/>
            </w:pPr>
            <w:r>
              <w:rPr>
                <w:sz w:val="20"/>
                <w:szCs w:val="20"/>
              </w:rPr>
              <w:t xml:space="preserve">3.9188</w:t>
            </w:r>
          </w:p>
        </w:tc>
        <w:tc>
          <w:tcPr>
            <w:tcW w:w="0" w:type="auto"/>
          </w:tcPr>
          <w:p>
            <w:pPr>
              <w:spacing w:line="240" w:lineRule="auto" w:before="0" w:after="0"/>
              <w:pStyle w:val="Compact"/>
            </w:pPr>
            <w:r>
              <w:rPr>
                <w:sz w:val="20"/>
                <w:szCs w:val="20"/>
              </w:rPr>
              <w:t xml:space="preserve">8.899e-05</w:t>
            </w:r>
          </w:p>
        </w:tc>
        <w:tc>
          <w:tcPr>
            <w:tcW w:w="0" w:type="auto"/>
          </w:tcPr>
          <w:p>
            <w:pPr>
              <w:spacing w:line="240" w:lineRule="auto" w:before="0" w:after="0"/>
              <w:pStyle w:val="Compact"/>
            </w:pPr>
            <w:r>
              <w:rPr>
                <w:sz w:val="20"/>
                <w:szCs w:val="20"/>
              </w:rPr>
              <w:t xml:space="preserve">[0.0322, 0.0966]</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0.051</w:t>
            </w:r>
          </w:p>
        </w:tc>
        <w:tc>
          <w:tcPr>
            <w:tcW w:w="0" w:type="auto"/>
          </w:tcPr>
          <w:p>
            <w:pPr>
              <w:spacing w:line="240" w:lineRule="auto" w:before="0" w:after="0"/>
              <w:pStyle w:val="Compact"/>
            </w:pPr>
            <w:r>
              <w:rPr>
                <w:sz w:val="20"/>
                <w:szCs w:val="20"/>
              </w:rPr>
              <w:t xml:space="preserve">0.0114</w:t>
            </w:r>
          </w:p>
        </w:tc>
        <w:tc>
          <w:tcPr>
            <w:tcW w:w="0" w:type="auto"/>
          </w:tcPr>
          <w:p>
            <w:pPr>
              <w:spacing w:line="240" w:lineRule="auto" w:before="0" w:after="0"/>
              <w:pStyle w:val="Compact"/>
            </w:pPr>
            <w:r>
              <w:rPr>
                <w:sz w:val="20"/>
                <w:szCs w:val="20"/>
              </w:rPr>
              <w:t xml:space="preserve">4.4771</w:t>
            </w:r>
          </w:p>
        </w:tc>
        <w:tc>
          <w:tcPr>
            <w:tcW w:w="0" w:type="auto"/>
          </w:tcPr>
          <w:p>
            <w:pPr>
              <w:spacing w:line="240" w:lineRule="auto" w:before="0" w:after="0"/>
              <w:pStyle w:val="Compact"/>
            </w:pPr>
            <w:r>
              <w:rPr>
                <w:sz w:val="20"/>
                <w:szCs w:val="20"/>
              </w:rPr>
              <w:t xml:space="preserve">7.565e-06</w:t>
            </w:r>
          </w:p>
        </w:tc>
        <w:tc>
          <w:tcPr>
            <w:tcW w:w="0" w:type="auto"/>
          </w:tcPr>
          <w:p>
            <w:pPr>
              <w:spacing w:line="240" w:lineRule="auto" w:before="0" w:after="0"/>
              <w:pStyle w:val="Compact"/>
            </w:pPr>
            <w:r>
              <w:rPr>
                <w:sz w:val="20"/>
                <w:szCs w:val="20"/>
              </w:rPr>
              <w:t xml:space="preserve">[0.0287, 0.0734]</w:t>
            </w:r>
          </w:p>
        </w:tc>
      </w:tr>
      <w:tr>
        <w:tc>
          <w:tcPr>
            <w:tcW w:w="0" w:type="auto"/>
          </w:tcPr>
          <w:p>
            <w:pPr>
              <w:spacing w:line="240" w:lineRule="auto" w:before="0" w:after="0"/>
              <w:pStyle w:val="Compact"/>
            </w:pPr>
            <w:r>
              <w:rPr>
                <w:sz w:val="20"/>
                <w:szCs w:val="20"/>
              </w:rPr>
              <w:t xml:space="preserve">mean_altitude_km</w:t>
            </w:r>
          </w:p>
        </w:tc>
        <w:tc>
          <w:tcPr>
            <w:tcW w:w="0" w:type="auto"/>
          </w:tcPr>
          <w:p>
            <w:pPr>
              <w:spacing w:line="240" w:lineRule="auto" w:before="0" w:after="0"/>
              <w:pStyle w:val="Compact"/>
            </w:pPr>
            <w:r>
              <w:rPr>
                <w:sz w:val="20"/>
                <w:szCs w:val="20"/>
              </w:rPr>
              <w:t xml:space="preserve">-0.0001477</w:t>
            </w:r>
          </w:p>
        </w:tc>
        <w:tc>
          <w:tcPr>
            <w:tcW w:w="0" w:type="auto"/>
          </w:tcPr>
          <w:p>
            <w:pPr>
              <w:spacing w:line="240" w:lineRule="auto" w:before="0" w:after="0"/>
              <w:pStyle w:val="Compact"/>
            </w:pPr>
            <w:r>
              <w:rPr>
                <w:sz w:val="20"/>
                <w:szCs w:val="20"/>
              </w:rPr>
              <w:t xml:space="preserve">4.612e-05</w:t>
            </w:r>
          </w:p>
        </w:tc>
        <w:tc>
          <w:tcPr>
            <w:tcW w:w="0" w:type="auto"/>
          </w:tcPr>
          <w:p>
            <w:pPr>
              <w:spacing w:line="240" w:lineRule="auto" w:before="0" w:after="0"/>
              <w:pStyle w:val="Compact"/>
            </w:pPr>
            <w:r>
              <w:rPr>
                <w:sz w:val="20"/>
                <w:szCs w:val="20"/>
              </w:rPr>
              <w:t xml:space="preserve">-3.2033</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[-0.0002381, -5.734e-05]</w:t>
            </w:r>
          </w:p>
        </w:tc>
      </w:tr>
      <w:tr>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0.0487</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1.0895</w:t>
            </w:r>
          </w:p>
        </w:tc>
        <w:tc>
          <w:tcPr>
            <w:tcW w:w="0" w:type="auto"/>
          </w:tcPr>
          <w:p>
            <w:pPr>
              <w:spacing w:line="240" w:lineRule="auto" w:before="0" w:after="0"/>
              <w:pStyle w:val="Compact"/>
            </w:pPr>
            <w:r>
              <w:rPr>
                <w:sz w:val="20"/>
                <w:szCs w:val="20"/>
              </w:rPr>
              <w:t xml:space="preserve">0.2759</w:t>
            </w:r>
          </w:p>
        </w:tc>
        <w:tc>
          <w:tcPr>
            <w:tcW w:w="0" w:type="auto"/>
          </w:tcPr>
          <w:p>
            <w:pPr>
              <w:spacing w:line="240" w:lineRule="auto" w:before="0" w:after="0"/>
              <w:pStyle w:val="Compact"/>
            </w:pPr>
            <w:r>
              <w:rPr>
                <w:sz w:val="20"/>
                <w:szCs w:val="20"/>
              </w:rPr>
              <w:t xml:space="preserve">[-0.0389, 0.1363]</w:t>
            </w:r>
          </w:p>
        </w:tc>
      </w:tr>
    </w:tbl>
    <w:p>
      <w:pPr>
        <w:pStyle w:val="BodyText"/>
        <w:spacing w:line="480" w:lineRule="auto"/>
        <w:ind w:firstLine="720"/>
      </w:pPr>
      <w:r>
        <w:t xml:space="preserve">Fit: N = 37 R2 = 0.7349 R2_adj = 0.7018 F = 25.6092 F_p = 1.401e-09</w:t>
      </w:r>
    </w:p>
    <w:bookmarkEnd w:id="163"/>
    <w:bookmarkStart w:id="16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Annual post-mission disposal compliance rate versus log fleet size across LEO operators, 2019-2024." title="" id="165" name="Picture"/>
            <a:graphic>
              <a:graphicData uri="http://schemas.openxmlformats.org/drawingml/2006/picture">
                <pic:pic>
                  <pic:nvPicPr>
                    <pic:cNvPr descr="D:/Claude_Code/brain/collegium/candidates/dissertations/LAUNCH_REG_03/research_papers/p2/paper_fig1.png" id="166" name="Picture"/>
                    <pic:cNvPicPr>
                      <a:picLocks noChangeArrowheads="1" noChangeAspect="1"/>
                    </pic:cNvPicPr>
                  </pic:nvPicPr>
                  <pic:blipFill>
                    <a:blip r:embed="rId16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Annual post-mission disposal compliance rate versus log fleet size across LEO operators, 2019-2024.</w:t>
      </w:r>
    </w:p>
    <w:bookmarkEnd w:id="167"/>
    <w:bookmarkStart w:id="16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pmd_compliance_rate</w:t>
            </w:r>
          </w:p>
        </w:tc>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mean_altitude_km</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 https://www.esa.int/Space_Safety/Space_Debris/ESA_s_Space_Environment_Report_2024</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7.34</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 FCC 22-74 effective Sept 2022</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8.39</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 https://www.planet.com/pulse/sustainability/</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5.52</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 [illustrative]</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 [illustrative]</w:t>
            </w:r>
          </w:p>
        </w:tc>
      </w:tr>
      <w:tr>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Global press kit https://spire.com/newsroom/; ESA SDM Report 2024</w:t>
            </w:r>
          </w:p>
        </w:tc>
      </w:tr>
      <w:tr>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Global press kit; ESA SDM Report 2024</w:t>
            </w:r>
          </w:p>
        </w:tc>
      </w:tr>
      <w:tr>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4.09</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Global press kit; ESA SDM Report 2024</w:t>
            </w:r>
          </w:p>
        </w:tc>
      </w:tr>
      <w:tr>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Global press kit; ESA SDM Report 2024</w:t>
            </w:r>
          </w:p>
        </w:tc>
      </w:tr>
      <w:tr>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Global press kit [illustrative]</w:t>
            </w:r>
          </w:p>
        </w:tc>
      </w:tr>
      <w:tr>
        <w:tc>
          <w:tcPr>
            <w:tcW w:w="0" w:type="auto"/>
          </w:tcPr>
          <w:p>
            <w:pPr>
              <w:spacing w:line="240" w:lineRule="auto" w:before="0" w:after="0"/>
              <w:pStyle w:val="Compact"/>
            </w:pPr>
            <w:r>
              <w:rPr>
                <w:sz w:val="20"/>
                <w:szCs w:val="20"/>
              </w:rPr>
              <w:t xml:space="preserve">Capella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Space press kit; FCC IBFS grants</w:t>
            </w:r>
          </w:p>
        </w:tc>
      </w:tr>
      <w:tr>
        <w:tc>
          <w:tcPr>
            <w:tcW w:w="0" w:type="auto"/>
          </w:tcPr>
          <w:p>
            <w:pPr>
              <w:spacing w:line="240" w:lineRule="auto" w:before="0" w:after="0"/>
              <w:pStyle w:val="Compact"/>
            </w:pPr>
            <w:r>
              <w:rPr>
                <w:sz w:val="20"/>
                <w:szCs w:val="20"/>
              </w:rPr>
              <w:t xml:space="preserve">Capella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Space press kit; FCC IBFS grants</w:t>
            </w:r>
          </w:p>
        </w:tc>
      </w:tr>
      <w:tr>
        <w:tc>
          <w:tcPr>
            <w:tcW w:w="0" w:type="auto"/>
          </w:tcPr>
          <w:p>
            <w:pPr>
              <w:spacing w:line="240" w:lineRule="auto" w:before="0" w:after="0"/>
              <w:pStyle w:val="Compact"/>
            </w:pPr>
            <w:r>
              <w:rPr>
                <w:sz w:val="20"/>
                <w:szCs w:val="20"/>
              </w:rPr>
              <w:t xml:space="preserve">Capella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Space press kit; FCC IBFS grants</w:t>
            </w:r>
          </w:p>
        </w:tc>
      </w:tr>
      <w:tr>
        <w:tc>
          <w:tcPr>
            <w:tcW w:w="0" w:type="auto"/>
          </w:tcPr>
          <w:p>
            <w:pPr>
              <w:spacing w:line="240" w:lineRule="auto" w:before="0" w:after="0"/>
              <w:pStyle w:val="Compact"/>
            </w:pPr>
            <w:r>
              <w:rPr>
                <w:sz w:val="20"/>
                <w:szCs w:val="20"/>
              </w:rPr>
              <w:t xml:space="preserve">Capella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Space press kit [illustrative]</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press kit https://www.blacksky.com/newsroom/</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press kit</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press kit</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2.71</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press kit [illustrative]</w:t>
            </w:r>
          </w:p>
        </w:tc>
      </w:tr>
    </w:tbl>
    <w:bookmarkEnd w:id="168"/>
    <w:bookmarkStart w:id="169"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pmd_compliance_rate</w:t>
            </w:r>
          </w:p>
        </w:tc>
        <w:tc>
          <w:tcPr>
            <w:tcW w:w="0" w:type="auto"/>
          </w:tcPr>
          <w:p>
            <w:pPr>
              <w:spacing w:line="240" w:lineRule="auto" w:before="0" w:after="0"/>
              <w:pStyle w:val="Compact"/>
            </w:pPr>
            <w:r>
              <w:rPr>
                <w:sz w:val="20"/>
                <w:szCs w:val="20"/>
              </w:rPr>
              <w:t xml:space="preserve">Annual share of decommissioned payloads in the operator fleet that re-enter within the targeted disposal window</w:t>
            </w:r>
          </w:p>
        </w:tc>
        <w:tc>
          <w:tcPr>
            <w:tcW w:w="0" w:type="auto"/>
          </w:tcPr>
          <w:p>
            <w:pPr>
              <w:spacing w:line="240" w:lineRule="auto" w:before="0" w:after="0"/>
              <w:pStyle w:val="Compact"/>
            </w:pPr>
            <w:r>
              <w:rPr>
                <w:sz w:val="20"/>
                <w:szCs w:val="20"/>
              </w:rPr>
              <w:t xml:space="preserve">ESA Annual Space Environment Report 2024; operator sustainability disclosures</w:t>
            </w:r>
          </w:p>
        </w:tc>
      </w:tr>
      <w:tr>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Indicator equal to 1 for operator-years from 2023 onward, following the September 2022 effective date of FCC 22-74</w:t>
            </w:r>
          </w:p>
        </w:tc>
        <w:tc>
          <w:tcPr>
            <w:tcW w:w="0" w:type="auto"/>
          </w:tcPr>
          <w:p>
            <w:pPr>
              <w:spacing w:line="240" w:lineRule="auto" w:before="0" w:after="0"/>
              <w:pStyle w:val="Compact"/>
            </w:pPr>
            <w:r>
              <w:rPr>
                <w:sz w:val="20"/>
                <w:szCs w:val="20"/>
              </w:rPr>
              <w:t xml:space="preserve">FCC 22-74 https://docs.fcc.gov/public/attachments/FCC-22-74A1.pdf</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Natural log of the number of operator payloads on orbit at year end</w:t>
            </w:r>
          </w:p>
        </w:tc>
        <w:tc>
          <w:tcPr>
            <w:tcW w:w="0" w:type="auto"/>
          </w:tcPr>
          <w:p>
            <w:pPr>
              <w:spacing w:line="240" w:lineRule="auto" w:before="0" w:after="0"/>
              <w:pStyle w:val="Compact"/>
            </w:pPr>
            <w:r>
              <w:rPr>
                <w:sz w:val="20"/>
                <w:szCs w:val="20"/>
              </w:rPr>
              <w:t xml:space="preserve">Operator press kits and Planet 4589 General Catalog of Artificial Space Objects</w:t>
            </w:r>
          </w:p>
        </w:tc>
      </w:tr>
      <w:tr>
        <w:tc>
          <w:tcPr>
            <w:tcW w:w="0" w:type="auto"/>
          </w:tcPr>
          <w:p>
            <w:pPr>
              <w:spacing w:line="240" w:lineRule="auto" w:before="0" w:after="0"/>
              <w:pStyle w:val="Compact"/>
            </w:pPr>
            <w:r>
              <w:rPr>
                <w:sz w:val="20"/>
                <w:szCs w:val="20"/>
              </w:rPr>
              <w:t xml:space="preserve">mean_altitude_km</w:t>
            </w:r>
          </w:p>
        </w:tc>
        <w:tc>
          <w:tcPr>
            <w:tcW w:w="0" w:type="auto"/>
          </w:tcPr>
          <w:p>
            <w:pPr>
              <w:spacing w:line="240" w:lineRule="auto" w:before="0" w:after="0"/>
              <w:pStyle w:val="Compact"/>
            </w:pPr>
            <w:r>
              <w:rPr>
                <w:sz w:val="20"/>
                <w:szCs w:val="20"/>
              </w:rPr>
              <w:t xml:space="preserve">Mean operating altitude of the operator constellation, in kilometers</w:t>
            </w:r>
          </w:p>
        </w:tc>
        <w:tc>
          <w:tcPr>
            <w:tcW w:w="0" w:type="auto"/>
          </w:tcPr>
          <w:p>
            <w:pPr>
              <w:spacing w:line="240" w:lineRule="auto" w:before="0" w:after="0"/>
              <w:pStyle w:val="Compact"/>
            </w:pPr>
            <w:r>
              <w:rPr>
                <w:sz w:val="20"/>
                <w:szCs w:val="20"/>
              </w:rPr>
              <w:t xml:space="preserve">Operator press kits; ESA Space Environment Report 2024</w:t>
            </w:r>
          </w:p>
        </w:tc>
      </w:tr>
      <w:tr>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Indicator equal to 1 if the operator runs a large constellation of more than 100 payloads, 0 otherwise</w:t>
            </w:r>
          </w:p>
        </w:tc>
        <w:tc>
          <w:tcPr>
            <w:tcW w:w="0" w:type="auto"/>
          </w:tcPr>
          <w:p>
            <w:pPr>
              <w:spacing w:line="240" w:lineRule="auto" w:before="0" w:after="0"/>
              <w:pStyle w:val="Compact"/>
            </w:pPr>
            <w:r>
              <w:rPr>
                <w:sz w:val="20"/>
                <w:szCs w:val="20"/>
              </w:rPr>
              <w:t xml:space="preserve">Operator press kits</w:t>
            </w:r>
          </w:p>
        </w:tc>
      </w:tr>
    </w:tbl>
    <w:bookmarkEnd w:id="169"/>
    <w:bookmarkEnd w:id="170"/>
    <w:bookmarkEnd w:id="17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56" Type="http://schemas.openxmlformats.org/officeDocument/2006/relationships/image" Target="media/rId156.png"/><Relationship Id="rId164" Type="http://schemas.openxmlformats.org/officeDocument/2006/relationships/image" Target="media/rId164.png"/><Relationship Id="rId148" Type="http://schemas.openxmlformats.org/officeDocument/2006/relationships/hyperlink" Target="https://doi.org/10.1016/j.actaastro.2019.09.010" TargetMode="External"/><Relationship Id="rId139" Type="http://schemas.openxmlformats.org/officeDocument/2006/relationships/hyperlink" Target="https://doi.org/10.1016/j.actaastro.2024.04.032" TargetMode="External"/><Relationship Id="rId144" Type="http://schemas.openxmlformats.org/officeDocument/2006/relationships/hyperlink" Target="https://doi.org/10.1016/j.actaastro.2024.06.013" TargetMode="External"/><Relationship Id="rId152" Type="http://schemas.openxmlformats.org/officeDocument/2006/relationships/hyperlink" Target="https://doi.org/10.1016/j.actaastro.2024.09.002" TargetMode="External"/><Relationship Id="rId150" Type="http://schemas.openxmlformats.org/officeDocument/2006/relationships/hyperlink" Target="https://doi.org/10.1016/j.actaastro.2024.09.046" TargetMode="External"/><Relationship Id="rId146" Type="http://schemas.openxmlformats.org/officeDocument/2006/relationships/hyperlink" Target="https://doi.org/10.1016/j.actaastro.2024.11.050" TargetMode="External"/><Relationship Id="rId117" Type="http://schemas.openxmlformats.org/officeDocument/2006/relationships/hyperlink" Target="https://doi.org/10.1016/j.actaastro.2025.01.069" TargetMode="External"/><Relationship Id="rId141" Type="http://schemas.openxmlformats.org/officeDocument/2006/relationships/hyperlink" Target="https://doi.org/10.1016/j.actaastro.2025.05.018" TargetMode="External"/><Relationship Id="rId119" Type="http://schemas.openxmlformats.org/officeDocument/2006/relationships/hyperlink" Target="https://doi.org/10.1016/j.actaastro.2026.01.042" TargetMode="External"/><Relationship Id="rId115" Type="http://schemas.openxmlformats.org/officeDocument/2006/relationships/hyperlink" Target="https://doi.org/10.1073/pnas.2221343120" TargetMode="External"/><Relationship Id="rId130" Type="http://schemas.openxmlformats.org/officeDocument/2006/relationships/hyperlink" Target="https://doi.org/10.64861/COAK4355" TargetMode="External"/><Relationship Id="rId128" Type="http://schemas.openxmlformats.org/officeDocument/2006/relationships/hyperlink" Target="https://doi.org/10.64861/CZGF7141" TargetMode="External"/><Relationship Id="rId137" Type="http://schemas.openxmlformats.org/officeDocument/2006/relationships/hyperlink" Target="https://doi.org/10.64861/VHJU7246" TargetMode="External"/></Relationships>
</file>

<file path=word/_rels/footnotes.xml.rels><?xml version='1.0' encoding='UTF-8' standalone='yes'?>
<Relationships xmlns="http://schemas.openxmlformats.org/package/2006/relationships"><Relationship Id="rId148" Type="http://schemas.openxmlformats.org/officeDocument/2006/relationships/hyperlink" Target="https://doi.org/10.1016/j.actaastro.2019.09.010" TargetMode="External"/><Relationship Id="rId139" Type="http://schemas.openxmlformats.org/officeDocument/2006/relationships/hyperlink" Target="https://doi.org/10.1016/j.actaastro.2024.04.032" TargetMode="External"/><Relationship Id="rId144" Type="http://schemas.openxmlformats.org/officeDocument/2006/relationships/hyperlink" Target="https://doi.org/10.1016/j.actaastro.2024.06.013" TargetMode="External"/><Relationship Id="rId152" Type="http://schemas.openxmlformats.org/officeDocument/2006/relationships/hyperlink" Target="https://doi.org/10.1016/j.actaastro.2024.09.002" TargetMode="External"/><Relationship Id="rId150" Type="http://schemas.openxmlformats.org/officeDocument/2006/relationships/hyperlink" Target="https://doi.org/10.1016/j.actaastro.2024.09.046" TargetMode="External"/><Relationship Id="rId146" Type="http://schemas.openxmlformats.org/officeDocument/2006/relationships/hyperlink" Target="https://doi.org/10.1016/j.actaastro.2024.11.050" TargetMode="External"/><Relationship Id="rId117" Type="http://schemas.openxmlformats.org/officeDocument/2006/relationships/hyperlink" Target="https://doi.org/10.1016/j.actaastro.2025.01.069" TargetMode="External"/><Relationship Id="rId141" Type="http://schemas.openxmlformats.org/officeDocument/2006/relationships/hyperlink" Target="https://doi.org/10.1016/j.actaastro.2025.05.018" TargetMode="External"/><Relationship Id="rId119" Type="http://schemas.openxmlformats.org/officeDocument/2006/relationships/hyperlink" Target="https://doi.org/10.1016/j.actaastro.2026.01.042" TargetMode="External"/><Relationship Id="rId115" Type="http://schemas.openxmlformats.org/officeDocument/2006/relationships/hyperlink" Target="https://doi.org/10.1073/pnas.2221343120" TargetMode="External"/><Relationship Id="rId130" Type="http://schemas.openxmlformats.org/officeDocument/2006/relationships/hyperlink" Target="https://doi.org/10.64861/COAK4355" TargetMode="External"/><Relationship Id="rId128" Type="http://schemas.openxmlformats.org/officeDocument/2006/relationships/hyperlink" Target="https://doi.org/10.64861/CZGF7141" TargetMode="External"/><Relationship Id="rId137" Type="http://schemas.openxmlformats.org/officeDocument/2006/relationships/hyperlink" Target="https://doi.org/10.64861/VHJU72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Five-Year Deorbit Rule: Did the FCC Orbital-Debris Order Change Operator Disposal Behavior?</dc:title>
  <dc:creator>Gabriel Delgado (1B-INF-117)</dc:creator>
  <cp:keywords/>
  <dcterms:created xsi:type="dcterms:W3CDTF">2026-07-03T18:00:28Z</dcterms:created>
  <dcterms:modified xsi:type="dcterms:W3CDTF">2026-07-03T18:00:28Z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