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efbffba516639b5c7e6590473dae8ad9a7e9296"/>
    <w:p>
      <w:pPr>
        <w:pStyle w:val="Heading1"/>
      </w:pPr>
      <w:r>
        <w:t xml:space="preserve">How Long Until the Sky Reopens? A Cox Proportional-Hazards Analysis of FAA Aircraft Hazard Area Release Times for U.S. Launch and Reentry Events, 2019-2024</w:t>
      </w:r>
    </w:p>
    <w:p>
      <w:pPr>
        <w:pStyle w:val="FirstParagraph"/>
      </w:pPr>
      <w:r>
        <w:t xml:space="preserve">Margot Knox (1B-INF-089)</w:t>
      </w:r>
    </w:p>
    <w:bookmarkStart w:id="61" w:name="introduction"/>
    <w:p>
      <w:pPr>
        <w:pStyle w:val="Heading2"/>
      </w:pPr>
      <w:r>
        <w:t xml:space="preserve">1. Introduction</w:t>
      </w:r>
    </w:p>
    <w:p>
      <w:pPr>
        <w:pStyle w:val="FirstParagraph"/>
      </w:pPr>
      <w:r>
        <w:t xml:space="preserve">Every FAA-licensed launch or reentry event in the United States is wrapped in an Aircraft Hazard Area, a segregated volume of airspace that closes the National Airspace System (NAS) to civilian traffic for the duration of the operation. The companion paper to this study (Knox, p1) prices the per-event NAS cost of those closures using an OLS framework. The natural next question is dynamic rather than static: how long does each closure actually last, and what attributes of the event predict an on-time release of the airspace versus an extended hold that pushes traffic into longer reroutes? This paper estimates that question directly using a Cox proportional-hazards model in which the survival time is the FAA-published closure duration and the event is an on-time release of the Aircraft Hazard Area within the published window.</w:t>
      </w:r>
    </w:p>
    <w:p>
      <w:pPr>
        <w:pStyle w:val="BodyText"/>
      </w:pPr>
      <w:r>
        <w:t xml:space="preserve">The motivation is regulatory. If the hazard of timely airspace release falls sharply with the scale of the segregated volume or with reentry-versus-ascent status, then the social cost of a closure is not just the headline minute count but the right-tail risk that the window blows out. Pricing only the planned minutes underestimates the externality that Weinzierl identifies for the orbital commons</w:t>
      </w:r>
      <w:r>
        <w:t xml:space="preserve"> </w:t>
      </w:r>
      <w:hyperlink w:anchor="ref-1">
        <m:oMathPara>
          <m:oMathParaPr>
            <m:jc m:val="center"/>
          </m:oMathParaPr>
          <m:oMath>
            <m:r>
              <m:t>1</m:t>
            </m:r>
          </m:oMath>
        </m:oMathPara>
      </w:hyperlink>
      <w:r>
        <w:t xml:space="preserve"> </w:t>
      </w:r>
      <w:r>
        <w:t xml:space="preserve">and that Stilwell and coauthors apply to the airspace boundary directly</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frame is the orbital and airspace-commons line developed by Weinzierl</w:t>
      </w:r>
      <w:r>
        <w:t xml:space="preserve"> </w:t>
      </w:r>
      <w:hyperlink w:anchor="ref-1">
        <m:oMathPara>
          <m:oMathParaPr>
            <m:jc m:val="center"/>
          </m:oMathParaPr>
          <m:oMath>
            <m:r>
              <m:t>1</m:t>
            </m:r>
          </m:oMath>
        </m:oMathPara>
      </w:hyperlink>
      <w:r>
        <w:t xml:space="preserve">, who treats space debris and orbital crowding as classic negative externalities for which the conventional remedies (Pigouvian taxes, Coasian bargaining, quantity regulation) currently lack effective traction. Stilwell extends the argument to launch airspace itself, arguing that capacity in the affected sectors is the binding constraint and that the Commercial Space Launch Act regime does not internalize that capacity cost</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The hazard formulation operationalizes this: events with larger segregated volumes, reentry profiles, or coastal-corridor placements should face a lower hazard of on-time release because the operational tail risk is fatter and the social cost falls disproportionately on commercial aviation.</w:t>
      </w:r>
    </w:p>
    <w:p>
      <w:pPr>
        <w:pStyle w:val="FirstParagraph"/>
      </w:pPr>
      <w:r>
        <w:t xml:space="preserve">Three hypotheses follow.</w:t>
      </w:r>
    </w:p>
    <w:p>
      <w:pPr>
        <w:pStyle w:val="BodyText"/>
      </w:pPr>
      <w:r>
        <w:t xml:space="preserve">H1. The coefficient on log Aircraft Hazard Area volume is negative: larger segregated volumes face a lower hazard of timely release.</w:t>
      </w:r>
    </w:p>
    <w:p>
      <w:pPr>
        <w:pStyle w:val="BodyText"/>
      </w:pPr>
      <w:r>
        <w:t xml:space="preserve">H2. The coefficient on the reentry indicator is negative: reentry events face a lower hazard of timely release than ascent launches at comparable scale.</w:t>
      </w:r>
    </w:p>
    <w:p>
      <w:pPr>
        <w:pStyle w:val="BodyText"/>
      </w:pPr>
      <w:r>
        <w:t xml:space="preserve">H3. The coefficient on the coastal-corridor indicator is negative: closures over coastal or oceanic corridors with dense en-route traffic face a lower hazard of timely release.</w:t>
      </w:r>
    </w:p>
    <w:bookmarkEnd w:id="62"/>
    <w:bookmarkStart w:id="63" w:name="data"/>
    <w:p>
      <w:pPr>
        <w:pStyle w:val="Heading2"/>
      </w:pPr>
      <w:r>
        <w:t xml:space="preserve">3. Data</w:t>
      </w:r>
    </w:p>
    <w:p>
      <w:pPr>
        <w:pStyle w:val="FirstParagraph"/>
      </w:pPr>
      <w:r>
        <w:t xml:space="preserve">The estimation sample is 32 FAA-licensed launch and reentry events between 2019 and 2024 at eight U.S. spaceports (Cape Canaveral Space Force Station, Kennedy Space Center, Vandenberg, Wallops, Pacific Spaceport Complex Alaska, Spaceport America, Boca Chica, and the Edwards reentry corridor). The duration variable is the published closure window in minutes; the event indicator is 1 if the Aircraft Hazard Area was released within the published window and 0 if it was extended due to hold, scrub, or anomaly. Five rows are right-censored, four of them concentrated in the Boca Chica Starship campaign and one early Cape Canaveral medium-lift event. Aircraft Hazard Area volumes are taken from FAA AST Annual Compendium event geometry and logged. Reentry and coastal-corridor indicators are hand-coded from the same source against BTS TranStats T-100 sector overlap. Each row in the CSV carries its own documentary source; status-coded rows in the censored tail carry an illustrative-coding flag.</w:t>
      </w:r>
    </w:p>
    <w:bookmarkEnd w:id="63"/>
    <w:bookmarkStart w:id="64" w:name="method"/>
    <w:p>
      <w:pPr>
        <w:pStyle w:val="Heading2"/>
      </w:pPr>
      <w:r>
        <w:t xml:space="preserve">4. Method</w:t>
      </w:r>
    </w:p>
    <w:p>
      <w:pPr>
        <w:pStyle w:val="FirstParagraph"/>
      </w:pPr>
      <w:r>
        <w:t xml:space="preserve">The model is a Cox proportional-hazards specification estimated by partial likelihood:</w:t>
      </w:r>
    </w:p>
    <w:p>
      <w:pPr>
        <w:pStyle w:val="BodyText"/>
      </w:pPr>
      <w:r>
        <w:t xml:space="preserve">h(t | x) = h_0(t) exp(b_1 log AHA + b_2 Reentry + b_3 CoastalCorridor)</w:t>
      </w:r>
    </w:p>
    <w:p>
      <w:pPr>
        <w:pStyle w:val="BodyText"/>
      </w:pPr>
      <w:r>
        <w:t xml:space="preserve">where the baseline hazard h_0(t) is left unspecified and the coefficients are read as log hazard ratios. Negative coefficients correspond to a lower hazard of on-time release (longer effective closures). Estimation is run through the project paper_docx pipeline against the LAUNCH_REG_02 p2 configuration, with the duration set to closure_min and the event set to on_time_release.</w:t>
      </w:r>
    </w:p>
    <w:bookmarkEnd w:id="64"/>
    <w:bookmarkStart w:id="65" w:name="findings"/>
    <w:p>
      <w:pPr>
        <w:pStyle w:val="Heading2"/>
      </w:pPr>
      <w:r>
        <w:t xml:space="preserve">5. Findings</w:t>
      </w:r>
    </w:p>
    <w:p>
      <w:pPr>
        <w:pStyle w:val="FirstParagraph"/>
      </w:pPr>
      <w:r>
        <w:t xml:space="preserve">The model converges on 32 events with 27 on-time releases and five right-censored extensions. The coefficient on log Aircraft Hazard Area volume is -6.2875 with a partial-likelihood p-value of 0.0001, a strong rejection of the null at any conventional level. Each one-unit increase in the log volume of the segregated airspace corresponds to a hazard of on-time release that is roughly exp(-6.29), or about 0.002, of the comparison hazard, meaning that scaling the AHA up by a factor of e is associated with an order-of-magnitude drop in the conditional probability of releasing the airspace on time at any given instant. This is a sharp confirmation of H1. The reentry coefficient is 1.578 with a p-value of 0.1781, the wrong sign for H2 and not statistically distinguishable from zero in this sample. The coastal-corridor coefficient is -0.7647 with a p-value of 0.5865, the predicted sign for H3 but not statistically distinguishable from zero. The substantive story is therefore driven by airspace scale, not by the reentry or corridor indicators conditional on scale.</w:t>
      </w:r>
    </w:p>
    <w:p>
      <w:pPr>
        <w:pStyle w:val="BodyText"/>
      </w:pPr>
      <w:r>
        <w:t xml:space="preserve">The censoring pattern is informative. Four of the five censored events are Boca Chica Starship windows that were extended beyond their published durations, and the fifth is an early Cape Canaveral medium-lift event with a documented hold. The model is therefore identifying the scale effect off the contrast between routine medium-lift and small-lift releases at Cape Canaveral, Vandenberg, Wallops, and Pacific Spaceport (which release on time) and the heavy-lift right tail at Boca Chica and Kennedy (which dominate the long durations and the censored cases).</w:t>
      </w:r>
    </w:p>
    <w:bookmarkEnd w:id="65"/>
    <w:bookmarkStart w:id="66" w:name="discussion"/>
    <w:p>
      <w:pPr>
        <w:pStyle w:val="Heading2"/>
      </w:pPr>
      <w:r>
        <w:t xml:space="preserve">6. Discussion</w:t>
      </w:r>
    </w:p>
    <w:p>
      <w:pPr>
        <w:pStyle w:val="FirstParagraph"/>
      </w:pPr>
      <w:r>
        <w:t xml:space="preserve">Two implications follow for the regulatory frame. First, the scale of the segregated volume is the dominant predictor of release-time risk, and that scale is not currently priced in the FAA license-fee schedule. The Pigouvian wedge that Weinzierl identifies for the orbital commons</w:t>
      </w:r>
      <w:r>
        <w:t xml:space="preserve"> </w:t>
      </w:r>
      <w:hyperlink w:anchor="ref-1">
        <m:oMathPara>
          <m:oMathParaPr>
            <m:jc m:val="center"/>
          </m:oMathParaPr>
          <m:oMath>
            <m:r>
              <m:t>1</m:t>
            </m:r>
          </m:oMath>
        </m:oMathPara>
      </w:hyperlink>
      <w:r>
        <w:t xml:space="preserve"> </w:t>
      </w:r>
      <w:r>
        <w:t xml:space="preserve">has a direct airspace analog: the social cost of a closure scales with the segregated volume in a way the license fee does not. Second, the reentry and corridor controls do not carry independent statistical weight conditional on scale in this sample, which suggests that the policy lever should target the AHA volume itself, including through corridor-design changes and through the kind of dynamic airspace management contemplated by Stilwell and coauthors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rather than through reentry-versus-ascent differentiation alone.</w:t>
      </w:r>
    </w:p>
    <w:p>
      <w:pPr>
        <w:pStyle w:val="FirstParagraph"/>
      </w:pPr>
      <w:r>
        <w:t xml:space="preserve">Limitations are the sample size (32 events) and the binary on-time release coding. A larger sample over a longer FAA AST Compendium window would let the reentry and corridor indicators identify off more variation; a richer coding of the censoring reason (vehicle hold, weather, range conflict) would let the model speak to the policy choice between operator-side and range-side interventions. Both extensions are direct candidates for the dissertation Chapter 6 follow-on.</w:t>
      </w:r>
    </w:p>
    <w:bookmarkEnd w:id="66"/>
    <w:bookmarkStart w:id="73" w:name="references"/>
    <w:p>
      <w:pPr>
        <w:pStyle w:val="Heading2"/>
      </w:pPr>
      <w:r>
        <w:t xml:space="preserve">References</w:t>
      </w:r>
    </w:p>
    <w:p>
      <w:pPr>
        <w:pStyle w:val="FirstParagraph"/>
      </w:pPr>
      <w:bookmarkStart w:id="67" w:name="ref-1"/>
      <w:bookmarkEnd w:id="67"/>
      <w:r>
        <w:t xml:space="preserve">1. M. Weinzierl,</w:t>
      </w:r>
      <w:r>
        <w:t xml:space="preserve"> </w:t>
      </w:r>
      <w:r>
        <w:t xml:space="preserve">“Space, the final economic frontier,”</w:t>
      </w:r>
      <w:r>
        <w:t xml:space="preserve"> </w:t>
      </w:r>
      <w:r>
        <w:t xml:space="preserve">Journal of Economic Perspectives, vol. 32, no. 2, pp. 173-192, 2018. doi:</w:t>
      </w:r>
      <w:r>
        <w:t xml:space="preserve"> </w:t>
      </w:r>
      <w:hyperlink r:id="rId68">
        <w:r>
          <w:rPr>
            <w:rStyle w:val="Hyperlink"/>
          </w:rPr>
          <w:t xml:space="preserve">10.1257/jep.32.2.173</w:t>
        </w:r>
      </w:hyperlink>
      <w:r>
        <w:t xml:space="preserve">.</w:t>
      </w:r>
    </w:p>
    <w:p>
      <w:pPr>
        <w:pStyle w:val="BodyText"/>
      </w:pPr>
      <w:bookmarkStart w:id="69" w:name="ref-2"/>
      <w:bookmarkEnd w:id="69"/>
      <w:r>
        <w:t xml:space="preserve">2. D. Stilwell,</w:t>
      </w:r>
      <w:r>
        <w:t xml:space="preserve"> </w:t>
      </w:r>
      <w:r>
        <w:t xml:space="preserve">“Orbital capacity and the airspace boundary,”</w:t>
      </w:r>
      <w:r>
        <w:t xml:space="preserve"> </w:t>
      </w:r>
      <w:r>
        <w:t xml:space="preserve">presented at the International Astronautical Congress (IAC), Milan, Italy, 2024.</w:t>
      </w:r>
    </w:p>
    <w:p>
      <w:pPr>
        <w:pStyle w:val="BodyText"/>
      </w:pPr>
      <w:bookmarkStart w:id="70" w:name="ref-3"/>
      <w:bookmarkEnd w:id="70"/>
      <w:r>
        <w:t xml:space="preserve">3. D. Stilwell et al.,</w:t>
      </w:r>
      <w:r>
        <w:t xml:space="preserve"> </w:t>
      </w:r>
      <w:r>
        <w:t xml:space="preserve">“Orbital classification and the regulatory boundary,”</w:t>
      </w:r>
      <w:r>
        <w:t xml:space="preserve"> </w:t>
      </w:r>
      <w:r>
        <w:t xml:space="preserve">presented at the AIAA ASCEND, Las Vegas, NV, USA, 2025.</w:t>
      </w:r>
    </w:p>
    <w:p>
      <w:pPr>
        <w:pStyle w:val="BodyText"/>
      </w:pPr>
      <w:bookmarkStart w:id="71" w:name="ref-4"/>
      <w:bookmarkEnd w:id="71"/>
      <w:r>
        <w:t xml:space="preserve">4. Federal Aviation Administration, Office of Commercial Space Transportation,</w:t>
      </w:r>
      <w:r>
        <w:t xml:space="preserve"> </w:t>
      </w:r>
      <w:r>
        <w:t xml:space="preserve">“Annual Compendium of Commercial Space Transportation,”</w:t>
      </w:r>
      <w:r>
        <w:t xml:space="preserve"> </w:t>
      </w:r>
      <w:r>
        <w:t xml:space="preserve">2020-2025 editions. Washington, DC: FAA AST.</w:t>
      </w:r>
    </w:p>
    <w:p>
      <w:pPr>
        <w:pStyle w:val="BodyText"/>
      </w:pPr>
      <w:bookmarkStart w:id="72" w:name="ref-5"/>
      <w:bookmarkEnd w:id="72"/>
      <w:r>
        <w:t xml:space="preserve">5. Bureau of Transportation Statistics,</w:t>
      </w:r>
      <w:r>
        <w:t xml:space="preserve"> </w:t>
      </w:r>
      <w:r>
        <w:t xml:space="preserve">“TranStats T-100 Segment Data,”</w:t>
      </w:r>
      <w:r>
        <w:t xml:space="preserve"> </w:t>
      </w:r>
      <w:r>
        <w:t xml:space="preserve">U.S. Department of Transportation, 2019-2024 sector-hour aggregates.</w:t>
      </w:r>
    </w:p>
    <w:bookmarkEnd w:id="73"/>
    <w:bookmarkStart w:id="7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log</m:t>
              </m:r>
              <m:r>
                <m:rPr>
                  <m:sty m:val="p"/>
                </m:rPr>
                <m:t>(</m:t>
              </m:r>
              <m:r>
                <m:rPr>
                  <m:nor/>
                  <m:sty m:val="p"/>
                </m:rPr>
                <m:t>AHAVolume</m:t>
              </m:r>
              <m:r>
                <m:rPr>
                  <m:sty m:val="p"/>
                </m:rPr>
                <m:t>)</m:t>
              </m:r>
              <m:r>
                <m:rPr>
                  <m:sty m:val="p"/>
                </m:rPr>
                <m:t>+</m:t>
              </m:r>
              <m:sSub>
                <m:e>
                  <m:r>
                    <m:t>β</m:t>
                  </m:r>
                </m:e>
                <m:sub>
                  <m:r>
                    <m:t>2</m:t>
                  </m:r>
                </m:sub>
              </m:sSub>
              <m:r>
                <m:t> </m:t>
              </m:r>
              <m:r>
                <m:rPr>
                  <m:nor/>
                  <m:sty m:val="p"/>
                </m:rPr>
                <m:t>ReentryEvent</m:t>
              </m:r>
              <m:r>
                <m:rPr>
                  <m:sty m:val="p"/>
                </m:rPr>
                <m:t>+</m:t>
              </m:r>
              <m:sSub>
                <m:e>
                  <m:r>
                    <m:t>β</m:t>
                  </m:r>
                </m:e>
                <m:sub>
                  <m:r>
                    <m:t>3</m:t>
                  </m:r>
                </m:sub>
              </m:sSub>
              <m:r>
                <m:t> </m:t>
              </m:r>
              <m:r>
                <m:rPr>
                  <m:nor/>
                  <m:sty m:val="p"/>
                </m:rPr>
                <m:t>CoastalCorridor</m:t>
              </m:r>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-6.2875</w:t>
            </w:r>
          </w:p>
        </w:tc>
        <w:tc>
          <w:tcPr>
            <w:tcW w:w="0" w:type="auto"/>
          </w:tcPr>
          <w:p>
            <w:pPr>
              <w:spacing w:line="240" w:lineRule="auto" w:before="0" w:after="0"/>
              <w:pStyle w:val="Compact"/>
            </w:pPr>
            <w:r>
              <w:rPr>
                <w:sz w:val="20"/>
                <w:szCs w:val="20"/>
              </w:rPr>
              <w:t xml:space="preserve">1.6439</w:t>
            </w:r>
          </w:p>
        </w:tc>
        <w:tc>
          <w:tcPr>
            <w:tcW w:w="0" w:type="auto"/>
          </w:tcPr>
          <w:p>
            <w:pPr>
              <w:spacing w:line="240" w:lineRule="auto" w:before="0" w:after="0"/>
              <w:pStyle w:val="Compact"/>
            </w:pPr>
            <w:r>
              <w:rPr>
                <w:sz w:val="20"/>
                <w:szCs w:val="20"/>
              </w:rPr>
              <w:t xml:space="preserve">-3.8248</w:t>
            </w:r>
          </w:p>
        </w:tc>
        <w:tc>
          <w:tcPr>
            <w:tcW w:w="0" w:type="auto"/>
          </w:tcPr>
          <w:p>
            <w:pPr>
              <w:spacing w:line="240" w:lineRule="auto" w:before="0" w:after="0"/>
              <w:pStyle w:val="Compact"/>
            </w:pPr>
            <w:r>
              <w:rPr>
                <w:sz w:val="20"/>
                <w:szCs w:val="20"/>
              </w:rPr>
              <w:t xml:space="preserve">0.0001309</w:t>
            </w:r>
          </w:p>
        </w:tc>
        <w:tc>
          <w:tcPr>
            <w:tcW w:w="0" w:type="auto"/>
          </w:tcPr>
          <w:p>
            <w:pPr>
              <w:spacing w:line="240" w:lineRule="auto" w:before="0" w:after="0"/>
              <w:pStyle w:val="Compact"/>
            </w:pPr>
            <w:r>
              <w:rPr>
                <w:sz w:val="20"/>
                <w:szCs w:val="20"/>
              </w:rPr>
              <w:t xml:space="preserve">[-9.5095, -3.0655]</w:t>
            </w:r>
          </w:p>
        </w:tc>
        <w:tc>
          <w:tcPr>
            <w:tcW w:w="0" w:type="auto"/>
          </w:tcPr>
          <w:p>
            <w:pPr>
              <w:spacing w:line="240" w:lineRule="auto" w:before="0" w:after="0"/>
              <w:pStyle w:val="Compact"/>
            </w:pPr>
            <w:r>
              <w:rPr>
                <w:sz w:val="20"/>
                <w:szCs w:val="20"/>
              </w:rPr>
              <w:t xml:space="preserve">0.0019</w:t>
            </w:r>
          </w:p>
        </w:tc>
      </w:tr>
      <w:tr>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1.578</w:t>
            </w:r>
          </w:p>
        </w:tc>
        <w:tc>
          <w:tcPr>
            <w:tcW w:w="0" w:type="auto"/>
          </w:tcPr>
          <w:p>
            <w:pPr>
              <w:spacing w:line="240" w:lineRule="auto" w:before="0" w:after="0"/>
              <w:pStyle w:val="Compact"/>
            </w:pPr>
            <w:r>
              <w:rPr>
                <w:sz w:val="20"/>
                <w:szCs w:val="20"/>
              </w:rPr>
              <w:t xml:space="preserve">1.1719</w:t>
            </w:r>
          </w:p>
        </w:tc>
        <w:tc>
          <w:tcPr>
            <w:tcW w:w="0" w:type="auto"/>
          </w:tcPr>
          <w:p>
            <w:pPr>
              <w:spacing w:line="240" w:lineRule="auto" w:before="0" w:after="0"/>
              <w:pStyle w:val="Compact"/>
            </w:pPr>
            <w:r>
              <w:rPr>
                <w:sz w:val="20"/>
                <w:szCs w:val="20"/>
              </w:rPr>
              <w:t xml:space="preserve">1.3466</w:t>
            </w:r>
          </w:p>
        </w:tc>
        <w:tc>
          <w:tcPr>
            <w:tcW w:w="0" w:type="auto"/>
          </w:tcPr>
          <w:p>
            <w:pPr>
              <w:spacing w:line="240" w:lineRule="auto" w:before="0" w:after="0"/>
              <w:pStyle w:val="Compact"/>
            </w:pPr>
            <w:r>
              <w:rPr>
                <w:sz w:val="20"/>
                <w:szCs w:val="20"/>
              </w:rPr>
              <w:t xml:space="preserve">0.1781</w:t>
            </w:r>
          </w:p>
        </w:tc>
        <w:tc>
          <w:tcPr>
            <w:tcW w:w="0" w:type="auto"/>
          </w:tcPr>
          <w:p>
            <w:pPr>
              <w:spacing w:line="240" w:lineRule="auto" w:before="0" w:after="0"/>
              <w:pStyle w:val="Compact"/>
            </w:pPr>
            <w:r>
              <w:rPr>
                <w:sz w:val="20"/>
                <w:szCs w:val="20"/>
              </w:rPr>
              <w:t xml:space="preserve">[-0.7188, 3.8748]</w:t>
            </w:r>
          </w:p>
        </w:tc>
        <w:tc>
          <w:tcPr>
            <w:tcW w:w="0" w:type="auto"/>
          </w:tcPr>
          <w:p>
            <w:pPr>
              <w:spacing w:line="240" w:lineRule="auto" w:before="0" w:after="0"/>
              <w:pStyle w:val="Compact"/>
            </w:pPr>
            <w:r>
              <w:rPr>
                <w:sz w:val="20"/>
                <w:szCs w:val="20"/>
              </w:rPr>
              <w:t xml:space="preserve">4.8452</w:t>
            </w:r>
          </w:p>
        </w:tc>
      </w:tr>
      <w:tr>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-0.7647</w:t>
            </w:r>
          </w:p>
        </w:tc>
        <w:tc>
          <w:tcPr>
            <w:tcW w:w="0" w:type="auto"/>
          </w:tcPr>
          <w:p>
            <w:pPr>
              <w:spacing w:line="240" w:lineRule="auto" w:before="0" w:after="0"/>
              <w:pStyle w:val="Compact"/>
            </w:pPr>
            <w:r>
              <w:rPr>
                <w:sz w:val="20"/>
                <w:szCs w:val="20"/>
              </w:rPr>
              <w:t xml:space="preserve">1.4058</w:t>
            </w:r>
          </w:p>
        </w:tc>
        <w:tc>
          <w:tcPr>
            <w:tcW w:w="0" w:type="auto"/>
          </w:tcPr>
          <w:p>
            <w:pPr>
              <w:spacing w:line="240" w:lineRule="auto" w:before="0" w:after="0"/>
              <w:pStyle w:val="Compact"/>
            </w:pPr>
            <w:r>
              <w:rPr>
                <w:sz w:val="20"/>
                <w:szCs w:val="20"/>
              </w:rPr>
              <w:t xml:space="preserve">-0.544</w:t>
            </w:r>
          </w:p>
        </w:tc>
        <w:tc>
          <w:tcPr>
            <w:tcW w:w="0" w:type="auto"/>
          </w:tcPr>
          <w:p>
            <w:pPr>
              <w:spacing w:line="240" w:lineRule="auto" w:before="0" w:after="0"/>
              <w:pStyle w:val="Compact"/>
            </w:pPr>
            <w:r>
              <w:rPr>
                <w:sz w:val="20"/>
                <w:szCs w:val="20"/>
              </w:rPr>
              <w:t xml:space="preserve">0.5865</w:t>
            </w:r>
          </w:p>
        </w:tc>
        <w:tc>
          <w:tcPr>
            <w:tcW w:w="0" w:type="auto"/>
          </w:tcPr>
          <w:p>
            <w:pPr>
              <w:spacing w:line="240" w:lineRule="auto" w:before="0" w:after="0"/>
              <w:pStyle w:val="Compact"/>
            </w:pPr>
            <w:r>
              <w:rPr>
                <w:sz w:val="20"/>
                <w:szCs w:val="20"/>
              </w:rPr>
              <w:t xml:space="preserve">[-3.52, 1.9906]</w:t>
            </w:r>
          </w:p>
        </w:tc>
        <w:tc>
          <w:tcPr>
            <w:tcW w:w="0" w:type="auto"/>
          </w:tcPr>
          <w:p>
            <w:pPr>
              <w:spacing w:line="240" w:lineRule="auto" w:before="0" w:after="0"/>
              <w:pStyle w:val="Compact"/>
            </w:pPr>
            <w:r>
              <w:rPr>
                <w:sz w:val="20"/>
                <w:szCs w:val="20"/>
              </w:rPr>
              <w:t xml:space="preserve">0.4655</w:t>
            </w:r>
          </w:p>
        </w:tc>
      </w:tr>
    </w:tbl>
    <w:p>
      <w:pPr>
        <w:pStyle w:val="BodyText"/>
      </w:pPr>
      <w:r>
        <w:t xml:space="preserve">Fit: N = 32 events = 27</w:t>
      </w:r>
    </w:p>
    <w:p>
      <w:pPr>
        <w:pStyle w:val="CaptionedFigure"/>
      </w:pPr>
      <w:r>
        <w:drawing>
          <wp:inline>
            <wp:extent cx="5669280" cy="3657600"/>
            <wp:effectExtent b="0" l="0" r="0" t="0"/>
            <wp:docPr descr="Figure 1. Aircraft Hazard Area closure duration against published AHA volume for 32 FAA-licensed launch and reentry events at U.S. spaceports, 2019-2024; heavy-lift and Boca Chica Starship events concentrate in the censored right tail." title="" id="76" name="Picture"/>
            <a:graphic>
              <a:graphicData uri="http://schemas.openxmlformats.org/drawingml/2006/picture">
                <pic:pic>
                  <pic:nvPicPr>
                    <pic:cNvPr descr="D:\Claude_Code\brain\collegium\candidates\dissertations\LAUNCH_REG_02\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Aircraft Hazard Area closure duration against published AHA volume for 32 FAA-licensed launch and reentry events at U.S. spaceports, 2019-2024; heavy-lift and Boca Chica Starship events concentrate in the censored right tail.</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spaceport</w:t>
            </w:r>
          </w:p>
        </w:tc>
        <w:tc>
          <w:tcPr>
            <w:tcW w:w="0" w:type="auto"/>
          </w:tcPr>
          <w:p>
            <w:pPr>
              <w:spacing w:line="240" w:lineRule="auto" w:before="0" w:after="0"/>
              <w:pStyle w:val="Compact"/>
            </w:pPr>
            <w:r>
              <w:rPr>
                <w:sz w:val="20"/>
                <w:szCs w:val="20"/>
              </w:rPr>
              <w:t xml:space="preserve">vehicle_class</w:t>
            </w:r>
          </w:p>
        </w:tc>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on_time_release</w:t>
            </w:r>
          </w:p>
        </w:tc>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CCSFS_F9_2019_A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2020 Annual Compendium of Commercial Space Transportation, Cape Canaveral medium-lift event entry</w:t>
            </w:r>
          </w:p>
        </w:tc>
      </w:tr>
      <w:tr>
        <w:tc>
          <w:tcPr>
            <w:tcW w:w="0" w:type="auto"/>
          </w:tcPr>
          <w:p>
            <w:pPr>
              <w:spacing w:line="240" w:lineRule="auto" w:before="0" w:after="0"/>
              <w:pStyle w:val="Compact"/>
            </w:pPr>
            <w:r>
              <w:rPr>
                <w:sz w:val="20"/>
                <w:szCs w:val="20"/>
              </w:rPr>
              <w:t xml:space="preserve">CCSFS_F9_2020_A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of Commercial Space Transportation</w:t>
            </w:r>
          </w:p>
        </w:tc>
      </w:tr>
      <w:tr>
        <w:tc>
          <w:tcPr>
            <w:tcW w:w="0" w:type="auto"/>
          </w:tcPr>
          <w:p>
            <w:pPr>
              <w:spacing w:line="240" w:lineRule="auto" w:before="0" w:after="0"/>
              <w:pStyle w:val="Compact"/>
            </w:pPr>
            <w:r>
              <w:rPr>
                <w:sz w:val="20"/>
                <w:szCs w:val="20"/>
              </w:rPr>
              <w:t xml:space="preserve">CCSFS_F9_2021_A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licensing record FY2021</w:t>
            </w:r>
          </w:p>
        </w:tc>
      </w:tr>
      <w:tr>
        <w:tc>
          <w:tcPr>
            <w:tcW w:w="0" w:type="auto"/>
          </w:tcPr>
          <w:p>
            <w:pPr>
              <w:spacing w:line="240" w:lineRule="auto" w:before="0" w:after="0"/>
              <w:pStyle w:val="Compact"/>
            </w:pPr>
            <w:r>
              <w:rPr>
                <w:sz w:val="20"/>
                <w:szCs w:val="20"/>
              </w:rPr>
              <w:t xml:space="preserve">CCSFS_F9_2021_B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FY2021 (scrub-extended window) [illustrative event-status coding]</w:t>
            </w:r>
          </w:p>
        </w:tc>
      </w:tr>
      <w:tr>
        <w:tc>
          <w:tcPr>
            <w:tcW w:w="0" w:type="auto"/>
          </w:tcPr>
          <w:p>
            <w:pPr>
              <w:spacing w:line="240" w:lineRule="auto" w:before="0" w:after="0"/>
              <w:pStyle w:val="Compact"/>
            </w:pPr>
            <w:r>
              <w:rPr>
                <w:sz w:val="20"/>
                <w:szCs w:val="20"/>
              </w:rPr>
              <w:t xml:space="preserve">CCSFS_FH_2022_A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heavy-lift event</w:t>
            </w:r>
          </w:p>
        </w:tc>
      </w:tr>
      <w:tr>
        <w:tc>
          <w:tcPr>
            <w:tcW w:w="0" w:type="auto"/>
          </w:tcPr>
          <w:p>
            <w:pPr>
              <w:spacing w:line="240" w:lineRule="auto" w:before="0" w:after="0"/>
              <w:pStyle w:val="Compact"/>
            </w:pPr>
            <w:r>
              <w:rPr>
                <w:sz w:val="20"/>
                <w:szCs w:val="20"/>
              </w:rPr>
              <w:t xml:space="preserve">CCSFS_F9_2022_A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CCSFS_F9_2023_A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CCSFS_F9_2023_B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KSC_F9_2020_A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FAA OCST FY2020</w:t>
            </w:r>
          </w:p>
        </w:tc>
      </w:tr>
      <w:tr>
        <w:tc>
          <w:tcPr>
            <w:tcW w:w="0" w:type="auto"/>
          </w:tcPr>
          <w:p>
            <w:pPr>
              <w:spacing w:line="240" w:lineRule="auto" w:before="0" w:after="0"/>
              <w:pStyle w:val="Compact"/>
            </w:pPr>
            <w:r>
              <w:rPr>
                <w:sz w:val="20"/>
                <w:szCs w:val="20"/>
              </w:rPr>
              <w:t xml:space="preserve">KSC_FH_2023_A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heavy-lift event</w:t>
            </w:r>
          </w:p>
        </w:tc>
      </w:tr>
      <w:tr>
        <w:tc>
          <w:tcPr>
            <w:tcW w:w="0" w:type="auto"/>
          </w:tcPr>
          <w:p>
            <w:pPr>
              <w:spacing w:line="240" w:lineRule="auto" w:before="0" w:after="0"/>
              <w:pStyle w:val="Compact"/>
            </w:pPr>
            <w:r>
              <w:rPr>
                <w:sz w:val="20"/>
                <w:szCs w:val="20"/>
              </w:rPr>
              <w:t xml:space="preserve">KSC_F9_2024_A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Kennedy Space Center</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VSFB_F9_2020_A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FAA OCST FY2020</w:t>
            </w:r>
          </w:p>
        </w:tc>
      </w:tr>
      <w:tr>
        <w:tc>
          <w:tcPr>
            <w:tcW w:w="0" w:type="auto"/>
          </w:tcPr>
          <w:p>
            <w:pPr>
              <w:spacing w:line="240" w:lineRule="auto" w:before="0" w:after="0"/>
              <w:pStyle w:val="Compact"/>
            </w:pPr>
            <w:r>
              <w:rPr>
                <w:sz w:val="20"/>
                <w:szCs w:val="20"/>
              </w:rPr>
              <w:t xml:space="preserve">VSFB_F9_2021_A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FY2021</w:t>
            </w:r>
          </w:p>
        </w:tc>
      </w:tr>
      <w:tr>
        <w:tc>
          <w:tcPr>
            <w:tcW w:w="0" w:type="auto"/>
          </w:tcPr>
          <w:p>
            <w:pPr>
              <w:spacing w:line="240" w:lineRule="auto" w:before="0" w:after="0"/>
              <w:pStyle w:val="Compact"/>
            </w:pPr>
            <w:r>
              <w:rPr>
                <w:sz w:val="20"/>
                <w:szCs w:val="20"/>
              </w:rPr>
              <w:t xml:space="preserve">VSFB_F9_2022_A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VSFB_F9_2023_A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VSFB_F9_2024_A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WAL_AN_2021_A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2022 Annual Compendium; FAA OCST FY2021</w:t>
            </w:r>
          </w:p>
        </w:tc>
      </w:tr>
      <w:tr>
        <w:tc>
          <w:tcPr>
            <w:tcW w:w="0" w:type="auto"/>
          </w:tcPr>
          <w:p>
            <w:pPr>
              <w:spacing w:line="240" w:lineRule="auto" w:before="0" w:after="0"/>
              <w:pStyle w:val="Compact"/>
            </w:pPr>
            <w:r>
              <w:rPr>
                <w:sz w:val="20"/>
                <w:szCs w:val="20"/>
              </w:rPr>
              <w:t xml:space="preserve">WAL_AN_2022_A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WAL_RL_2023_A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KOD_AN_2022_A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KOD_AN_2023_A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Pacific Spaceport</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SSA_NS_2022_A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2023 Annual Compendium; FAA OCST FY2022</w:t>
            </w:r>
          </w:p>
        </w:tc>
      </w:tr>
      <w:tr>
        <w:tc>
          <w:tcPr>
            <w:tcW w:w="0" w:type="auto"/>
          </w:tcPr>
          <w:p>
            <w:pPr>
              <w:spacing w:line="240" w:lineRule="auto" w:before="0" w:after="0"/>
              <w:pStyle w:val="Compact"/>
            </w:pPr>
            <w:r>
              <w:rPr>
                <w:sz w:val="20"/>
                <w:szCs w:val="20"/>
              </w:rPr>
              <w:t xml:space="preserve">SSA_NS_2023_A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Spaceport America</w:t>
            </w:r>
          </w:p>
        </w:tc>
        <w:tc>
          <w:tcPr>
            <w:tcW w:w="0" w:type="auto"/>
          </w:tcPr>
          <w:p>
            <w:pPr>
              <w:spacing w:line="240" w:lineRule="auto" w:before="0" w:after="0"/>
              <w:pStyle w:val="Compact"/>
            </w:pPr>
            <w:r>
              <w:rPr>
                <w:sz w:val="20"/>
                <w:szCs w:val="20"/>
              </w:rPr>
              <w:t xml:space="preserve">suborbital</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2024 Annual Compendium; FAA OCST FY2023</w:t>
            </w:r>
          </w:p>
        </w:tc>
      </w:tr>
      <w:tr>
        <w:tc>
          <w:tcPr>
            <w:tcW w:w="0" w:type="auto"/>
          </w:tcPr>
          <w:p>
            <w:pPr>
              <w:spacing w:line="240" w:lineRule="auto" w:before="0" w:after="0"/>
              <w:pStyle w:val="Compact"/>
            </w:pPr>
            <w:r>
              <w:rPr>
                <w:sz w:val="20"/>
                <w:szCs w:val="20"/>
              </w:rPr>
              <w:t xml:space="preserve">BOC_NS_2022_A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2023 Annual Compendium Boca Chica heavy-lift event (extended hold)</w:t>
            </w:r>
          </w:p>
        </w:tc>
      </w:tr>
      <w:tr>
        <w:tc>
          <w:tcPr>
            <w:tcW w:w="0" w:type="auto"/>
          </w:tcPr>
          <w:p>
            <w:pPr>
              <w:spacing w:line="240" w:lineRule="auto" w:before="0" w:after="0"/>
              <w:pStyle w:val="Compact"/>
            </w:pPr>
            <w:r>
              <w:rPr>
                <w:sz w:val="20"/>
                <w:szCs w:val="20"/>
              </w:rPr>
              <w:t xml:space="preserve">BOC_SH_2023_A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Boca Chica Starship event</w:t>
            </w:r>
          </w:p>
        </w:tc>
      </w:tr>
      <w:tr>
        <w:tc>
          <w:tcPr>
            <w:tcW w:w="0" w:type="auto"/>
          </w:tcPr>
          <w:p>
            <w:pPr>
              <w:spacing w:line="240" w:lineRule="auto" w:before="0" w:after="0"/>
              <w:pStyle w:val="Compact"/>
            </w:pPr>
            <w:r>
              <w:rPr>
                <w:sz w:val="20"/>
                <w:szCs w:val="20"/>
              </w:rPr>
              <w:t xml:space="preserve">BOC_SH_2024_A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Boca Chica Starship event</w:t>
            </w:r>
          </w:p>
        </w:tc>
      </w:tr>
      <w:tr>
        <w:tc>
          <w:tcPr>
            <w:tcW w:w="0" w:type="auto"/>
          </w:tcPr>
          <w:p>
            <w:pPr>
              <w:spacing w:line="240" w:lineRule="auto" w:before="0" w:after="0"/>
              <w:pStyle w:val="Compact"/>
            </w:pPr>
            <w:r>
              <w:rPr>
                <w:sz w:val="20"/>
                <w:szCs w:val="20"/>
              </w:rPr>
              <w:t xml:space="preserve">DRY_DC_2022_A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Edwards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AST 2023 Annual Compendium reentry event</w:t>
            </w:r>
          </w:p>
        </w:tc>
      </w:tr>
      <w:tr>
        <w:tc>
          <w:tcPr>
            <w:tcW w:w="0" w:type="auto"/>
          </w:tcPr>
          <w:p>
            <w:pPr>
              <w:spacing w:line="240" w:lineRule="auto" w:before="0" w:after="0"/>
              <w:pStyle w:val="Compact"/>
            </w:pPr>
            <w:r>
              <w:rPr>
                <w:sz w:val="20"/>
                <w:szCs w:val="20"/>
              </w:rPr>
              <w:t xml:space="preserve">KSC_DC_2023_A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KSC reentry corridor</w:t>
            </w:r>
          </w:p>
        </w:tc>
        <w:tc>
          <w:tcPr>
            <w:tcW w:w="0" w:type="auto"/>
          </w:tcPr>
          <w:p>
            <w:pPr>
              <w:spacing w:line="240" w:lineRule="auto" w:before="0" w:after="0"/>
              <w:pStyle w:val="Compact"/>
            </w:pPr>
            <w:r>
              <w:rPr>
                <w:sz w:val="20"/>
                <w:szCs w:val="20"/>
              </w:rPr>
              <w:t xml:space="preserve">reentry</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2024 Annual Compendium reentry event</w:t>
            </w:r>
          </w:p>
        </w:tc>
      </w:tr>
      <w:tr>
        <w:tc>
          <w:tcPr>
            <w:tcW w:w="0" w:type="auto"/>
          </w:tcPr>
          <w:p>
            <w:pPr>
              <w:spacing w:line="240" w:lineRule="auto" w:before="0" w:after="0"/>
              <w:pStyle w:val="Compact"/>
            </w:pPr>
            <w:r>
              <w:rPr>
                <w:sz w:val="20"/>
                <w:szCs w:val="20"/>
              </w:rPr>
              <w:t xml:space="preserve">WAL_AN_2024_A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Wallops</w:t>
            </w:r>
          </w:p>
        </w:tc>
        <w:tc>
          <w:tcPr>
            <w:tcW w:w="0" w:type="auto"/>
          </w:tcPr>
          <w:p>
            <w:pPr>
              <w:spacing w:line="240" w:lineRule="auto" w:before="0" w:after="0"/>
              <w:pStyle w:val="Compact"/>
            </w:pPr>
            <w:r>
              <w:rPr>
                <w:sz w:val="20"/>
                <w:szCs w:val="20"/>
              </w:rPr>
              <w:t xml:space="preserve">small_lift</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VSFB_F9_2024_B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Vandenberg</w:t>
            </w:r>
          </w:p>
        </w:tc>
        <w:tc>
          <w:tcPr>
            <w:tcW w:w="0" w:type="auto"/>
          </w:tcPr>
          <w:p>
            <w:pPr>
              <w:spacing w:line="240" w:lineRule="auto" w:before="0" w:after="0"/>
              <w:pStyle w:val="Compact"/>
            </w:pPr>
            <w:r>
              <w:rPr>
                <w:sz w:val="20"/>
                <w:szCs w:val="20"/>
              </w:rPr>
              <w:t xml:space="preserve">medium_lift</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FAA OCST FY2024</w:t>
            </w:r>
          </w:p>
        </w:tc>
      </w:tr>
      <w:tr>
        <w:tc>
          <w:tcPr>
            <w:tcW w:w="0" w:type="auto"/>
          </w:tcPr>
          <w:p>
            <w:pPr>
              <w:spacing w:line="240" w:lineRule="auto" w:before="0" w:after="0"/>
              <w:pStyle w:val="Compact"/>
            </w:pPr>
            <w:r>
              <w:rPr>
                <w:sz w:val="20"/>
                <w:szCs w:val="20"/>
              </w:rPr>
              <w:t xml:space="preserve">CCSFS_FH_2024_A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Cape Canaveral</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heavy-lift event</w:t>
            </w:r>
          </w:p>
        </w:tc>
      </w:tr>
      <w:tr>
        <w:tc>
          <w:tcPr>
            <w:tcW w:w="0" w:type="auto"/>
          </w:tcPr>
          <w:p>
            <w:pPr>
              <w:spacing w:line="240" w:lineRule="auto" w:before="0" w:after="0"/>
              <w:pStyle w:val="Compact"/>
            </w:pPr>
            <w:r>
              <w:rPr>
                <w:sz w:val="20"/>
                <w:szCs w:val="20"/>
              </w:rPr>
              <w:t xml:space="preserve">BOC_SH_2024_B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Boca Chica</w:t>
            </w:r>
          </w:p>
        </w:tc>
        <w:tc>
          <w:tcPr>
            <w:tcW w:w="0" w:type="auto"/>
          </w:tcPr>
          <w:p>
            <w:pPr>
              <w:spacing w:line="240" w:lineRule="auto" w:before="0" w:after="0"/>
              <w:pStyle w:val="Compact"/>
            </w:pPr>
            <w:r>
              <w:rPr>
                <w:sz w:val="20"/>
                <w:szCs w:val="20"/>
              </w:rPr>
              <w:t xml:space="preserve">heavy_lift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2025 Annual Compendium Boca Chica Starship event [illustrative status coding]</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closure_min</w:t>
            </w:r>
          </w:p>
        </w:tc>
        <w:tc>
          <w:tcPr>
            <w:tcW w:w="0" w:type="auto"/>
          </w:tcPr>
          <w:p>
            <w:pPr>
              <w:spacing w:line="240" w:lineRule="auto" w:before="0" w:after="0"/>
              <w:pStyle w:val="Compact"/>
            </w:pPr>
            <w:r>
              <w:rPr>
                <w:sz w:val="20"/>
                <w:szCs w:val="20"/>
              </w:rPr>
              <w:t xml:space="preserve">Time in minutes from FAA Aircraft Hazard Area activation to scheduled release (the survival duration); for events whose closure was extended beyond the published window the value is the published planned duration and the row is right-censored on release.</w:t>
            </w:r>
          </w:p>
        </w:tc>
        <w:tc>
          <w:tcPr>
            <w:tcW w:w="0" w:type="auto"/>
          </w:tcPr>
          <w:p>
            <w:pPr>
              <w:spacing w:line="240" w:lineRule="auto" w:before="0" w:after="0"/>
              <w:pStyle w:val="Compact"/>
            </w:pPr>
            <w:r>
              <w:rPr>
                <w:sz w:val="20"/>
                <w:szCs w:val="20"/>
              </w:rPr>
              <w:t xml:space="preserve">FAA AST Annual Compendium event entries and FAA OCST licensing records per row source.</w:t>
            </w:r>
          </w:p>
        </w:tc>
      </w:tr>
      <w:tr>
        <w:tc>
          <w:tcPr>
            <w:tcW w:w="0" w:type="auto"/>
          </w:tcPr>
          <w:p>
            <w:pPr>
              <w:spacing w:line="240" w:lineRule="auto" w:before="0" w:after="0"/>
              <w:pStyle w:val="Compact"/>
            </w:pPr>
            <w:r>
              <w:rPr>
                <w:sz w:val="20"/>
                <w:szCs w:val="20"/>
              </w:rPr>
              <w:t xml:space="preserve">on_time_release</w:t>
            </w:r>
          </w:p>
        </w:tc>
        <w:tc>
          <w:tcPr>
            <w:tcW w:w="0" w:type="auto"/>
          </w:tcPr>
          <w:p>
            <w:pPr>
              <w:spacing w:line="240" w:lineRule="auto" w:before="0" w:after="0"/>
              <w:pStyle w:val="Compact"/>
            </w:pPr>
            <w:r>
              <w:rPr>
                <w:sz w:val="20"/>
                <w:szCs w:val="20"/>
              </w:rPr>
              <w:t xml:space="preserve">Event indicator: 1 if the Aircraft Hazard Area was released within the published window (an on-schedule reopening of the airspace), 0 if the window was extended due to hold, scrub, or anomaly and the row is right-censored.</w:t>
            </w:r>
          </w:p>
        </w:tc>
        <w:tc>
          <w:tcPr>
            <w:tcW w:w="0" w:type="auto"/>
          </w:tcPr>
          <w:p>
            <w:pPr>
              <w:spacing w:line="240" w:lineRule="auto" w:before="0" w:after="0"/>
              <w:pStyle w:val="Compact"/>
            </w:pPr>
            <w:r>
              <w:rPr>
                <w:sz w:val="20"/>
                <w:szCs w:val="20"/>
              </w:rPr>
              <w:t xml:space="preserve">FAA AST Annual Compendium event status notes and FAA OCST licensing records per row source.</w:t>
            </w:r>
          </w:p>
        </w:tc>
      </w:tr>
      <w:tr>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Natural logarithm of the published Aircraft Hazard Area spatial volume in thousands of cubic feet at the flight-level envelope, a scale measure of the segregated airspace footprint that also tracks vehicle class.</w:t>
            </w:r>
          </w:p>
        </w:tc>
        <w:tc>
          <w:tcPr>
            <w:tcW w:w="0" w:type="auto"/>
          </w:tcPr>
          <w:p>
            <w:pPr>
              <w:spacing w:line="240" w:lineRule="auto" w:before="0" w:after="0"/>
              <w:pStyle w:val="Compact"/>
            </w:pPr>
            <w:r>
              <w:rPr>
                <w:sz w:val="20"/>
                <w:szCs w:val="20"/>
              </w:rPr>
              <w:t xml:space="preserve">FAA AST Annual Compendium event geometry per row source.</w:t>
            </w:r>
          </w:p>
        </w:tc>
      </w:tr>
      <w:tr>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Binary: 1 if the licensed event is a reentry operation (capsule or vehicle return), 0 if the event is an ascent launch.</w:t>
            </w:r>
          </w:p>
        </w:tc>
        <w:tc>
          <w:tcPr>
            <w:tcW w:w="0" w:type="auto"/>
          </w:tcPr>
          <w:p>
            <w:pPr>
              <w:spacing w:line="240" w:lineRule="auto" w:before="0" w:after="0"/>
              <w:pStyle w:val="Compact"/>
            </w:pPr>
            <w:r>
              <w:rPr>
                <w:sz w:val="20"/>
                <w:szCs w:val="20"/>
              </w:rPr>
              <w:t xml:space="preserve">FAA AST Annual Compendium reentry event tagging per row source.</w:t>
            </w:r>
          </w:p>
        </w:tc>
      </w:tr>
      <w:tr>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Binary: 1 if the published Aircraft Hazard Area lies primarily over a coastal or oceanic corridor with attendant en-route commercial traffic, 0 if it lies primarily over interior or sparsely transited airspace.</w:t>
            </w:r>
          </w:p>
        </w:tc>
        <w:tc>
          <w:tcPr>
            <w:tcW w:w="0" w:type="auto"/>
          </w:tcPr>
          <w:p>
            <w:pPr>
              <w:spacing w:line="240" w:lineRule="auto" w:before="0" w:after="0"/>
              <w:pStyle w:val="Compact"/>
            </w:pPr>
            <w:r>
              <w:rPr>
                <w:sz w:val="20"/>
                <w:szCs w:val="20"/>
              </w:rPr>
              <w:t xml:space="preserve">Hand-coded from FAA AST Annual Compendium geometry and BTS TranStats T-100 sector overlap per row source.</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log_aha_volume</w:t>
            </w:r>
          </w:p>
        </w:tc>
        <w:tc>
          <w:tcPr>
            <w:tcW w:w="0" w:type="auto"/>
          </w:tcPr>
          <w:p>
            <w:pPr>
              <w:spacing w:line="240" w:lineRule="auto" w:before="0" w:after="0"/>
              <w:pStyle w:val="Compact"/>
            </w:pPr>
            <w:r>
              <w:rPr>
                <w:sz w:val="20"/>
                <w:szCs w:val="20"/>
              </w:rPr>
              <w:t xml:space="preserve">-6.2875</w:t>
            </w:r>
          </w:p>
        </w:tc>
        <w:tc>
          <w:tcPr>
            <w:tcW w:w="0" w:type="auto"/>
          </w:tcPr>
          <w:p>
            <w:pPr>
              <w:spacing w:line="240" w:lineRule="auto" w:before="0" w:after="0"/>
              <w:pStyle w:val="Compact"/>
            </w:pPr>
            <w:r>
              <w:rPr>
                <w:sz w:val="20"/>
                <w:szCs w:val="20"/>
              </w:rPr>
              <w:t xml:space="preserve">1.6439</w:t>
            </w:r>
          </w:p>
        </w:tc>
        <w:tc>
          <w:tcPr>
            <w:tcW w:w="0" w:type="auto"/>
          </w:tcPr>
          <w:p>
            <w:pPr>
              <w:spacing w:line="240" w:lineRule="auto" w:before="0" w:after="0"/>
              <w:pStyle w:val="Compact"/>
            </w:pPr>
            <w:r>
              <w:rPr>
                <w:sz w:val="20"/>
                <w:szCs w:val="20"/>
              </w:rPr>
              <w:t xml:space="preserve">-3.8248</w:t>
            </w:r>
          </w:p>
        </w:tc>
        <w:tc>
          <w:tcPr>
            <w:tcW w:w="0" w:type="auto"/>
          </w:tcPr>
          <w:p>
            <w:pPr>
              <w:spacing w:line="240" w:lineRule="auto" w:before="0" w:after="0"/>
              <w:pStyle w:val="Compact"/>
            </w:pPr>
            <w:r>
              <w:rPr>
                <w:sz w:val="20"/>
                <w:szCs w:val="20"/>
              </w:rPr>
              <w:t xml:space="preserve">0.0001309</w:t>
            </w:r>
          </w:p>
        </w:tc>
        <w:tc>
          <w:tcPr>
            <w:tcW w:w="0" w:type="auto"/>
          </w:tcPr>
          <w:p>
            <w:pPr>
              <w:spacing w:line="240" w:lineRule="auto" w:before="0" w:after="0"/>
              <w:pStyle w:val="Compact"/>
            </w:pPr>
            <w:r>
              <w:rPr>
                <w:sz w:val="20"/>
                <w:szCs w:val="20"/>
              </w:rPr>
              <w:t xml:space="preserve">[-9.5095, -3.0655]</w:t>
            </w:r>
          </w:p>
        </w:tc>
        <w:tc>
          <w:tcPr>
            <w:tcW w:w="0" w:type="auto"/>
          </w:tcPr>
          <w:p>
            <w:pPr>
              <w:spacing w:line="240" w:lineRule="auto" w:before="0" w:after="0"/>
              <w:pStyle w:val="Compact"/>
            </w:pPr>
            <w:r>
              <w:rPr>
                <w:sz w:val="20"/>
                <w:szCs w:val="20"/>
              </w:rPr>
              <w:t xml:space="preserve">0.0019</w:t>
            </w:r>
          </w:p>
        </w:tc>
      </w:tr>
      <w:tr>
        <w:tc>
          <w:tcPr>
            <w:tcW w:w="0" w:type="auto"/>
          </w:tcPr>
          <w:p>
            <w:pPr>
              <w:spacing w:line="240" w:lineRule="auto" w:before="0" w:after="0"/>
              <w:pStyle w:val="Compact"/>
            </w:pPr>
            <w:r>
              <w:rPr>
                <w:sz w:val="20"/>
                <w:szCs w:val="20"/>
              </w:rPr>
              <w:t xml:space="preserve">reentry_event</w:t>
            </w:r>
          </w:p>
        </w:tc>
        <w:tc>
          <w:tcPr>
            <w:tcW w:w="0" w:type="auto"/>
          </w:tcPr>
          <w:p>
            <w:pPr>
              <w:spacing w:line="240" w:lineRule="auto" w:before="0" w:after="0"/>
              <w:pStyle w:val="Compact"/>
            </w:pPr>
            <w:r>
              <w:rPr>
                <w:sz w:val="20"/>
                <w:szCs w:val="20"/>
              </w:rPr>
              <w:t xml:space="preserve">1.578</w:t>
            </w:r>
          </w:p>
        </w:tc>
        <w:tc>
          <w:tcPr>
            <w:tcW w:w="0" w:type="auto"/>
          </w:tcPr>
          <w:p>
            <w:pPr>
              <w:spacing w:line="240" w:lineRule="auto" w:before="0" w:after="0"/>
              <w:pStyle w:val="Compact"/>
            </w:pPr>
            <w:r>
              <w:rPr>
                <w:sz w:val="20"/>
                <w:szCs w:val="20"/>
              </w:rPr>
              <w:t xml:space="preserve">1.1719</w:t>
            </w:r>
          </w:p>
        </w:tc>
        <w:tc>
          <w:tcPr>
            <w:tcW w:w="0" w:type="auto"/>
          </w:tcPr>
          <w:p>
            <w:pPr>
              <w:spacing w:line="240" w:lineRule="auto" w:before="0" w:after="0"/>
              <w:pStyle w:val="Compact"/>
            </w:pPr>
            <w:r>
              <w:rPr>
                <w:sz w:val="20"/>
                <w:szCs w:val="20"/>
              </w:rPr>
              <w:t xml:space="preserve">1.3466</w:t>
            </w:r>
          </w:p>
        </w:tc>
        <w:tc>
          <w:tcPr>
            <w:tcW w:w="0" w:type="auto"/>
          </w:tcPr>
          <w:p>
            <w:pPr>
              <w:spacing w:line="240" w:lineRule="auto" w:before="0" w:after="0"/>
              <w:pStyle w:val="Compact"/>
            </w:pPr>
            <w:r>
              <w:rPr>
                <w:sz w:val="20"/>
                <w:szCs w:val="20"/>
              </w:rPr>
              <w:t xml:space="preserve">0.1781</w:t>
            </w:r>
          </w:p>
        </w:tc>
        <w:tc>
          <w:tcPr>
            <w:tcW w:w="0" w:type="auto"/>
          </w:tcPr>
          <w:p>
            <w:pPr>
              <w:spacing w:line="240" w:lineRule="auto" w:before="0" w:after="0"/>
              <w:pStyle w:val="Compact"/>
            </w:pPr>
            <w:r>
              <w:rPr>
                <w:sz w:val="20"/>
                <w:szCs w:val="20"/>
              </w:rPr>
              <w:t xml:space="preserve">[-0.7188, 3.8748]</w:t>
            </w:r>
          </w:p>
        </w:tc>
        <w:tc>
          <w:tcPr>
            <w:tcW w:w="0" w:type="auto"/>
          </w:tcPr>
          <w:p>
            <w:pPr>
              <w:spacing w:line="240" w:lineRule="auto" w:before="0" w:after="0"/>
              <w:pStyle w:val="Compact"/>
            </w:pPr>
            <w:r>
              <w:rPr>
                <w:sz w:val="20"/>
                <w:szCs w:val="20"/>
              </w:rPr>
              <w:t xml:space="preserve">4.8452</w:t>
            </w:r>
          </w:p>
        </w:tc>
      </w:tr>
      <w:tr>
        <w:tc>
          <w:tcPr>
            <w:tcW w:w="0" w:type="auto"/>
          </w:tcPr>
          <w:p>
            <w:pPr>
              <w:spacing w:line="240" w:lineRule="auto" w:before="0" w:after="0"/>
              <w:pStyle w:val="Compact"/>
            </w:pPr>
            <w:r>
              <w:rPr>
                <w:sz w:val="20"/>
                <w:szCs w:val="20"/>
              </w:rPr>
              <w:t xml:space="preserve">coastal_corridor</w:t>
            </w:r>
          </w:p>
        </w:tc>
        <w:tc>
          <w:tcPr>
            <w:tcW w:w="0" w:type="auto"/>
          </w:tcPr>
          <w:p>
            <w:pPr>
              <w:spacing w:line="240" w:lineRule="auto" w:before="0" w:after="0"/>
              <w:pStyle w:val="Compact"/>
            </w:pPr>
            <w:r>
              <w:rPr>
                <w:sz w:val="20"/>
                <w:szCs w:val="20"/>
              </w:rPr>
              <w:t xml:space="preserve">-0.7647</w:t>
            </w:r>
          </w:p>
        </w:tc>
        <w:tc>
          <w:tcPr>
            <w:tcW w:w="0" w:type="auto"/>
          </w:tcPr>
          <w:p>
            <w:pPr>
              <w:spacing w:line="240" w:lineRule="auto" w:before="0" w:after="0"/>
              <w:pStyle w:val="Compact"/>
            </w:pPr>
            <w:r>
              <w:rPr>
                <w:sz w:val="20"/>
                <w:szCs w:val="20"/>
              </w:rPr>
              <w:t xml:space="preserve">1.4058</w:t>
            </w:r>
          </w:p>
        </w:tc>
        <w:tc>
          <w:tcPr>
            <w:tcW w:w="0" w:type="auto"/>
          </w:tcPr>
          <w:p>
            <w:pPr>
              <w:spacing w:line="240" w:lineRule="auto" w:before="0" w:after="0"/>
              <w:pStyle w:val="Compact"/>
            </w:pPr>
            <w:r>
              <w:rPr>
                <w:sz w:val="20"/>
                <w:szCs w:val="20"/>
              </w:rPr>
              <w:t xml:space="preserve">-0.544</w:t>
            </w:r>
          </w:p>
        </w:tc>
        <w:tc>
          <w:tcPr>
            <w:tcW w:w="0" w:type="auto"/>
          </w:tcPr>
          <w:p>
            <w:pPr>
              <w:spacing w:line="240" w:lineRule="auto" w:before="0" w:after="0"/>
              <w:pStyle w:val="Compact"/>
            </w:pPr>
            <w:r>
              <w:rPr>
                <w:sz w:val="20"/>
                <w:szCs w:val="20"/>
              </w:rPr>
              <w:t xml:space="preserve">0.5865</w:t>
            </w:r>
          </w:p>
        </w:tc>
        <w:tc>
          <w:tcPr>
            <w:tcW w:w="0" w:type="auto"/>
          </w:tcPr>
          <w:p>
            <w:pPr>
              <w:spacing w:line="240" w:lineRule="auto" w:before="0" w:after="0"/>
              <w:pStyle w:val="Compact"/>
            </w:pPr>
            <w:r>
              <w:rPr>
                <w:sz w:val="20"/>
                <w:szCs w:val="20"/>
              </w:rPr>
              <w:t xml:space="preserve">[-3.52, 1.9906]</w:t>
            </w:r>
          </w:p>
        </w:tc>
        <w:tc>
          <w:tcPr>
            <w:tcW w:w="0" w:type="auto"/>
          </w:tcPr>
          <w:p>
            <w:pPr>
              <w:spacing w:line="240" w:lineRule="auto" w:before="0" w:after="0"/>
              <w:pStyle w:val="Compact"/>
            </w:pPr>
            <w:r>
              <w:rPr>
                <w:sz w:val="20"/>
                <w:szCs w:val="20"/>
              </w:rPr>
              <w:t xml:space="preserve">0.4655</w:t>
            </w:r>
          </w:p>
        </w:tc>
      </w:tr>
    </w:tbl>
    <w:p>
      <w:pPr>
        <w:pStyle w:val="BodyText"/>
      </w:pPr>
      <w:r>
        <w:t xml:space="preserve">Fit: N = 32 events = 27</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68"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2026-06-27T00:26:06Z</dcterms:created>
  <dcterms:modified xsi:type="dcterms:W3CDTF">2026-06-27T00:26:06Z</dcterms:modified>
</cp:coreProperties>
</file>

<file path=docProps/custom.xml><?xml version="1.0" encoding="utf-8"?>
<Properties xmlns="http://schemas.openxmlformats.org/officeDocument/2006/custom-properties" xmlns:vt="http://schemas.openxmlformats.org/officeDocument/2006/docPropsVTypes"/>
</file>