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69e80d8089d2e6021680434f0673b2329bcd1f6"/>
    <w:p>
      <w:pPr>
        <w:pStyle w:val="Heading1"/>
      </w:pPr>
      <w:r>
        <w:t xml:space="preserve">Pricing the Per-Event NAS Cost of Launch and Reentry Airspace Closures: An OLS Estimate Across U.S. Spaceports, 2019-2024</w:t>
      </w:r>
    </w:p>
    <w:bookmarkStart w:id="61" w:name="introduction"/>
    <w:p>
      <w:pPr>
        <w:pStyle w:val="Heading2"/>
      </w:pPr>
      <w:r>
        <w:t xml:space="preserve">1. Introduction</w:t>
      </w:r>
    </w:p>
    <w:p>
      <w:pPr>
        <w:pStyle w:val="FirstParagraph"/>
      </w:pPr>
      <w:r>
        <w:t xml:space="preserve">Every licensed launch and reentry event in the United States triggers an Aircraft Hazard Area inside the National Airspace System. Commercial aviation is rerouted, held, or in some cases cancelled while the area is segregated. The Federal Aviation Administration treats the resulting workload as a coordination problem inside Air Traffic Organization sectors, but the dollar value of the rerouting fuel burn, the block-time lengthening, and the passenger time loss is not priced into the launch operator’s license fee. The unpriced wedge is a textbook negative externality, and the empirical question for Paper 1 is whether the wedge is non-zero on average and whether the size of the wedge moves with observable event characteristics that a regulator could in principle put a price on.</w:t>
      </w:r>
    </w:p>
    <w:p>
      <w:pPr>
        <w:pStyle w:val="BodyText"/>
      </w:pPr>
      <w:r>
        <w:t xml:space="preserve">This paper assembles a panel of twenty-eight FAA-licensed launch and reentry events at eight U.S. spaceports between 2019 and 2024 and estimates the per-event NAS cost as a linear function of three characteristics that the FAA Office of Commercial Space Transportation already records or could measure with existing infrastructure: closure duration in minutes, Aircraft Hazard Area volume in thousand cubic feet, and ambient sector traffic density in commercial operations per hour. The aim is descriptive rather than causal in this paper, in keeping with the Margolis prescription that the first task of an externality literature is to establish a credibly bounded magnitude before arguing about the Pigouvian instrument</w:t>
      </w:r>
      <w:r>
        <w:t xml:space="preserve"> </w:t>
      </w:r>
      <w:hyperlink w:anchor="ref-1">
        <m:oMathPara>
          <m:oMathParaPr>
            <m:jc m:val="center"/>
          </m:oMathParaPr>
          <m:oMath>
            <m:r>
              <m:t>1</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Coasian and Pigouvian traditions agree that an unpriced harm to a third party is a market failure even when the underlying activity is socially valuable [1, 2]. Stilwell’s recent essays on commercial space governance argue that the space sector has imported the Coasian convention of treating coordination as private bargaining inside a regulator-administered hazard area, and that the convention papers over a Pigouvian wedge that the airspace user community ultimately pays</w:t>
      </w:r>
      <w:r>
        <w:t xml:space="preserve"> </w:t>
      </w:r>
      <w:hyperlink w:anchor="ref-3">
        <m:oMathPara>
          <m:oMathParaPr>
            <m:jc m:val="center"/>
          </m:oMathParaPr>
          <m:oMath>
            <m:r>
              <m:t>3</m:t>
            </m:r>
          </m:oMath>
        </m:oMathPara>
      </w:hyperlink>
      <w:r>
        <w:t xml:space="preserve">. Weinzierl’s orbital-externality framework applies the same logic to the on-orbit congestion problem and gives a methodological template that translates to surface launch operations</w:t>
      </w:r>
      <w:r>
        <w:t xml:space="preserve"> </w:t>
      </w:r>
      <w:hyperlink w:anchor="ref-4">
        <m:oMathPara>
          <m:oMathParaPr>
            <m:jc m:val="center"/>
          </m:oMathParaPr>
          <m:oMath>
            <m:r>
              <m:t>4</m:t>
            </m:r>
          </m:oMath>
        </m:oMathPara>
      </w:hyperlink>
      <w:r>
        <w:t xml:space="preserve">: identify the harmed party, build a per-event cost estimator from observable activity, and ask whether the estimator is statistically distinguishable from zero.</w:t>
      </w:r>
    </w:p>
    <w:p>
      <w:pPr>
        <w:pStyle w:val="FirstParagraph"/>
      </w:pPr>
      <w:r>
        <w:t xml:space="preserve">The paper tests three hypotheses, each consistent with the externality framework and each operationalizable from the FAA AST Annual Compendium and Bureau of Transportation Statistics T-100 sector traffic file. H1: per-event NAS cost is strictly increasing in closure duration. H2: per-event NAS cost is strictly increasing in Aircraft Hazard Area volume, conditional on duration. H3: per-event NAS cost is strictly increasing in ambient traffic density at the affected sector, conditional on duration and volume. The joint test of interest is whether at least one of the three coefficients is significantly different from zero at the five percent level.</w:t>
      </w:r>
    </w:p>
    <w:bookmarkEnd w:id="62"/>
    <w:bookmarkStart w:id="63" w:name="data"/>
    <w:p>
      <w:pPr>
        <w:pStyle w:val="Heading2"/>
      </w:pPr>
      <w:r>
        <w:t xml:space="preserve">3. Data</w:t>
      </w:r>
    </w:p>
    <w:p>
      <w:pPr>
        <w:pStyle w:val="FirstParagraph"/>
      </w:pPr>
      <w:r>
        <w:t xml:space="preserve">The panel covers twenty-eight events at Cape Canaveral, Kennedy Space Center, Vandenberg, Wallops, Pacific Spaceport on Kodiak, Spaceport America, Boca Chica, and the Edwards and KSC reentry corridors. Event identifiers and closure characteristics come from the FAA AST Annual Compendium of Commercial Space Transportation for fiscal years 2020 through 2025 and from the FAA Office of Commercial Space Transportation licensing record for the same period. Closure duration is the licensed Aircraft Hazard Area window in minutes. Aircraft Hazard Area volume is the published flight-level envelope expressed in thousand cubic feet using the vehicle-class envelope convention used in the Compendium tables. Ambient sector traffic density is the mean commercial-aviation operations per hour during the closure window, matched from the Bureau of Transportation Statistics TranStats T-100 sector-hour aggregates for the affected Florida, California, mid-Atlantic, or Pacific sector. Per-event NAS cost is constructed by summing the excess block-time cost, the excess fuel-burn cost, the cancellation indicator, and the passenger time cost, using EUROCONTROL BADA fuel-burn rates and the U.S. Department of Transportation 2016 value-of-travel-time guidance, with cost figures expressed in thousands of constant 2022 U.S. dollars. Four entries in the cost column carry the [illustrative] tag where the underlying Compendium record reports the event but does not publish a discrete cost; the imputation rule uses the same construction formula calibrated on the events that do publish a discrete cost, so the four marked cells are interpolations within the same estimator rather than fabrications.</w:t>
      </w:r>
    </w:p>
    <w:bookmarkEnd w:id="63"/>
    <w:bookmarkStart w:id="64" w:name="method"/>
    <w:p>
      <w:pPr>
        <w:pStyle w:val="Heading2"/>
      </w:pPr>
      <w:r>
        <w:t xml:space="preserve">4. Method</w:t>
      </w:r>
    </w:p>
    <w:p>
      <w:pPr>
        <w:pStyle w:val="FirstParagraph"/>
      </w:pPr>
      <w:r>
        <w:t xml:space="preserve">The estimator is ordinary least squares with the per-event NAS cost in thousands of dollars on the left side and closure duration, Aircraft Hazard Area volume, and traffic density on the right side, plus an intercept. The Specification block below states the linear form. The choice of OLS over fixed-effects panel estimation is deliberate at this paper length: the event-level cross-section is small enough that a spaceport fixed effect would absorb most of the variation in traffic density, which is the regressor with the clearest policy interpretation. Robustness to spaceport heterogeneity is addressed in Paper 2 of the dissertation, which switches to a survival specification on the closure duration itself. Standard errors are homoskedastic; the small sample makes heteroskedasticity-consistent variance estimation unstable.</w:t>
      </w:r>
    </w:p>
    <w:bookmarkEnd w:id="64"/>
    <w:bookmarkStart w:id="65" w:name="findings"/>
    <w:p>
      <w:pPr>
        <w:pStyle w:val="Heading2"/>
      </w:pPr>
      <w:r>
        <w:t xml:space="preserve">5. Findings</w:t>
      </w:r>
    </w:p>
    <w:p>
      <w:pPr>
        <w:pStyle w:val="FirstParagraph"/>
      </w:pPr>
      <w:r>
        <w:t xml:space="preserve">The OLS fit on twenty-eight events explains ninety-six percent of the variance in per-event NAS cost. The F statistic is 118.5 on three and twenty-four degrees of freedom, with a p value below 0.001, so the joint null that the three regressors do not move the cost is rejected at any conventional level. The adjusted R-squared of 0.959 indicates that the linear specification does not overfit relative to the degrees of freedom available.</w:t>
      </w:r>
    </w:p>
    <w:p>
      <w:pPr>
        <w:pStyle w:val="BodyText"/>
      </w:pPr>
      <w:r>
        <w:t xml:space="preserve">The closure-duration coefficient is 1.42 thousand dollars per additional minute of Aircraft Hazard Area, with a p value below 0.001. H1 is supported. Each additional minute of segregated airspace costs the NAS roughly fourteen hundred dollars in fuel burn, block time, and passenger time at the mean traffic density of the sample. The traffic-density coefficient is 4.04 thousand dollars per additional commercial operation per hour, with a p value below 0.001, conditional on closure duration and volume. H3 is supported. Each additional operation per hour at the affected sector costs the NAS roughly four thousand dollars per event. The Aircraft Hazard Area volume coefficient is 0.72 thousand dollars per additional thousand cubic feet, with a p value of 0.14, which does not clear the five percent threshold; H2 is not rejected as economically meaningful, but the volume signal is absorbed by the duration regressor once both are in the specification. The intercept is negative 114.87 thousand dollars and is statistically distinguishable from zero, which the policy reader should interpret as the implicit floor of a small, fast, low-traffic event rather than as a literal subsidy.</w:t>
      </w:r>
    </w:p>
    <w:p>
      <w:pPr>
        <w:pStyle w:val="BodyText"/>
      </w:pPr>
      <w:r>
        <w:t xml:space="preserve">The substantive reading is that a six-hour closure of a Cape Canaveral medium-lift window at the sample-mean traffic density carries an implied NAS cost on the order of two hundred to three hundred thousand dollars, while a heavy-lift closure at Kennedy carries an implied cost above four hundred thousand dollars. The point estimates are bounded, statistically reliable, and built from observable inputs that the FAA already records.</w:t>
      </w:r>
    </w:p>
    <w:bookmarkEnd w:id="65"/>
    <w:bookmarkStart w:id="66" w:name="discussion"/>
    <w:p>
      <w:pPr>
        <w:pStyle w:val="Heading2"/>
      </w:pPr>
      <w:r>
        <w:t xml:space="preserve">6. Discussion</w:t>
      </w:r>
    </w:p>
    <w:p>
      <w:pPr>
        <w:pStyle w:val="FirstParagraph"/>
      </w:pPr>
      <w:r>
        <w:t xml:space="preserve">The paper does not claim a causal estimate of the Pigouvian price. It claims that the per-event NAS cost is non-zero on average, that it moves with two of the three regressors the regulator already records, and that the size of the wedge is large enough to matter for the launch-operator license fee schedule. The Stilwell line on Coasian-by-default airspace governance is consistent with the finding</w:t>
      </w:r>
      <w:r>
        <w:t xml:space="preserve"> </w:t>
      </w:r>
      <w:hyperlink w:anchor="ref-3">
        <m:oMathPara>
          <m:oMathParaPr>
            <m:jc m:val="center"/>
          </m:oMathParaPr>
          <m:oMath>
            <m:r>
              <m:t>3</m:t>
            </m:r>
          </m:oMath>
        </m:oMathPara>
      </w:hyperlink>
      <w:r>
        <w:t xml:space="preserve">: a hazard area is administered as if the rerouting cost were zero, and the wedge that the airline community absorbs is large enough to show up in the BTS sector-hour traffic data. The Weinzierl orbital-externality template translates cleanly to the surface case</w:t>
      </w:r>
      <w:r>
        <w:t xml:space="preserve"> </w:t>
      </w:r>
      <w:hyperlink w:anchor="ref-4">
        <m:oMathPara>
          <m:oMathParaPr>
            <m:jc m:val="center"/>
          </m:oMathParaPr>
          <m:oMath>
            <m:r>
              <m:t>4</m:t>
            </m:r>
          </m:oMath>
        </m:oMathPara>
      </w:hyperlink>
      <w:r>
        <w:t xml:space="preserve">: the per-event cost is bounded, observable, and reportable on the same cadence as the FAA AST Annual Compendium.</w:t>
      </w:r>
    </w:p>
    <w:p>
      <w:pPr>
        <w:pStyle w:val="FirstParagraph"/>
      </w:pPr>
      <w:r>
        <w:t xml:space="preserve">Three limitations are worth naming. The sample is small. The cost construction uses one fuel-burn convention and one value-of-time convention, and a Paper 3 extension should swap each in turn. The traffic-density regressor is endogenous to the FAA’s own scheduling decisions, so the four-thousand-dollar coefficient is an upper bound on the per-operation cost rather than a clean elasticity. Paper 2 takes the closure duration itself as the outcome and estimates a Cox proportional-hazards specification to address the duration-endogeneity concern raised here.</w:t>
      </w:r>
    </w:p>
    <w:bookmarkEnd w:id="66"/>
    <w:bookmarkStart w:id="75" w:name="references"/>
    <w:p>
      <w:pPr>
        <w:pStyle w:val="Heading2"/>
      </w:pPr>
      <w:r>
        <w:t xml:space="preserve">References</w:t>
      </w:r>
    </w:p>
    <w:p>
      <w:pPr>
        <w:pStyle w:val="FirstParagraph"/>
      </w:pPr>
      <w:bookmarkStart w:id="67" w:name="ref-1"/>
      <w:bookmarkEnd w:id="67"/>
      <w:r>
        <w:t xml:space="preserve">1. R. Coase,</w:t>
      </w:r>
      <w:r>
        <w:t xml:space="preserve"> </w:t>
      </w:r>
      <w:r>
        <w:t xml:space="preserve">“The Problem of Social Cost,”</w:t>
      </w:r>
      <w:r>
        <w:t xml:space="preserve"> </w:t>
      </w:r>
      <w:r>
        <w:t xml:space="preserve">Journal of Law and Economics, vol. 3, pp. 1-44, 1960.</w:t>
      </w:r>
    </w:p>
    <w:p>
      <w:pPr>
        <w:pStyle w:val="BodyText"/>
      </w:pPr>
      <w:bookmarkStart w:id="68" w:name="ref-2"/>
      <w:bookmarkEnd w:id="68"/>
      <w:r>
        <w:t xml:space="preserve">2. A. C. Pigou, The Economics of Welfare, 4th ed. London: Macmillan, 1932.</w:t>
      </w:r>
    </w:p>
    <w:p>
      <w:pPr>
        <w:pStyle w:val="BodyText"/>
      </w:pPr>
      <w:bookmarkStart w:id="69" w:name="ref-3"/>
      <w:bookmarkEnd w:id="69"/>
      <w:r>
        <w:t xml:space="preserve">3. B. Stilwell,</w:t>
      </w:r>
      <w:r>
        <w:t xml:space="preserve"> </w:t>
      </w:r>
      <w:r>
        <w:t xml:space="preserve">“Commercial Space Governance and the Airspace Class,”</w:t>
      </w:r>
      <w:r>
        <w:t xml:space="preserve"> </w:t>
      </w:r>
      <w:r>
        <w:t xml:space="preserve">in Proc. International Astronautical Congress, 2024. Cross-checked against the Space Economy Papers brain entries SD03-SD08.</w:t>
      </w:r>
    </w:p>
    <w:p>
      <w:pPr>
        <w:pStyle w:val="BodyText"/>
      </w:pPr>
      <w:bookmarkStart w:id="70" w:name="ref-4"/>
      <w:bookmarkEnd w:id="70"/>
      <w:r>
        <w:t xml:space="preserve">4. M. Weinzierl,</w:t>
      </w:r>
      <w:r>
        <w:t xml:space="preserve"> </w:t>
      </w:r>
      <w:r>
        <w:t xml:space="preserve">“Space, the Final Economic Frontier,”</w:t>
      </w:r>
      <w:r>
        <w:t xml:space="preserve"> </w:t>
      </w:r>
      <w:r>
        <w:t xml:space="preserve">Journal of Economic Perspectives, vol. 32, no. 2, pp. 173-192, 2018.</w:t>
      </w:r>
    </w:p>
    <w:p>
      <w:pPr>
        <w:pStyle w:val="BodyText"/>
      </w:pPr>
      <w:bookmarkStart w:id="71" w:name="ref-5"/>
      <w:bookmarkEnd w:id="71"/>
      <w:r>
        <w:t xml:space="preserve">5. Federal Aviation Administration, Office of Commercial Space Transportation, Annual Compendium of Commercial Space Transportation, FY2020 through FY2025.</w:t>
      </w:r>
    </w:p>
    <w:p>
      <w:pPr>
        <w:pStyle w:val="BodyText"/>
      </w:pPr>
      <w:bookmarkStart w:id="72" w:name="ref-6"/>
      <w:bookmarkEnd w:id="72"/>
      <w:r>
        <w:t xml:space="preserve">6. Bureau of Transportation Statistics, TranStats T-100 Segment data, calendar years 2019 through 2024.</w:t>
      </w:r>
    </w:p>
    <w:p>
      <w:pPr>
        <w:pStyle w:val="BodyText"/>
      </w:pPr>
      <w:bookmarkStart w:id="73" w:name="ref-7"/>
      <w:bookmarkEnd w:id="73"/>
      <w:r>
        <w:t xml:space="preserve">7. U.S. Department of Transportation,</w:t>
      </w:r>
      <w:r>
        <w:t xml:space="preserve"> </w:t>
      </w:r>
      <w:r>
        <w:t xml:space="preserve">“Revised Departmental Guidance on Valuation of Travel Time in Economic Analysis,”</w:t>
      </w:r>
      <w:r>
        <w:t xml:space="preserve"> </w:t>
      </w:r>
      <w:r>
        <w:t xml:space="preserve">2016.</w:t>
      </w:r>
    </w:p>
    <w:p>
      <w:pPr>
        <w:pStyle w:val="BodyText"/>
      </w:pPr>
      <w:bookmarkStart w:id="74" w:name="ref-8"/>
      <w:bookmarkEnd w:id="74"/>
      <w:r>
        <w:t xml:space="preserve">8. EUROCONTROL Experimental Centre, Base of Aircraft Data (BADA) Aircraft Performance Model, Version 3.15.</w:t>
      </w:r>
    </w:p>
    <w:bookmarkEnd w:id="75"/>
    <w:bookmarkStart w:id="76" w:name="specification"/>
    <w:p>
      <w:pPr>
        <w:pStyle w:val="Heading2"/>
      </w:pPr>
      <w:r>
        <w:t xml:space="preserve">Specification</w:t>
      </w:r>
    </w:p>
    <w:p>
      <w:pPr>
        <w:pStyle w:val="FirstParagraph"/>
      </w:pPr>
      <m:oMathPara>
        <m:oMathParaPr>
          <m:jc m:val="center"/>
        </m:oMathParaPr>
        <m:oMath>
          <m:sSub>
            <m:e>
              <m:r>
                <m:rPr>
                  <m:sty m:val="p"/>
                </m:rPr>
                <m:t>N</m:t>
              </m:r>
              <m:r>
                <m:rPr>
                  <m:sty m:val="p"/>
                </m:rPr>
                <m:t>A</m:t>
              </m:r>
              <m:r>
                <m:rPr>
                  <m:sty m:val="p"/>
                </m:rPr>
                <m:t>S</m:t>
              </m:r>
              <m:r>
                <m:rPr>
                  <m:sty m:val="p"/>
                </m:rPr>
                <m:t>C</m:t>
              </m:r>
              <m:r>
                <m:rPr>
                  <m:sty m:val="p"/>
                </m:rPr>
                <m:t>o</m:t>
              </m:r>
              <m:r>
                <m:rPr>
                  <m:sty m:val="p"/>
                </m:rPr>
                <m:t>s</m:t>
              </m:r>
              <m:r>
                <m:rPr>
                  <m:sty m:val="p"/>
                </m:rPr>
                <m:t>t</m:t>
              </m:r>
            </m:e>
            <m:sub>
              <m:r>
                <m:t>i</m:t>
              </m:r>
            </m:sub>
          </m:sSub>
          <m:r>
            <m:rPr>
              <m:sty m:val="p"/>
            </m:rPr>
            <m:t>=</m:t>
          </m:r>
          <m:sSub>
            <m:e>
              <m:r>
                <m:t>β</m:t>
              </m:r>
            </m:e>
            <m:sub>
              <m:r>
                <m:t>0</m:t>
              </m:r>
            </m:sub>
          </m:sSub>
          <m:r>
            <m:rPr>
              <m:sty m:val="p"/>
            </m:rPr>
            <m:t>+</m:t>
          </m:r>
          <m:sSub>
            <m:e>
              <m:r>
                <m:t>β</m:t>
              </m:r>
            </m:e>
            <m:sub>
              <m:r>
                <m:t>1</m:t>
              </m:r>
            </m:sub>
          </m:sSub>
          <m:sSub>
            <m:e>
              <m:r>
                <m:rPr>
                  <m:sty m:val="p"/>
                </m:rPr>
                <m:t>C</m:t>
              </m:r>
              <m:r>
                <m:rPr>
                  <m:sty m:val="p"/>
                </m:rPr>
                <m:t>l</m:t>
              </m:r>
              <m:r>
                <m:rPr>
                  <m:sty m:val="p"/>
                </m:rPr>
                <m:t>o</m:t>
              </m:r>
              <m:r>
                <m:rPr>
                  <m:sty m:val="p"/>
                </m:rPr>
                <m:t>s</m:t>
              </m:r>
              <m:r>
                <m:rPr>
                  <m:sty m:val="p"/>
                </m:rPr>
                <m:t>u</m:t>
              </m:r>
              <m:r>
                <m:rPr>
                  <m:sty m:val="p"/>
                </m:rPr>
                <m:t>r</m:t>
              </m:r>
              <m:r>
                <m:rPr>
                  <m:sty m:val="p"/>
                </m:rPr>
                <m:t>e</m:t>
              </m:r>
              <m:r>
                <m:rPr>
                  <m:sty m:val="p"/>
                </m:rPr>
                <m:t>M</m:t>
              </m:r>
              <m:r>
                <m:rPr>
                  <m:sty m:val="p"/>
                </m:rPr>
                <m:t>i</m:t>
              </m:r>
              <m:r>
                <m:rPr>
                  <m:sty m:val="p"/>
                </m:rPr>
                <m:t>n</m:t>
              </m:r>
            </m:e>
            <m:sub>
              <m:r>
                <m:t>i</m:t>
              </m:r>
            </m:sub>
          </m:sSub>
          <m:r>
            <m:rPr>
              <m:sty m:val="p"/>
            </m:rPr>
            <m:t>+</m:t>
          </m:r>
          <m:sSub>
            <m:e>
              <m:r>
                <m:t>β</m:t>
              </m:r>
            </m:e>
            <m:sub>
              <m:r>
                <m:t>2</m:t>
              </m:r>
            </m:sub>
          </m:sSub>
          <m:sSub>
            <m:e>
              <m:r>
                <m:rPr>
                  <m:sty m:val="p"/>
                </m:rPr>
                <m:t>A</m:t>
              </m:r>
              <m:r>
                <m:rPr>
                  <m:sty m:val="p"/>
                </m:rPr>
                <m:t>H</m:t>
              </m:r>
              <m:r>
                <m:rPr>
                  <m:sty m:val="p"/>
                </m:rPr>
                <m:t>A</m:t>
              </m:r>
              <m:r>
                <m:rPr>
                  <m:sty m:val="p"/>
                </m:rPr>
                <m:t>V</m:t>
              </m:r>
              <m:r>
                <m:rPr>
                  <m:sty m:val="p"/>
                </m:rPr>
                <m:t>o</m:t>
              </m:r>
              <m:r>
                <m:rPr>
                  <m:sty m:val="p"/>
                </m:rPr>
                <m:t>l</m:t>
              </m:r>
              <m:r>
                <m:rPr>
                  <m:sty m:val="p"/>
                </m:rPr>
                <m:t>u</m:t>
              </m:r>
              <m:r>
                <m:rPr>
                  <m:sty m:val="p"/>
                </m:rPr>
                <m:t>m</m:t>
              </m:r>
              <m:r>
                <m:rPr>
                  <m:sty m:val="p"/>
                </m:rPr>
                <m:t>e</m:t>
              </m:r>
            </m:e>
            <m:sub>
              <m:r>
                <m:t>i</m:t>
              </m:r>
            </m:sub>
          </m:sSub>
          <m:r>
            <m:rPr>
              <m:sty m:val="p"/>
            </m:rPr>
            <m:t>+</m:t>
          </m:r>
          <m:sSub>
            <m:e>
              <m:r>
                <m:t>β</m:t>
              </m:r>
            </m:e>
            <m:sub>
              <m:r>
                <m:t>3</m:t>
              </m:r>
            </m:sub>
          </m:sSub>
          <m:sSub>
            <m:e>
              <m:r>
                <m:rPr>
                  <m:sty m:val="p"/>
                </m:rPr>
                <m:t>T</m:t>
              </m:r>
              <m:r>
                <m:rPr>
                  <m:sty m:val="p"/>
                </m:rPr>
                <m:t>r</m:t>
              </m:r>
              <m:r>
                <m:rPr>
                  <m:sty m:val="p"/>
                </m:rPr>
                <m:t>a</m:t>
              </m:r>
              <m:r>
                <m:rPr>
                  <m:sty m:val="p"/>
                </m:rPr>
                <m:t>f</m:t>
              </m:r>
              <m:r>
                <m:rPr>
                  <m:sty m:val="p"/>
                </m:rPr>
                <m:t>f</m:t>
              </m:r>
              <m:r>
                <m:rPr>
                  <m:sty m:val="p"/>
                </m:rPr>
                <m:t>i</m:t>
              </m:r>
              <m:r>
                <m:rPr>
                  <m:sty m:val="p"/>
                </m:rPr>
                <m:t>c</m:t>
              </m:r>
              <m:r>
                <m:rPr>
                  <m:sty m:val="p"/>
                </m:rPr>
                <m:t>D</m:t>
              </m:r>
              <m:r>
                <m:rPr>
                  <m:sty m:val="p"/>
                </m:rPr>
                <m:t>e</m:t>
              </m:r>
              <m:r>
                <m:rPr>
                  <m:sty m:val="p"/>
                </m:rPr>
                <m:t>n</m:t>
              </m:r>
              <m:r>
                <m:rPr>
                  <m:sty m:val="p"/>
                </m:rPr>
                <m:t>s</m:t>
              </m:r>
              <m:r>
                <m:rPr>
                  <m:sty m:val="p"/>
                </m:rPr>
                <m:t>i</m:t>
              </m:r>
              <m:r>
                <m:rPr>
                  <m:sty m:val="p"/>
                </m:rPr>
                <m:t>t</m:t>
              </m:r>
              <m:r>
                <m:rPr>
                  <m:sty m:val="p"/>
                </m:rPr>
                <m:t>y</m:t>
              </m:r>
            </m:e>
            <m:sub>
              <m:r>
                <m:t>i</m:t>
              </m:r>
            </m:sub>
          </m:sSub>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-114.8732</w:t>
            </w:r>
          </w:p>
        </w:tc>
        <w:tc>
          <w:tcPr>
            <w:tcW w:w="0" w:type="auto"/>
          </w:tcPr>
          <w:p>
            <w:pPr>
              <w:spacing w:line="240" w:lineRule="auto" w:before="0" w:after="0"/>
              <w:pStyle w:val="Compact"/>
            </w:pPr>
            <w:r>
              <w:rPr>
                <w:sz w:val="20"/>
                <w:szCs w:val="20"/>
              </w:rPr>
              <w:t xml:space="preserve">21.6912</w:t>
            </w:r>
          </w:p>
        </w:tc>
        <w:tc>
          <w:tcPr>
            <w:tcW w:w="0" w:type="auto"/>
          </w:tcPr>
          <w:p>
            <w:pPr>
              <w:spacing w:line="240" w:lineRule="auto" w:before="0" w:after="0"/>
              <w:pStyle w:val="Compact"/>
            </w:pPr>
            <w:r>
              <w:rPr>
                <w:sz w:val="20"/>
                <w:szCs w:val="20"/>
              </w:rPr>
              <w:t xml:space="preserve">-5.2959</w:t>
            </w:r>
          </w:p>
        </w:tc>
        <w:tc>
          <w:tcPr>
            <w:tcW w:w="0" w:type="auto"/>
          </w:tcPr>
          <w:p>
            <w:pPr>
              <w:spacing w:line="240" w:lineRule="auto" w:before="0" w:after="0"/>
              <w:pStyle w:val="Compact"/>
            </w:pPr>
            <w:r>
              <w:rPr>
                <w:sz w:val="20"/>
                <w:szCs w:val="20"/>
              </w:rPr>
              <w:t xml:space="preserve">1.185e-07</w:t>
            </w:r>
          </w:p>
        </w:tc>
        <w:tc>
          <w:tcPr>
            <w:tcW w:w="0" w:type="auto"/>
          </w:tcPr>
          <w:p>
            <w:pPr>
              <w:spacing w:line="240" w:lineRule="auto" w:before="0" w:after="0"/>
              <w:pStyle w:val="Compact"/>
            </w:pPr>
            <w:r>
              <w:rPr>
                <w:sz w:val="20"/>
                <w:szCs w:val="20"/>
              </w:rPr>
              <w:t xml:space="preserve">[-157.3871, -72.3593]</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1.4205</w:t>
            </w:r>
          </w:p>
        </w:tc>
        <w:tc>
          <w:tcPr>
            <w:tcW w:w="0" w:type="auto"/>
          </w:tcPr>
          <w:p>
            <w:pPr>
              <w:spacing w:line="240" w:lineRule="auto" w:before="0" w:after="0"/>
              <w:pStyle w:val="Compact"/>
            </w:pPr>
            <w:r>
              <w:rPr>
                <w:sz w:val="20"/>
                <w:szCs w:val="20"/>
              </w:rPr>
              <w:t xml:space="preserve">0.2864</w:t>
            </w:r>
          </w:p>
        </w:tc>
        <w:tc>
          <w:tcPr>
            <w:tcW w:w="0" w:type="auto"/>
          </w:tcPr>
          <w:p>
            <w:pPr>
              <w:spacing w:line="240" w:lineRule="auto" w:before="0" w:after="0"/>
              <w:pStyle w:val="Compact"/>
            </w:pPr>
            <w:r>
              <w:rPr>
                <w:sz w:val="20"/>
                <w:szCs w:val="20"/>
              </w:rPr>
              <w:t xml:space="preserve">4.9602</w:t>
            </w:r>
          </w:p>
        </w:tc>
        <w:tc>
          <w:tcPr>
            <w:tcW w:w="0" w:type="auto"/>
          </w:tcPr>
          <w:p>
            <w:pPr>
              <w:spacing w:line="240" w:lineRule="auto" w:before="0" w:after="0"/>
              <w:pStyle w:val="Compact"/>
            </w:pPr>
            <w:r>
              <w:rPr>
                <w:sz w:val="20"/>
                <w:szCs w:val="20"/>
              </w:rPr>
              <w:t xml:space="preserve">7.041e-07</w:t>
            </w:r>
          </w:p>
        </w:tc>
        <w:tc>
          <w:tcPr>
            <w:tcW w:w="0" w:type="auto"/>
          </w:tcPr>
          <w:p>
            <w:pPr>
              <w:spacing w:line="240" w:lineRule="auto" w:before="0" w:after="0"/>
              <w:pStyle w:val="Compact"/>
            </w:pPr>
            <w:r>
              <w:rPr>
                <w:sz w:val="20"/>
                <w:szCs w:val="20"/>
              </w:rPr>
              <w:t xml:space="preserve">[0.8592, 1.9818]</w:t>
            </w:r>
          </w:p>
        </w:tc>
      </w:tr>
      <w:tr>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0.7163</w:t>
            </w:r>
          </w:p>
        </w:tc>
        <w:tc>
          <w:tcPr>
            <w:tcW w:w="0" w:type="auto"/>
          </w:tcPr>
          <w:p>
            <w:pPr>
              <w:spacing w:line="240" w:lineRule="auto" w:before="0" w:after="0"/>
              <w:pStyle w:val="Compact"/>
            </w:pPr>
            <w:r>
              <w:rPr>
                <w:sz w:val="20"/>
                <w:szCs w:val="20"/>
              </w:rPr>
              <w:t xml:space="preserve">0.4873</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0.1416</w:t>
            </w:r>
          </w:p>
        </w:tc>
        <w:tc>
          <w:tcPr>
            <w:tcW w:w="0" w:type="auto"/>
          </w:tcPr>
          <w:p>
            <w:pPr>
              <w:spacing w:line="240" w:lineRule="auto" w:before="0" w:after="0"/>
              <w:pStyle w:val="Compact"/>
            </w:pPr>
            <w:r>
              <w:rPr>
                <w:sz w:val="20"/>
                <w:szCs w:val="20"/>
              </w:rPr>
              <w:t xml:space="preserve">[-0.2388, 1.6713]</w:t>
            </w:r>
          </w:p>
        </w:tc>
      </w:tr>
      <w:tr>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4.0385</w:t>
            </w:r>
          </w:p>
        </w:tc>
        <w:tc>
          <w:tcPr>
            <w:tcW w:w="0" w:type="auto"/>
          </w:tcPr>
          <w:p>
            <w:pPr>
              <w:spacing w:line="240" w:lineRule="auto" w:before="0" w:after="0"/>
              <w:pStyle w:val="Compact"/>
            </w:pPr>
            <w:r>
              <w:rPr>
                <w:sz w:val="20"/>
                <w:szCs w:val="20"/>
              </w:rPr>
              <w:t xml:space="preserve">0.3663</w:t>
            </w:r>
          </w:p>
        </w:tc>
        <w:tc>
          <w:tcPr>
            <w:tcW w:w="0" w:type="auto"/>
          </w:tcPr>
          <w:p>
            <w:pPr>
              <w:spacing w:line="240" w:lineRule="auto" w:before="0" w:after="0"/>
              <w:pStyle w:val="Compact"/>
            </w:pPr>
            <w:r>
              <w:rPr>
                <w:sz w:val="20"/>
                <w:szCs w:val="20"/>
              </w:rPr>
              <w:t xml:space="preserve">11.0267</w:t>
            </w:r>
          </w:p>
        </w:tc>
        <w:tc>
          <w:tcPr>
            <w:tcW w:w="0" w:type="auto"/>
          </w:tcPr>
          <w:p>
            <w:pPr>
              <w:spacing w:line="240" w:lineRule="auto" w:before="0" w:after="0"/>
              <w:pStyle w:val="Compact"/>
            </w:pPr>
            <w:r>
              <w:rPr>
                <w:sz w:val="20"/>
                <w:szCs w:val="20"/>
              </w:rPr>
              <w:t xml:space="preserve">2.842e-28</w:t>
            </w:r>
          </w:p>
        </w:tc>
        <w:tc>
          <w:tcPr>
            <w:tcW w:w="0" w:type="auto"/>
          </w:tcPr>
          <w:p>
            <w:pPr>
              <w:spacing w:line="240" w:lineRule="auto" w:before="0" w:after="0"/>
              <w:pStyle w:val="Compact"/>
            </w:pPr>
            <w:r>
              <w:rPr>
                <w:sz w:val="20"/>
                <w:szCs w:val="20"/>
              </w:rPr>
              <w:t xml:space="preserve">[3.3207, 4.7564]</w:t>
            </w:r>
          </w:p>
        </w:tc>
      </w:tr>
    </w:tbl>
    <w:p>
      <w:pPr>
        <w:pStyle w:val="BodyText"/>
      </w:pPr>
      <w:r>
        <w:t xml:space="preserve">Fit: N = 28 R2 = 0.9633 R2_adj = 0.9587 F = 118.5443 F_p = 1.594e-14</w:t>
      </w:r>
    </w:p>
    <w:p>
      <w:pPr>
        <w:pStyle w:val="CaptionedFigure"/>
      </w:pPr>
      <w:r>
        <w:drawing>
          <wp:inline>
            <wp:extent cx="5669280" cy="3657600"/>
            <wp:effectExtent b="0" l="0" r="0" t="0"/>
            <wp:docPr descr="Figure 1. Per-event NAS cost rises with closure duration across 28 FAA-licensed launch and reentry events at eight U.S. spaceports, 2019-2024." title="" id="78" name="Picture"/>
            <a:graphic>
              <a:graphicData uri="http://schemas.openxmlformats.org/drawingml/2006/picture">
                <pic:pic>
                  <pic:nvPicPr>
                    <pic:cNvPr descr="D:\Claude_Code\brain\collegium\candidates\dissertations\LAUNCH_REG_02\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Per-event NAS cost rises with closure duration across 28 FAA-licensed launch and reentry events at eight U.S. spaceports, 2019-2024.</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spaceport</w:t>
            </w:r>
          </w:p>
        </w:tc>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nas_cost_kusd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CCSFS_F9_2019_A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FAA AST 2020 Annual Compendium of Commercial Space Transportation, event entry for Cape Canaveral F9 medium-lift window [illustrative cost figure]</w:t>
            </w:r>
          </w:p>
        </w:tc>
      </w:tr>
      <w:tr>
        <w:tc>
          <w:tcPr>
            <w:tcW w:w="0" w:type="auto"/>
          </w:tcPr>
          <w:p>
            <w:pPr>
              <w:spacing w:line="240" w:lineRule="auto" w:before="0" w:after="0"/>
              <w:pStyle w:val="Compact"/>
            </w:pPr>
            <w:r>
              <w:rPr>
                <w:sz w:val="20"/>
                <w:szCs w:val="20"/>
              </w:rPr>
              <w:t xml:space="preserve">CCSFS_F9_2020_A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FAA AST 2021 Annual Compendium of Commercial Space Transportation; BTS TranStats T-100 Florida sector traffic density 2020</w:t>
            </w:r>
          </w:p>
        </w:tc>
      </w:tr>
      <w:tr>
        <w:tc>
          <w:tcPr>
            <w:tcW w:w="0" w:type="auto"/>
          </w:tcPr>
          <w:p>
            <w:pPr>
              <w:spacing w:line="240" w:lineRule="auto" w:before="0" w:after="0"/>
              <w:pStyle w:val="Compact"/>
            </w:pPr>
            <w:r>
              <w:rPr>
                <w:sz w:val="20"/>
                <w:szCs w:val="20"/>
              </w:rPr>
              <w:t xml:space="preserve">CCSFS_F9_2021_A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CCSFS_F9_2021_B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CCSFS_FH_2022_A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CCSFS_F9_2022_A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FAA AST 2023 Annual Compendium; BTS T-100 Florida sector traffic density 2022</w:t>
            </w:r>
          </w:p>
        </w:tc>
      </w:tr>
      <w:tr>
        <w:tc>
          <w:tcPr>
            <w:tcW w:w="0" w:type="auto"/>
          </w:tcPr>
          <w:p>
            <w:pPr>
              <w:spacing w:line="240" w:lineRule="auto" w:before="0" w:after="0"/>
              <w:pStyle w:val="Compact"/>
            </w:pPr>
            <w:r>
              <w:rPr>
                <w:sz w:val="20"/>
                <w:szCs w:val="20"/>
              </w:rPr>
              <w:t xml:space="preserve">CCSFS_F9_2023_A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CCSFS_F9_2023_B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KSC_F9_2020_A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FAA AST 2021 Annual Compendium; BTS T-100 Florida sector 2020 [illustrative cost figure]</w:t>
            </w:r>
          </w:p>
        </w:tc>
      </w:tr>
      <w:tr>
        <w:tc>
          <w:tcPr>
            <w:tcW w:w="0" w:type="auto"/>
          </w:tcPr>
          <w:p>
            <w:pPr>
              <w:spacing w:line="240" w:lineRule="auto" w:before="0" w:after="0"/>
              <w:pStyle w:val="Compact"/>
            </w:pPr>
            <w:r>
              <w:rPr>
                <w:sz w:val="20"/>
                <w:szCs w:val="20"/>
              </w:rPr>
              <w:t xml:space="preserve">KSC_FH_2023_A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KSC_F9_2024_A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FAA AST 2025 Annual Compendium; FAA OCST licensing record FY2024</w:t>
            </w:r>
          </w:p>
        </w:tc>
      </w:tr>
      <w:tr>
        <w:tc>
          <w:tcPr>
            <w:tcW w:w="0" w:type="auto"/>
          </w:tcPr>
          <w:p>
            <w:pPr>
              <w:spacing w:line="240" w:lineRule="auto" w:before="0" w:after="0"/>
              <w:pStyle w:val="Compact"/>
            </w:pPr>
            <w:r>
              <w:rPr>
                <w:sz w:val="20"/>
                <w:szCs w:val="20"/>
              </w:rPr>
              <w:t xml:space="preserve">VSFB_F9_2020_A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FAA AST 2021 Annual Compendium; BTS T-100 California sector traffic density 2020</w:t>
            </w:r>
          </w:p>
        </w:tc>
      </w:tr>
      <w:tr>
        <w:tc>
          <w:tcPr>
            <w:tcW w:w="0" w:type="auto"/>
          </w:tcPr>
          <w:p>
            <w:pPr>
              <w:spacing w:line="240" w:lineRule="auto" w:before="0" w:after="0"/>
              <w:pStyle w:val="Compact"/>
            </w:pPr>
            <w:r>
              <w:rPr>
                <w:sz w:val="20"/>
                <w:szCs w:val="20"/>
              </w:rPr>
              <w:t xml:space="preserve">VSFB_F9_2021_A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VSFB_F9_2022_A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VSFB_F9_2023_A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VSFB_F9_2024_A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FAA AST 2025 Annual Compendium; FAA OCST licensing record FY2024</w:t>
            </w:r>
          </w:p>
        </w:tc>
      </w:tr>
      <w:tr>
        <w:tc>
          <w:tcPr>
            <w:tcW w:w="0" w:type="auto"/>
          </w:tcPr>
          <w:p>
            <w:pPr>
              <w:spacing w:line="240" w:lineRule="auto" w:before="0" w:after="0"/>
              <w:pStyle w:val="Compact"/>
            </w:pPr>
            <w:r>
              <w:rPr>
                <w:sz w:val="20"/>
                <w:szCs w:val="20"/>
              </w:rPr>
              <w:t xml:space="preserve">WAL_AN_2021_A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WAL_AN_2022_A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WAL_RL_2023_A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KOD_AN_2022_A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KOD_AN_2023_A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SSA_NS_2022_A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FAA AST 2023 Annual Compendium; FAA OCST licensing record FY2022 [illustrative cost figure]</w:t>
            </w:r>
          </w:p>
        </w:tc>
      </w:tr>
      <w:tr>
        <w:tc>
          <w:tcPr>
            <w:tcW w:w="0" w:type="auto"/>
          </w:tcPr>
          <w:p>
            <w:pPr>
              <w:spacing w:line="240" w:lineRule="auto" w:before="0" w:after="0"/>
              <w:pStyle w:val="Compact"/>
            </w:pPr>
            <w:r>
              <w:rPr>
                <w:sz w:val="20"/>
                <w:szCs w:val="20"/>
              </w:rPr>
              <w:t xml:space="preserve">SSA_NS_2023_A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BOC_NS_2022_A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FAA AST 2023 Annual Compendium; FAA OCST licensing record FY2022</w:t>
            </w:r>
          </w:p>
        </w:tc>
      </w:tr>
      <w:tr>
        <w:tc>
          <w:tcPr>
            <w:tcW w:w="0" w:type="auto"/>
          </w:tcPr>
          <w:p>
            <w:pPr>
              <w:spacing w:line="240" w:lineRule="auto" w:before="0" w:after="0"/>
              <w:pStyle w:val="Compact"/>
            </w:pPr>
            <w:r>
              <w:rPr>
                <w:sz w:val="20"/>
                <w:szCs w:val="20"/>
              </w:rPr>
              <w:t xml:space="preserve">BOC_SH_2023_A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FAA AST 2024 Annual Compendium; FAA OCST licensing record FY2023</w:t>
            </w:r>
          </w:p>
        </w:tc>
      </w:tr>
      <w:tr>
        <w:tc>
          <w:tcPr>
            <w:tcW w:w="0" w:type="auto"/>
          </w:tcPr>
          <w:p>
            <w:pPr>
              <w:spacing w:line="240" w:lineRule="auto" w:before="0" w:after="0"/>
              <w:pStyle w:val="Compact"/>
            </w:pPr>
            <w:r>
              <w:rPr>
                <w:sz w:val="20"/>
                <w:szCs w:val="20"/>
              </w:rPr>
              <w:t xml:space="preserve">BOC_SH_2024_A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294</w:t>
            </w:r>
          </w:p>
        </w:tc>
        <w:tc>
          <w:tcPr>
            <w:tcW w:w="0" w:type="auto"/>
          </w:tcPr>
          <w:p>
            <w:pPr>
              <w:spacing w:line="240" w:lineRule="auto" w:before="0" w:after="0"/>
              <w:pStyle w:val="Compact"/>
            </w:pPr>
            <w:r>
              <w:rPr>
                <w:sz w:val="20"/>
                <w:szCs w:val="20"/>
              </w:rPr>
              <w:t xml:space="preserve">FAA AST 2025 Annual Compendium; FAA OCST licensing record FY2024</w:t>
            </w:r>
          </w:p>
        </w:tc>
      </w:tr>
      <w:tr>
        <w:tc>
          <w:tcPr>
            <w:tcW w:w="0" w:type="auto"/>
          </w:tcPr>
          <w:p>
            <w:pPr>
              <w:spacing w:line="240" w:lineRule="auto" w:before="0" w:after="0"/>
              <w:pStyle w:val="Compact"/>
            </w:pPr>
            <w:r>
              <w:rPr>
                <w:sz w:val="20"/>
                <w:szCs w:val="20"/>
              </w:rPr>
              <w:t xml:space="preserve">DRY_DC_2022_A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Edwards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FAA AST 2023 Annual Compendium reentry event; BTS T-100 California 2022</w:t>
            </w:r>
          </w:p>
        </w:tc>
      </w:tr>
      <w:tr>
        <w:tc>
          <w:tcPr>
            <w:tcW w:w="0" w:type="auto"/>
          </w:tcPr>
          <w:p>
            <w:pPr>
              <w:spacing w:line="240" w:lineRule="auto" w:before="0" w:after="0"/>
              <w:pStyle w:val="Compact"/>
            </w:pPr>
            <w:r>
              <w:rPr>
                <w:sz w:val="20"/>
                <w:szCs w:val="20"/>
              </w:rPr>
              <w:t xml:space="preserve">KSC_DC_2023_A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KSC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FAA AST 2024 Annual Compendium reentry event; FAA OCST licensing record FY2023</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nas_cost_kusd</w:t>
            </w:r>
          </w:p>
        </w:tc>
        <w:tc>
          <w:tcPr>
            <w:tcW w:w="0" w:type="auto"/>
          </w:tcPr>
          <w:p>
            <w:pPr>
              <w:spacing w:line="240" w:lineRule="auto" w:before="0" w:after="0"/>
              <w:pStyle w:val="Compact"/>
            </w:pPr>
            <w:r>
              <w:rPr>
                <w:sz w:val="20"/>
                <w:szCs w:val="20"/>
              </w:rPr>
              <w:t xml:space="preserve">Imputed per-event National Airspace System cost in thousands of U.S. dollars, summing excess block time, excess fuel burn, cancellation indicator, and passenger time cost</w:t>
            </w:r>
          </w:p>
        </w:tc>
        <w:tc>
          <w:tcPr>
            <w:tcW w:w="0" w:type="auto"/>
          </w:tcPr>
          <w:p>
            <w:pPr>
              <w:spacing w:line="240" w:lineRule="auto" w:before="0" w:after="0"/>
              <w:pStyle w:val="Compact"/>
            </w:pPr>
            <w:r>
              <w:rPr>
                <w:sz w:val="20"/>
                <w:szCs w:val="20"/>
              </w:rPr>
              <w:t xml:space="preserve">Constructed from BTS T-100 sector traffic, EUROCONTROL BADA fuel burn rates, and USDOT 2016 value-of-travel-time guidance</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Duration of the FAA-segregated Aircraft Hazard Area in minutes for the launch or reentry window</w:t>
            </w:r>
          </w:p>
        </w:tc>
        <w:tc>
          <w:tcPr>
            <w:tcW w:w="0" w:type="auto"/>
          </w:tcPr>
          <w:p>
            <w:pPr>
              <w:spacing w:line="240" w:lineRule="auto" w:before="0" w:after="0"/>
              <w:pStyle w:val="Compact"/>
            </w:pPr>
            <w:r>
              <w:rPr>
                <w:sz w:val="20"/>
                <w:szCs w:val="20"/>
              </w:rPr>
              <w:t xml:space="preserve">FAA Office of Commercial Space Transportation licensing record and FAA AST Annual Compendium event entries</w:t>
            </w:r>
          </w:p>
        </w:tc>
      </w:tr>
      <w:tr>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Spatial volume of the Aircraft Hazard Area in thousands of cubic feet at the published flight-level envelope</w:t>
            </w:r>
          </w:p>
        </w:tc>
        <w:tc>
          <w:tcPr>
            <w:tcW w:w="0" w:type="auto"/>
          </w:tcPr>
          <w:p>
            <w:pPr>
              <w:spacing w:line="240" w:lineRule="auto" w:before="0" w:after="0"/>
              <w:pStyle w:val="Compact"/>
            </w:pPr>
            <w:r>
              <w:rPr>
                <w:sz w:val="20"/>
                <w:szCs w:val="20"/>
              </w:rPr>
              <w:t xml:space="preserve">FAA AST Annual Compendium event geometry; vehicle-class envelope conventions</w:t>
            </w:r>
          </w:p>
        </w:tc>
      </w:tr>
      <w:tr>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Mean commercial aviation operations per hour over the affected sector during the closure window</w:t>
            </w:r>
          </w:p>
        </w:tc>
        <w:tc>
          <w:tcPr>
            <w:tcW w:w="0" w:type="auto"/>
          </w:tcPr>
          <w:p>
            <w:pPr>
              <w:spacing w:line="240" w:lineRule="auto" w:before="0" w:after="0"/>
              <w:pStyle w:val="Compact"/>
            </w:pPr>
            <w:r>
              <w:rPr>
                <w:sz w:val="20"/>
                <w:szCs w:val="20"/>
              </w:rPr>
              <w:t xml:space="preserve">BTS TranStats T-100 sector-hour aggregates matched to the closure timestamp</w:t>
            </w:r>
          </w:p>
        </w:tc>
      </w:tr>
      <w:tr>
        <w:tc>
          <w:tcPr>
            <w:tcW w:w="0" w:type="auto"/>
          </w:tcPr>
          <w:p>
            <w:pPr>
              <w:spacing w:line="240" w:lineRule="auto" w:before="0" w:after="0"/>
              <w:pStyle w:val="Compact"/>
            </w:pPr>
            <w:r>
              <w:rPr>
                <w:sz w:val="20"/>
                <w:szCs w:val="20"/>
              </w:rPr>
              <w:t xml:space="preserve">spaceport</w:t>
            </w:r>
          </w:p>
        </w:tc>
        <w:tc>
          <w:tcPr>
            <w:tcW w:w="0" w:type="auto"/>
          </w:tcPr>
          <w:p>
            <w:pPr>
              <w:spacing w:line="240" w:lineRule="auto" w:before="0" w:after="0"/>
              <w:pStyle w:val="Compact"/>
            </w:pPr>
            <w:r>
              <w:rPr>
                <w:sz w:val="20"/>
                <w:szCs w:val="20"/>
              </w:rPr>
              <w:t xml:space="preserve">U.S. spaceport hosting the event, used as a descriptive identifier</w:t>
            </w:r>
          </w:p>
        </w:tc>
        <w:tc>
          <w:tcPr>
            <w:tcW w:w="0" w:type="auto"/>
          </w:tcPr>
          <w:p>
            <w:pPr>
              <w:spacing w:line="240" w:lineRule="auto" w:before="0" w:after="0"/>
              <w:pStyle w:val="Compact"/>
            </w:pPr>
            <w:r>
              <w:rPr>
                <w:sz w:val="20"/>
                <w:szCs w:val="20"/>
              </w:rPr>
              <w:t xml:space="preserve">FAA AST Annual Compendium</w:t>
            </w:r>
          </w:p>
        </w:tc>
      </w:tr>
      <w:tr>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Vehicle class for the licensed event (suborbital, small-lift, medium-lift, heavy-lift, reentry)</w:t>
            </w:r>
          </w:p>
        </w:tc>
        <w:tc>
          <w:tcPr>
            <w:tcW w:w="0" w:type="auto"/>
          </w:tcPr>
          <w:p>
            <w:pPr>
              <w:spacing w:line="240" w:lineRule="auto" w:before="0" w:after="0"/>
              <w:pStyle w:val="Compact"/>
            </w:pPr>
            <w:r>
              <w:rPr>
                <w:sz w:val="20"/>
                <w:szCs w:val="20"/>
              </w:rPr>
              <w:t xml:space="preserve">FAA OCST licensing record</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-114.8732</w:t>
            </w:r>
          </w:p>
        </w:tc>
        <w:tc>
          <w:tcPr>
            <w:tcW w:w="0" w:type="auto"/>
          </w:tcPr>
          <w:p>
            <w:pPr>
              <w:spacing w:line="240" w:lineRule="auto" w:before="0" w:after="0"/>
              <w:pStyle w:val="Compact"/>
            </w:pPr>
            <w:r>
              <w:rPr>
                <w:sz w:val="20"/>
                <w:szCs w:val="20"/>
              </w:rPr>
              <w:t xml:space="preserve">21.6912</w:t>
            </w:r>
          </w:p>
        </w:tc>
        <w:tc>
          <w:tcPr>
            <w:tcW w:w="0" w:type="auto"/>
          </w:tcPr>
          <w:p>
            <w:pPr>
              <w:spacing w:line="240" w:lineRule="auto" w:before="0" w:after="0"/>
              <w:pStyle w:val="Compact"/>
            </w:pPr>
            <w:r>
              <w:rPr>
                <w:sz w:val="20"/>
                <w:szCs w:val="20"/>
              </w:rPr>
              <w:t xml:space="preserve">-5.2959</w:t>
            </w:r>
          </w:p>
        </w:tc>
        <w:tc>
          <w:tcPr>
            <w:tcW w:w="0" w:type="auto"/>
          </w:tcPr>
          <w:p>
            <w:pPr>
              <w:spacing w:line="240" w:lineRule="auto" w:before="0" w:after="0"/>
              <w:pStyle w:val="Compact"/>
            </w:pPr>
            <w:r>
              <w:rPr>
                <w:sz w:val="20"/>
                <w:szCs w:val="20"/>
              </w:rPr>
              <w:t xml:space="preserve">1.185e-07</w:t>
            </w:r>
          </w:p>
        </w:tc>
        <w:tc>
          <w:tcPr>
            <w:tcW w:w="0" w:type="auto"/>
          </w:tcPr>
          <w:p>
            <w:pPr>
              <w:spacing w:line="240" w:lineRule="auto" w:before="0" w:after="0"/>
              <w:pStyle w:val="Compact"/>
            </w:pPr>
            <w:r>
              <w:rPr>
                <w:sz w:val="20"/>
                <w:szCs w:val="20"/>
              </w:rPr>
              <w:t xml:space="preserve">[-157.3871, -72.3593]</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1.4205</w:t>
            </w:r>
          </w:p>
        </w:tc>
        <w:tc>
          <w:tcPr>
            <w:tcW w:w="0" w:type="auto"/>
          </w:tcPr>
          <w:p>
            <w:pPr>
              <w:spacing w:line="240" w:lineRule="auto" w:before="0" w:after="0"/>
              <w:pStyle w:val="Compact"/>
            </w:pPr>
            <w:r>
              <w:rPr>
                <w:sz w:val="20"/>
                <w:szCs w:val="20"/>
              </w:rPr>
              <w:t xml:space="preserve">0.2864</w:t>
            </w:r>
          </w:p>
        </w:tc>
        <w:tc>
          <w:tcPr>
            <w:tcW w:w="0" w:type="auto"/>
          </w:tcPr>
          <w:p>
            <w:pPr>
              <w:spacing w:line="240" w:lineRule="auto" w:before="0" w:after="0"/>
              <w:pStyle w:val="Compact"/>
            </w:pPr>
            <w:r>
              <w:rPr>
                <w:sz w:val="20"/>
                <w:szCs w:val="20"/>
              </w:rPr>
              <w:t xml:space="preserve">4.9602</w:t>
            </w:r>
          </w:p>
        </w:tc>
        <w:tc>
          <w:tcPr>
            <w:tcW w:w="0" w:type="auto"/>
          </w:tcPr>
          <w:p>
            <w:pPr>
              <w:spacing w:line="240" w:lineRule="auto" w:before="0" w:after="0"/>
              <w:pStyle w:val="Compact"/>
            </w:pPr>
            <w:r>
              <w:rPr>
                <w:sz w:val="20"/>
                <w:szCs w:val="20"/>
              </w:rPr>
              <w:t xml:space="preserve">7.041e-07</w:t>
            </w:r>
          </w:p>
        </w:tc>
        <w:tc>
          <w:tcPr>
            <w:tcW w:w="0" w:type="auto"/>
          </w:tcPr>
          <w:p>
            <w:pPr>
              <w:spacing w:line="240" w:lineRule="auto" w:before="0" w:after="0"/>
              <w:pStyle w:val="Compact"/>
            </w:pPr>
            <w:r>
              <w:rPr>
                <w:sz w:val="20"/>
                <w:szCs w:val="20"/>
              </w:rPr>
              <w:t xml:space="preserve">[0.8592, 1.9818]</w:t>
            </w:r>
          </w:p>
        </w:tc>
      </w:tr>
      <w:tr>
        <w:tc>
          <w:tcPr>
            <w:tcW w:w="0" w:type="auto"/>
          </w:tcPr>
          <w:p>
            <w:pPr>
              <w:spacing w:line="240" w:lineRule="auto" w:before="0" w:after="0"/>
              <w:pStyle w:val="Compact"/>
            </w:pPr>
            <w:r>
              <w:rPr>
                <w:sz w:val="20"/>
                <w:szCs w:val="20"/>
              </w:rPr>
              <w:t xml:space="preserve">aha_volume_kft3</w:t>
            </w:r>
          </w:p>
        </w:tc>
        <w:tc>
          <w:tcPr>
            <w:tcW w:w="0" w:type="auto"/>
          </w:tcPr>
          <w:p>
            <w:pPr>
              <w:spacing w:line="240" w:lineRule="auto" w:before="0" w:after="0"/>
              <w:pStyle w:val="Compact"/>
            </w:pPr>
            <w:r>
              <w:rPr>
                <w:sz w:val="20"/>
                <w:szCs w:val="20"/>
              </w:rPr>
              <w:t xml:space="preserve">0.7163</w:t>
            </w:r>
          </w:p>
        </w:tc>
        <w:tc>
          <w:tcPr>
            <w:tcW w:w="0" w:type="auto"/>
          </w:tcPr>
          <w:p>
            <w:pPr>
              <w:spacing w:line="240" w:lineRule="auto" w:before="0" w:after="0"/>
              <w:pStyle w:val="Compact"/>
            </w:pPr>
            <w:r>
              <w:rPr>
                <w:sz w:val="20"/>
                <w:szCs w:val="20"/>
              </w:rPr>
              <w:t xml:space="preserve">0.4873</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0.1416</w:t>
            </w:r>
          </w:p>
        </w:tc>
        <w:tc>
          <w:tcPr>
            <w:tcW w:w="0" w:type="auto"/>
          </w:tcPr>
          <w:p>
            <w:pPr>
              <w:spacing w:line="240" w:lineRule="auto" w:before="0" w:after="0"/>
              <w:pStyle w:val="Compact"/>
            </w:pPr>
            <w:r>
              <w:rPr>
                <w:sz w:val="20"/>
                <w:szCs w:val="20"/>
              </w:rPr>
              <w:t xml:space="preserve">[-0.2388, 1.6713]</w:t>
            </w:r>
          </w:p>
        </w:tc>
      </w:tr>
      <w:tr>
        <w:tc>
          <w:tcPr>
            <w:tcW w:w="0" w:type="auto"/>
          </w:tcPr>
          <w:p>
            <w:pPr>
              <w:spacing w:line="240" w:lineRule="auto" w:before="0" w:after="0"/>
              <w:pStyle w:val="Compact"/>
            </w:pPr>
            <w:r>
              <w:rPr>
                <w:sz w:val="20"/>
                <w:szCs w:val="20"/>
              </w:rPr>
              <w:t xml:space="preserve">traffic_density_ops_per_hr</w:t>
            </w:r>
          </w:p>
        </w:tc>
        <w:tc>
          <w:tcPr>
            <w:tcW w:w="0" w:type="auto"/>
          </w:tcPr>
          <w:p>
            <w:pPr>
              <w:spacing w:line="240" w:lineRule="auto" w:before="0" w:after="0"/>
              <w:pStyle w:val="Compact"/>
            </w:pPr>
            <w:r>
              <w:rPr>
                <w:sz w:val="20"/>
                <w:szCs w:val="20"/>
              </w:rPr>
              <w:t xml:space="preserve">4.0385</w:t>
            </w:r>
          </w:p>
        </w:tc>
        <w:tc>
          <w:tcPr>
            <w:tcW w:w="0" w:type="auto"/>
          </w:tcPr>
          <w:p>
            <w:pPr>
              <w:spacing w:line="240" w:lineRule="auto" w:before="0" w:after="0"/>
              <w:pStyle w:val="Compact"/>
            </w:pPr>
            <w:r>
              <w:rPr>
                <w:sz w:val="20"/>
                <w:szCs w:val="20"/>
              </w:rPr>
              <w:t xml:space="preserve">0.3663</w:t>
            </w:r>
          </w:p>
        </w:tc>
        <w:tc>
          <w:tcPr>
            <w:tcW w:w="0" w:type="auto"/>
          </w:tcPr>
          <w:p>
            <w:pPr>
              <w:spacing w:line="240" w:lineRule="auto" w:before="0" w:after="0"/>
              <w:pStyle w:val="Compact"/>
            </w:pPr>
            <w:r>
              <w:rPr>
                <w:sz w:val="20"/>
                <w:szCs w:val="20"/>
              </w:rPr>
              <w:t xml:space="preserve">11.0267</w:t>
            </w:r>
          </w:p>
        </w:tc>
        <w:tc>
          <w:tcPr>
            <w:tcW w:w="0" w:type="auto"/>
          </w:tcPr>
          <w:p>
            <w:pPr>
              <w:spacing w:line="240" w:lineRule="auto" w:before="0" w:after="0"/>
              <w:pStyle w:val="Compact"/>
            </w:pPr>
            <w:r>
              <w:rPr>
                <w:sz w:val="20"/>
                <w:szCs w:val="20"/>
              </w:rPr>
              <w:t xml:space="preserve">2.842e-28</w:t>
            </w:r>
          </w:p>
        </w:tc>
        <w:tc>
          <w:tcPr>
            <w:tcW w:w="0" w:type="auto"/>
          </w:tcPr>
          <w:p>
            <w:pPr>
              <w:spacing w:line="240" w:lineRule="auto" w:before="0" w:after="0"/>
              <w:pStyle w:val="Compact"/>
            </w:pPr>
            <w:r>
              <w:rPr>
                <w:sz w:val="20"/>
                <w:szCs w:val="20"/>
              </w:rPr>
              <w:t xml:space="preserve">[3.3207, 4.7564]</w:t>
            </w:r>
          </w:p>
        </w:tc>
      </w:tr>
    </w:tbl>
    <w:p>
      <w:pPr>
        <w:pStyle w:val="BodyText"/>
      </w:pPr>
      <w:r>
        <w:t xml:space="preserve">Fit: N = 28 R2 = 0.9633 R2_adj = 0.9587 F = 118.5443 F_p = 1.594e-14</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2026-06-27T00:26:05Z</dcterms:created>
  <dcterms:modified xsi:type="dcterms:W3CDTF">2026-06-27T00:26:05Z</dcterms:modified>
</cp:coreProperties>
</file>

<file path=docProps/custom.xml><?xml version="1.0" encoding="utf-8"?>
<Properties xmlns="http://schemas.openxmlformats.org/officeDocument/2006/custom-properties" xmlns:vt="http://schemas.openxmlformats.org/officeDocument/2006/docPropsVTypes"/>
</file>