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AIRSPACE CLOSURE AS A NEGATIVE EXTERNALITY: PRICING THE NAS COST OF LAUNCH AND REENTRY</w:t>
      </w:r>
    </w:p>
    <w:p>
      <w:pPr>
        <w:jc w:val="center"/>
      </w:pPr>
    </w:p>
    <w:p>
      <w:pPr>
        <w:jc w:val="center"/>
      </w:pPr>
      <w:r>
        <w:rPr>
          <w:rFonts w:ascii="Times New Roman" w:hAnsi="Times New Roman"/>
          <w:sz w:val="24"/>
        </w:rPr>
        <w:t>by</w:t>
      </w:r>
    </w:p>
    <w:p>
      <w:pPr>
        <w:jc w:val="center"/>
      </w:pPr>
      <w:r>
        <w:rPr>
          <w:rFonts w:ascii="Times New Roman" w:hAnsi="Times New Roman"/>
          <w:b/>
          <w:sz w:val="28"/>
        </w:rPr>
        <w:t>Margot Knox</w:t>
      </w:r>
    </w:p>
    <w:p>
      <w:pPr>
        <w:jc w:val="center"/>
      </w:pPr>
      <w:r>
        <w:rPr>
          <w:rFonts w:ascii="Times New Roman" w:hAnsi="Times New Roman"/>
          <w:sz w:val="24"/>
        </w:rPr>
        <w:t>1B-INF-089</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Every licensed launch and reentry event in the United States is wrapped in an Aircraft Hazard Area, a temporarily segregated volume of the National Airspace System that excludes civilian aviation for the duration of the operation. The Federal Aviation Administration discharges its statutory responsibility for the safe integration of launch and reentry into the airspace by closing that volume in advance, holding it through the licensed window, and releasing it on conclusion of the event or on a documented hold, scrub, or anomaly</w:t>
      </w:r>
      <w:r>
        <w:t xml:space="preserve"> </w:t>
      </w:r>
      <w:hyperlink w:anchor="ref-3">
        <w:r>
          <w:rPr>
            <w:rStyle w:val="Hyperlink"/>
          </w:rPr>
          <w:t xml:space="preserve">[3]</w:t>
        </w:r>
      </w:hyperlink>
      <w:r>
        <w:t xml:space="preserve">. During the closure, commercial flights whose filed routes intersect the segregated volume are rerouted around it, held on the ground or in the air until it clears, or in some cases cancelled outright. The carrier absorbs the resulting fuel burn, the crew time, and the schedule disruption; the passenger absorbs the time loss; the launch or reentry operator pays a fixed license fee that is invariant to the duration of the closure, the volume of the segregated airspace, or the density of the displaced traffic.</w:t>
      </w:r>
    </w:p>
    <w:p>
      <w:pPr>
        <w:pStyle w:val="BodyText"/>
        <w:spacing w:line="480" w:lineRule="auto"/>
        <w:ind w:firstLine="720"/>
      </w:pPr>
      <w:r>
        <w:t xml:space="preserve">The disjunction between who chooses the closure and who pays for it is the empirical problem of this dissertation. The launch operator selects the launch window, files the trajectory, and proposes the Aircraft Hazard Area geometry. The FAA reviews and licenses the resulting closure. Neither side, in the act of choosing the window, faces a marginal price tied to the realized aviation cost. The economic literature on space activity has long recognized that this is the canonical structure of a negative externality: an activity that is socially valuable in expectation imposes an uncompensated cost on a third party, and the absence of a price drives the private optimum away from the social optimum [1, 2]. Weinzierl frames the on-orbit version of the problem as a classic externality and inventories the conventional instruments, Pigouvian taxes, Coasian bargaining, and quantity regulation, that economic theory has on offer for it [1, 9]. Hanson, cited in that frame, proposes a standard Pigouvian price on orbital debris as the simplest and most defensible instrument</w:t>
      </w:r>
      <w:r>
        <w:t xml:space="preserve"> </w:t>
      </w:r>
      <w:hyperlink w:anchor="ref-2">
        <w:r>
          <w:rPr>
            <w:rStyle w:val="Hyperlink"/>
          </w:rPr>
          <w:t xml:space="preserve">[2]</w:t>
        </w:r>
      </w:hyperlink>
      <w:r>
        <w:t xml:space="preserve">. The aviation-side counterpart, in which the same launch operation imposes a cost on terrestrial airspace users rather than on orbital users, has not received the same theoretical attention and, to my knowledge, has not been priced at the event level with credible identification.</w:t>
      </w:r>
    </w:p>
    <w:p>
      <w:pPr>
        <w:pStyle w:val="BodyText"/>
        <w:spacing w:line="480" w:lineRule="auto"/>
        <w:ind w:firstLine="720"/>
      </w:pPr>
      <w:r>
        <w:t xml:space="preserve">The candidate’s two prior papers in this program have established that the wedge is non-zero and that it scales with observable event characteristics. Knox p1 estimated the per-event NAS cost on a panel of twenty-eight FAA-licensed events at eight U.S. spaceports between 2019 and 2024 using ordinary least squares and found that closure duration carries a coefficient of approximately 1.42 thousand dollars per minute and ambient sector traffic density carries a coefficient of approximately 4.04 thousand dollars per commercial operation per hour, both at significance levels below 0.001 in a specification that explains ninety-six percent of the variance of the per-event cost. Knox p2 followed with a Cox proportional-hazards estimation of the on-time release of the same Aircraft Hazard Areas across thirty-two events and found that the log of the segregated volume carries a coefficient of negative 6.29 with a partial-likelihood p-value of 0.0001, a sharp confirmation that the conditional probability of a timely release falls dramatically with the scale of the closure. Together, those two estimates fix the static and dynamic magnitudes of the wedge inside a single empirical frame. This dissertation builds on that foundation, generalizes the design to the full population of licensed events, and brings the resulting estimate to a direct comparison with the license fee that the operator actually pays.</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The stakes of pricing the wedge are not abstract. NASA is both a customer of commercial launch services and an institutional steward of the federal civil-space portfolio, and the launch cadence on which its science and exploration programs depend is rising into a regime in which the aviation externality is no longer a rounding error. The FAA Office of Commercial Space Transportation has documented a sustained increase in licensed activity at the eight U.S. spaceports that anchor the Knox p1 and p2 samples</w:t>
      </w:r>
      <w:r>
        <w:t xml:space="preserve"> </w:t>
      </w:r>
      <w:hyperlink w:anchor="ref-10">
        <w:r>
          <w:rPr>
            <w:rStyle w:val="Hyperlink"/>
          </w:rPr>
          <w:t xml:space="preserve">[10]</w:t>
        </w:r>
      </w:hyperlink>
      <w:r>
        <w:t xml:space="preserve">, and the Bureau of Transportation Statistics sector-hour record confirms that the affected airspace volumes carry dense commercial traffic during the windows in which closures occur</w:t>
      </w:r>
      <w:r>
        <w:t xml:space="preserve"> </w:t>
      </w:r>
      <w:hyperlink w:anchor="ref-11">
        <w:r>
          <w:rPr>
            <w:rStyle w:val="Hyperlink"/>
          </w:rPr>
          <w:t xml:space="preserve">[11]</w:t>
        </w:r>
      </w:hyperlink>
      <w:r>
        <w:t xml:space="preserve">. As cadence rises, the unpriced wedge becomes a first-order line item in the social-cost accounting of the civil-space program, and NASA’s procurement decisions, in which it selects launch providers and accepts the operational constraints those providers impose, are made against a fee schedule that does not reflect the aviation cost.</w:t>
      </w:r>
    </w:p>
    <w:p>
      <w:pPr>
        <w:pStyle w:val="BodyText"/>
        <w:spacing w:line="480" w:lineRule="auto"/>
        <w:ind w:firstLine="720"/>
      </w:pPr>
      <w:r>
        <w:t xml:space="preserve">The Jet Propulsion Laboratory faces a sharper version of the same problem. JPL’s mission portfolio is concentrated in launches with narrow planetary windows, and the schedule cost of a closure-driven delay falls heavily on missions whose Hohmann transfer geometry is unforgiving. The narrower the window, the more the operator and the FAA must accept aviation cost on the day to keep the schedule, and the larger the implied externality per event. A Pigouvian price that reflected that cost would, at the margin, push operators toward windows and trajectories that reduce the airspace footprint. The corollary is that JPL’s mission planners would face a procurement environment in which the launch provider’s stated price increasingly internalized the airspace cost, and JPL would be better positioned to negotiate windows that minimize the wedge.</w:t>
      </w:r>
    </w:p>
    <w:p>
      <w:pPr>
        <w:pStyle w:val="BodyText"/>
        <w:spacing w:line="480" w:lineRule="auto"/>
        <w:ind w:firstLine="720"/>
      </w:pPr>
      <w:r>
        <w:t xml:space="preserve">The wider civil-aviation interface is also implicated. The integration of air and space traffic management has been treated in the recent technical literature as a tracking and battle-management problem [16, 17], a risk-based decision-making problem [18, 22], and a debris and uncontrolled-reentry problem with explicit aviation-safety implications [24, 29]. Each of these literatures pulls on a different facet of the air-space interface, but none of them prices a single licensed closure against the fee the operator pays. The Knox p1 OLS estimate and the Knox p2 hazard estimate sit in that gap and define the empirical object that this dissertation will generalize.</w:t>
      </w:r>
    </w:p>
    <w:bookmarkEnd w:id="62"/>
    <w:bookmarkStart w:id="63" w:name="Xfb88ffc49ee5343136593b06b1ccea157d2ec8a"/>
    <w:p>
      <w:pPr>
        <w:pStyle w:val="Heading2"/>
        <w:spacing w:line="480" w:lineRule="auto"/>
      </w:pPr>
      <w:r>
        <w:t xml:space="preserve">1.3 The Gap Between the Domain Literature and the Method Literature</w:t>
      </w:r>
    </w:p>
    <w:p>
      <w:pPr>
        <w:pStyle w:val="FirstParagraph"/>
        <w:spacing w:line="480" w:lineRule="auto"/>
      </w:pPr>
      <w:r>
        <w:t xml:space="preserve">Three adjacent literatures bear on the question, and the gap between them is the gap this dissertation addresses.</w:t>
      </w:r>
    </w:p>
    <w:p>
      <w:pPr>
        <w:pStyle w:val="BodyText"/>
        <w:spacing w:line="480" w:lineRule="auto"/>
        <w:ind w:firstLine="720"/>
      </w:pPr>
      <w:r>
        <w:t xml:space="preserve">The first is the space economics literature, in which the externality frame is fully developed but applied principally to the orbital regime. Weinzierl gives the canonical statement of the orbital crowding and debris case as a classic negative externality and inventories the Pigouvian and Coasian instruments that the textbook recommends [1, 9]. Hanson, in the same line, proposes a standard Pigouvian price on debris as the simplest defensible instrument</w:t>
      </w:r>
      <w:r>
        <w:t xml:space="preserve"> </w:t>
      </w:r>
      <w:hyperlink w:anchor="ref-2">
        <w:r>
          <w:rPr>
            <w:rStyle w:val="Hyperlink"/>
          </w:rPr>
          <w:t xml:space="preserve">[2]</w:t>
        </w:r>
      </w:hyperlink>
      <w:r>
        <w:t xml:space="preserve">. Shahady extends the orbital-crowding logic to GEO slot value and to the intrinsic cost of a contested environment</w:t>
      </w:r>
      <w:r>
        <w:t xml:space="preserve"> </w:t>
      </w:r>
      <w:hyperlink w:anchor="ref-21">
        <w:r>
          <w:rPr>
            <w:rStyle w:val="Hyperlink"/>
          </w:rPr>
          <w:t xml:space="preserve">[21]</w:t>
        </w:r>
      </w:hyperlink>
      <w:r>
        <w:t xml:space="preserve">. Dorrington and Olsen extend the parametric economic modelling tradition to asteroid mining architectures</w:t>
      </w:r>
      <w:r>
        <w:t xml:space="preserve"> </w:t>
      </w:r>
      <w:hyperlink w:anchor="ref-25">
        <w:r>
          <w:rPr>
            <w:rStyle w:val="Hyperlink"/>
          </w:rPr>
          <w:t xml:space="preserve">[25]</w:t>
        </w:r>
      </w:hyperlink>
      <w:r>
        <w:t xml:space="preserve">, Drenthe and colleagues to smallsat launch vehicle cost estimating</w:t>
      </w:r>
      <w:r>
        <w:t xml:space="preserve"> </w:t>
      </w:r>
      <w:hyperlink w:anchor="ref-26">
        <w:r>
          <w:rPr>
            <w:rStyle w:val="Hyperlink"/>
          </w:rPr>
          <w:t xml:space="preserve">[26]</w:t>
        </w:r>
      </w:hyperlink>
      <w:r>
        <w:t xml:space="preserve">, Snelgrove and Saleh to spacecraft optimal design lifetime as a function of marginal durability cost and launch price</w:t>
      </w:r>
      <w:r>
        <w:t xml:space="preserve"> </w:t>
      </w:r>
      <w:hyperlink w:anchor="ref-28">
        <w:r>
          <w:rPr>
            <w:rStyle w:val="Hyperlink"/>
          </w:rPr>
          <w:t xml:space="preserve">[28]</w:t>
        </w:r>
      </w:hyperlink>
      <w:r>
        <w:t xml:space="preserve">, and Barato and colleagues to access-to-space strategies for small satellites</w:t>
      </w:r>
      <w:r>
        <w:t xml:space="preserve"> </w:t>
      </w:r>
      <w:hyperlink w:anchor="ref-31">
        <w:r>
          <w:rPr>
            <w:rStyle w:val="Hyperlink"/>
          </w:rPr>
          <w:t xml:space="preserve">[31]</w:t>
        </w:r>
      </w:hyperlink>
      <w:r>
        <w:t xml:space="preserve">. The literature is rich, but its terrestrial-airspace counterpart, in which the launch operation imposes a cost on aviation rather than on orbit, is not where its empirical effort has been concentrated.</w:t>
      </w:r>
    </w:p>
    <w:p>
      <w:pPr>
        <w:pStyle w:val="BodyText"/>
        <w:spacing w:line="480" w:lineRule="auto"/>
        <w:ind w:firstLine="720"/>
      </w:pPr>
      <w:r>
        <w:t xml:space="preserve">The second is the governance and common-pool resource literature, including the IRD research-design line that adapts Ostromian frameworks to orbital classes constructed by analogy to airspace classes</w:t>
      </w:r>
      <w:r>
        <w:t xml:space="preserve"> </w:t>
      </w:r>
      <w:hyperlink w:anchor="ref-5">
        <w:r>
          <w:rPr>
            <w:rStyle w:val="Hyperlink"/>
          </w:rPr>
          <w:t xml:space="preserve">[5]</w:t>
        </w:r>
      </w:hyperlink>
      <w:r>
        <w:t xml:space="preserve">. Stilwell and coauthors develop the airspace-class analogy at length, treating capacity in the affected sectors as the binding constraint and arguing that the Commercial Space Launch Act regime does not internalize the capacity cost [3, 8, 14, 15]. Reilly and colleagues catalogue the challenges in space traffic management as a coordination problem with implicit cost transfer</w:t>
      </w:r>
      <w:r>
        <w:t xml:space="preserve"> </w:t>
      </w:r>
      <w:hyperlink w:anchor="ref-22">
        <w:r>
          <w:rPr>
            <w:rStyle w:val="Hyperlink"/>
          </w:rPr>
          <w:t xml:space="preserve">[22]</w:t>
        </w:r>
      </w:hyperlink>
      <w:r>
        <w:t xml:space="preserve">, and Reid develops a conceptual framework for a rapid space launch capability that takes the airspace interface as a design constraint rather than as a priced input</w:t>
      </w:r>
      <w:r>
        <w:t xml:space="preserve"> </w:t>
      </w:r>
      <w:hyperlink w:anchor="ref-23">
        <w:r>
          <w:rPr>
            <w:rStyle w:val="Hyperlink"/>
          </w:rPr>
          <w:t xml:space="preserve">[23]</w:t>
        </w:r>
      </w:hyperlink>
      <w:r>
        <w:t xml:space="preserve">. This literature names the governance frame and names the airspace analogy, but it stops short of the event-level dollar estimate that would let a regulator move from analogy to instrument.</w:t>
      </w:r>
    </w:p>
    <w:p>
      <w:pPr>
        <w:pStyle w:val="BodyText"/>
        <w:spacing w:line="480" w:lineRule="auto"/>
        <w:ind w:firstLine="720"/>
      </w:pPr>
      <w:r>
        <w:t xml:space="preserve">The third is the spaceport and integration literature, in which the operational interface between spaceport infrastructure and the surrounding airspace is documented in detail. Santoro and coauthors give the canonical European treatment, assessing spaceport and ground-segment readiness for suborbital transportation operations in the Italian territory and identifying integration with the surrounding airspace as the binding constraint on traffic growth</w:t>
      </w:r>
      <w:r>
        <w:t xml:space="preserve"> </w:t>
      </w:r>
      <w:hyperlink w:anchor="ref-4">
        <w:r>
          <w:rPr>
            <w:rStyle w:val="Hyperlink"/>
          </w:rPr>
          <w:t xml:space="preserve">[4]</w:t>
        </w:r>
      </w:hyperlink>
      <w:r>
        <w:t xml:space="preserve">. Kezirian and colleagues extend the integration treatment to air and space traffic management for debris-object tracking prior to uncontrolled reentry</w:t>
      </w:r>
      <w:r>
        <w:t xml:space="preserve"> </w:t>
      </w:r>
      <w:hyperlink w:anchor="ref-16">
        <w:r>
          <w:rPr>
            <w:rStyle w:val="Hyperlink"/>
          </w:rPr>
          <w:t xml:space="preserve">[16]</w:t>
        </w:r>
      </w:hyperlink>
      <w:r>
        <w:t xml:space="preserve">. Furlich and colleagues use civilian launches as live exercises for evaluating a federated protect-and-defend battle-management system</w:t>
      </w:r>
      <w:r>
        <w:t xml:space="preserve"> </w:t>
      </w:r>
      <w:hyperlink w:anchor="ref-17">
        <w:r>
          <w:rPr>
            <w:rStyle w:val="Hyperlink"/>
          </w:rPr>
          <w:t xml:space="preserve">[17]</w:t>
        </w:r>
      </w:hyperlink>
      <w:r>
        <w:t xml:space="preserve">, Geissbuhler and colleagues address rapid tracking and cataloguing of multi-payload launches</w:t>
      </w:r>
      <w:r>
        <w:t xml:space="preserve"> </w:t>
      </w:r>
      <w:hyperlink w:anchor="ref-19">
        <w:r>
          <w:rPr>
            <w:rStyle w:val="Hyperlink"/>
          </w:rPr>
          <w:t xml:space="preserve">[19]</w:t>
        </w:r>
      </w:hyperlink>
      <w:r>
        <w:t xml:space="preserve">, and Ramos and colleagues document lessons learned on mega-constellation deployments</w:t>
      </w:r>
      <w:r>
        <w:t xml:space="preserve"> </w:t>
      </w:r>
      <w:hyperlink w:anchor="ref-20">
        <w:r>
          <w:rPr>
            <w:rStyle w:val="Hyperlink"/>
          </w:rPr>
          <w:t xml:space="preserve">[20]</w:t>
        </w:r>
      </w:hyperlink>
      <w:r>
        <w:t xml:space="preserve">. The literature is operationally detailed, but its dollar accounting of a single licensed closure remains undone.</w:t>
      </w:r>
    </w:p>
    <w:p>
      <w:pPr>
        <w:pStyle w:val="BodyText"/>
        <w:spacing w:line="480" w:lineRule="auto"/>
        <w:ind w:firstLine="720"/>
      </w:pPr>
      <w:r>
        <w:t xml:space="preserve">The method literature is the mirror image. The econometric instruments that this dissertation will deploy, ordinary least squares on a panel of events with route-by-time-of-day fixed effects, event-study leads and lags, difference-in-differences identification with matched controls, and Cox proportional-hazards survival estimation, are textbook. The Coasian and Pigouvian theoretical frame on which the instruments are mounted is older still [6, 7]. The data on which the instruments will run are publicly available without restriction: the FAA AST Annual Compendium of Commercial Space Transportation for the licensed events themselves</w:t>
      </w:r>
      <w:r>
        <w:t xml:space="preserve"> </w:t>
      </w:r>
      <w:hyperlink w:anchor="ref-10">
        <w:r>
          <w:rPr>
            <w:rStyle w:val="Hyperlink"/>
          </w:rPr>
          <w:t xml:space="preserve">[10]</w:t>
        </w:r>
      </w:hyperlink>
      <w:r>
        <w:t xml:space="preserve">, the Bureau of Transportation Statistics TranStats T-100 segment data for the affected flights</w:t>
      </w:r>
      <w:r>
        <w:t xml:space="preserve"> </w:t>
      </w:r>
      <w:hyperlink w:anchor="ref-11">
        <w:r>
          <w:rPr>
            <w:rStyle w:val="Hyperlink"/>
          </w:rPr>
          <w:t xml:space="preserve">[11]</w:t>
        </w:r>
      </w:hyperlink>
      <w:r>
        <w:t xml:space="preserve">, the U.S. Department of Transportation departmental guidance on value of travel time for the passenger time component</w:t>
      </w:r>
      <w:r>
        <w:t xml:space="preserve"> </w:t>
      </w:r>
      <w:hyperlink w:anchor="ref-12">
        <w:r>
          <w:rPr>
            <w:rStyle w:val="Hyperlink"/>
          </w:rPr>
          <w:t xml:space="preserve">[12]</w:t>
        </w:r>
      </w:hyperlink>
      <w:r>
        <w:t xml:space="preserve">, and the EUROCONTROL Base of Aircraft Data for the type-specific fuel burn rates</w:t>
      </w:r>
      <w:r>
        <w:t xml:space="preserve"> </w:t>
      </w:r>
      <w:hyperlink w:anchor="ref-13">
        <w:r>
          <w:rPr>
            <w:rStyle w:val="Hyperlink"/>
          </w:rPr>
          <w:t xml:space="preserve">[13]</w:t>
        </w:r>
      </w:hyperlink>
      <w:r>
        <w:t xml:space="preserve">. The method is mature and the data are open. What has not been done is the application of the mature method to the open data on the licensed-event population with the externality frame in place.</w:t>
      </w:r>
    </w:p>
    <w:p>
      <w:pPr>
        <w:pStyle w:val="BodyText"/>
        <w:spacing w:line="480" w:lineRule="auto"/>
        <w:ind w:firstLine="720"/>
      </w:pPr>
      <w:r>
        <w:t xml:space="preserve">The gap is therefore evidentiary, not conceptual. The domain literature names the externality, the governance literature names the frame, and the operational literature names the interface. The method literature has the instruments. The dissertation occupies the space between them by producing the event-priced, license-comparable estimate that the domain literature has not produced and the method literature is fully equipped to produce.</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dissertation tests one claim, stated as a paired hypothesis on a single event-level estimand.</w:t>
      </w:r>
    </w:p>
    <w:p>
      <w:pPr>
        <w:pStyle w:val="BodyText"/>
        <w:spacing w:line="480" w:lineRule="auto"/>
        <w:ind w:firstLine="720"/>
      </w:pPr>
      <w:r>
        <w:t xml:space="preserve">H0. The mean per-event NAS cost attributable to a licensed launch or reentry Aircraft Hazard Area closure is zero, or, if strictly positive, is less than or equal to the marginal regulatory cost borne by the launch or reentry operator under the FAA Office of Commercial Space Transportation fee schedule.</w:t>
      </w:r>
    </w:p>
    <w:p>
      <w:pPr>
        <w:pStyle w:val="BodyText"/>
        <w:spacing w:line="480" w:lineRule="auto"/>
        <w:ind w:firstLine="720"/>
      </w:pPr>
      <w:r>
        <w:t xml:space="preserve">H1. The mean per-event NAS cost is strictly positive and strictly greater than the marginal regulatory cost borne by the operator under the same schedule, indicating an unpriced Pigouvian wedge.</w:t>
      </w:r>
    </w:p>
    <w:p>
      <w:pPr>
        <w:pStyle w:val="BodyText"/>
        <w:spacing w:line="480" w:lineRule="auto"/>
        <w:ind w:firstLine="720"/>
      </w:pPr>
      <w:r>
        <w:t xml:space="preserve">The estimand is the average treatment effect of an active Aircraft Hazard Area closure on the realized cost of affected commercial flights, measured against a matched no-closure counterfactual on the same route, the same carrier, and the same time-of-day stratum. The cost is decomposed into excess block time, excess fuel burn computed from EUROCONTROL BADA type-specific burn rates and observed track length</w:t>
      </w:r>
      <w:r>
        <w:t xml:space="preserve"> </w:t>
      </w:r>
      <w:hyperlink w:anchor="ref-13">
        <w:r>
          <w:rPr>
            <w:rStyle w:val="Hyperlink"/>
          </w:rPr>
          <w:t xml:space="preserve">[13]</w:t>
        </w:r>
      </w:hyperlink>
      <w:r>
        <w:t xml:space="preserve">, a cancellation indicator, and an imputed passenger time cost using the U.S. Department of Transportation value-of-travel-time guidance</w:t>
      </w:r>
      <w:r>
        <w:t xml:space="preserve"> </w:t>
      </w:r>
      <w:hyperlink w:anchor="ref-12">
        <w:r>
          <w:rPr>
            <w:rStyle w:val="Hyperlink"/>
          </w:rPr>
          <w:t xml:space="preserve">[12]</w:t>
        </w:r>
      </w:hyperlink>
      <w:r>
        <w:t xml:space="preserve">. The four components are aggregated into a per-event NAS cost in dollars, and the cost is compared directly to the published FAA license fee for the corresponding event class</w:t>
      </w:r>
      <w:r>
        <w:t xml:space="preserve"> </w:t>
      </w:r>
      <w:hyperlink w:anchor="ref-10">
        <w:r>
          <w:rPr>
            <w:rStyle w:val="Hyperlink"/>
          </w:rPr>
          <w:t xml:space="preserve">[10]</w:t>
        </w:r>
      </w:hyperlink>
      <w:r>
        <w:t xml:space="preserve">. The Pigouvian interpretation of the difference between the two is anchored in the orbital-externality framing of Weinzierl and Hanson [1, 2, 9], in the airspace-class governance analogy of Stilwell and the IRD line [3, 5, 8, 14, 15], and in the spaceport-integration interface of Santoro and coauthors</w:t>
      </w:r>
      <w:r>
        <w:t xml:space="preserve"> </w:t>
      </w:r>
      <w:hyperlink w:anchor="ref-4">
        <w:r>
          <w:rPr>
            <w:rStyle w:val="Hyperlink"/>
          </w:rPr>
          <w:t xml:space="preserve">[4]</w:t>
        </w:r>
      </w:hyperlink>
      <w:r>
        <w:t xml:space="preserve">.</w:t>
      </w:r>
    </w:p>
    <w:p>
      <w:pPr>
        <w:pStyle w:val="BodyText"/>
        <w:spacing w:line="480" w:lineRule="auto"/>
        <w:ind w:firstLine="720"/>
      </w:pPr>
      <w:r>
        <w:t xml:space="preserve">The claim is falsifiable in the strict sense. If the estimated mean per-event NAS cost is statistically indistinguishable from zero, or if the central estimate falls inside the band defined by the operator’s marginal regulatory cost from the lowest published fee to the highest plausible non-fee compliance cost, H1 fails and H0 is retained. The dissertation reports the wedge across the published value-of-travel-time guidance range and at zero passenger time cost so that the central claim does not rest on the most aggressive parameterization. The selection of launch windows is non-random with respect to airspace density, which biases the naive estimate downward, and the dissertation treats the resulting estimate as a lower bound on the true unpriced wedge. If a lower bound on the wedge already exceeds the upper bound on the operator’s marginal regulatory cost, H1 survives the most demanding interpretation of the data; if it does not, the result is reported as inconclusive rather than as a rejection.</w:t>
      </w:r>
    </w:p>
    <w:p>
      <w:pPr>
        <w:pStyle w:val="BodyText"/>
        <w:spacing w:line="480" w:lineRule="auto"/>
        <w:ind w:firstLine="720"/>
      </w:pPr>
      <w:r>
        <w:t xml:space="preserve">The single contribution is therefore the first event-priced, license-comparable estimate of the aviation externality of commercial space transportation in the United States, produced from publicly available federal data with credible event-study identification, and stated as a falsifiable inequality between a measured cost and an observable fee. The Knox p1 OLS estimate fixes the static magnitude of the wedge and demonstrates that closure duration and ambient sector density move the cost. The Knox p2 Cox hazard estimate fixes the dynamic magnitude and demonstrates that the scale of the segregated volume is the dominant predictor of release-time risk. The dissertation generalizes both to the population of licensed events and brings the resulting estimate to the fee-schedule comparison that the Pigouvian frame requires.</w:t>
      </w:r>
    </w:p>
    <w:bookmarkEnd w:id="64"/>
    <w:bookmarkStart w:id="65" w:name="roadmap"/>
    <w:p>
      <w:pPr>
        <w:pStyle w:val="Heading2"/>
        <w:spacing w:line="480" w:lineRule="auto"/>
      </w:pPr>
      <w:r>
        <w:t xml:space="preserve">1.5 Roadmap</w:t>
      </w:r>
    </w:p>
    <w:p>
      <w:pPr>
        <w:pStyle w:val="FirstParagraph"/>
        <w:spacing w:line="480" w:lineRule="auto"/>
      </w:pPr>
      <w:r>
        <w:t xml:space="preserve">The dissertation is organized in seven chapters.</w:t>
      </w:r>
    </w:p>
    <w:p>
      <w:pPr>
        <w:pStyle w:val="BodyText"/>
        <w:spacing w:line="480" w:lineRule="auto"/>
        <w:ind w:firstLine="720"/>
      </w:pPr>
      <w:r>
        <w:t xml:space="preserve">Chapter 2 develops the theoretical frame in depth. It treats the airspace closure as a negative externality in the canonical Coasian and Pigouvian sense [6, 7], situates the wedge inside the orbital-externality literature of Weinzierl and Hanson [1, 2, 9], and operationalizes the airspace-class governance analogy of Stilwell and the IRD line [3, 5, 8, 14, 15]. It states the per-event estimand formally and derives the conditions under which the OLS, event-study, and survival estimators recover it.</w:t>
      </w:r>
    </w:p>
    <w:p>
      <w:pPr>
        <w:pStyle w:val="BodyText"/>
        <w:spacing w:line="480" w:lineRule="auto"/>
        <w:ind w:firstLine="720"/>
      </w:pPr>
      <w:r>
        <w:t xml:space="preserve">Chapter 3 documents the data. It describes the FAA AST Annual Compendium event population</w:t>
      </w:r>
      <w:r>
        <w:t xml:space="preserve"> </w:t>
      </w:r>
      <w:hyperlink w:anchor="ref-10">
        <w:r>
          <w:rPr>
            <w:rStyle w:val="Hyperlink"/>
          </w:rPr>
          <w:t xml:space="preserve">[10]</w:t>
        </w:r>
      </w:hyperlink>
      <w:r>
        <w:t xml:space="preserve">, the Bureau of Transportation Statistics TranStats T-100 flight panel</w:t>
      </w:r>
      <w:r>
        <w:t xml:space="preserve"> </w:t>
      </w:r>
      <w:hyperlink w:anchor="ref-11">
        <w:r>
          <w:rPr>
            <w:rStyle w:val="Hyperlink"/>
          </w:rPr>
          <w:t xml:space="preserve">[11]</w:t>
        </w:r>
      </w:hyperlink>
      <w:r>
        <w:t xml:space="preserve">, the EUROCONTROL Base of Aircraft Data type-specific fuel-burn series</w:t>
      </w:r>
      <w:r>
        <w:t xml:space="preserve"> </w:t>
      </w:r>
      <w:hyperlink w:anchor="ref-13">
        <w:r>
          <w:rPr>
            <w:rStyle w:val="Hyperlink"/>
          </w:rPr>
          <w:t xml:space="preserve">[13]</w:t>
        </w:r>
      </w:hyperlink>
      <w:r>
        <w:t xml:space="preserve">, the U.S. Department of Transportation value-of-travel-time guidance</w:t>
      </w:r>
      <w:r>
        <w:t xml:space="preserve"> </w:t>
      </w:r>
      <w:hyperlink w:anchor="ref-12">
        <w:r>
          <w:rPr>
            <w:rStyle w:val="Hyperlink"/>
          </w:rPr>
          <w:t xml:space="preserve">[12]</w:t>
        </w:r>
      </w:hyperlink>
      <w:r>
        <w:t xml:space="preserve">, and the FAA Office of Commercial Space Transportation fee schedule</w:t>
      </w:r>
      <w:r>
        <w:t xml:space="preserve"> </w:t>
      </w:r>
      <w:hyperlink w:anchor="ref-10">
        <w:r>
          <w:rPr>
            <w:rStyle w:val="Hyperlink"/>
          </w:rPr>
          <w:t xml:space="preserve">[10]</w:t>
        </w:r>
      </w:hyperlink>
      <w:r>
        <w:t xml:space="preserve">. Each source is open and federally documented; no proprietary, classified, or controlled data are required to execute the design.</w:t>
      </w:r>
    </w:p>
    <w:p>
      <w:pPr>
        <w:pStyle w:val="BodyText"/>
        <w:spacing w:line="480" w:lineRule="auto"/>
        <w:ind w:firstLine="720"/>
      </w:pPr>
      <w:r>
        <w:t xml:space="preserve">Chapter 4 generalizes the Knox p1 OLS specification to the full licensed-event population and adds event-study leads and lags around the closure window with route-by-time-of-day fixed effects. It reports the central per-event cost estimate, the pre-trend tests, and the sensitivity of the central estimate to the value-of-travel-time parameter.</w:t>
      </w:r>
    </w:p>
    <w:p>
      <w:pPr>
        <w:pStyle w:val="BodyText"/>
        <w:spacing w:line="480" w:lineRule="auto"/>
        <w:ind w:firstLine="720"/>
      </w:pPr>
      <w:r>
        <w:t xml:space="preserve">Chapter 5 generalizes the Knox p2 Cox proportional-hazards specification to the same population and reports the hazard ratios for the log of the segregated volume, the reentry indicator, and the coastal-corridor indicator across the wider sample. It reads the resulting estimates against the right-tail risk that a closure blows out beyond its published window, which the static OLS specification cannot identify.</w:t>
      </w:r>
    </w:p>
    <w:p>
      <w:pPr>
        <w:pStyle w:val="BodyText"/>
        <w:spacing w:line="480" w:lineRule="auto"/>
        <w:ind w:firstLine="720"/>
      </w:pPr>
      <w:r>
        <w:t xml:space="preserve">Chapter 6 brings the two estimates to the Pigouvian comparison. It states the wedge as the difference between the central per-event cost estimate and the operator’s marginal regulatory cost, reports the wedge across the published guidance range, and tests H1 against the lower-bound and upper-bound bands described in the preceding section. It also reads the wedge against the recent integration literature on uncontrolled reentry [24, 29] and on rapid-launch and constellation-deployment cadence [19, 20, 23].</w:t>
      </w:r>
    </w:p>
    <w:p>
      <w:pPr>
        <w:pStyle w:val="BodyText"/>
        <w:spacing w:line="480" w:lineRule="auto"/>
        <w:ind w:firstLine="720"/>
      </w:pPr>
      <w:r>
        <w:t xml:space="preserve">Chapter 7 concludes. It states the result, situates it inside the domain literature it generalizes, names the threats to validity it does not fully resolve, and identifies three extensions: a corridor-design counterfactual that asks how much of the wedge would survive a redesigned Aircraft Hazard Area geometry, a dynamic-airspace-management counterfactual that asks how much would survive the Stilwell and IRD policy levers [3, 5, 8, 14, 15], and an international comparison that asks whether the European spaceport-integration framework of Santoro and coauthors</w:t>
      </w:r>
      <w:r>
        <w:t xml:space="preserve"> </w:t>
      </w:r>
      <w:hyperlink w:anchor="ref-4">
        <w:r>
          <w:rPr>
            <w:rStyle w:val="Hyperlink"/>
          </w:rPr>
          <w:t xml:space="preserve">[4]</w:t>
        </w:r>
      </w:hyperlink>
      <w:r>
        <w:t xml:space="preserve"> </w:t>
      </w:r>
      <w:r>
        <w:t xml:space="preserve">would produce a different wedge under the same data construction. The closing pages return to the NASA and JPL stakes with which this chapter opened and read the wedge as a procurement and mission-planning constraint that the federal civil-space portfolio will increasingly need to price.</w:t>
      </w:r>
    </w:p>
    <w:bookmarkEnd w:id="65"/>
    <w:bookmarkEnd w:id="66"/>
    <w:bookmarkStart w:id="82" w:name="chapter-2.-literature-review"/>
    <w:p>
      <w:pPr>
        <w:pStyle w:val="Heading1"/>
        <w:spacing w:line="480" w:lineRule="auto"/>
      </w:pPr>
      <w:r>
        <w:t xml:space="preserve">Chapter 2. Literature Review</w:t>
      </w:r>
    </w:p>
    <w:bookmarkStart w:id="67" w:name="purpose-and-organization-of-the-review"/>
    <w:p>
      <w:pPr>
        <w:pStyle w:val="Heading2"/>
        <w:spacing w:line="480" w:lineRule="auto"/>
      </w:pPr>
      <w:r>
        <w:t xml:space="preserve">2.1 Purpose and Organization of the Review</w:t>
      </w:r>
    </w:p>
    <w:p>
      <w:pPr>
        <w:pStyle w:val="FirstParagraph"/>
        <w:spacing w:line="480" w:lineRule="auto"/>
      </w:pPr>
      <w:r>
        <w:t xml:space="preserve">The dissertation argues that the temporary segregation of National Airspace System (NAS) volume around a commercial launch or reentry event is, in the strict economic sense, an unpriced negative externality of the kind familiar from the orbital congestion and debris literatures, and that the magnitude of the wedge between the social cost the closure imposes on commercial aviation and the regulatory cost the launch operator bears can be estimated at the event level using methods drawn from welfare economics and applied econometrics. The empirical chapters of the dissertation execute that estimation through an ordinary least squares cross-section on twenty-eight events and a Cox proportional-hazards specification on thirty-two events. This chapter situates that empirical strategy in two literatures that have, until now, not been joined.</w:t>
      </w:r>
    </w:p>
    <w:p>
      <w:pPr>
        <w:pStyle w:val="BodyText"/>
        <w:spacing w:line="480" w:lineRule="auto"/>
        <w:ind w:firstLine="720"/>
      </w:pPr>
      <w:r>
        <w:t xml:space="preserve">The first literature is technical. It is composed of the engineering, operational, and regulatory studies that describe how launch and reentry vehicles physically interact with the NAS, how the surrounding airspace is segregated, how reentry debris fields are characterized, and how the FAA Office of Commercial Space Transportation administers the licensing regime. Its center of gravity is the spaceport integration literature and the air and space traffic management literature, with adjacent contributions from the space traffic management, space domain awareness, and debris reentry safety literatures. This body of work establishes the operational reality of the closure event and identifies airspace integration as the binding constraint on growth in commercial launch cadence, but it does not price the closure.</w:t>
      </w:r>
    </w:p>
    <w:p>
      <w:pPr>
        <w:pStyle w:val="BodyText"/>
        <w:spacing w:line="480" w:lineRule="auto"/>
        <w:ind w:firstLine="720"/>
      </w:pPr>
      <w:r>
        <w:t xml:space="preserve">The second literature is methodological. It is composed of the welfare economics that defines a negative externality and prescribes its remedy, the orbital externality literature that has applied that framing to the on-orbit commons, the common-pool resource governance literature that has imported the airspace-class analogy into the orbital regime, and the cliometric and econometric tradition that supplies the event-study, panel, and survival tools for measuring per-event treatment effects. This body of work specifies the estimand, the identification logic, and the inferential machinery, but it has not been turned on the launch and reentry closure event.</w:t>
      </w:r>
    </w:p>
    <w:p>
      <w:pPr>
        <w:pStyle w:val="BodyText"/>
        <w:spacing w:line="480" w:lineRule="auto"/>
        <w:ind w:firstLine="720"/>
      </w:pPr>
      <w:r>
        <w:t xml:space="preserve">The review proceeds in five movements. Section 2.2 reconstructs the welfare-economic foundation. Section 2.3 surveys the technical literature on the launch and reentry interface with the NAS. Section 2.4 surveys the cliometric and econometric methodology relevant to event-priced estimation of regulatory wedges. Section 2.5 examines the orbital externality and common-pool governance literature that sits between the two. Section 2.6 synthesizes the two literatures, names the gap, and previews the way the empirical chapters of the dissertation close it.</w:t>
      </w:r>
    </w:p>
    <w:bookmarkEnd w:id="67"/>
    <w:bookmarkStart w:id="68" w:name="the-welfare-economic-foundation"/>
    <w:p>
      <w:pPr>
        <w:pStyle w:val="Heading2"/>
        <w:spacing w:line="480" w:lineRule="auto"/>
      </w:pPr>
      <w:r>
        <w:t xml:space="preserve">2.2 The Welfare-Economic Foundation</w:t>
      </w:r>
    </w:p>
    <w:p>
      <w:pPr>
        <w:pStyle w:val="FirstParagraph"/>
        <w:spacing w:line="480" w:lineRule="auto"/>
      </w:pPr>
      <w:r>
        <w:t xml:space="preserve">Two canonical texts carry the conceptual weight of the dissertation. Pigou’s analysis of the divergence between marginal social and marginal private cost, in</w:t>
      </w:r>
      <w:r>
        <w:t xml:space="preserve"> </w:t>
      </w:r>
      <w:r>
        <w:rPr>
          <w:i/>
          <w:iCs/>
        </w:rPr>
        <w:t xml:space="preserve">The Economics of Welfare</w:t>
      </w:r>
      <w:r>
        <w:t xml:space="preserve">, defines the corrective tax that has carried his name for nearly a century and supplies the policy logic for any claim that a regulator should price an unpriced harm</w:t>
      </w:r>
      <w:r>
        <w:t xml:space="preserve"> </w:t>
      </w:r>
      <w:hyperlink w:anchor="ref-7">
        <w:r>
          <w:rPr>
            <w:rStyle w:val="Hyperlink"/>
          </w:rPr>
          <w:t xml:space="preserve">[7]</w:t>
        </w:r>
      </w:hyperlink>
      <w:r>
        <w:t xml:space="preserve">. Coase’s reply, in</w:t>
      </w:r>
      <w:r>
        <w:t xml:space="preserve"> </w:t>
      </w:r>
      <w:r>
        <w:t xml:space="preserve">“The Problem of Social Cost,”</w:t>
      </w:r>
      <w:r>
        <w:t xml:space="preserve"> </w:t>
      </w:r>
      <w:r>
        <w:t xml:space="preserve">reframes the externality as a problem of incompletely assigned property rights and shows that, in the absence of transaction costs, private bargaining can in principle achieve the efficient allocation regardless of the initial assignment</w:t>
      </w:r>
      <w:r>
        <w:t xml:space="preserve"> </w:t>
      </w:r>
      <w:hyperlink w:anchor="ref-6">
        <w:r>
          <w:rPr>
            <w:rStyle w:val="Hyperlink"/>
          </w:rPr>
          <w:t xml:space="preserve">[6]</w:t>
        </w:r>
      </w:hyperlink>
      <w:r>
        <w:t xml:space="preserve">. The two papers together define the analytic space that the dissertation occupies: the question is not whether airspace closure imposes costs, but whether the institutional architecture supports a Pigouvian price, a Coasian bargain, or some hybrid quantity instrument administered by the FAA.</w:t>
      </w:r>
    </w:p>
    <w:p>
      <w:pPr>
        <w:pStyle w:val="BodyText"/>
        <w:spacing w:line="480" w:lineRule="auto"/>
        <w:ind w:firstLine="720"/>
      </w:pPr>
      <w:r>
        <w:t xml:space="preserve">The relevance of the Pigou-Coase frame to the commercial space sector has been established explicitly by Weinzierl, who treats orbital crowding and the orbital debris field as a</w:t>
      </w:r>
      <w:r>
        <w:t xml:space="preserve"> </w:t>
      </w:r>
      <w:r>
        <w:t xml:space="preserve">“classic negative externality”</w:t>
      </w:r>
      <w:r>
        <w:t xml:space="preserve"> </w:t>
      </w:r>
      <w:r>
        <w:t xml:space="preserve">and argues that the available remedies, Pigouvian taxation, Coasian bargaining over property-like rights, and polycentric governance of the orbital commons, all face severe traction problems given the international and institutional structure of space activity [1, 9]. Weinzierl explicitly invokes the Hanson proposal for a standard Pigouvian price on orbital debris as the canonical first-best, while acknowledging that the absence of an authoritative pricing body is the central obstacle to its implementation</w:t>
      </w:r>
      <w:r>
        <w:t xml:space="preserve"> </w:t>
      </w:r>
      <w:hyperlink w:anchor="ref-2">
        <w:r>
          <w:rPr>
            <w:rStyle w:val="Hyperlink"/>
          </w:rPr>
          <w:t xml:space="preserve">[2]</w:t>
        </w:r>
      </w:hyperlink>
      <w:r>
        <w:t xml:space="preserve">. The dissertation’s contribution is to observe that the surface case, the closure of an Aircraft Hazard Area inside a sovereign airspace, does not face the same traction problem, because the FAA is the authoritative pricing body and the closure event is administered inside a domestic regulatory regime that already collects fees from the launch operator</w:t>
      </w:r>
      <w:r>
        <w:t xml:space="preserve"> </w:t>
      </w:r>
      <w:hyperlink w:anchor="ref-10">
        <w:r>
          <w:rPr>
            <w:rStyle w:val="Hyperlink"/>
          </w:rPr>
          <w:t xml:space="preserve">[10]</w:t>
        </w:r>
      </w:hyperlink>
      <w:r>
        <w:t xml:space="preserve">.</w:t>
      </w:r>
    </w:p>
    <w:p>
      <w:pPr>
        <w:pStyle w:val="BodyText"/>
        <w:spacing w:line="480" w:lineRule="auto"/>
        <w:ind w:firstLine="720"/>
      </w:pPr>
      <w:r>
        <w:t xml:space="preserve">The Pigou-Coase frame is not, however, sufficient on its own. The dissertation is empirical, and the welfare-economic frame must be translated into an estimand. The translation is supplied by the cliometric and econometric literature taken up in Section 2.4. Before that translation, the technical literature on the launch and reentry interface must be reviewed, because it is the technical literature that defines the closure event whose cost the dissertation prices.</w:t>
      </w:r>
    </w:p>
    <w:bookmarkEnd w:id="68"/>
    <w:bookmarkStart w:id="73" w:name="the-domain-technical-literature"/>
    <w:p>
      <w:pPr>
        <w:pStyle w:val="Heading2"/>
        <w:spacing w:line="480" w:lineRule="auto"/>
      </w:pPr>
      <w:r>
        <w:t xml:space="preserve">2.3 The Domain Technical Literature</w:t>
      </w:r>
    </w:p>
    <w:bookmarkStart w:id="69" w:name="X9d63c54b54503a46c978712b1fc757d202f4094"/>
    <w:p>
      <w:pPr>
        <w:pStyle w:val="Heading3"/>
        <w:spacing w:line="480" w:lineRule="auto"/>
      </w:pPr>
      <w:r>
        <w:t xml:space="preserve">2.3.1 The Spaceport and Ground Segment Interface</w:t>
      </w:r>
    </w:p>
    <w:p>
      <w:pPr>
        <w:pStyle w:val="FirstParagraph"/>
        <w:spacing w:line="480" w:lineRule="auto"/>
      </w:pPr>
      <w:r>
        <w:t xml:space="preserve">The spaceport-integration literature is the technical anchor for the dissertation’s empirical chapters. Santoro and colleagues provide the most thorough engineering account of the spaceport and ground segment requirements for suborbital transportation, and they identify airspace integration as the binding constraint on the growth of suborbital and orbital traffic</w:t>
      </w:r>
      <w:r>
        <w:t xml:space="preserve"> </w:t>
      </w:r>
      <w:hyperlink w:anchor="ref-4">
        <w:r>
          <w:rPr>
            <w:rStyle w:val="Hyperlink"/>
          </w:rPr>
          <w:t xml:space="preserve">[4]</w:t>
        </w:r>
      </w:hyperlink>
      <w:r>
        <w:t xml:space="preserve">. Their assessment of candidate Italian sites against the operational requirements of suborbital vehicle classes documents the precise mechanism the dissertation prices: a vehicle of given class requires a hazard area of given volume and duration, the hazard area is segregated from civilian air traffic for the licensed window, and the resulting reroute, hold, or cancellation cost is absorbed by commercial aviation rather than by the operator or the spaceport</w:t>
      </w:r>
      <w:r>
        <w:t xml:space="preserve"> </w:t>
      </w:r>
      <w:hyperlink w:anchor="ref-4">
        <w:r>
          <w:rPr>
            <w:rStyle w:val="Hyperlink"/>
          </w:rPr>
          <w:t xml:space="preserve">[4]</w:t>
        </w:r>
      </w:hyperlink>
      <w:r>
        <w:t xml:space="preserve">. The contribution of the Santoro line of work is that it specifies the hazard area as a quantitative object, defined by vehicle envelope, trajectory dispersion, and licensing window, which means that the closure event has a well-posed magnitude that the dissertation can measure. The limitation of the Santoro line, from the standpoint of the dissertation, is that it stops at the description of the operational interface and does not produce a dollar estimate of the closure cost.</w:t>
      </w:r>
    </w:p>
    <w:p>
      <w:pPr>
        <w:pStyle w:val="BodyText"/>
        <w:spacing w:line="480" w:lineRule="auto"/>
        <w:ind w:firstLine="720"/>
      </w:pPr>
      <w:r>
        <w:t xml:space="preserve">Adjacent contributions in the technical literature reinforce the operational picture. Reid sketches the conceptual framework for a rapid space launch capability, in which the time from intent to lift is compressed to within hours of an event-driven trigger, and observes that the airspace coordination requirement is one of the binding latencies in the response timeline</w:t>
      </w:r>
      <w:r>
        <w:t xml:space="preserve"> </w:t>
      </w:r>
      <w:hyperlink w:anchor="ref-23">
        <w:r>
          <w:rPr>
            <w:rStyle w:val="Hyperlink"/>
          </w:rPr>
          <w:t xml:space="preserve">[23]</w:t>
        </w:r>
      </w:hyperlink>
      <w:r>
        <w:t xml:space="preserve">. The implication for the externality argument is direct: as the cadence and the time-compression of launch operations increase, the friction between launch operations and the rest of the NAS grows, and the social cost of any individual closure is an increasing function of ambient traffic density at the affected sector. The dissertation’s Paper 1 uses sector traffic density as one of its three regressors precisely because the technical literature has identified ambient density as the binding constraint on the operational interface [4, 23].</w:t>
      </w:r>
    </w:p>
    <w:p>
      <w:pPr>
        <w:pStyle w:val="BodyText"/>
        <w:spacing w:line="480" w:lineRule="auto"/>
        <w:ind w:firstLine="720"/>
      </w:pPr>
      <w:r>
        <w:t xml:space="preserve">Barato and colleagues examine the access-to-space question for small satellites and document a proliferation of trajectory and launch-vehicle profiles against a defined low-Earth orbit destination</w:t>
      </w:r>
      <w:r>
        <w:t xml:space="preserve"> </w:t>
      </w:r>
      <w:hyperlink w:anchor="ref-31">
        <w:r>
          <w:rPr>
            <w:rStyle w:val="Hyperlink"/>
          </w:rPr>
          <w:t xml:space="preserve">[31]</w:t>
        </w:r>
      </w:hyperlink>
      <w:r>
        <w:t xml:space="preserve">. Their parametric treatment of launch-vehicle classes is informative for the dissertation because it shows that the population of closure events is heterogeneous in both duration and segregated volume, which is the empirical fact that motivates the Cox proportional-hazards specification on closure duration in Paper 2. Snelgrove and Saleh, in their treatment of optimal spacecraft design lifetime under reduced launch price, document the elasticity of launch cadence to launch cost and provide an indirect rationale for expecting the closure event population to grow substantially over the FAA Annual Compendium reporting period</w:t>
      </w:r>
      <w:r>
        <w:t xml:space="preserve"> </w:t>
      </w:r>
      <w:hyperlink w:anchor="ref-28">
        <w:r>
          <w:rPr>
            <w:rStyle w:val="Hyperlink"/>
          </w:rPr>
          <w:t xml:space="preserve">[28]</w:t>
        </w:r>
      </w:hyperlink>
      <w:r>
        <w:t xml:space="preserve">. The Drenthe and colleagues study of cost estimation for commercial smallsat launch vehicles documents the cost basis on which that cadence growth has occurred and supplies a parametric input to any future calibration of operator-side compliance cost against social cost</w:t>
      </w:r>
      <w:r>
        <w:t xml:space="preserve"> </w:t>
      </w:r>
      <w:hyperlink w:anchor="ref-26">
        <w:r>
          <w:rPr>
            <w:rStyle w:val="Hyperlink"/>
          </w:rPr>
          <w:t xml:space="preserve">[26]</w:t>
        </w:r>
      </w:hyperlink>
      <w:r>
        <w:t xml:space="preserve">.</w:t>
      </w:r>
    </w:p>
    <w:bookmarkEnd w:id="69"/>
    <w:bookmarkStart w:id="70" w:name="air-and-space-traffic-management"/>
    <w:p>
      <w:pPr>
        <w:pStyle w:val="Heading3"/>
        <w:spacing w:line="480" w:lineRule="auto"/>
      </w:pPr>
      <w:r>
        <w:t xml:space="preserve">2.3.2 Air and Space Traffic Management</w:t>
      </w:r>
    </w:p>
    <w:p>
      <w:pPr>
        <w:pStyle w:val="FirstParagraph"/>
        <w:spacing w:line="480" w:lineRule="auto"/>
      </w:pPr>
      <w:r>
        <w:t xml:space="preserve">A second strand of the technical literature treats the integration of air and space traffic management as an explicit object of study. Kezirian, Smith, and Lloyd offer the most direct precedent for the dissertation’s framing, in their analysis of the criteria for tracking debris objects prior to uncontrolled reentry through populated airspace</w:t>
      </w:r>
      <w:r>
        <w:t xml:space="preserve"> </w:t>
      </w:r>
      <w:hyperlink w:anchor="ref-16">
        <w:r>
          <w:rPr>
            <w:rStyle w:val="Hyperlink"/>
          </w:rPr>
          <w:t xml:space="preserve">[16]</w:t>
        </w:r>
      </w:hyperlink>
      <w:r>
        <w:t xml:space="preserve">. Their argument is that the air-side and space-side traffic management regimes have, until recently, evolved in parallel rather than in integration, and that the integration question is technically and economically nontrivial because the residual risk to aviation from an uncontrolled reentry is a function of the segregated volume, the duration of the closure, and the quality of the tracking data that supports the segregation decision</w:t>
      </w:r>
      <w:r>
        <w:t xml:space="preserve"> </w:t>
      </w:r>
      <w:hyperlink w:anchor="ref-16">
        <w:r>
          <w:rPr>
            <w:rStyle w:val="Hyperlink"/>
          </w:rPr>
          <w:t xml:space="preserve">[16]</w:t>
        </w:r>
      </w:hyperlink>
      <w:r>
        <w:t xml:space="preserve">. The dissertation prices the closure event whose existence and magnitude their framework establishes.</w:t>
      </w:r>
    </w:p>
    <w:p>
      <w:pPr>
        <w:pStyle w:val="BodyText"/>
        <w:spacing w:line="480" w:lineRule="auto"/>
        <w:ind w:firstLine="720"/>
      </w:pPr>
      <w:r>
        <w:t xml:space="preserve">The risk-based decision-making literature in space traffic management contributes a complementary perspective. Hussein and colleagues at Trusted Space lay out a decision-theoretic framework in which space traffic management decisions are taken under bounded information about the orbital environment and in which the cost of a precautionary action is weighed against the expected cost of an adverse event</w:t>
      </w:r>
      <w:r>
        <w:t xml:space="preserve"> </w:t>
      </w:r>
      <w:hyperlink w:anchor="ref-18">
        <w:r>
          <w:rPr>
            <w:rStyle w:val="Hyperlink"/>
          </w:rPr>
          <w:t xml:space="preserve">[18]</w:t>
        </w:r>
      </w:hyperlink>
      <w:r>
        <w:t xml:space="preserve">. The framework translates almost directly to the airspace closure problem: a closure decision is a precautionary action taken under bounded information about vehicle trajectory dispersion, weather, and ambient traffic, and the social cost of the closure is the expected reroute, hold, and cancellation cost across the affected sector. Reilly, Blackford, and Mueller catalogue the challenges that the maturing space traffic management regime will face as cadence rises, identifying the integration of space and air traffic management as the binding capacity problem of the next decade</w:t>
      </w:r>
      <w:r>
        <w:t xml:space="preserve"> </w:t>
      </w:r>
      <w:hyperlink w:anchor="ref-22">
        <w:r>
          <w:rPr>
            <w:rStyle w:val="Hyperlink"/>
          </w:rPr>
          <w:t xml:space="preserve">[22]</w:t>
        </w:r>
      </w:hyperlink>
      <w:r>
        <w:t xml:space="preserve">. Ramos, McKissock, and Parris, in their analysis of mega-constellation deployment, document the way that the launch operations of a single operator can saturate the catalog maintenance capacity of the space domain awareness apparatus and, by extension, the coordination capacity of the air traffic organization that administers the surrounding airspace</w:t>
      </w:r>
      <w:r>
        <w:t xml:space="preserve"> </w:t>
      </w:r>
      <w:hyperlink w:anchor="ref-20">
        <w:r>
          <w:rPr>
            <w:rStyle w:val="Hyperlink"/>
          </w:rPr>
          <w:t xml:space="preserve">[20]</w:t>
        </w:r>
      </w:hyperlink>
      <w:r>
        <w:t xml:space="preserve">. The implication is that the closure events the dissertation prices are not independent draws from a stationary distribution but are clustered in operator and corridor, which is the empirical fact that motivates the censoring structure in the Cox specification of Paper 2.</w:t>
      </w:r>
    </w:p>
    <w:p>
      <w:pPr>
        <w:pStyle w:val="BodyText"/>
        <w:spacing w:line="480" w:lineRule="auto"/>
        <w:ind w:firstLine="720"/>
      </w:pPr>
      <w:r>
        <w:t xml:space="preserve">The space domain awareness operational literature provides a third source of technical grounding. Furlich and colleagues use civilian launches as live exercises for evaluating a federated protect-and-defend battle management system, and in the course of that evaluation document the operational footprint of a launch event on the surrounding sensor and tracking infrastructure</w:t>
      </w:r>
      <w:r>
        <w:t xml:space="preserve"> </w:t>
      </w:r>
      <w:hyperlink w:anchor="ref-17">
        <w:r>
          <w:rPr>
            <w:rStyle w:val="Hyperlink"/>
          </w:rPr>
          <w:t xml:space="preserve">[17]</w:t>
        </w:r>
      </w:hyperlink>
      <w:r>
        <w:t xml:space="preserve">. Geissbuhler and colleagues at Slingshot Aerospace describe the rapid tracking, characterization, and cataloguing requirements imposed by multi-payload launches to low-Earth orbit and quantify the scaling of the catalog maintenance burden with launch cadence</w:t>
      </w:r>
      <w:r>
        <w:t xml:space="preserve"> </w:t>
      </w:r>
      <w:hyperlink w:anchor="ref-19">
        <w:r>
          <w:rPr>
            <w:rStyle w:val="Hyperlink"/>
          </w:rPr>
          <w:t xml:space="preserve">[19]</w:t>
        </w:r>
      </w:hyperlink>
      <w:r>
        <w:t xml:space="preserve">. Both contributions reinforce the dissertation’s empirical claim that the closure event is a quantitative object with measurable characteristics and that those characteristics scale with vehicle class and corridor.</w:t>
      </w:r>
    </w:p>
    <w:bookmarkEnd w:id="70"/>
    <w:bookmarkStart w:id="71" w:name="reentry-debris-and-aviation-safety"/>
    <w:p>
      <w:pPr>
        <w:pStyle w:val="Heading3"/>
        <w:spacing w:line="480" w:lineRule="auto"/>
      </w:pPr>
      <w:r>
        <w:t xml:space="preserve">2.3.3 Reentry, Debris, and Aviation Safety</w:t>
      </w:r>
    </w:p>
    <w:p>
      <w:pPr>
        <w:pStyle w:val="FirstParagraph"/>
        <w:spacing w:line="480" w:lineRule="auto"/>
      </w:pPr>
      <w:r>
        <w:t xml:space="preserve">The third strand of the technical literature treats the specific aviation-safety implications of reentry and debris. Pardini and Anselmo, in their 2026 contribution to</w:t>
      </w:r>
      <w:r>
        <w:t xml:space="preserve"> </w:t>
      </w:r>
      <w:r>
        <w:rPr>
          <w:i/>
          <w:iCs/>
        </w:rPr>
        <w:t xml:space="preserve">Acta Astronautica</w:t>
      </w:r>
      <w:r>
        <w:t xml:space="preserve">, examine the risk on the ground and in the airspace posed by uncontrolled reentries and ask whether the growth observed in recent years should be considered worrying</w:t>
      </w:r>
      <w:r>
        <w:t xml:space="preserve"> </w:t>
      </w:r>
      <w:hyperlink w:anchor="ref-29">
        <w:r>
          <w:rPr>
            <w:rStyle w:val="Hyperlink"/>
          </w:rPr>
          <w:t xml:space="preserve">[29]</w:t>
        </w:r>
      </w:hyperlink>
      <w:r>
        <w:t xml:space="preserve">. Their analysis is the most direct empirical input to the dissertation’s reentry-event subsample, because it documents the trend in uncontrolled reentry frequency, the spatial distribution of the resulting debris fields, and the implied probability of airspace closure conditional on a reentry event. Hook, Wright, Byers, and Boley provide the most comprehensive treatment in the recent peer-reviewed literature of uncontrolled reentries and aviation safety, including the magnitude of the segregated volume required to bound the residual risk to aviation at a regulator-acceptable level</w:t>
      </w:r>
      <w:r>
        <w:t xml:space="preserve"> </w:t>
      </w:r>
      <w:hyperlink w:anchor="ref-24">
        <w:r>
          <w:rPr>
            <w:rStyle w:val="Hyperlink"/>
          </w:rPr>
          <w:t xml:space="preserve">[24]</w:t>
        </w:r>
      </w:hyperlink>
      <w:r>
        <w:t xml:space="preserve">. The combination of the two studies establishes that the reentry segment of the dissertation sample is not a marginal addition to the launch population but a category of closure event with its own scaling laws.</w:t>
      </w:r>
    </w:p>
    <w:p>
      <w:pPr>
        <w:pStyle w:val="BodyText"/>
        <w:spacing w:line="480" w:lineRule="auto"/>
        <w:ind w:firstLine="720"/>
      </w:pPr>
      <w:r>
        <w:t xml:space="preserve">Shahady’s analysis of the future risk of space debris and contested environments documents the way that the cost of geostationary slots responds to the debris environment and offers a precedent for the dissertation’s argument that the social cost of a launch or reentry operation can be measured and priced</w:t>
      </w:r>
      <w:r>
        <w:t xml:space="preserve"> </w:t>
      </w:r>
      <w:hyperlink w:anchor="ref-21">
        <w:r>
          <w:rPr>
            <w:rStyle w:val="Hyperlink"/>
          </w:rPr>
          <w:t xml:space="preserve">[21]</w:t>
        </w:r>
      </w:hyperlink>
      <w:r>
        <w:t xml:space="preserve">. The orbital case Shahady documents and the surface case the dissertation prices are not the same case, but the analytical move is parallel: an unpriced environmental cost imposed on third parties can be quantified using observable activity data and a transparent valuation rule.</w:t>
      </w:r>
    </w:p>
    <w:bookmarkEnd w:id="71"/>
    <w:bookmarkStart w:id="72" w:name="the-faa-administrative-record"/>
    <w:p>
      <w:pPr>
        <w:pStyle w:val="Heading3"/>
        <w:spacing w:line="480" w:lineRule="auto"/>
      </w:pPr>
      <w:r>
        <w:t xml:space="preserve">2.3.4 The FAA Administrative Record</w:t>
      </w:r>
    </w:p>
    <w:p>
      <w:pPr>
        <w:pStyle w:val="FirstParagraph"/>
        <w:spacing w:line="480" w:lineRule="auto"/>
      </w:pPr>
      <w:r>
        <w:t xml:space="preserve">The FAA Office of Commercial Space Transportation publishes an Annual Compendium of Commercial Space Transportation that documents licensed launch and reentry events, vehicle characteristics, and the licensing regime that governs them</w:t>
      </w:r>
      <w:r>
        <w:t xml:space="preserve"> </w:t>
      </w:r>
      <w:hyperlink w:anchor="ref-10">
        <w:r>
          <w:rPr>
            <w:rStyle w:val="Hyperlink"/>
          </w:rPr>
          <w:t xml:space="preserve">[10]</w:t>
        </w:r>
      </w:hyperlink>
      <w:r>
        <w:t xml:space="preserve">. The Compendium is the primary administrative record on which the empirical chapters of the dissertation rest, and its scope and granularity define the achievable resolution of the per-event cost estimate. The Compendium does not publish a dollar cost for the closure event, but it does publish the closure window, the affected corridor, and the vehicle class, which are the three operational inputs from which the dissertation constructs the per-event NAS cost. The Compendium is, in this sense, the technical literature’s most policy-proximate output and the dissertation’s most important data source.</w:t>
      </w:r>
    </w:p>
    <w:bookmarkEnd w:id="72"/>
    <w:bookmarkEnd w:id="73"/>
    <w:bookmarkStart w:id="79" w:name="X07fe73e594277fc276c6392b9242153367417e1"/>
    <w:p>
      <w:pPr>
        <w:pStyle w:val="Heading2"/>
        <w:spacing w:line="480" w:lineRule="auto"/>
      </w:pPr>
      <w:r>
        <w:t xml:space="preserve">2.4 The Cliometric and Econometric Methodology Literature</w:t>
      </w:r>
    </w:p>
    <w:bookmarkStart w:id="74" w:name="the-pigouvian-wedge-as-estimand"/>
    <w:p>
      <w:pPr>
        <w:pStyle w:val="Heading3"/>
        <w:spacing w:line="480" w:lineRule="auto"/>
      </w:pPr>
      <w:r>
        <w:t xml:space="preserve">2.4.1 The Pigouvian Wedge as Estimand</w:t>
      </w:r>
    </w:p>
    <w:p>
      <w:pPr>
        <w:pStyle w:val="FirstParagraph"/>
        <w:spacing w:line="480" w:lineRule="auto"/>
      </w:pPr>
      <w:r>
        <w:t xml:space="preserve">The methodological problem the dissertation faces is to estimate the magnitude of a per-event wedge between social cost and operator-borne regulatory cost, on a small panel of closure events, with credible identification and transparent inferential guarantees. The estimand is defined by the Pigouvian frame</w:t>
      </w:r>
      <w:r>
        <w:t xml:space="preserve"> </w:t>
      </w:r>
      <w:hyperlink w:anchor="ref-7">
        <w:r>
          <w:rPr>
            <w:rStyle w:val="Hyperlink"/>
          </w:rPr>
          <w:t xml:space="preserve">[7]</w:t>
        </w:r>
      </w:hyperlink>
      <w:r>
        <w:t xml:space="preserve"> </w:t>
      </w:r>
      <w:r>
        <w:t xml:space="preserve">and rendered econometric by the welfare-evaluation tradition. Weinzierl’s translation of the Pigouvian frame into the orbital case provides the methodological template the dissertation extends to the surface case: identify the harmed party, build a per-event cost estimator from observable activity, and ask whether the estimator is statistically distinguishable from zero [1, 9]. The dissertation’s Paper 1 implements that template directly.</w:t>
      </w:r>
    </w:p>
    <w:p>
      <w:pPr>
        <w:pStyle w:val="BodyText"/>
        <w:spacing w:line="480" w:lineRule="auto"/>
        <w:ind w:firstLine="720"/>
      </w:pPr>
      <w:r>
        <w:t xml:space="preserve">The interpretation of the resulting estimate as a policy-relevant Pigouvian price is conditioned by the Coasian critique</w:t>
      </w:r>
      <w:r>
        <w:t xml:space="preserve"> </w:t>
      </w:r>
      <w:hyperlink w:anchor="ref-6">
        <w:r>
          <w:rPr>
            <w:rStyle w:val="Hyperlink"/>
          </w:rPr>
          <w:t xml:space="preserve">[6]</w:t>
        </w:r>
      </w:hyperlink>
      <w:r>
        <w:t xml:space="preserve">. If the FAA-administered closure regime is read as a partial Coasian institution in which the regulator already brokers an implicit bargain between the launch operator and the affected sector, then the estimated wedge is not the marginal social cost the regulator should set, but the gap between the implicit bargained price (zero or near-zero, given the fixed license fee schedule) and the implicit social cost. The dissertation reports the estimate under both interpretations and follows the Stilwell argument that the current regime is more Coasian-by-default than Coasian-by-design [8, 14, 15].</w:t>
      </w:r>
    </w:p>
    <w:bookmarkEnd w:id="74"/>
    <w:bookmarkStart w:id="75" w:name="Xf7b6d3c3b4845acfbbaf2f52ecce07fcb57e60b"/>
    <w:p>
      <w:pPr>
        <w:pStyle w:val="Heading3"/>
        <w:spacing w:line="480" w:lineRule="auto"/>
      </w:pPr>
      <w:r>
        <w:t xml:space="preserve">2.4.2 Event Studies and Cross-Sectional Pricing</w:t>
      </w:r>
    </w:p>
    <w:p>
      <w:pPr>
        <w:pStyle w:val="FirstParagraph"/>
        <w:spacing w:line="480" w:lineRule="auto"/>
      </w:pPr>
      <w:r>
        <w:t xml:space="preserve">The event-study tradition in applied econometrics supplies the dissertation’s Paper 1 methodology. The motivating logic is that an externally announced and discrete intervention, the closure window in this case, provides exogenous variation in exposure that can be used to identify the treatment effect of the intervention on a panel of outcomes. The challenge in the dissertation’s setting is that the closure event is not random with respect to the affected sector: the FAA and the operator choose the window in part to minimize aviation disruption, which biases a naive comparison downward. The dissertation’s Paper 1 addresses this challenge by adopting a cross-sectional ordinary least squares specification that prices the per-event NAS cost as a linear function of three observable characteristics, closure duration, Aircraft Hazard Area volume, and ambient sector traffic density, that the regulator already records and could in principle price. The specification reports a high coefficient of determination, statistically distinguishable coefficients on duration and density at the conventional level, and a volume coefficient that is absorbed by duration in the joint specification. The methodological precedent for this descriptive-cross-section approach is the Margolis prescription, invoked through Coase and Pigou, that the first task of an externality literature is to establish a credibly bounded magnitude before arguing about the Pigouvian instrument [6, 7].</w:t>
      </w:r>
    </w:p>
    <w:bookmarkEnd w:id="75"/>
    <w:bookmarkStart w:id="76" w:name="X9405980e0e07fb2784952f10ac1ce6745b30b1a"/>
    <w:p>
      <w:pPr>
        <w:pStyle w:val="Heading3"/>
        <w:spacing w:line="480" w:lineRule="auto"/>
      </w:pPr>
      <w:r>
        <w:t xml:space="preserve">2.4.3 Survival Analysis and the Duration of Closure</w:t>
      </w:r>
    </w:p>
    <w:p>
      <w:pPr>
        <w:pStyle w:val="FirstParagraph"/>
        <w:spacing w:line="480" w:lineRule="auto"/>
      </w:pPr>
      <w:r>
        <w:t xml:space="preserve">The dissertation’s Paper 2 extends the empirical strategy by treating the closure duration itself as the outcome and asking which event characteristics predict an on-time release of the Aircraft Hazard Area. The methodological move is to a Cox proportional-hazards specification in which the hazard of on-time release is modeled as a function of log Aircraft Hazard Area volume, a reentry indicator, and a coastal-corridor indicator, with the baseline hazard left unspecified. The Cox specification is appropriate because the duration variable is censored for events in which the closure window was extended due to hold, scrub, or anomaly, and the partial-likelihood estimator handles right-censoring without parametric assumptions on the baseline hazard. The dissertation’s Paper 2 reports a strongly negative coefficient on log volume, consistent with the Pigouvian intuition that larger segregated volumes face a lower hazard of timely release, and statistically inconclusive coefficients on the reentry and corridor indicators. The combination of the cross-sectional pricing in Paper 1 and the survival analysis in Paper 2 is the methodological core of the dissertation: the first estimates the level of the per-event cost; the second estimates the tail risk that drives the right side of the cost distribution.</w:t>
      </w:r>
    </w:p>
    <w:bookmarkEnd w:id="76"/>
    <w:bookmarkStart w:id="77" w:name="X78c398f5442c307cfe5e539f46674145949ec85"/>
    <w:p>
      <w:pPr>
        <w:pStyle w:val="Heading3"/>
        <w:spacing w:line="480" w:lineRule="auto"/>
      </w:pPr>
      <w:r>
        <w:t xml:space="preserve">2.4.4 Economic Modeling Precedents in the Space Domain</w:t>
      </w:r>
    </w:p>
    <w:p>
      <w:pPr>
        <w:pStyle w:val="FirstParagraph"/>
        <w:spacing w:line="480" w:lineRule="auto"/>
      </w:pPr>
      <w:r>
        <w:t xml:space="preserve">The applied economics literature on the space sector supplies a small set of methodological precedents for the parametric cost-estimation strategy the dissertation employs. Dorrington and Olsen develop a parametric economic model of asteroid mining architectures and demonstrate how a high-uncertainty cost object can be priced from observable architectural inputs using a transparent rule</w:t>
      </w:r>
      <w:r>
        <w:t xml:space="preserve"> </w:t>
      </w:r>
      <w:hyperlink w:anchor="ref-25">
        <w:r>
          <w:rPr>
            <w:rStyle w:val="Hyperlink"/>
          </w:rPr>
          <w:t xml:space="preserve">[25]</w:t>
        </w:r>
      </w:hyperlink>
      <w:r>
        <w:t xml:space="preserve">. Drenthe and colleagues estimate the cost of commercial smallsat launch vehicles using a parametric specification on observable vehicle characteristics, providing a methodological analog for the dissertation’s cost-construction formula on closure duration and volume</w:t>
      </w:r>
      <w:r>
        <w:t xml:space="preserve"> </w:t>
      </w:r>
      <w:hyperlink w:anchor="ref-26">
        <w:r>
          <w:rPr>
            <w:rStyle w:val="Hyperlink"/>
          </w:rPr>
          <w:t xml:space="preserve">[26]</w:t>
        </w:r>
      </w:hyperlink>
      <w:r>
        <w:t xml:space="preserve">. Snelgrove and Saleh estimate the marginal cost of durability for spacecraft design lifetime under reduced launch price, providing a precedent for the dissertation’s treatment of the marginal social cost of an additional minute of closure</w:t>
      </w:r>
      <w:r>
        <w:t xml:space="preserve"> </w:t>
      </w:r>
      <w:hyperlink w:anchor="ref-28">
        <w:r>
          <w:rPr>
            <w:rStyle w:val="Hyperlink"/>
          </w:rPr>
          <w:t xml:space="preserve">[28]</w:t>
        </w:r>
      </w:hyperlink>
      <w:r>
        <w:t xml:space="preserve">. Osipova and colleagues architect CubeSat constellations for messaging service and demonstrate the use of architectural-input optimization under cost constraints, a precedent for the dissertation’s eventual extension to the operator-side optimization problem</w:t>
      </w:r>
      <w:r>
        <w:t xml:space="preserve"> </w:t>
      </w:r>
      <w:hyperlink w:anchor="ref-27">
        <w:r>
          <w:rPr>
            <w:rStyle w:val="Hyperlink"/>
          </w:rPr>
          <w:t xml:space="preserve">[27]</w:t>
        </w:r>
      </w:hyperlink>
      <w:r>
        <w:t xml:space="preserve">. Fuglesang and Garcia de Herreros Miciano develop a parametric model of a realistic sunshade system at L1 and demonstrate that a high-stakes engineering object can be priced under transparent assumptions</w:t>
      </w:r>
      <w:r>
        <w:t xml:space="preserve"> </w:t>
      </w:r>
      <w:hyperlink w:anchor="ref-30">
        <w:r>
          <w:rPr>
            <w:rStyle w:val="Hyperlink"/>
          </w:rPr>
          <w:t xml:space="preserve">[30]</w:t>
        </w:r>
      </w:hyperlink>
      <w:r>
        <w:t xml:space="preserve">. None of these contributions treats the airspace closure case directly, but each demonstrates the methodological move the dissertation employs: parametric cost estimation from observable inputs, transparent assumptions, and inferential discipline.</w:t>
      </w:r>
    </w:p>
    <w:bookmarkEnd w:id="77"/>
    <w:bookmarkStart w:id="78" w:name="data-sources-and-inferential-discipline"/>
    <w:p>
      <w:pPr>
        <w:pStyle w:val="Heading3"/>
        <w:spacing w:line="480" w:lineRule="auto"/>
      </w:pPr>
      <w:r>
        <w:t xml:space="preserve">2.4.5 Data Sources and Inferential Discipline</w:t>
      </w:r>
    </w:p>
    <w:p>
      <w:pPr>
        <w:pStyle w:val="FirstParagraph"/>
        <w:spacing w:line="480" w:lineRule="auto"/>
      </w:pPr>
      <w:r>
        <w:t xml:space="preserve">The cliometric tradition emphasizes the construction of administrative panels from public-record data sources. The dissertation follows that tradition by drawing its outcome data from the Bureau of Transportation Statistics TranStats T-100 sector traffic file</w:t>
      </w:r>
      <w:r>
        <w:t xml:space="preserve"> </w:t>
      </w:r>
      <w:hyperlink w:anchor="ref-11">
        <w:r>
          <w:rPr>
            <w:rStyle w:val="Hyperlink"/>
          </w:rPr>
          <w:t xml:space="preserve">[11]</w:t>
        </w:r>
      </w:hyperlink>
      <w:r>
        <w:t xml:space="preserve">, its treatment data from the FAA Annual Compendium of Commercial Space Transportation</w:t>
      </w:r>
      <w:r>
        <w:t xml:space="preserve"> </w:t>
      </w:r>
      <w:hyperlink w:anchor="ref-10">
        <w:r>
          <w:rPr>
            <w:rStyle w:val="Hyperlink"/>
          </w:rPr>
          <w:t xml:space="preserve">[10]</w:t>
        </w:r>
      </w:hyperlink>
      <w:r>
        <w:t xml:space="preserve">, its fuel-burn valuation from the EUROCONTROL Base of Aircraft Data</w:t>
      </w:r>
      <w:r>
        <w:t xml:space="preserve"> </w:t>
      </w:r>
      <w:hyperlink w:anchor="ref-13">
        <w:r>
          <w:rPr>
            <w:rStyle w:val="Hyperlink"/>
          </w:rPr>
          <w:t xml:space="preserve">[13]</w:t>
        </w:r>
      </w:hyperlink>
      <w:r>
        <w:t xml:space="preserve">, and its passenger time valuation from the U.S. Department of Transportation 2016 departmental guidance on valuation of travel time</w:t>
      </w:r>
      <w:r>
        <w:t xml:space="preserve"> </w:t>
      </w:r>
      <w:hyperlink w:anchor="ref-12">
        <w:r>
          <w:rPr>
            <w:rStyle w:val="Hyperlink"/>
          </w:rPr>
          <w:t xml:space="preserve">[12]</w:t>
        </w:r>
      </w:hyperlink>
      <w:r>
        <w:t xml:space="preserve">. The combination is publicly obtainable, internally consistent, and reproducible. The inferential discipline of the cliometric tradition requires that the cost-construction formula be applied uniformly across events, that imputations be flagged where the underlying administrative record does not publish a discrete cost, and that the sensitivity of the central estimate to alternative valuations of the value-of-travel-time parameter be reported alongside the headline figure. The dissertation’s Paper 1 implements that discipline directly, reporting four interpolated cells with an illustrative-coding flag and an uniform cost-construction formula across the remaining events.</w:t>
      </w:r>
    </w:p>
    <w:bookmarkEnd w:id="78"/>
    <w:bookmarkEnd w:id="79"/>
    <w:bookmarkStart w:id="80" w:name="Xf5f627c1bb6755a182c5c667d9ff0cac9457f28"/>
    <w:p>
      <w:pPr>
        <w:pStyle w:val="Heading2"/>
        <w:spacing w:line="480" w:lineRule="auto"/>
      </w:pPr>
      <w:r>
        <w:t xml:space="preserve">2.5 The Bridging Literature: Orbital Externality and Common-Pool Governance</w:t>
      </w:r>
    </w:p>
    <w:p>
      <w:pPr>
        <w:pStyle w:val="FirstParagraph"/>
        <w:spacing w:line="480" w:lineRule="auto"/>
      </w:pPr>
      <w:r>
        <w:t xml:space="preserve">A third literature stands between the technical and the methodological. It treats the orbital and airspace commons as objects of common-pool resource governance, applies the welfare-economic frame to those commons, and develops the conceptual apparatus that the dissertation extends to the surface case.</w:t>
      </w:r>
    </w:p>
    <w:p>
      <w:pPr>
        <w:pStyle w:val="BodyText"/>
        <w:spacing w:line="480" w:lineRule="auto"/>
        <w:ind w:firstLine="720"/>
      </w:pPr>
      <w:r>
        <w:t xml:space="preserve">Weinzierl’s 2018 contribution remains the single most important reference in this bridging literature [1, 9]. He frames the orbital externality as the canonical case in space economics, identifies the Pigouvian and Coasian remedies, and argues that polycentric governance arrangements adapted from the Ostromian common-pool resource literature may, in the absence of a sovereign pricing authority, be the most realistic path to internalization. The dissertation observes that the surface case does not face the Ostromian governance challenge in the same way, because the FAA is the sovereign pricing authority and the closure event occurs inside a domestic regulatory regime. The Pigouvian instrument is therefore institutionally available for the surface case in a way it is not yet available for the orbital case [1, 7, 9].</w:t>
      </w:r>
    </w:p>
    <w:p>
      <w:pPr>
        <w:pStyle w:val="BodyText"/>
        <w:spacing w:line="480" w:lineRule="auto"/>
        <w:ind w:firstLine="720"/>
      </w:pPr>
      <w:r>
        <w:t xml:space="preserve">The Stilwell line of work develops the airspace-class analogy directly. Stilwell’s 2024 IAC essay and his 2025 ASCEND coauthored paper argue that the orbital regime should be governed using the conceptual machinery of the airspace class system, with capacity, separation, and access rules calibrated to the orbital analog of an air traffic management sector [14, 15]. Stilwell’s broader work on commercial space governance argues that the Coasian convention currently in use, in which the regulator administers the hazard area as if the rerouting cost to aviation were zero, papers over a Pigouvian wedge that the airspace user community ultimately pays</w:t>
      </w:r>
      <w:r>
        <w:t xml:space="preserve"> </w:t>
      </w:r>
      <w:hyperlink w:anchor="ref-8">
        <w:r>
          <w:rPr>
            <w:rStyle w:val="Hyperlink"/>
          </w:rPr>
          <w:t xml:space="preserve">[8]</w:t>
        </w:r>
      </w:hyperlink>
      <w:r>
        <w:t xml:space="preserve">. The dissertation reads Stilwell as the conceptual source for the externality framing and the empirical chapters as the first direct measurement of the wedge Stilwell names.</w:t>
      </w:r>
    </w:p>
    <w:p>
      <w:pPr>
        <w:pStyle w:val="BodyText"/>
        <w:spacing w:line="480" w:lineRule="auto"/>
        <w:ind w:firstLine="720"/>
      </w:pPr>
      <w:r>
        <w:t xml:space="preserve">The IRD research-design line, in which the candidate’s collegium colleagues have adapted the Ostromian common-pool resource governance frame to orbital classes analogous to airspace classes, provides the most direct conceptual grounding for the dissertation’s framing</w:t>
      </w:r>
      <w:r>
        <w:t xml:space="preserve"> </w:t>
      </w:r>
      <w:hyperlink w:anchor="ref-5">
        <w:r>
          <w:rPr>
            <w:rStyle w:val="Hyperlink"/>
          </w:rPr>
          <w:t xml:space="preserve">[5]</w:t>
        </w:r>
      </w:hyperlink>
      <w:r>
        <w:t xml:space="preserve">. The IRD work treats the airspace-class analogy as a source of governance structure for the orbital regime; the dissertation runs the analogy in the opposite direction, treating the orbital externality frame as a source of pricing logic for the surface case. The two directions of analogy are mutually reinforcing: if the orbital regime can borrow governance structure from the airspace regime, then the airspace regime can borrow pricing logic from the orbital regime, and the dissertation’s empirical chapters operationalize that borrowing.</w:t>
      </w:r>
    </w:p>
    <w:bookmarkEnd w:id="80"/>
    <w:bookmarkStart w:id="81" w:name="X288305e7f57593bdc24e5ec0bb97f6c3e006571"/>
    <w:p>
      <w:pPr>
        <w:pStyle w:val="Heading2"/>
        <w:spacing w:line="480" w:lineRule="auto"/>
      </w:pPr>
      <w:r>
        <w:t xml:space="preserve">2.6 Synthesis, Gap, and the Dissertation’s Contribution</w:t>
      </w:r>
    </w:p>
    <w:p>
      <w:pPr>
        <w:pStyle w:val="FirstParagraph"/>
        <w:spacing w:line="480" w:lineRule="auto"/>
      </w:pPr>
      <w:r>
        <w:t xml:space="preserve">Technical and methodological, the two literatures have run in parallel for more than a decade. They have not been joined. The technical literature has documented the operational interface between commercial launch and reentry operations and the surrounding airspace in considerable detail [4, 16, 18, 22, 23, 29, 24], has identified airspace integration as the binding constraint on cadence growth [4, 22, 23], and has produced the administrative record from which a per-event cost estimate can be constructed</w:t>
      </w:r>
      <w:r>
        <w:t xml:space="preserve"> </w:t>
      </w:r>
      <w:hyperlink w:anchor="ref-10">
        <w:r>
          <w:rPr>
            <w:rStyle w:val="Hyperlink"/>
          </w:rPr>
          <w:t xml:space="preserve">[10]</w:t>
        </w:r>
      </w:hyperlink>
      <w:r>
        <w:t xml:space="preserve">. The methodological literature has defined the welfare-economic estimand [6, 7], has translated it into the orbital case [1, 2, 9], has supplied the conceptual grounding for governance translation between the orbital and airspace cases [5, 8, 14, 15], and has demonstrated the cross-sectional and survival-analytic tools that supply the estimator [25, 26, 28, 30]. Neither literature has placed a dollar value on a single closure event at a resolution comparable to the operator’s marginal regulatory cost.</w:t>
      </w:r>
    </w:p>
    <w:p>
      <w:pPr>
        <w:pStyle w:val="BodyText"/>
        <w:spacing w:line="480" w:lineRule="auto"/>
        <w:ind w:firstLine="720"/>
      </w:pPr>
      <w:r>
        <w:t xml:space="preserve">The gap is not conceptual. The orbital literature has named the externality, the governance literature has named the pricing institution, and the technical literature has named the operational object. The gap is evidentiary. No peer-reviewed estimate exists of the per-event NAS cost of a launch or reentry airspace closure that is constructed from administrative data, uses a transparent valuation rule, and is comparable to the FAA license fee schedule. The dissertation closes that gap.</w:t>
      </w:r>
    </w:p>
    <w:p>
      <w:pPr>
        <w:pStyle w:val="BodyText"/>
        <w:spacing w:line="480" w:lineRule="auto"/>
        <w:ind w:firstLine="720"/>
      </w:pPr>
      <w:r>
        <w:t xml:space="preserve">The closing of the gap proceeds in three steps. First, Paper 1 estimates the per-event NAS cost as a linear function of three observable characteristics, closure duration, Aircraft Hazard Area volume, and ambient sector traffic density, on a panel of twenty-eight events at eight U.S. spaceports between 2019 and 2024. The specification recovers a duration coefficient of approximately fourteen hundred dollars per additional closure minute, a traffic-density coefficient of approximately four thousand dollars per additional commercial operation per hour, a volume coefficient that does not clear the conventional significance threshold conditional on duration, and a joint F statistic that rejects the null at any conventional level. The substantive reading is that a six-hour closure of a Cape Canaveral medium-lift window at the sample-mean traffic density implies a per-event NAS cost on the order of two to three hundred thousand dollars and that a heavy-lift closure at Kennedy implies a cost above four hundred thousand dollars. The estimate is bounded, statistically reliable, and built from inputs the FAA already records.</w:t>
      </w:r>
    </w:p>
    <w:p>
      <w:pPr>
        <w:pStyle w:val="BodyText"/>
        <w:spacing w:line="480" w:lineRule="auto"/>
        <w:ind w:firstLine="720"/>
      </w:pPr>
      <w:r>
        <w:t xml:space="preserve">Second, Paper 2 turns to the closure duration itself as outcome and estimates a Cox proportional-hazards specification on thirty-two events, treating on-time release of the Aircraft Hazard Area as the event and right-censoring closures extended due to hold, scrub, or anomaly. The model recovers a strongly negative coefficient on log Aircraft Hazard Area volume, statistically distinguishable from zero at any conventional level, consistent with the dissertation’s central claim that the social cost of a closure scales with the segregated volume in a way the license fee schedule does not. The reentry and coastal-corridor indicators do not carry independent statistical weight conditional on scale, which sharpens the policy implication: the pricing instrument should target the volume of the segregated airspace rather than the reentry or corridor classification alone.</w:t>
      </w:r>
    </w:p>
    <w:p>
      <w:pPr>
        <w:pStyle w:val="BodyText"/>
        <w:spacing w:line="480" w:lineRule="auto"/>
        <w:ind w:firstLine="720"/>
      </w:pPr>
      <w:r>
        <w:t xml:space="preserve">Third, the dissertation’s later chapters extend the cross-sectional and survival estimates into a difference-in-differences design on matched routes and time-of-day strata, as set out in the prospectus, and report the resulting Pigouvian wedge against the FAA license fee schedule and a surveyed upper bound on operator-side compliance cost. The empirical chapters together produce the first event-priced, license-comparable estimate of the aviation externality of commercial space transportation, addressing the gap that the spaceport-integration literature has named but not measured</w:t>
      </w:r>
      <w:r>
        <w:t xml:space="preserve"> </w:t>
      </w:r>
      <w:hyperlink w:anchor="ref-4">
        <w:r>
          <w:rPr>
            <w:rStyle w:val="Hyperlink"/>
          </w:rPr>
          <w:t xml:space="preserve">[4]</w:t>
        </w:r>
      </w:hyperlink>
      <w:r>
        <w:t xml:space="preserve"> </w:t>
      </w:r>
      <w:r>
        <w:t xml:space="preserve">and that the orbital externality literature has implied but not extended [1, 9].</w:t>
      </w:r>
    </w:p>
    <w:p>
      <w:pPr>
        <w:pStyle w:val="BodyText"/>
        <w:spacing w:line="480" w:lineRule="auto"/>
        <w:ind w:firstLine="720"/>
      </w:pPr>
      <w:r>
        <w:t xml:space="preserve">The contribution of the dissertation is therefore positioned at the intersection of the two literatures rather than inside either. The technical literature supplies the operational object and the administrative record [4, 10, 16, 22, 23, 29]. The methodological literature supplies the estimand, the identification strategy, and the inferential machinery [6, 7, 9, 25, 26, 28]. The bridging literature supplies the conceptual translation between the orbital and airspace cases and the institutional reading of the FAA as the available pricing authority [1, 2, 5, 8, 14, 15]. The dissertation joins the three and produces an estimate that no single literature has yet produced.</w:t>
      </w:r>
    </w:p>
    <w:p>
      <w:pPr>
        <w:pStyle w:val="BodyText"/>
        <w:spacing w:line="480" w:lineRule="auto"/>
        <w:ind w:firstLine="720"/>
      </w:pPr>
      <w:r>
        <w:t xml:space="preserve">The remainder of the dissertation operationalizes the joint frame. Chapter 3 specifies the data construction in detail, drawing on the FAA Annual Compendium</w:t>
      </w:r>
      <w:r>
        <w:t xml:space="preserve"> </w:t>
      </w:r>
      <w:hyperlink w:anchor="ref-10">
        <w:r>
          <w:rPr>
            <w:rStyle w:val="Hyperlink"/>
          </w:rPr>
          <w:t xml:space="preserve">[10]</w:t>
        </w:r>
      </w:hyperlink>
      <w:r>
        <w:t xml:space="preserve">, the BTS TranStats T-100 file</w:t>
      </w:r>
      <w:r>
        <w:t xml:space="preserve"> </w:t>
      </w:r>
      <w:hyperlink w:anchor="ref-11">
        <w:r>
          <w:rPr>
            <w:rStyle w:val="Hyperlink"/>
          </w:rPr>
          <w:t xml:space="preserve">[11]</w:t>
        </w:r>
      </w:hyperlink>
      <w:r>
        <w:t xml:space="preserve">, the EUROCONTROL Base of Aircraft Data</w:t>
      </w:r>
      <w:r>
        <w:t xml:space="preserve"> </w:t>
      </w:r>
      <w:hyperlink w:anchor="ref-13">
        <w:r>
          <w:rPr>
            <w:rStyle w:val="Hyperlink"/>
          </w:rPr>
          <w:t xml:space="preserve">[13]</w:t>
        </w:r>
      </w:hyperlink>
      <w:r>
        <w:t xml:space="preserve">, and the U.S. Department of Transportation valuation of travel time guidance</w:t>
      </w:r>
      <w:r>
        <w:t xml:space="preserve"> </w:t>
      </w:r>
      <w:hyperlink w:anchor="ref-12">
        <w:r>
          <w:rPr>
            <w:rStyle w:val="Hyperlink"/>
          </w:rPr>
          <w:t xml:space="preserve">[12]</w:t>
        </w:r>
      </w:hyperlink>
      <w:r>
        <w:t xml:space="preserve">. Chapter 4 develops the empirical strategy for the cross-sectional pricing of Paper 1 and the survival analysis of Paper 2, with explicit attention to the threats to validity flagged in the prospectus, including selection on within-day timing, sensitivity to the value-of-travel-time parameter, and the operator-side compliance cost band against which the central wedge estimate is compared. Chapter 5 reports the empirical results. Chapter 6 discusses the policy implications, including the design of a duration- and volume-indexed component of the FAA launch and reentry license fee schedule, and the institutional channels through which such a Pigouvian instrument could be implemented under the existing Commercial Space Launch Act regime as read through the Stilwell governance frame [8, 14, 15] and the Weinzierl orbital externality frame [1, 9].</w:t>
      </w:r>
    </w:p>
    <w:p>
      <w:pPr>
        <w:pStyle w:val="BodyText"/>
        <w:spacing w:line="480" w:lineRule="auto"/>
        <w:ind w:firstLine="720"/>
      </w:pPr>
      <w:r>
        <w:t xml:space="preserve">The chapter has shown that the technical literature on the launch and reentry interface with the NAS and the cliometric and econometric methodology literature on the measurement of regulatory wedges have, until now, run in parallel. The dissertation joins them. The empirical chapters that follow execute the join and produce the missing estimate.</w:t>
      </w:r>
    </w:p>
    <w:bookmarkEnd w:id="81"/>
    <w:bookmarkEnd w:id="82"/>
    <w:bookmarkStart w:id="93" w:name="Xcfcc00a3ded59aed0c781c16bfc121f2a509603"/>
    <w:p>
      <w:pPr>
        <w:pStyle w:val="Heading1"/>
        <w:spacing w:line="480" w:lineRule="auto"/>
      </w:pPr>
      <w:r>
        <w:t xml:space="preserve">Chapter 3. Theoretical Framework and Hypotheses</w:t>
      </w:r>
    </w:p>
    <w:bookmarkStart w:id="83" w:name="overview-and-purpose-of-the-chapter"/>
    <w:p>
      <w:pPr>
        <w:pStyle w:val="Heading2"/>
        <w:spacing w:line="480" w:lineRule="auto"/>
      </w:pPr>
      <w:r>
        <w:t xml:space="preserve">3.1 Overview and Purpose of the Chapter</w:t>
      </w:r>
    </w:p>
    <w:p>
      <w:pPr>
        <w:pStyle w:val="FirstParagraph"/>
        <w:spacing w:line="480" w:lineRule="auto"/>
      </w:pPr>
      <w:r>
        <w:t xml:space="preserve">The empirical chapters of this dissertation rest on a single economic claim: that the temporary segregation of an Aircraft Hazard Area for the purpose of a licensed launch or reentry transit imposes a real, measurable, and currently unpriced cost on third parties in the National Airspace System, and that this cost satisfies the canonical definition of a negative externality. The purpose of this chapter is to make that claim precise. It does so by setting out the welfare-economic foundation on which the analysis rests, by tracing the causal mechanism that connects an event-level closure decision to a flight-level cost outcome, and by stating the two hypotheses, H0 and H1, that the empirical chapters are organized to test. The chapter does not introduce new data or new estimators. It builds the theoretical scaffolding that explains why the per-event NAS cost estimated in the OLS specification of Paper 1 and the closure-duration hazard estimated in the Cox specification of Paper 2 are estimands of the same underlying object, and why a strictly positive estimate of that object, net of the operator’s marginal regulatory cost, constitutes a falsifiable rejection of the null of efficient pricing.</w:t>
      </w:r>
    </w:p>
    <w:p>
      <w:pPr>
        <w:pStyle w:val="BodyText"/>
        <w:spacing w:line="480" w:lineRule="auto"/>
        <w:ind w:firstLine="720"/>
      </w:pPr>
      <w:r>
        <w:t xml:space="preserve">The theoretical position taken here is conventional in its Pigouvian core and selective in its extensions. The Pigouvian and Coasian traditions agree that a third-party cost not reflected in the decision-maker’s marginal price is, by definition, a market failure [6, 7]. The space-economics literature has imported that frame into the orbital domain and has named the Pigouvian remedy explicitly [1, 2, 9]. The dissertation extends the frame in a direction the orbital literature has not pursued empirically: downward into the airspace through which every launch vehicle physically transits on ascent and through which every reentering object physically descends. The mechanism, the estimand, and the hypotheses follow from that extension.</w:t>
      </w:r>
    </w:p>
    <w:bookmarkEnd w:id="83"/>
    <w:bookmarkStart w:id="84" w:name="the-welfare-economic-foundation-1"/>
    <w:p>
      <w:pPr>
        <w:pStyle w:val="Heading2"/>
        <w:spacing w:line="480" w:lineRule="auto"/>
      </w:pPr>
      <w:r>
        <w:t xml:space="preserve">3.2 The Welfare-Economic Foundation</w:t>
      </w:r>
    </w:p>
    <w:p>
      <w:pPr>
        <w:pStyle w:val="FirstParagraph"/>
        <w:spacing w:line="480" w:lineRule="auto"/>
      </w:pPr>
      <w:r>
        <w:t xml:space="preserve">A negative externality, in the Pigouvian sense, arises when a producer of an action imposes a cost on a third party that is not reflected in the producer’s private marginal cost schedule, with the consequence that the producer’s privately optimal quantity exceeds the socially optimal quantity</w:t>
      </w:r>
      <w:r>
        <w:t xml:space="preserve"> </w:t>
      </w:r>
      <w:hyperlink w:anchor="ref-7">
        <w:r>
          <w:rPr>
            <w:rStyle w:val="Hyperlink"/>
          </w:rPr>
          <w:t xml:space="preserve">[7]</w:t>
        </w:r>
      </w:hyperlink>
      <w:r>
        <w:t xml:space="preserve">. Pigou’s original prescription was a tax equal to the marginal external cost, calibrated to align the producer’s private price with the social marginal cost at the socially optimal quantity. Coase later argued that, in the absence of transaction costs, the parties could in principle bargain to the same allocation regardless of the initial assignment of liability</w:t>
      </w:r>
      <w:r>
        <w:t xml:space="preserve"> </w:t>
      </w:r>
      <w:hyperlink w:anchor="ref-6">
        <w:r>
          <w:rPr>
            <w:rStyle w:val="Hyperlink"/>
          </w:rPr>
          <w:t xml:space="preserve">[6]</w:t>
        </w:r>
      </w:hyperlink>
      <w:r>
        <w:t xml:space="preserve">; the empirical relevance of the Coasian counter-argument depends on whether the bargaining environment is in fact low-friction, which in the launch-airspace case it is not, because the third party is a diffuse class of commercial aviation operators and passengers whose costs are absorbed inside Air Traffic Organization sector workload rather than transacted directly with the launch operator.</w:t>
      </w:r>
    </w:p>
    <w:p>
      <w:pPr>
        <w:pStyle w:val="BodyText"/>
        <w:spacing w:line="480" w:lineRule="auto"/>
        <w:ind w:firstLine="720"/>
      </w:pPr>
      <w:r>
        <w:t xml:space="preserve">The Pigouvian wedge that this dissertation seeks to estimate is therefore the gap between the social marginal cost of an additional launch or reentry event and the private marginal cost faced by the operator. The private marginal cost includes the FAA Office of Commercial Space Transportation license fee schedule</w:t>
      </w:r>
      <w:r>
        <w:t xml:space="preserve"> </w:t>
      </w:r>
      <w:hyperlink w:anchor="ref-10">
        <w:r>
          <w:rPr>
            <w:rStyle w:val="Hyperlink"/>
          </w:rPr>
          <w:t xml:space="preserve">[10]</w:t>
        </w:r>
      </w:hyperlink>
      <w:r>
        <w:t xml:space="preserve"> </w:t>
      </w:r>
      <w:r>
        <w:t xml:space="preserve">and any non-fee compliance cost the operator incurs in obtaining and exercising the license. The social marginal cost adds to that private cost the dollar value of the diversion, delay, fuel burn, cancellation, and passenger time loss absorbed by commercial aviation during the closure window. The wedge is the difference. If the wedge is strictly positive, the launch operator’s private price is below the social marginal cost, the privately optimal cadence of launch and reentry exceeds the socially optimal cadence, and there exists a Pigouvian tax that would, in expectation, restore alignment. If the wedge is zero or weakly negative, the existing licensing regime is, on the margin, efficient with respect to the airspace cost, and no Pigouvian correction is warranted.</w:t>
      </w:r>
    </w:p>
    <w:p>
      <w:pPr>
        <w:pStyle w:val="BodyText"/>
        <w:spacing w:line="480" w:lineRule="auto"/>
        <w:ind w:firstLine="720"/>
      </w:pPr>
      <w:r>
        <w:t xml:space="preserve">Weinzierl’s treatment of orbital crowding and debris as a classic negative externality is the closest published analog to the framing adopted here [1, 9]. Weinzierl argues that the orbital regime exhibits all three of the canonical conditions of a Pigouvian market failure: a cost imposed on third parties, a producer whose private optimum does not internalize that cost, and a regulatory environment that has not, to date, priced the difference. Hanson, as cited by Weinzierl, proposes a standard Pigouvian price on debris as the canonical remedy</w:t>
      </w:r>
      <w:r>
        <w:t xml:space="preserve"> </w:t>
      </w:r>
      <w:hyperlink w:anchor="ref-2">
        <w:r>
          <w:rPr>
            <w:rStyle w:val="Hyperlink"/>
          </w:rPr>
          <w:t xml:space="preserve">[2]</w:t>
        </w:r>
      </w:hyperlink>
      <w:r>
        <w:t xml:space="preserve">. The dissertation’s contribution is to demonstrate that the same three conditions hold for the surface-airspace interface and to estimate the per-event size of the wedge in dollars, where the orbital literature has named the problem but has not, to my knowledge, produced an event-priced, license-comparable estimate for the aviation analog.</w:t>
      </w:r>
    </w:p>
    <w:bookmarkEnd w:id="84"/>
    <w:bookmarkStart w:id="85" w:name="X4554aead040dbc78150ca37e0222339ecf4f396"/>
    <w:p>
      <w:pPr>
        <w:pStyle w:val="Heading2"/>
        <w:spacing w:line="480" w:lineRule="auto"/>
      </w:pPr>
      <w:r>
        <w:t xml:space="preserve">3.3 Why the Airspace Closure Is the Relevant Externality</w:t>
      </w:r>
    </w:p>
    <w:p>
      <w:pPr>
        <w:pStyle w:val="FirstParagraph"/>
        <w:spacing w:line="480" w:lineRule="auto"/>
      </w:pPr>
      <w:r>
        <w:t xml:space="preserve">A potential objection at this point is that the orbital externality literature already covers the launch sector through its treatment of debris generation, conjunction risk, and reentry hazard on the ground [21, 22, 24, 29]. The objection is partly correct: the orbital domain hosts a separate set of externalities that scale with the cumulative population of resident space objects and with the conditional probability of uncontrolled reentry over populated regions [16, 24, 29]. The dissertation does not contest those externalities. It argues that they are not the binding airspace externality, and that the binding airspace externality is the per-event closure decision itself.</w:t>
      </w:r>
    </w:p>
    <w:p>
      <w:pPr>
        <w:pStyle w:val="BodyText"/>
        <w:spacing w:line="480" w:lineRule="auto"/>
        <w:ind w:firstLine="720"/>
      </w:pPr>
      <w:r>
        <w:t xml:space="preserve">The argument rests on three observations. First, the orbital externalities are stock externalities: their social cost accrues with the cumulative population of debris, the cumulative density of trafficked orbital classes, and the cumulative probability of uncontrolled reentry over time [21, 22]. The closure externality is a flow externality: it accrues at the moment the Aircraft Hazard Area is segregated, and it dissipates the moment the area is released. Second, the orbital externalities are governed under a separate regulatory architecture in which the Federal Communications Commission, the National Oceanic and Atmospheric Administration, and the Department of Defense each hold partial authority, while the closure externality falls cleanly inside the FAA’s statutory responsibility for the safe integration of launch and reentry operations into the NAS</w:t>
      </w:r>
      <w:r>
        <w:t xml:space="preserve"> </w:t>
      </w:r>
      <w:hyperlink w:anchor="ref-3">
        <w:r>
          <w:rPr>
            <w:rStyle w:val="Hyperlink"/>
          </w:rPr>
          <w:t xml:space="preserve">[3]</w:t>
        </w:r>
      </w:hyperlink>
      <w:r>
        <w:t xml:space="preserve">. Third, the orbital externalities, where they have been priced, have been priced through scarcity-of-slot reasoning that does not translate cleanly to the surface case</w:t>
      </w:r>
      <w:r>
        <w:t xml:space="preserve"> </w:t>
      </w:r>
      <w:hyperlink w:anchor="ref-21">
        <w:r>
          <w:rPr>
            <w:rStyle w:val="Hyperlink"/>
          </w:rPr>
          <w:t xml:space="preserve">[21]</w:t>
        </w:r>
      </w:hyperlink>
      <w:r>
        <w:t xml:space="preserve">; the closure externality, by contrast, is naturally priced through the same event-based diversion-cost methodology that air traffic management already uses for weather-induced and military-induced closures.</w:t>
      </w:r>
    </w:p>
    <w:p>
      <w:pPr>
        <w:pStyle w:val="BodyText"/>
        <w:spacing w:line="480" w:lineRule="auto"/>
        <w:ind w:firstLine="720"/>
      </w:pPr>
      <w:r>
        <w:t xml:space="preserve">The spaceport-integration literature has named the operational interface between launch infrastructure and the surrounding airspace as the binding constraint on suborbital and orbital traffic growth, and has called for a quantitative pricing of that interface</w:t>
      </w:r>
      <w:r>
        <w:t xml:space="preserve"> </w:t>
      </w:r>
      <w:hyperlink w:anchor="ref-4">
        <w:r>
          <w:rPr>
            <w:rStyle w:val="Hyperlink"/>
          </w:rPr>
          <w:t xml:space="preserve">[4]</w:t>
        </w:r>
      </w:hyperlink>
      <w:r>
        <w:t xml:space="preserve">. The integration of air and space traffic management literature has further argued that the tracking of objects prior to uncontrolled reentry establishes the regulatory architecture for pricing the airspace impact of reentry events directly</w:t>
      </w:r>
      <w:r>
        <w:t xml:space="preserve"> </w:t>
      </w:r>
      <w:hyperlink w:anchor="ref-16">
        <w:r>
          <w:rPr>
            <w:rStyle w:val="Hyperlink"/>
          </w:rPr>
          <w:t xml:space="preserve">[16]</w:t>
        </w:r>
      </w:hyperlink>
      <w:r>
        <w:t xml:space="preserve">. The dissertation positions itself at the intersection of these two lines: it takes the airspace-integration claim seriously as a research design problem, and it imports the Pigouvian remedy from the orbital-externality literature as the welfare-economic frame inside which the empirical estimate is interpreted.</w:t>
      </w:r>
    </w:p>
    <w:bookmarkEnd w:id="85"/>
    <w:bookmarkStart w:id="86" w:name="the-causal-mechanism"/>
    <w:p>
      <w:pPr>
        <w:pStyle w:val="Heading2"/>
        <w:spacing w:line="480" w:lineRule="auto"/>
      </w:pPr>
      <w:r>
        <w:t xml:space="preserve">3.4 The Causal Mechanism</w:t>
      </w:r>
    </w:p>
    <w:p>
      <w:pPr>
        <w:pStyle w:val="FirstParagraph"/>
        <w:spacing w:line="480" w:lineRule="auto"/>
      </w:pPr>
      <w:r>
        <w:t xml:space="preserve">The causal chain that connects an individual launch or reentry event to a flight-level cost outcome runs through four discrete stages. Each stage is observable in published federal data, and each stage is identifiable independently of the others.</w:t>
      </w:r>
    </w:p>
    <w:p>
      <w:pPr>
        <w:pStyle w:val="BodyText"/>
        <w:spacing w:line="480" w:lineRule="auto"/>
        <w:ind w:firstLine="720"/>
      </w:pPr>
      <w:r>
        <w:t xml:space="preserve">In the first stage, the launch operator and the FAA negotiate a licensed event with a published Aircraft Hazard Area volume and a published closure window. The license fee is invariant to the closure window and to the Aircraft Hazard Area volume above a coarse vehicle-class threshold</w:t>
      </w:r>
      <w:r>
        <w:t xml:space="preserve"> </w:t>
      </w:r>
      <w:hyperlink w:anchor="ref-10">
        <w:r>
          <w:rPr>
            <w:rStyle w:val="Hyperlink"/>
          </w:rPr>
          <w:t xml:space="preserve">[10]</w:t>
        </w:r>
      </w:hyperlink>
      <w:r>
        <w:t xml:space="preserve">. The operator therefore faces no marginal regulatory cost on the duration or scale of the closure, and the operator’s privately optimal closure decision is the one that minimizes the operator’s own technical risk subject to the FAA’s safety requirement, not the one that minimizes the social cost of the closure to third parties.</w:t>
      </w:r>
    </w:p>
    <w:p>
      <w:pPr>
        <w:pStyle w:val="BodyText"/>
        <w:spacing w:line="480" w:lineRule="auto"/>
        <w:ind w:firstLine="720"/>
      </w:pPr>
      <w:r>
        <w:t xml:space="preserve">In the second stage, the Air Traffic Organization segregates the Aircraft Hazard Area for the duration of the closure window and reroutes or holds commercial flights whose filed route intersects the area. The rerouting and holding decisions are taken by FAA controllers and are recorded in the Bureau of Transportation Statistics Airline On-Time Performance and T-100 Segment files</w:t>
      </w:r>
      <w:r>
        <w:t xml:space="preserve"> </w:t>
      </w:r>
      <w:hyperlink w:anchor="ref-11">
        <w:r>
          <w:rPr>
            <w:rStyle w:val="Hyperlink"/>
          </w:rPr>
          <w:t xml:space="preserve">[11]</w:t>
        </w:r>
      </w:hyperlink>
      <w:r>
        <w:t xml:space="preserve">. The control variable is the closure schedule; the outcome variables are excess block time, excess track distance, cancellation indicator, and the implied passenger time absorbed inside the schedule.</w:t>
      </w:r>
    </w:p>
    <w:p>
      <w:pPr>
        <w:pStyle w:val="BodyText"/>
        <w:spacing w:line="480" w:lineRule="auto"/>
        <w:ind w:firstLine="720"/>
      </w:pPr>
      <w:r>
        <w:t xml:space="preserve">In the third stage, the rerouting and holding decisions translate into a dollar cost. Excess block time produces excess fuel burn through the published aircraft-type burn rates in the EUROCONTROL Base of Aircraft Data</w:t>
      </w:r>
      <w:r>
        <w:t xml:space="preserve"> </w:t>
      </w:r>
      <w:hyperlink w:anchor="ref-13">
        <w:r>
          <w:rPr>
            <w:rStyle w:val="Hyperlink"/>
          </w:rPr>
          <w:t xml:space="preserve">[13]</w:t>
        </w:r>
      </w:hyperlink>
      <w:r>
        <w:t xml:space="preserve">, and excess block time and excess track distance jointly produce a passenger time cost through the U.S. Department of Transportation departmental guidance value-of-travel-time figure</w:t>
      </w:r>
      <w:r>
        <w:t xml:space="preserve"> </w:t>
      </w:r>
      <w:hyperlink w:anchor="ref-12">
        <w:r>
          <w:rPr>
            <w:rStyle w:val="Hyperlink"/>
          </w:rPr>
          <w:t xml:space="preserve">[12]</w:t>
        </w:r>
      </w:hyperlink>
      <w:r>
        <w:t xml:space="preserve">. The four cost components, summed across all flights affected by an event, define the per-event NAS cost that Paper 1 estimates by OLS and that this chapter takes as the central estimand.</w:t>
      </w:r>
    </w:p>
    <w:p>
      <w:pPr>
        <w:pStyle w:val="BodyText"/>
        <w:spacing w:line="480" w:lineRule="auto"/>
        <w:ind w:firstLine="720"/>
      </w:pPr>
      <w:r>
        <w:t xml:space="preserve">In the fourth stage, the per-event NAS cost is compared to the operator’s marginal regulatory cost, which the dissertation operationalizes as the FAA AST license fee schedule</w:t>
      </w:r>
      <w:r>
        <w:t xml:space="preserve"> </w:t>
      </w:r>
      <w:hyperlink w:anchor="ref-10">
        <w:r>
          <w:rPr>
            <w:rStyle w:val="Hyperlink"/>
          </w:rPr>
          <w:t xml:space="preserve">[10]</w:t>
        </w:r>
      </w:hyperlink>
      <w:r>
        <w:t xml:space="preserve"> </w:t>
      </w:r>
      <w:r>
        <w:t xml:space="preserve">augmented, where applicable, by published compliance-cost ranges. The wedge between the two is the Pigouvian wedge in dollars. The dissertation does not claim to estimate the socially optimal cadence of launch and reentry, and it does not claim to estimate the deadweight loss of an unpriced wedge; it claims to estimate the wedge itself at the event level, which is the necessary and the sufficient quantity for the welfare-economic interpretation set out in Section 3.2.</w:t>
      </w:r>
    </w:p>
    <w:p>
      <w:pPr>
        <w:pStyle w:val="BodyText"/>
        <w:spacing w:line="480" w:lineRule="auto"/>
        <w:ind w:firstLine="720"/>
      </w:pPr>
      <w:r>
        <w:t xml:space="preserve">The mechanism implies two empirical properties that the dissertation exploits. First, the per-event cost should be strictly increasing in observable closure characteristics that affect either the size of the affected sector envelope or the density of the displaced traffic. Paper 1 tests this proposition by regressing the per-event cost on closure duration, Aircraft Hazard Area volume, and ambient sector traffic density, and finds a positive and statistically significant coefficient on duration and on density, with the volume signal absorbed by duration once both are in the specification. Second, the closure duration itself should respond to scale: events with larger segregated volumes face a lower instantaneous hazard of timely release because the operational tail risk is fatter, and Paper 2 tests this proposition through a Cox proportional-hazards specification on the closure duration outcome. The two papers are therefore testing two consequences of the same underlying mechanism on two different outcome variables, and a coherent rejection of the null requires that both lines of evidence point in the same direction.</w:t>
      </w:r>
    </w:p>
    <w:bookmarkEnd w:id="86"/>
    <w:bookmarkStart w:id="87" w:name="X774e15f761cce476920bcf220db78939f4ed175"/>
    <w:p>
      <w:pPr>
        <w:pStyle w:val="Heading2"/>
        <w:spacing w:line="480" w:lineRule="auto"/>
      </w:pPr>
      <w:r>
        <w:t xml:space="preserve">3.5 The Estimand and the Comparison to the License Fee</w:t>
      </w:r>
    </w:p>
    <w:p>
      <w:pPr>
        <w:pStyle w:val="FirstParagraph"/>
        <w:spacing w:line="480" w:lineRule="auto"/>
      </w:pPr>
      <w:r>
        <w:t xml:space="preserve">The central estimand is the average per-event NAS cost attributable to a launch or reentry closure window, denoted C-bar, measured in constant 2022 U.S. dollars and constructed by summing excess block-time cost, excess fuel-burn cost, the cancellation indicator’s dollar equivalent, and the passenger time cost across all commercial flights whose filed route intersects the Aircraft Hazard Area during the closure window. The estimand is bounded, observable, and reportable on the same fiscal-year cadence as the FAA AST Annual Compendium</w:t>
      </w:r>
      <w:r>
        <w:t xml:space="preserve"> </w:t>
      </w:r>
      <w:hyperlink w:anchor="ref-10">
        <w:r>
          <w:rPr>
            <w:rStyle w:val="Hyperlink"/>
          </w:rPr>
          <w:t xml:space="preserve">[10]</w:t>
        </w:r>
      </w:hyperlink>
      <w:r>
        <w:t xml:space="preserve">.</w:t>
      </w:r>
    </w:p>
    <w:p>
      <w:pPr>
        <w:pStyle w:val="BodyText"/>
        <w:spacing w:line="480" w:lineRule="auto"/>
        <w:ind w:firstLine="720"/>
      </w:pPr>
      <w:r>
        <w:t xml:space="preserve">The comparison object is the operator’s marginal regulatory cost, denoted F-bar, which the dissertation treats as a lower bound equal to the published license fee for the vehicle class. F-bar may be larger than the license fee for any operator who incurs material non-fee compliance costs, and the dissertation will report the wedge across the published compliance-cost range as a sensitivity analysis. The Pigouvian wedge is W = C-bar minus F-bar. The empirical question is whether W is strictly positive on average.</w:t>
      </w:r>
    </w:p>
    <w:p>
      <w:pPr>
        <w:pStyle w:val="BodyText"/>
        <w:spacing w:line="480" w:lineRule="auto"/>
        <w:ind w:firstLine="720"/>
      </w:pPr>
      <w:r>
        <w:t xml:space="preserve">The wedge is interpreted under the Pigouvian convention as the per-event social marginal cost that the regulator would need to price in to align the operator’s private optimum with the social optimum [1, 7, 9]. The dissertation does not claim that the Pigouvian tax is the only welfare-improving instrument, and it explicitly acknowledges the Coasian alternative under which the bargaining parties could in principle achieve the same allocation through private contracting</w:t>
      </w:r>
      <w:r>
        <w:t xml:space="preserve"> </w:t>
      </w:r>
      <w:hyperlink w:anchor="ref-6">
        <w:r>
          <w:rPr>
            <w:rStyle w:val="Hyperlink"/>
          </w:rPr>
          <w:t xml:space="preserve">[6]</w:t>
        </w:r>
      </w:hyperlink>
      <w:r>
        <w:t xml:space="preserve">. The empirical claim is the prior one: that the wedge exists, that the wedge is non-trivial in magnitude, and that the regulatory environment currently does not price it. The choice of remedy, Pigouvian or Coasian or polycentric in the Ostromian sense</w:t>
      </w:r>
      <w:r>
        <w:t xml:space="preserve"> </w:t>
      </w:r>
      <w:hyperlink w:anchor="ref-5">
        <w:r>
          <w:rPr>
            <w:rStyle w:val="Hyperlink"/>
          </w:rPr>
          <w:t xml:space="preserve">[5]</w:t>
        </w:r>
      </w:hyperlink>
      <w:r>
        <w:t xml:space="preserve">, is a normative question that the dissertation discusses in Chapter 6 but does not seek to resolve.</w:t>
      </w:r>
    </w:p>
    <w:bookmarkEnd w:id="87"/>
    <w:bookmarkStart w:id="88" w:name="the-hypotheses"/>
    <w:p>
      <w:pPr>
        <w:pStyle w:val="Heading2"/>
        <w:spacing w:line="480" w:lineRule="auto"/>
      </w:pPr>
      <w:r>
        <w:t xml:space="preserve">3.6 The Hypotheses</w:t>
      </w:r>
    </w:p>
    <w:p>
      <w:pPr>
        <w:pStyle w:val="FirstParagraph"/>
        <w:spacing w:line="480" w:lineRule="auto"/>
      </w:pPr>
      <w:r>
        <w:t xml:space="preserve">The dissertation tests one paired hypothesis on the same event-level estimand. The hypothesis is stated formally below and is operationalized identically in the two empirical papers and in the integrative analysis of Chapter 5.</w:t>
      </w:r>
    </w:p>
    <w:p>
      <w:pPr>
        <w:pStyle w:val="BodyText"/>
        <w:spacing w:line="480" w:lineRule="auto"/>
        <w:ind w:firstLine="720"/>
      </w:pPr>
      <w:r>
        <w:t xml:space="preserve">H0. The mean per-event NAS cost attributable to a launch or reentry airspace closure is zero, or, if strictly positive, is less than or equal to the operator’s marginal regulatory cost. Formally, the null is that E[C minus F] is less than or equal to zero, where C is the per-event NAS cost and F is the operator’s marginal regulatory cost, both expressed in constant 2022 U.S. dollars.</w:t>
      </w:r>
    </w:p>
    <w:p>
      <w:pPr>
        <w:pStyle w:val="BodyText"/>
        <w:spacing w:line="480" w:lineRule="auto"/>
        <w:ind w:firstLine="720"/>
      </w:pPr>
      <w:r>
        <w:t xml:space="preserve">H1. The mean per-event NAS cost is strictly positive and strictly greater than the operator’s marginal regulatory cost, indicating an unpriced Pigouvian wedge. Formally, the alternative is that E[C minus F] is strictly greater than zero, with the rejection of the null evaluated at the conventional five percent significance level on the relevant estimator in each empirical chapter.</w:t>
      </w:r>
    </w:p>
    <w:p>
      <w:pPr>
        <w:pStyle w:val="BodyText"/>
        <w:spacing w:line="480" w:lineRule="auto"/>
        <w:ind w:firstLine="720"/>
      </w:pPr>
      <w:r>
        <w:t xml:space="preserve">The hypothesis is paired in the sense that it requires both that C be strictly positive on average and that the strictly positive value exceed F. A finding that C is strictly positive but smaller than F would not constitute a rejection of the null, because the operator’s marginal regulatory cost in that scenario would already exceed the social marginal cost of the closure, and no Pigouvian correction would be welfare-improving. A finding that C is strictly positive and strictly greater than F constitutes a rejection of the null in favor of H1, and the magnitude of the wedge W = C minus F is interpreted as the per-event Pigouvian tax that would, in expectation, restore the alignment of private and social marginal cost.</w:t>
      </w:r>
    </w:p>
    <w:p>
      <w:pPr>
        <w:pStyle w:val="BodyText"/>
        <w:spacing w:line="480" w:lineRule="auto"/>
        <w:ind w:firstLine="720"/>
      </w:pPr>
      <w:r>
        <w:t xml:space="preserve">The empirical chapters operationalize the hypothesis in two complementary ways. Paper 1 estimates the level of C through an OLS regression of the per-event NAS cost on closure duration, Aircraft Hazard Area volume, and ambient sector traffic density across twenty-eight events at eight U.S. spaceports between 2019 and 2024. Paper 2 estimates the duration dynamics of the closure through a Cox proportional-hazards specification on the closure window for thirty-two events over the same period and the same spaceports. The OLS specification speaks to the level of C; the Cox specification speaks to the shape of the closure-duration distribution that drives the right-tail risk in C. The integrative analysis of Chapter 5 combines the two into a single distributional estimate of C-bar and computes the wedge W = C-bar minus F against the published license fee schedule.</w:t>
      </w:r>
    </w:p>
    <w:bookmarkEnd w:id="88"/>
    <w:bookmarkStart w:id="89" w:name="auxiliary-predictions"/>
    <w:p>
      <w:pPr>
        <w:pStyle w:val="Heading2"/>
        <w:spacing w:line="480" w:lineRule="auto"/>
      </w:pPr>
      <w:r>
        <w:t xml:space="preserve">3.7 Auxiliary Predictions</w:t>
      </w:r>
    </w:p>
    <w:p>
      <w:pPr>
        <w:pStyle w:val="FirstParagraph"/>
        <w:spacing w:line="480" w:lineRule="auto"/>
      </w:pPr>
      <w:r>
        <w:t xml:space="preserve">Two auxiliary predictions follow from the mechanism and merit explicit statement, although they are not themselves the central hypothesis. The first is that the per-event NAS cost should be strictly increasing in closure duration, holding the affected sector traffic density constant. This is a direct consequence of the mechanism set out in Section 3.4 and is tested as H1 in Paper 1 of the dissertation, where the duration coefficient is estimated at 1.42 thousand dollars per additional minute of segregated airspace with a p value below 0.001. The second is that the conditional probability of a timely release of the Aircraft Hazard Area should be strictly decreasing in the scale of the segregated volume, holding event type and corridor characteristics constant. This is tested as H1 in Paper 2 of the dissertation, where the coefficient on log Aircraft Hazard Area volume in the Cox specification is estimated at negative 6.29 with a partial-likelihood p value of 0.0001. Both predictions are consequences of the same mechanism, and both are rejected at any conventional level in the empirical papers.</w:t>
      </w:r>
    </w:p>
    <w:p>
      <w:pPr>
        <w:pStyle w:val="BodyText"/>
        <w:spacing w:line="480" w:lineRule="auto"/>
        <w:ind w:firstLine="720"/>
      </w:pPr>
      <w:r>
        <w:t xml:space="preserve">The auxiliary predictions are reported in this chapter because they bear on the credibility of the central hypothesis: if the per-event cost did not scale with the observable closure characteristics that the mechanism predicts, the central estimate of C-bar would be implausibly disconnected from the underlying causal process, and the interpretation of the wedge W as a Pigouvian price would lose its theoretical anchor. The findings in Papers 1 and 2 support the mechanism, and the central hypothesis is therefore tested inside a theoretical frame whose intermediate predictions have themselves been verified.</w:t>
      </w:r>
    </w:p>
    <w:bookmarkEnd w:id="89"/>
    <w:bookmarkStart w:id="90" w:name="X46b9bdc47002ae13c4c5ce718fc924fa003a5e3"/>
    <w:p>
      <w:pPr>
        <w:pStyle w:val="Heading2"/>
        <w:spacing w:line="480" w:lineRule="auto"/>
      </w:pPr>
      <w:r>
        <w:t xml:space="preserve">3.8 Threats to the Theoretical Identification</w:t>
      </w:r>
    </w:p>
    <w:p>
      <w:pPr>
        <w:pStyle w:val="FirstParagraph"/>
        <w:spacing w:line="480" w:lineRule="auto"/>
      </w:pPr>
      <w:r>
        <w:t xml:space="preserve">Three threats to the theoretical identification of the wedge merit explicit acknowledgment, each of which is treated more fully in the empirical chapters.</w:t>
      </w:r>
    </w:p>
    <w:p>
      <w:pPr>
        <w:pStyle w:val="BodyText"/>
        <w:spacing w:line="480" w:lineRule="auto"/>
        <w:ind w:firstLine="720"/>
      </w:pPr>
      <w:r>
        <w:t xml:space="preserve">The first threat is that the FAA and the launch operator jointly select closure windows in part to minimize aviation disruption [3, 4], with the consequence that the naive estimate of C-bar is biased downward as an estimate of the unconstrained social cost of an arbitrary closure. The dissertation treats this threat as definitional rather than fatal: the relevant Pigouvian quantity for policy purposes is the average per-event cost under the existing scheduling regime, and a lower bound on that quantity is the appropriate object of estimation when the regime itself is the policy lever. The estimate of C-bar is therefore reported throughout as a lower bound on the unpriced externality.</w:t>
      </w:r>
    </w:p>
    <w:p>
      <w:pPr>
        <w:pStyle w:val="BodyText"/>
        <w:spacing w:line="480" w:lineRule="auto"/>
        <w:ind w:firstLine="720"/>
      </w:pPr>
      <w:r>
        <w:t xml:space="preserve">The second threat is that the value-of-travel-time parameter</w:t>
      </w:r>
      <w:r>
        <w:t xml:space="preserve"> </w:t>
      </w:r>
      <w:hyperlink w:anchor="ref-12">
        <w:r>
          <w:rPr>
            <w:rStyle w:val="Hyperlink"/>
          </w:rPr>
          <w:t xml:space="preserve">[12]</w:t>
        </w:r>
      </w:hyperlink>
      <w:r>
        <w:t xml:space="preserve"> </w:t>
      </w:r>
      <w:r>
        <w:t xml:space="preserve">is a normative policy figure rather than an estimate from the data. The dissertation addresses this by reporting C-bar at the central guidance figure, at the upper bound of the guidance range, and at zero passenger time cost, so that the rejection of H0 does not rest on the most aggressive parameterization. If the wedge is strictly positive at zero passenger time cost, the rejection is robust to the strongest possible attack on the value-of-time component.</w:t>
      </w:r>
    </w:p>
    <w:p>
      <w:pPr>
        <w:pStyle w:val="BodyText"/>
        <w:spacing w:line="480" w:lineRule="auto"/>
        <w:ind w:firstLine="720"/>
      </w:pPr>
      <w:r>
        <w:t xml:space="preserve">The third threat is that the operator’s marginal regulatory cost F may exceed the published license fee schedule</w:t>
      </w:r>
      <w:r>
        <w:t xml:space="preserve"> </w:t>
      </w:r>
      <w:hyperlink w:anchor="ref-10">
        <w:r>
          <w:rPr>
            <w:rStyle w:val="Hyperlink"/>
          </w:rPr>
          <w:t xml:space="preserve">[10]</w:t>
        </w:r>
      </w:hyperlink>
      <w:r>
        <w:t xml:space="preserve"> </w:t>
      </w:r>
      <w:r>
        <w:t xml:space="preserve">by a margin that the dissertation cannot directly observe. The dissertation addresses this by treating the license fee as a lower bound on F and by surveying the published compliance-cost literature for an upper bound. If C-bar exceeds the upper bound on F, the rejection of H0 survives; if C-bar falls within the band between the license fee and the upper bound, the result is reported as inconclusive rather than as a rejection. This decision rule is committed to in advance of the empirical estimation and is binding on the Chapter 5 integrative analysis.</w:t>
      </w:r>
    </w:p>
    <w:bookmarkEnd w:id="90"/>
    <w:bookmarkStart w:id="91" w:name="X893edcd4a7aa20f5b0508b056c6c80a114c8c2e"/>
    <w:p>
      <w:pPr>
        <w:pStyle w:val="Heading2"/>
        <w:spacing w:line="480" w:lineRule="auto"/>
      </w:pPr>
      <w:r>
        <w:t xml:space="preserve">3.9 Position Relative to the Broader Literature</w:t>
      </w:r>
    </w:p>
    <w:p>
      <w:pPr>
        <w:pStyle w:val="FirstParagraph"/>
        <w:spacing w:line="480" w:lineRule="auto"/>
      </w:pPr>
      <w:r>
        <w:t xml:space="preserve">The theoretical position taken in this chapter is consistent with three adjacent lines of work, and it differs from each in a specific respect that bears on the contribution.</w:t>
      </w:r>
    </w:p>
    <w:p>
      <w:pPr>
        <w:pStyle w:val="BodyText"/>
        <w:spacing w:line="480" w:lineRule="auto"/>
        <w:ind w:firstLine="720"/>
      </w:pPr>
      <w:r>
        <w:t xml:space="preserve">The Weinzierl and Hanson line treats the orbital domain as the canonical case of a space-sector negative externality and prescribes a Pigouvian tax as the canonical remedy [1, 2, 9]. The dissertation imports the welfare-economic frame and the prescription unchanged, and extends the frame downward into the surface-airspace interface, where the orbital line has not produced an event-priced empirical estimate.</w:t>
      </w:r>
    </w:p>
    <w:p>
      <w:pPr>
        <w:pStyle w:val="BodyText"/>
        <w:spacing w:line="480" w:lineRule="auto"/>
        <w:ind w:firstLine="720"/>
      </w:pPr>
      <w:r>
        <w:t xml:space="preserve">The Stilwell line on commercial space governance and the airspace boundary argues that the existing regulatory regime governs the boundary as if the rerouting cost were zero and that the airspace user community absorbs the resulting wedge [3, 8, 14, 15]. The dissertation accepts the institutional diagnosis and tests the empirical implication: if the regime treats the rerouting cost as zero, the wedge should show up in the per-event NAS cost as a strictly positive quantity, and the size of the wedge should scale with the observable closure characteristics that the regime does not currently price.</w:t>
      </w:r>
    </w:p>
    <w:p>
      <w:pPr>
        <w:pStyle w:val="BodyText"/>
        <w:spacing w:line="480" w:lineRule="auto"/>
        <w:ind w:firstLine="720"/>
      </w:pPr>
      <w:r>
        <w:t xml:space="preserve">The Dailey and Stilwell line on orbital classes and Ostromian common-pool resource governance treats the orbital regime as a candidate for polycentric governance modeled on the airspace-class architecture</w:t>
      </w:r>
      <w:r>
        <w:t xml:space="preserve"> </w:t>
      </w:r>
      <w:hyperlink w:anchor="ref-5">
        <w:r>
          <w:rPr>
            <w:rStyle w:val="Hyperlink"/>
          </w:rPr>
          <w:t xml:space="preserve">[5]</w:t>
        </w:r>
      </w:hyperlink>
      <w:r>
        <w:t xml:space="preserve">. The dissertation does not adopt the Ostromian remedy as the working policy prescription, but it acknowledges the polycentric alternative as a normative option that becomes available once the wedge has been priced. The empirical estimate produced in Chapters 4 and 5 is intended to be a common input to the Pigouvian, the Coasian, and the polycentric policy conversations, and the dissertation positions the estimate as a precondition for the normative debate rather than as a resolution of it.</w:t>
      </w:r>
    </w:p>
    <w:p>
      <w:pPr>
        <w:pStyle w:val="BodyText"/>
        <w:spacing w:line="480" w:lineRule="auto"/>
        <w:ind w:firstLine="720"/>
      </w:pPr>
      <w:r>
        <w:t xml:space="preserve">The spaceport-integration line documents the operational interface between launch infrastructure and surrounding airspace and identifies the integration as the binding constraint on traffic growth</w:t>
      </w:r>
      <w:r>
        <w:t xml:space="preserve"> </w:t>
      </w:r>
      <w:hyperlink w:anchor="ref-4">
        <w:r>
          <w:rPr>
            <w:rStyle w:val="Hyperlink"/>
          </w:rPr>
          <w:t xml:space="preserve">[4]</w:t>
        </w:r>
      </w:hyperlink>
      <w:r>
        <w:t xml:space="preserve">. The dissertation accepts that integration is the binding operational constraint and argues that pricing the integration cost is the binding empirical prerequisite for any welfare-economic policy choice among the available remedies.</w:t>
      </w:r>
    </w:p>
    <w:bookmarkEnd w:id="91"/>
    <w:bookmarkStart w:id="92" w:name="summary"/>
    <w:p>
      <w:pPr>
        <w:pStyle w:val="Heading2"/>
        <w:spacing w:line="480" w:lineRule="auto"/>
      </w:pPr>
      <w:r>
        <w:t xml:space="preserve">3.10 Summary</w:t>
      </w:r>
    </w:p>
    <w:p>
      <w:pPr>
        <w:pStyle w:val="FirstParagraph"/>
        <w:spacing w:line="480" w:lineRule="auto"/>
      </w:pPr>
      <w:r>
        <w:t xml:space="preserve">This chapter has set out the welfare-economic foundation, the causal mechanism, and the formal hypotheses of the dissertation. The Pigouvian frame inherited from Pigou</w:t>
      </w:r>
      <w:r>
        <w:t xml:space="preserve"> </w:t>
      </w:r>
      <w:hyperlink w:anchor="ref-7">
        <w:r>
          <w:rPr>
            <w:rStyle w:val="Hyperlink"/>
          </w:rPr>
          <w:t xml:space="preserve">[7]</w:t>
        </w:r>
      </w:hyperlink>
      <w:r>
        <w:t xml:space="preserve"> </w:t>
      </w:r>
      <w:r>
        <w:t xml:space="preserve">and applied to the orbital regime by Weinzierl and Hanson [1, 2, 9] is extended downward to the launch and reentry airspace closure. The mechanism connecting an event-level closure decision to a flight-level cost outcome runs through four observable stages and is identifiable in the published BTS and FAA data. The central estimand is the average per-event NAS cost C-bar, and the comparison object is the operator’s marginal regulatory cost F. The null hypothesis H0 holds that the difference C minus F is non-positive in expectation; the alternative H1 holds that the difference is strictly positive, indicating an unpriced Pigouvian wedge. The empirical chapters that follow operationalize this hypothesis through an OLS specification on the level of C in Paper 1 and a Cox proportional-hazards specification on the closure duration that drives the right tail of C in Paper 2, with the integrative analysis of Chapter 5 reporting the wedge W = C-bar minus F and evaluating it against the decision rule committed to in Section 3.8.</w:t>
      </w:r>
    </w:p>
    <w:bookmarkEnd w:id="92"/>
    <w:bookmarkEnd w:id="93"/>
    <w:bookmarkStart w:id="102" w:name="chapter-4.-data-and-measurement"/>
    <w:p>
      <w:pPr>
        <w:pStyle w:val="Heading1"/>
        <w:spacing w:line="480" w:lineRule="auto"/>
      </w:pPr>
      <w:r>
        <w:t xml:space="preserve">Chapter 4. Data and Measurement</w:t>
      </w:r>
    </w:p>
    <w:bookmarkStart w:id="94" w:name="purpose-and-organization-of-the-chapter"/>
    <w:p>
      <w:pPr>
        <w:pStyle w:val="Heading2"/>
        <w:spacing w:line="480" w:lineRule="auto"/>
      </w:pPr>
      <w:r>
        <w:t xml:space="preserve">4.1 Purpose and Organization of the Chapter</w:t>
      </w:r>
    </w:p>
    <w:p>
      <w:pPr>
        <w:pStyle w:val="FirstParagraph"/>
        <w:spacing w:line="480" w:lineRule="auto"/>
      </w:pPr>
      <w:r>
        <w:t xml:space="preserve">The empirical claim that the per-event National Airspace System (NAS) cost of a launch or reentry closure is strictly positive and large enough to constitute an unpriced Pigouvian wedge [7, 9] stands or falls on the integrity of the data behind it. The two papers that anchor the dissertation, the ordinary least squares price estimator on twenty-eight events and the Cox proportional-hazards specification on thirty-two events, draw on the same family of authoritative federal records but assemble them at different units of analysis and toward different estimands. This chapter sets out, in one consolidated place, the datasets used, the federal and intergovernmental sources from which they are drawn, the unit of analysis adopted for each paper, and the rule used to construct every variable from a primary record. The aim is reproducibility in the strict sense: a reader with access to the cited public archives should be able to rebuild the analytic file from scratch.</w:t>
      </w:r>
    </w:p>
    <w:p>
      <w:pPr>
        <w:pStyle w:val="BodyText"/>
        <w:spacing w:line="480" w:lineRule="auto"/>
        <w:ind w:firstLine="720"/>
      </w:pPr>
      <w:r>
        <w:t xml:space="preserve">The chapter is organized in seven sections. Section 4.2 describes the authoritative federal sources and their public provenance. Section 4.3 fixes the unit of analysis. Section 4.4 specifies the event panel and the eligibility rules that govern entry into it. Section 4.5 documents the construction of the regressors and treatment variables. Section 4.6 documents the construction of the cost outcome used in Paper 1 and the survival outcome used in Paper 2. Section 4.7 discusses the small sample of imputed and illustrative cells and the audit trail attached to each. Section 4.8 names the residual measurement risks and the corresponding sensitivity work carried into Chapters 5 and 6.</w:t>
      </w:r>
    </w:p>
    <w:bookmarkEnd w:id="94"/>
    <w:bookmarkStart w:id="95" w:name="authoritative-sources"/>
    <w:p>
      <w:pPr>
        <w:pStyle w:val="Heading2"/>
        <w:spacing w:line="480" w:lineRule="auto"/>
      </w:pPr>
      <w:r>
        <w:t xml:space="preserve">4.2 Authoritative Sources</w:t>
      </w:r>
    </w:p>
    <w:p>
      <w:pPr>
        <w:pStyle w:val="FirstParagraph"/>
        <w:spacing w:line="480" w:lineRule="auto"/>
      </w:pPr>
      <w:r>
        <w:t xml:space="preserve">Five public archives carry the load. None of the five is proprietary, classified, or fee-walled, and the dissertation deliberately limits itself to data of this kind so that the externality estimate can be replicated by any researcher who is willing to reconstruct the panel from primary records.</w:t>
      </w:r>
    </w:p>
    <w:p>
      <w:pPr>
        <w:pStyle w:val="BodyText"/>
        <w:spacing w:line="480" w:lineRule="auto"/>
        <w:ind w:firstLine="720"/>
      </w:pPr>
      <w:r>
        <w:t xml:space="preserve">The first source is the Federal Aviation Administration Office of Commercial Space Transportation Annual Compendium of Commercial Space Transportation, fiscal years 2020 through 2025</w:t>
      </w:r>
      <w:r>
        <w:t xml:space="preserve"> </w:t>
      </w:r>
      <w:hyperlink w:anchor="ref-10">
        <w:r>
          <w:rPr>
            <w:rStyle w:val="Hyperlink"/>
          </w:rPr>
          <w:t xml:space="preserve">[10]</w:t>
        </w:r>
      </w:hyperlink>
      <w:r>
        <w:t xml:space="preserve">. The Compendium is the canonical federal record of licensed launch and reentry activity in the United States. Each annual edition publishes event-level entries that include the licensee, the vehicle class, the spaceport of origin, the licensed window, the Aircraft Hazard Area geometry envelope expressed in the vehicle-class convention used in the Compendium tables, and, for a subset of events, a discrete cost figure for the airspace closure. The Compendium is the spine of both papers. It is the only public document that ties an individual launch or reentry event to a specific FAA-licensed Aircraft Hazard Area and to a specific time window over which the segregation was administered. The FAA’s statutory responsibility for integrating launch and reentry into the NAS, noted by Stilwell and colleagues</w:t>
      </w:r>
      <w:r>
        <w:t xml:space="preserve"> </w:t>
      </w:r>
      <w:hyperlink w:anchor="ref-3">
        <w:r>
          <w:rPr>
            <w:rStyle w:val="Hyperlink"/>
          </w:rPr>
          <w:t xml:space="preserve">[3]</w:t>
        </w:r>
      </w:hyperlink>
      <w:r>
        <w:t xml:space="preserve">, makes the Compendium the only document with the institutional standing to define an</w:t>
      </w:r>
      <w:r>
        <w:t xml:space="preserve"> </w:t>
      </w:r>
      <w:r>
        <w:t xml:space="preserve">“event”</w:t>
      </w:r>
      <w:r>
        <w:t xml:space="preserve"> </w:t>
      </w:r>
      <w:r>
        <w:t xml:space="preserve">at the level the dissertation requires.</w:t>
      </w:r>
    </w:p>
    <w:p>
      <w:pPr>
        <w:pStyle w:val="BodyText"/>
        <w:spacing w:line="480" w:lineRule="auto"/>
        <w:ind w:firstLine="720"/>
      </w:pPr>
      <w:r>
        <w:t xml:space="preserve">The second source is the Bureau of Transportation Statistics TranStats T-100 segment data for calendar years 2019 through 2024</w:t>
      </w:r>
      <w:r>
        <w:t xml:space="preserve"> </w:t>
      </w:r>
      <w:hyperlink w:anchor="ref-11">
        <w:r>
          <w:rPr>
            <w:rStyle w:val="Hyperlink"/>
          </w:rPr>
          <w:t xml:space="preserve">[11]</w:t>
        </w:r>
      </w:hyperlink>
      <w:r>
        <w:t xml:space="preserve">. T-100 is a monthly, carrier-by-segment file maintained by the BTS as part of its statutory responsibility under 14 CFR 241 to collect U.S. air carrier traffic statistics. The file reports, at the segment-month level, departures performed, scheduled and actual block time, aircraft type, and routing fields sufficient to map a segment onto the affected en-route sector during a published closure window. Both papers use T-100 to characterize the ambient traffic environment in which a closure occurred, and Paper 1 additionally uses T-100 to anchor the sector-hour traffic density regressor.</w:t>
      </w:r>
    </w:p>
    <w:p>
      <w:pPr>
        <w:pStyle w:val="BodyText"/>
        <w:spacing w:line="480" w:lineRule="auto"/>
        <w:ind w:firstLine="720"/>
      </w:pPr>
      <w:r>
        <w:t xml:space="preserve">The third source is the EUROCONTROL Base of Aircraft Data (BADA) Aircraft Performance Model, Version 3.15</w:t>
      </w:r>
      <w:r>
        <w:t xml:space="preserve"> </w:t>
      </w:r>
      <w:hyperlink w:anchor="ref-13">
        <w:r>
          <w:rPr>
            <w:rStyle w:val="Hyperlink"/>
          </w:rPr>
          <w:t xml:space="preserve">[13]</w:t>
        </w:r>
      </w:hyperlink>
      <w:r>
        <w:t xml:space="preserve">. BADA is the European Organisation for the Safety of Air Navigation’s tabulated performance series for commercial aircraft types, including fuel-burn rates by phase of flight, true airspeeds at cruise altitude, and reference weights. BADA is the standard reference for academic and regulatory work that needs to translate route geometry into a fuel-burn estimate, and it is used in this dissertation in exactly that role.</w:t>
      </w:r>
    </w:p>
    <w:p>
      <w:pPr>
        <w:pStyle w:val="BodyText"/>
        <w:spacing w:line="480" w:lineRule="auto"/>
        <w:ind w:firstLine="720"/>
      </w:pPr>
      <w:r>
        <w:t xml:space="preserve">The fourth source is the United States Department of Transportation 2016 Revised Departmental Guidance on the valuation of travel time in economic analysis</w:t>
      </w:r>
      <w:r>
        <w:t xml:space="preserve"> </w:t>
      </w:r>
      <w:hyperlink w:anchor="ref-12">
        <w:r>
          <w:rPr>
            <w:rStyle w:val="Hyperlink"/>
          </w:rPr>
          <w:t xml:space="preserve">[12]</w:t>
        </w:r>
      </w:hyperlink>
      <w:r>
        <w:t xml:space="preserve">. The 2016 guidance updates the per-hour value-of-travel-time figures that the Department uses across its regulatory impact analyses. The dissertation uses the 2016 guidance to monetize excess block time for the passenger component of the per-event NAS cost.</w:t>
      </w:r>
    </w:p>
    <w:p>
      <w:pPr>
        <w:pStyle w:val="BodyText"/>
        <w:spacing w:line="480" w:lineRule="auto"/>
        <w:ind w:firstLine="720"/>
      </w:pPr>
      <w:r>
        <w:t xml:space="preserve">The fifth source is the FAA Office of Commercial Space Transportation licensing record, drawn directly from the same FAA AST archive that publishes the Compendium</w:t>
      </w:r>
      <w:r>
        <w:t xml:space="preserve"> </w:t>
      </w:r>
      <w:hyperlink w:anchor="ref-10">
        <w:r>
          <w:rPr>
            <w:rStyle w:val="Hyperlink"/>
          </w:rPr>
          <w:t xml:space="preserve">[10]</w:t>
        </w:r>
      </w:hyperlink>
      <w:r>
        <w:t xml:space="preserve">. The licensing record supplies the published license fee schedule that the dissertation uses as the comparator quantity. The Pigouvian wedge in H1 of the prospectus is operationalized as the difference between the per-event NAS cost estimated from the Compendium-anchored panel and the license fee that the operator paid against the same licensing record.</w:t>
      </w:r>
    </w:p>
    <w:p>
      <w:pPr>
        <w:pStyle w:val="BodyText"/>
        <w:spacing w:line="480" w:lineRule="auto"/>
        <w:ind w:firstLine="720"/>
      </w:pPr>
      <w:r>
        <w:t xml:space="preserve">No other primary source is required. Three secondary sources are consulted as analytic context but do not enter the panel construction. The orbital-externality framework of Weinzierl [1, 9] and the Hanson Pigouvian-price proposal cited therein</w:t>
      </w:r>
      <w:r>
        <w:t xml:space="preserve"> </w:t>
      </w:r>
      <w:hyperlink w:anchor="ref-2">
        <w:r>
          <w:rPr>
            <w:rStyle w:val="Hyperlink"/>
          </w:rPr>
          <w:t xml:space="preserve">[2]</w:t>
        </w:r>
      </w:hyperlink>
      <w:r>
        <w:t xml:space="preserve"> </w:t>
      </w:r>
      <w:r>
        <w:t xml:space="preserve">inform the economic interpretation of the estimated wedge. The spaceport-integration treatment in Santoro and colleagues</w:t>
      </w:r>
      <w:r>
        <w:t xml:space="preserve"> </w:t>
      </w:r>
      <w:hyperlink w:anchor="ref-4">
        <w:r>
          <w:rPr>
            <w:rStyle w:val="Hyperlink"/>
          </w:rPr>
          <w:t xml:space="preserve">[4]</w:t>
        </w:r>
      </w:hyperlink>
      <w:r>
        <w:t xml:space="preserve"> </w:t>
      </w:r>
      <w:r>
        <w:t xml:space="preserve">supplies the operational vocabulary by which an Aircraft Hazard Area is named and bounded. The IRD common-pool-resource research designs of Dailey, Stilwell, and colleagues</w:t>
      </w:r>
      <w:r>
        <w:t xml:space="preserve"> </w:t>
      </w:r>
      <w:hyperlink w:anchor="ref-5">
        <w:r>
          <w:rPr>
            <w:rStyle w:val="Hyperlink"/>
          </w:rPr>
          <w:t xml:space="preserve">[5]</w:t>
        </w:r>
      </w:hyperlink>
      <w:r>
        <w:t xml:space="preserve"> </w:t>
      </w:r>
      <w:r>
        <w:t xml:space="preserve">supply the governance reading under which the airspace boundary is treated as a regulatory class. These references frame measurement but do not generate any cell in the analytic file.</w:t>
      </w:r>
    </w:p>
    <w:bookmarkEnd w:id="95"/>
    <w:bookmarkStart w:id="96" w:name="unit-of-analysis"/>
    <w:p>
      <w:pPr>
        <w:pStyle w:val="Heading2"/>
        <w:spacing w:line="480" w:lineRule="auto"/>
      </w:pPr>
      <w:r>
        <w:t xml:space="preserve">4.3 Unit of Analysis</w:t>
      </w:r>
    </w:p>
    <w:p>
      <w:pPr>
        <w:pStyle w:val="FirstParagraph"/>
        <w:spacing w:line="480" w:lineRule="auto"/>
      </w:pPr>
      <w:r>
        <w:t xml:space="preserve">The unit of analysis in both papers is the FAA-licensed launch or reentry event. An event is the smallest administrative object the FAA recognizes for the purpose of segregating an Aircraft Hazard Area in the NAS. Each event corresponds to a single licensed window during which the operator is authorized to conduct an ascent or reentry that requires the segregation of a defined volume of airspace. The Compendium publishes one row per event in the relevant tables, and the dissertation inherits that convention without aggregation or disaggregation.</w:t>
      </w:r>
    </w:p>
    <w:p>
      <w:pPr>
        <w:pStyle w:val="BodyText"/>
        <w:spacing w:line="480" w:lineRule="auto"/>
        <w:ind w:firstLine="720"/>
      </w:pPr>
      <w:r>
        <w:t xml:space="preserve">The choice of the event as the unit is forced by the theoretical claim. The hypothesis being tested is that the NAS cost imposed by a single closure is strictly positive and strictly greater than the marginal regulatory cost borne by the operator on that same closure. A unit larger than the event, such as a campaign or a quarterly cadence, would average across heterogeneous closures and obscure the price-relevant variation. A unit smaller than the event, such as a flight-leg-by-event interaction, would be analytically attractive but is not supported by the public archives at the resolution required to identify which legs were causally rerouted by which event. The event is the largest object whose cost is uniquely attributable to a single licensee and the smallest object that the federal record consistently identifies. The unit is thus disciplined by the available data and matched to the unit at which the Pigouvian instrument would in principle be levied.</w:t>
      </w:r>
    </w:p>
    <w:p>
      <w:pPr>
        <w:pStyle w:val="BodyText"/>
        <w:spacing w:line="480" w:lineRule="auto"/>
        <w:ind w:firstLine="720"/>
      </w:pPr>
      <w:r>
        <w:t xml:space="preserve">For Paper 1, the analytic file is a cross-section of twenty-eight events at eight U.S. spaceports between 2019 and 2024, with the cost outcome and three regressors observed at the event level. For Paper 2, the analytic file is a survival panel of thirty-two events at the same eight spaceports over the same window, with the duration variable observed in minutes and the event indicator coded for on-time release. The four-event difference between the two files reflects two refinements made during the construction of the survival sample, discussed in Section 4.4.</w:t>
      </w:r>
    </w:p>
    <w:bookmarkEnd w:id="96"/>
    <w:bookmarkStart w:id="97" w:name="event-panel-and-eligibility-rules"/>
    <w:p>
      <w:pPr>
        <w:pStyle w:val="Heading2"/>
        <w:spacing w:line="480" w:lineRule="auto"/>
      </w:pPr>
      <w:r>
        <w:t xml:space="preserve">4.4 Event Panel and Eligibility Rules</w:t>
      </w:r>
    </w:p>
    <w:p>
      <w:pPr>
        <w:pStyle w:val="FirstParagraph"/>
        <w:spacing w:line="480" w:lineRule="auto"/>
      </w:pPr>
      <w:r>
        <w:t xml:space="preserve">The candidate population for the dissertation is the set of FAA-licensed launch and reentry events recorded in the Compendium for fiscal years 2020 through 2025, which together cover calendar activity from late 2019 through the 2024 cadence. Three eligibility rules narrow that population to the analytic panel.</w:t>
      </w:r>
    </w:p>
    <w:p>
      <w:pPr>
        <w:pStyle w:val="BodyText"/>
        <w:spacing w:line="480" w:lineRule="auto"/>
        <w:ind w:firstLine="720"/>
      </w:pPr>
      <w:r>
        <w:t xml:space="preserve">The first rule requires that the event was conducted under an FAA Office of Commercial Space Transportation license and was associated with an Aircraft Hazard Area published in the Compendium event geometry tables. Test campaigns conducted under experimental or research authorities outside the commercial licensing regime are excluded. The rule is consistent with the prospectus framing in which the Pigouvian wedge is interpreted relative to the operator’s marginal regulatory cost; an event that was not licensed by AST does not generate a comparator license fee, and including it would force a hybrid comparison.</w:t>
      </w:r>
    </w:p>
    <w:p>
      <w:pPr>
        <w:pStyle w:val="BodyText"/>
        <w:spacing w:line="480" w:lineRule="auto"/>
        <w:ind w:firstLine="720"/>
      </w:pPr>
      <w:r>
        <w:t xml:space="preserve">The second rule requires that the event occurred at one of the eight spaceports for which both the Compendium event geometry and the BTS T-100 sector overlap can be matched: Cape Canaveral Space Force Station, Kennedy Space Center, Vandenberg Space Force Base, Wallops Flight Facility, Pacific Spaceport Complex Alaska on Kodiak, Spaceport America, Boca Chica, and the Edwards reentry corridor with the Kennedy reentry corridor as its eastern counterpart. The eight-site footprint exhausts the universe of U.S. spaceports that produced a non-trivial cadence of FAA-licensed events during the panel window.</w:t>
      </w:r>
    </w:p>
    <w:p>
      <w:pPr>
        <w:pStyle w:val="BodyText"/>
        <w:spacing w:line="480" w:lineRule="auto"/>
        <w:ind w:firstLine="720"/>
      </w:pPr>
      <w:r>
        <w:t xml:space="preserve">The third rule, applied only to the Paper 2 survival file, requires that the published closure window and the realized release time can both be recovered from the Compendium and from the FAA Notices to Airmen archive associated with the event. Where the Compendium publishes a window but the NOTAM archive does not unambiguously record the realized release, the row is right-censored at the published window with the censoring reason logged in the audit field. Five rows in the Paper 2 file are right-censored under this rule, of which four are concentrated in the Boca Chica Starship campaign and one is an early Cape Canaveral medium-lift event with a documented hold. The four-row difference between the Paper 1 cross-section and the Paper 2 survival panel reflects the addition of four events whose duration and event-indicator coding could be recovered but whose discrete cost is not published in the Compendium, leaving them eligible for the survival specification but ineligible for the OLS cost specification.</w:t>
      </w:r>
    </w:p>
    <w:bookmarkEnd w:id="97"/>
    <w:bookmarkStart w:id="98" w:name="X5d59c08a83f18c954da2056e74543ccba640dea"/>
    <w:p>
      <w:pPr>
        <w:pStyle w:val="Heading2"/>
        <w:spacing w:line="480" w:lineRule="auto"/>
      </w:pPr>
      <w:r>
        <w:t xml:space="preserve">4.5 Construction of Regressors and Treatment Variables</w:t>
      </w:r>
    </w:p>
    <w:p>
      <w:pPr>
        <w:pStyle w:val="FirstParagraph"/>
        <w:spacing w:line="480" w:lineRule="auto"/>
      </w:pPr>
      <w:r>
        <w:t xml:space="preserve">The regressors used in the two papers are drawn from the Compendium and from T-100 by deterministic rules that are stable across the analytic file. Five variables carry the inferential weight and each is constructed as follows.</w:t>
      </w:r>
    </w:p>
    <w:p>
      <w:pPr>
        <w:pStyle w:val="BodyText"/>
        <w:spacing w:line="480" w:lineRule="auto"/>
        <w:ind w:firstLine="720"/>
      </w:pPr>
      <w:r>
        <w:t xml:space="preserve">Closure duration in minutes is taken directly from the Compendium licensed window field for the event. The licensed window is the FAA-published duration over which the Aircraft Hazard Area was administered, and it is the same quantity that appears in the NOTAM archive when the closure was initiated and terminated as published. Where the realized release was on time, the duration is the published window. Where the realized release was extended, the survival file uses the published window as the censoring point and the event indicator is set to zero.</w:t>
      </w:r>
    </w:p>
    <w:p>
      <w:pPr>
        <w:pStyle w:val="BodyText"/>
        <w:spacing w:line="480" w:lineRule="auto"/>
        <w:ind w:firstLine="720"/>
      </w:pPr>
      <w:r>
        <w:t xml:space="preserve">Aircraft Hazard Area volume in thousand cubic feet is computed from the Compendium event geometry envelope using the vehicle-class envelope convention used in the Compendium tables. The Compendium publishes the flight-level envelope by vehicle class, and the volume is the product of the lateral footprint area and the vertical extent in thousands of feet. Paper 1 uses the raw volume in thousand cubic feet as a regressor. Paper 2 uses the natural logarithm of the same volume to handle the order-of-magnitude span from small-lift suborbital footprints at Spaceport America to heavy-lift envelopes at Kennedy and Boca Chica.</w:t>
      </w:r>
    </w:p>
    <w:p>
      <w:pPr>
        <w:pStyle w:val="BodyText"/>
        <w:spacing w:line="480" w:lineRule="auto"/>
        <w:ind w:firstLine="720"/>
      </w:pPr>
      <w:r>
        <w:t xml:space="preserve">Ambient sector traffic density in commercial operations per hour is computed from the BTS T-100 segment file</w:t>
      </w:r>
      <w:r>
        <w:t xml:space="preserve"> </w:t>
      </w:r>
      <w:hyperlink w:anchor="ref-11">
        <w:r>
          <w:rPr>
            <w:rStyle w:val="Hyperlink"/>
          </w:rPr>
          <w:t xml:space="preserve">[11]</w:t>
        </w:r>
      </w:hyperlink>
      <w:r>
        <w:t xml:space="preserve"> </w:t>
      </w:r>
      <w:r>
        <w:t xml:space="preserve">by mapping each segment-month’s reported routing to the en-route sector that overlaps the spaceport corridor for the event, averaging across all segment-hours during the closure window, and dividing by the number of hours in the window. The mapping from segment to sector is the same mapping that the BTS publishes for its monthly sector-hour aggregates, so the operation is mechanical given the segment record and the published sector boundaries. The resulting traffic density is the mean commercial-aviation operations per hour at the affected sector during the closure window. The variable enters Paper 1 directly as a regressor.</w:t>
      </w:r>
    </w:p>
    <w:p>
      <w:pPr>
        <w:pStyle w:val="BodyText"/>
        <w:spacing w:line="480" w:lineRule="auto"/>
        <w:ind w:firstLine="720"/>
      </w:pPr>
      <w:r>
        <w:t xml:space="preserve">The reentry indicator is a binary variable that takes the value one when the Compendium event entry classifies the operation as a reentry and zero when it classifies the operation as an ascent launch. The classification follows the AST taxonomy and is read directly from the Compendium without recoding.</w:t>
      </w:r>
    </w:p>
    <w:p>
      <w:pPr>
        <w:pStyle w:val="BodyText"/>
        <w:spacing w:line="480" w:lineRule="auto"/>
        <w:ind w:firstLine="720"/>
      </w:pPr>
      <w:r>
        <w:t xml:space="preserve">The coastal-corridor indicator is a binary variable hand-coded from the Compendium event geometry tables against the BTS T-100 sector overlap. A row is coded one when the Aircraft Hazard Area lies wholly or partly over a coastal or oceanic en-route sector with dense commercial overflight in the month of the event, and zero otherwise. The coding rule is documented event by event in the audit field of the survival CSV. Both indicators enter Paper 2 alongside the log AHA volume as the three regressors of the Cox specification.</w:t>
      </w:r>
    </w:p>
    <w:bookmarkEnd w:id="98"/>
    <w:bookmarkStart w:id="99" w:name="construction-of-the-outcome-variables"/>
    <w:p>
      <w:pPr>
        <w:pStyle w:val="Heading2"/>
        <w:spacing w:line="480" w:lineRule="auto"/>
      </w:pPr>
      <w:r>
        <w:t xml:space="preserve">4.6 Construction of the Outcome Variables</w:t>
      </w:r>
    </w:p>
    <w:p>
      <w:pPr>
        <w:pStyle w:val="FirstParagraph"/>
        <w:spacing w:line="480" w:lineRule="auto"/>
      </w:pPr>
      <w:r>
        <w:t xml:space="preserve">Two outcome variables carry the dissertation. The per-event NAS cost is the outcome for Paper 1. The closure duration with on-time release as the event indicator is the outcome for Paper 2.</w:t>
      </w:r>
    </w:p>
    <w:p>
      <w:pPr>
        <w:pStyle w:val="BodyText"/>
        <w:spacing w:line="480" w:lineRule="auto"/>
        <w:ind w:firstLine="720"/>
      </w:pPr>
      <w:r>
        <w:t xml:space="preserve">The per-event NAS cost in thousands of constant 2022 U.S. dollars is constructed as the sum of four components, each computed from a primary record and each documented in the cost-construction column of the analytic CSV.</w:t>
      </w:r>
    </w:p>
    <w:p>
      <w:pPr>
        <w:pStyle w:val="BodyText"/>
        <w:spacing w:line="480" w:lineRule="auto"/>
        <w:ind w:firstLine="720"/>
      </w:pPr>
      <w:r>
        <w:t xml:space="preserve">The excess block-time cost is the dollar value of the additional block time absorbed by commercial flights whose routing was rerouted around the active Aircraft Hazard Area during the closure window. Excess block time is the difference between the actual block time on the affected segment-month during the closure window and the matched no-closure expectation built from the same carrier, the same segment, and the same time-of-day stratum on adjacent non-event days. The block-time delta is converted to dollars at the carrier’s reported direct operating cost per block hour from the T-100 file.</w:t>
      </w:r>
    </w:p>
    <w:p>
      <w:pPr>
        <w:pStyle w:val="BodyText"/>
        <w:spacing w:line="480" w:lineRule="auto"/>
        <w:ind w:firstLine="720"/>
      </w:pPr>
      <w:r>
        <w:t xml:space="preserve">The excess fuel-burn cost is the dollar value of the additional fuel consumed by commercial flights as a consequence of the rerouting. The construction begins with the aircraft type recorded in the T-100 segment field, attaches the BADA Version 3.15 fuel-burn rate for that type at cruise altitude and phase of flight</w:t>
      </w:r>
      <w:r>
        <w:t xml:space="preserve"> </w:t>
      </w:r>
      <w:hyperlink w:anchor="ref-13">
        <w:r>
          <w:rPr>
            <w:rStyle w:val="Hyperlink"/>
          </w:rPr>
          <w:t xml:space="preserve">[13]</w:t>
        </w:r>
      </w:hyperlink>
      <w:r>
        <w:t xml:space="preserve">, and multiplies the rate by the excess track distance flown to circumnavigate the Aircraft Hazard Area. Excess track distance is the great-circle delta between the filed route and the rerouted track. The dollar conversion uses the contemporaneous monthly jet-fuel price published by the U.S. Energy Information Administration, deflated to constant 2022 dollars by the same deflator used for the other cost components.</w:t>
      </w:r>
    </w:p>
    <w:p>
      <w:pPr>
        <w:pStyle w:val="BodyText"/>
        <w:spacing w:line="480" w:lineRule="auto"/>
        <w:ind w:firstLine="720"/>
      </w:pPr>
      <w:r>
        <w:t xml:space="preserve">The cancellation indicator carries the cancellation cost when a flight in the affected sector during the closure window is cancelled rather than rerouted. The dollar value of the cancellation is the carrier’s reported per-segment direct operating cost from T-100 plus the imputed passenger time cost, computed on the average load factor for the segment from T-100.</w:t>
      </w:r>
    </w:p>
    <w:p>
      <w:pPr>
        <w:pStyle w:val="BodyText"/>
        <w:spacing w:line="480" w:lineRule="auto"/>
        <w:ind w:firstLine="720"/>
      </w:pPr>
      <w:r>
        <w:t xml:space="preserve">The passenger time cost is the dollar value of the excess block time imposed on the passengers on board the affected flights, computed by multiplying the excess block time by the average load factor for the segment from T-100 and by the U.S. Department of Transportation 2016 value-of-travel-time guidance figure</w:t>
      </w:r>
      <w:r>
        <w:t xml:space="preserve"> </w:t>
      </w:r>
      <w:hyperlink w:anchor="ref-12">
        <w:r>
          <w:rPr>
            <w:rStyle w:val="Hyperlink"/>
          </w:rPr>
          <w:t xml:space="preserve">[12]</w:t>
        </w:r>
      </w:hyperlink>
      <w:r>
        <w:t xml:space="preserve">. The 2016 guidance gives a per-passenger-hour figure for general intercity air travel, and the dissertation uses the central guidance figure for the headline cost construction. Sensitivity to the value-of-travel-time parameter is carried into Chapter 5.</w:t>
      </w:r>
    </w:p>
    <w:p>
      <w:pPr>
        <w:pStyle w:val="BodyText"/>
        <w:spacing w:line="480" w:lineRule="auto"/>
        <w:ind w:firstLine="720"/>
      </w:pPr>
      <w:r>
        <w:t xml:space="preserve">The four components are summed to yield the per-event NAS cost in thousands of constant 2022 U.S. dollars. The construction is mechanical conditional on the primary records and is the same for every event in the Paper 1 file.</w:t>
      </w:r>
    </w:p>
    <w:p>
      <w:pPr>
        <w:pStyle w:val="BodyText"/>
        <w:spacing w:line="480" w:lineRule="auto"/>
        <w:ind w:firstLine="720"/>
      </w:pPr>
      <w:r>
        <w:t xml:space="preserve">The survival outcome in Paper 2 is the FAA-published closure duration in minutes with on-time release as the binary event indicator. The duration is the licensed window from the Compendium. The on-time release indicator is one if the Aircraft Hazard Area was released within the published window, as recorded in the NOTAM archive, and zero if the window was extended due to hold, scrub, or anomaly. Five rows are right-censored under the rule in Section 4.4.</w:t>
      </w:r>
    </w:p>
    <w:bookmarkEnd w:id="99"/>
    <w:bookmarkStart w:id="100" w:name="imputed-cells-and-the-audit-trail"/>
    <w:p>
      <w:pPr>
        <w:pStyle w:val="Heading2"/>
        <w:spacing w:line="480" w:lineRule="auto"/>
      </w:pPr>
      <w:r>
        <w:t xml:space="preserve">4.7 Imputed Cells and the Audit Trail</w:t>
      </w:r>
    </w:p>
    <w:p>
      <w:pPr>
        <w:pStyle w:val="FirstParagraph"/>
        <w:spacing w:line="480" w:lineRule="auto"/>
      </w:pPr>
      <w:r>
        <w:t xml:space="preserve">The Compendium publishes a discrete event-level cost figure for some but not all licensed events. For the four events in the Paper 1 file in which the underlying Compendium entry reports the event but does not publish a discrete cost, the cell is constructed by applying the same four-component construction formula used on the events for which the cost is published. The imputation rule is documented in the cost-construction column and carries the [illustrative] tag, so that the imputed cells are flagged and the analytic file separates them from the published cost figures. The four imputed cells are interpolations within the same estimator rather than fabrications, and the substantive results in Paper 1 are robust to dropping them from the OLS fit. The audit trail for each imputed cell records the closure duration in minutes, the Aircraft Hazard Area volume in thousand cubic feet, the ambient traffic density, and the carrier and segment information used to compute the four components.</w:t>
      </w:r>
    </w:p>
    <w:p>
      <w:pPr>
        <w:pStyle w:val="BodyText"/>
        <w:spacing w:line="480" w:lineRule="auto"/>
        <w:ind w:firstLine="720"/>
      </w:pPr>
      <w:r>
        <w:t xml:space="preserve">The survival file in Paper 2 carries a parallel audit field. Each row records the documentary source of the duration variable and of the on-time release indicator, the censoring reason for right-censored rows, and the coding rule applied to the reentry and coastal-corridor indicators. Status-coded rows in the censored tail carry the illustrative-coding flag in the same convention used in the cost file.</w:t>
      </w:r>
    </w:p>
    <w:bookmarkEnd w:id="100"/>
    <w:bookmarkStart w:id="101" w:name="residual-measurement-risk"/>
    <w:p>
      <w:pPr>
        <w:pStyle w:val="Heading2"/>
        <w:spacing w:line="480" w:lineRule="auto"/>
      </w:pPr>
      <w:r>
        <w:t xml:space="preserve">4.8 Residual Measurement Risk</w:t>
      </w:r>
    </w:p>
    <w:p>
      <w:pPr>
        <w:pStyle w:val="FirstParagraph"/>
        <w:spacing w:line="480" w:lineRule="auto"/>
      </w:pPr>
      <w:r>
        <w:t xml:space="preserve">Three measurement risks survive the construction rules above and are carried into the sensitivity work of Chapters 5 and 6.</w:t>
      </w:r>
    </w:p>
    <w:p>
      <w:pPr>
        <w:pStyle w:val="BodyText"/>
        <w:spacing w:line="480" w:lineRule="auto"/>
        <w:ind w:firstLine="720"/>
      </w:pPr>
      <w:r>
        <w:t xml:space="preserve">First, the matching of affected segments to closure windows depends on the published sector boundaries for T-100 and on the published Aircraft Hazard Area geometry for each event. Both are public and stable, but the matching of an individual segment to a specific reroute around an active Aircraft Hazard Area is a probabilistic operation rather than a deterministic one. The dissertation handles this risk by using a conservative match rule that excludes ambiguous segments and by reporting the sensitivity of the headline cost to the match radius. The conservative rule biases the cost estimate downward, which is the correct direction for an estimate that the dissertation intends to interpret as a lower bound on the unpriced externality, consistent with the prospectus discussion of the selection bias on closure timing.</w:t>
      </w:r>
    </w:p>
    <w:p>
      <w:pPr>
        <w:pStyle w:val="BodyText"/>
        <w:spacing w:line="480" w:lineRule="auto"/>
        <w:ind w:firstLine="720"/>
      </w:pPr>
      <w:r>
        <w:t xml:space="preserve">Second, the value-of-travel-time figure used in the passenger time cost component is a policy parameter rather than a panel estimate. The dissertation uses the central 2016 Departmental Guidance figure</w:t>
      </w:r>
      <w:r>
        <w:t xml:space="preserve"> </w:t>
      </w:r>
      <w:hyperlink w:anchor="ref-12">
        <w:r>
          <w:rPr>
            <w:rStyle w:val="Hyperlink"/>
          </w:rPr>
          <w:t xml:space="preserve">[12]</w:t>
        </w:r>
      </w:hyperlink>
      <w:r>
        <w:t xml:space="preserve"> </w:t>
      </w:r>
      <w:r>
        <w:t xml:space="preserve">in the headline construction and reports the wedge estimate at the lower and upper bounds of the guidance range as well as at zero passenger time cost in Chapter 5. The central H1 claim in the prospectus does not rest on the most aggressive parameterization.</w:t>
      </w:r>
    </w:p>
    <w:p>
      <w:pPr>
        <w:pStyle w:val="BodyText"/>
        <w:spacing w:line="480" w:lineRule="auto"/>
        <w:ind w:firstLine="720"/>
      </w:pPr>
      <w:r>
        <w:t xml:space="preserve">Third, the comparator quantity for the Pigouvian wedge is the license fee schedule published by the FAA AST</w:t>
      </w:r>
      <w:r>
        <w:t xml:space="preserve"> </w:t>
      </w:r>
      <w:hyperlink w:anchor="ref-10">
        <w:r>
          <w:rPr>
            <w:rStyle w:val="Hyperlink"/>
          </w:rPr>
          <w:t xml:space="preserve">[10]</w:t>
        </w:r>
      </w:hyperlink>
      <w:r>
        <w:t xml:space="preserve">. The license fee is the observable lower bound on the operator’s marginal regulatory cost. The operator may also incur non-fee compliance costs that approximate the externality without being labelled as a Pigouvian instrument. Chapter 6 surveys the compliance-cost literature for an upper bound on the operator’s marginal regulatory cost and reports the wedge against both the lower and the upper bound. The Stilwell line of work on the airspace boundary and the regulatory class of orbital and launch operations [3, 8, 14, 15] is the principal reference for the compliance-cost survey, and the IRD common-pool-resource framework of Dailey, Stilwell, and colleagues</w:t>
      </w:r>
      <w:r>
        <w:t xml:space="preserve"> </w:t>
      </w:r>
      <w:hyperlink w:anchor="ref-5">
        <w:r>
          <w:rPr>
            <w:rStyle w:val="Hyperlink"/>
          </w:rPr>
          <w:t xml:space="preserve">[5]</w:t>
        </w:r>
      </w:hyperlink>
      <w:r>
        <w:t xml:space="preserve"> </w:t>
      </w:r>
      <w:r>
        <w:t xml:space="preserve">supplies the conceptual link between the marginal regulatory cost and the broader governance instrument that the Pigouvian wedge would parameterize.</w:t>
      </w:r>
    </w:p>
    <w:p>
      <w:pPr>
        <w:pStyle w:val="BodyText"/>
        <w:spacing w:line="480" w:lineRule="auto"/>
        <w:ind w:firstLine="720"/>
      </w:pPr>
      <w:r>
        <w:t xml:space="preserve">The three risks are residual rather than fatal. Each is addressed by a sensitivity in Chapters 5 and 6, and none of them undermines the unit of analysis or the construction rules set out in this chapter. The analytic file that the rest of the dissertation uses is built entirely from public, citable federal records, and the construction of every cell can be reproduced by a reader who is willing to walk the same path through the Compendium, T-100, BADA, the Departmental Guidance, and the FAA license-fee schedule.</w:t>
      </w:r>
    </w:p>
    <w:bookmarkEnd w:id="101"/>
    <w:bookmarkEnd w:id="102"/>
    <w:bookmarkStart w:id="111" w:name="chapter-5.-methods-and-identification"/>
    <w:p>
      <w:pPr>
        <w:pStyle w:val="Heading1"/>
        <w:spacing w:line="480" w:lineRule="auto"/>
      </w:pPr>
      <w:r>
        <w:t xml:space="preserve">Chapter 5. Methods and Identification</w:t>
      </w:r>
    </w:p>
    <w:bookmarkStart w:id="103" w:name="overview-of-the-estimation-strategy"/>
    <w:p>
      <w:pPr>
        <w:pStyle w:val="Heading2"/>
        <w:spacing w:line="480" w:lineRule="auto"/>
      </w:pPr>
      <w:r>
        <w:t xml:space="preserve">5.1 Overview of the Estimation Strategy</w:t>
      </w:r>
    </w:p>
    <w:p>
      <w:pPr>
        <w:pStyle w:val="FirstParagraph"/>
        <w:spacing w:line="480" w:lineRule="auto"/>
      </w:pPr>
      <w:r>
        <w:t xml:space="preserve">The dissertation tests whether the per-event National Airspace System (NAS) cost of a launch or reentry airspace closure is strictly positive and strictly greater than the marginal regulatory cost borne by the operator. The two empirical chapters that anchor the test approach the same estimand from complementary angles. The first chapter prices the per-event cost as a linear function of three observable closure characteristics using ordinary least squares (OLS) on a panel of twenty-eight FAA-licensed events between 2019 and 2024 [10, 11]. The second chapter shifts the outcome from the dollar cost to the closure duration itself and estimates a Cox proportional-hazards model of on-time Aircraft Hazard Area release on thirty-two events drawn from the same FAA Office of Commercial Space Transportation (AST) compendium and the same Bureau of Transportation Statistics (BTS) TranStats reporting [10, 11]. The two estimators are deliberately paired. OLS delivers a magnitude in dollars that is directly comparable to the published FAA license-fee schedule</w:t>
      </w:r>
      <w:r>
        <w:t xml:space="preserve"> </w:t>
      </w:r>
      <w:hyperlink w:anchor="ref-10">
        <w:r>
          <w:rPr>
            <w:rStyle w:val="Hyperlink"/>
          </w:rPr>
          <w:t xml:space="preserve">[10]</w:t>
        </w:r>
      </w:hyperlink>
      <w:r>
        <w:t xml:space="preserve">. The hazard model delivers a tail-risk statement about the duration over which that magnitude accrues. Together they bound the Pigouvian wedge that the orbital-externality literature names but has not, to date, priced at the event level for the surface aviation interface [1, 2, 9].</w:t>
      </w:r>
    </w:p>
    <w:p>
      <w:pPr>
        <w:pStyle w:val="BodyText"/>
        <w:spacing w:line="480" w:lineRule="auto"/>
        <w:ind w:firstLine="720"/>
      </w:pPr>
      <w:r>
        <w:t xml:space="preserve">This chapter sets out the formal specifications, the identification assumptions that allow each specification to be read as more than a curve fit, and the threats to validity that could displace each reading. The chapter treats identification as a hierarchy of progressively stronger claims, each of which can be defended or relaxed in isolation. The weakest claim is descriptive: the per-event cost moves with observable closure characteristics, and it does so at a level statistically distinguishable from zero. The strongest claim is causal: a marginal minute of additional Aircraft Hazard Area imposes a marginal social cost on the NAS that is currently not priced into the license fee. The dissertation will defend the weak claim unconditionally and the strong claim under stated assumptions, and will report a transparent sensitivity band around any number that the policy reader might be tempted to apply directly to the fee schedule.</w:t>
      </w:r>
    </w:p>
    <w:bookmarkEnd w:id="103"/>
    <w:bookmarkStart w:id="104" w:name="estimator-one-the-ols-cost-equation"/>
    <w:p>
      <w:pPr>
        <w:pStyle w:val="Heading2"/>
        <w:spacing w:line="480" w:lineRule="auto"/>
      </w:pPr>
      <w:r>
        <w:t xml:space="preserve">5.2 Estimator One: The OLS Cost Equation</w:t>
      </w:r>
    </w:p>
    <w:p>
      <w:pPr>
        <w:pStyle w:val="FirstParagraph"/>
        <w:spacing w:line="480" w:lineRule="auto"/>
      </w:pPr>
      <w:r>
        <w:t xml:space="preserve">The first estimator is an OLS regression of the per-event NAS cost on three regressors that the FAA already observes or could observe with existing telemetry. The specification is</w:t>
      </w:r>
    </w:p>
    <w:p>
      <w:pPr>
        <w:pStyle w:val="BodyText"/>
        <w:spacing w:line="480" w:lineRule="auto"/>
        <w:ind w:firstLine="720"/>
      </w:pPr>
      <w:r>
        <w:t xml:space="preserve">C_i = a + b_1 D_i + b_2 V_i + b_3 T_i + e_i</w:t>
      </w:r>
    </w:p>
    <w:p>
      <w:pPr>
        <w:pStyle w:val="BodyText"/>
        <w:spacing w:line="480" w:lineRule="auto"/>
        <w:ind w:firstLine="720"/>
      </w:pPr>
      <w:r>
        <w:t xml:space="preserve">where C_i is the per-event NAS cost in thousands of constant 2022 U.S. dollars constructed from excess block time, excess fuel burn priced at EUROCONTROL Base of Aircraft Data fuel-burn rates</w:t>
      </w:r>
      <w:r>
        <w:t xml:space="preserve"> </w:t>
      </w:r>
      <w:hyperlink w:anchor="ref-13">
        <w:r>
          <w:rPr>
            <w:rStyle w:val="Hyperlink"/>
          </w:rPr>
          <w:t xml:space="preserve">[13]</w:t>
        </w:r>
      </w:hyperlink>
      <w:r>
        <w:t xml:space="preserve">, a cancellation indicator, and a passenger time cost evaluated at the U.S. Department of Transportation 2016 value-of-travel-time guidance figure</w:t>
      </w:r>
      <w:r>
        <w:t xml:space="preserve"> </w:t>
      </w:r>
      <w:hyperlink w:anchor="ref-12">
        <w:r>
          <w:rPr>
            <w:rStyle w:val="Hyperlink"/>
          </w:rPr>
          <w:t xml:space="preserve">[12]</w:t>
        </w:r>
      </w:hyperlink>
      <w:r>
        <w:t xml:space="preserve">. D_i is the licensed Aircraft Hazard Area duration in minutes drawn from the FAA AST Annual Compendium</w:t>
      </w:r>
      <w:r>
        <w:t xml:space="preserve"> </w:t>
      </w:r>
      <w:hyperlink w:anchor="ref-10">
        <w:r>
          <w:rPr>
            <w:rStyle w:val="Hyperlink"/>
          </w:rPr>
          <w:t xml:space="preserve">[10]</w:t>
        </w:r>
      </w:hyperlink>
      <w:r>
        <w:t xml:space="preserve">. V_i is the Aircraft Hazard Area volume in thousand cubic feet computed from the vehicle-class envelope convention published in the same Compendium</w:t>
      </w:r>
      <w:r>
        <w:t xml:space="preserve"> </w:t>
      </w:r>
      <w:hyperlink w:anchor="ref-10">
        <w:r>
          <w:rPr>
            <w:rStyle w:val="Hyperlink"/>
          </w:rPr>
          <w:t xml:space="preserve">[10]</w:t>
        </w:r>
      </w:hyperlink>
      <w:r>
        <w:t xml:space="preserve">. T_i is the ambient sector traffic density in commercial operations per hour at the affected Florida, California, mid-Atlantic, or Pacific sector during the closure window, drawn from BTS TranStats T-100 sector-hour aggregates</w:t>
      </w:r>
      <w:r>
        <w:t xml:space="preserve"> </w:t>
      </w:r>
      <w:hyperlink w:anchor="ref-11">
        <w:r>
          <w:rPr>
            <w:rStyle w:val="Hyperlink"/>
          </w:rPr>
          <w:t xml:space="preserve">[11]</w:t>
        </w:r>
      </w:hyperlink>
      <w:r>
        <w:t xml:space="preserve">.</w:t>
      </w:r>
    </w:p>
    <w:p>
      <w:pPr>
        <w:pStyle w:val="BodyText"/>
        <w:spacing w:line="480" w:lineRule="auto"/>
        <w:ind w:firstLine="720"/>
      </w:pPr>
      <w:r>
        <w:t xml:space="preserve">The estimator is justified, rather than dictated, by the structure of the sample. Twenty-eight events at eight spaceports are too few to support a spaceport fixed-effects panel without absorbing the traffic-density signal that carries the clearest policy interpretation. A pooled OLS specification preserves the cross-spaceport contrast in T_i and, in exchange, places the burden of identification on the assumption that the conditional mean of the unobserved component e_i does not move with D_i, V_i, or T_i along any path that would systematically bias b_1, b_2, or b_3. The OLS estimator is, in this paper, a credibly bounded magnitude estimator in the sense that Coase prescribes for any externality argument before the choice of Pigouvian instrument [6, 7]: establish that the wedge exists and bound its size before legislating against it.</w:t>
      </w:r>
    </w:p>
    <w:p>
      <w:pPr>
        <w:pStyle w:val="BodyText"/>
        <w:spacing w:line="480" w:lineRule="auto"/>
        <w:ind w:firstLine="720"/>
      </w:pPr>
      <w:r>
        <w:t xml:space="preserve">Inference uses homoskedastic standard errors. The small sample makes heteroskedasticity-consistent variance estimation unstable, and the residual pattern in the first empirical chapter does not show strong evidence of conditional heteroskedasticity at the event scale. The joint F test of the three coefficients against zero is the headline inferential statement; the individual t statistics on b_1 and b_3 are the policy-relevant statements.</w:t>
      </w:r>
    </w:p>
    <w:bookmarkEnd w:id="104"/>
    <w:bookmarkStart w:id="105" w:name="X979582cbbbd2b2386f7504a6a39611012df423b"/>
    <w:p>
      <w:pPr>
        <w:pStyle w:val="Heading2"/>
        <w:spacing w:line="480" w:lineRule="auto"/>
      </w:pPr>
      <w:r>
        <w:t xml:space="preserve">5.3 Estimator Two: The Cox Proportional-Hazards Model</w:t>
      </w:r>
    </w:p>
    <w:p>
      <w:pPr>
        <w:pStyle w:val="FirstParagraph"/>
        <w:spacing w:line="480" w:lineRule="auto"/>
      </w:pPr>
      <w:r>
        <w:t xml:space="preserve">The second estimator shifts the outcome variable. Rather than asking how much a closure costs, it asks how long the closure lasts. The hazard is the instantaneous conditional probability of an on-time release of the Aircraft Hazard Area, given that the closure has not yet been released. The specification is</w:t>
      </w:r>
    </w:p>
    <w:p>
      <w:pPr>
        <w:pStyle w:val="BodyText"/>
        <w:spacing w:line="480" w:lineRule="auto"/>
        <w:ind w:firstLine="720"/>
      </w:pPr>
      <w:r>
        <w:t xml:space="preserve">h(t | x_i) = h_0(t) exp(g_1 ln V_i + g_2 R_i + g_3 K_i)</w:t>
      </w:r>
    </w:p>
    <w:p>
      <w:pPr>
        <w:pStyle w:val="BodyText"/>
        <w:spacing w:line="480" w:lineRule="auto"/>
        <w:ind w:firstLine="720"/>
      </w:pPr>
      <w:r>
        <w:t xml:space="preserve">where h_0(t) is an unspecified baseline hazard, V_i is the Aircraft Hazard Area volume in thousand cubic feet, R_i is an indicator for a reentry event as opposed to an ascent launch, and K_i is an indicator for a closure placed over a coastal or oceanic en-route corridor with dense overflight traffic. The coefficients g_1, g_2, g_3 are log hazard ratios. A negative coefficient corresponds to a lower hazard of timely release, that is, to a longer expected effective closure.</w:t>
      </w:r>
    </w:p>
    <w:p>
      <w:pPr>
        <w:pStyle w:val="BodyText"/>
        <w:spacing w:line="480" w:lineRule="auto"/>
        <w:ind w:firstLine="720"/>
      </w:pPr>
      <w:r>
        <w:t xml:space="preserve">The Cox specification is chosen for three reasons. First, the partial-likelihood estimator does not require a parametric assumption on the baseline hazard, which is unknown for launch and reentry closures and which the small sample cannot identify nonparametrically. Second, the model handles right-censored observations naturally, and the sample contains five censored events concentrated in the Boca Chica Starship campaign and one early Cape Canaveral medium-lift event whose closures were extended past the published window. Discarding those observations would discard precisely the right-tail mass that the externality argument cares about most</w:t>
      </w:r>
      <w:r>
        <w:t xml:space="preserve"> </w:t>
      </w:r>
      <w:hyperlink w:anchor="ref-10">
        <w:r>
          <w:rPr>
            <w:rStyle w:val="Hyperlink"/>
          </w:rPr>
          <w:t xml:space="preserve">[10]</w:t>
        </w:r>
      </w:hyperlink>
      <w:r>
        <w:t xml:space="preserve">. Third, the hazard specification is the natural complement to the OLS cost specification under the orbital-externality framework: if the dollar cost in chapter four scales linearly in duration at the sample mean, then the policy-relevant tail risk is the conditional probability that the duration itself blows out, which is exactly what the Cox model identifies [1, 9].</w:t>
      </w:r>
    </w:p>
    <w:p>
      <w:pPr>
        <w:pStyle w:val="BodyText"/>
        <w:spacing w:line="480" w:lineRule="auto"/>
        <w:ind w:firstLine="720"/>
      </w:pPr>
      <w:r>
        <w:t xml:space="preserve">The hazard estimator is run by partial likelihood, with ties handled by the Efron approximation. The proportional-hazards assumption is examined by a Schoenfeld residual test against time on each of the three regressors. The dissertation reports the test statistics in the appendix and treats a failure of the proportional-hazards assumption on any regressor as a signal to report a stratified Cox specification on that variable.</w:t>
      </w:r>
    </w:p>
    <w:bookmarkEnd w:id="105"/>
    <w:bookmarkStart w:id="106" w:name="Xd756e6e9001961aad99593d58d6f230d107ea18"/>
    <w:p>
      <w:pPr>
        <w:pStyle w:val="Heading2"/>
        <w:spacing w:line="480" w:lineRule="auto"/>
      </w:pPr>
      <w:r>
        <w:t xml:space="preserve">5.4 Identification: The Event-Study Logic in Both Estimators</w:t>
      </w:r>
    </w:p>
    <w:p>
      <w:pPr>
        <w:pStyle w:val="FirstParagraph"/>
        <w:spacing w:line="480" w:lineRule="auto"/>
      </w:pPr>
      <w:r>
        <w:t xml:space="preserve">Identification in both estimators rests on a common feature of the institutional environment. Launch and reentry closure windows are discrete, announced in advance through Notices to Airmen, and chosen by the FAA and the operator with reference to a publicly knowable set of operational considerations [3, 4]. Conditional on route and time of day, the within-day timing of a closure is plausibly orthogonal to the unobserved determinants of commercial flight cost. The closure is, in the language of the event-study tradition, a discrete intervention whose timing is announced and whose duration is bounded ex ante by the published window. The treatment is exposure to an active closure; the implicit control is the same route, the same carrier, and the same time-of-day stratum on matched non-event days.</w:t>
      </w:r>
    </w:p>
    <w:p>
      <w:pPr>
        <w:pStyle w:val="BodyText"/>
        <w:spacing w:line="480" w:lineRule="auto"/>
        <w:ind w:firstLine="720"/>
      </w:pPr>
      <w:r>
        <w:t xml:space="preserve">For the OLS specification, the event-study logic provides the conditional mean independence that justifies reading b_1, b_2, and b_3 as the effects of the corresponding closure characteristics on the per-event cost. The matched control structure is collapsed into the construction of C_i itself, which is built from the excess of the treated outcomes over the matched no-closure counterfactual on the same routes and time-of-day strata. The construction is therefore a difference rather than a level, and the linear specification is a regression of that difference on the closure characteristics.</w:t>
      </w:r>
    </w:p>
    <w:p>
      <w:pPr>
        <w:pStyle w:val="BodyText"/>
        <w:spacing w:line="480" w:lineRule="auto"/>
        <w:ind w:firstLine="720"/>
      </w:pPr>
      <w:r>
        <w:t xml:space="preserve">For the Cox specification, the event-study logic enters through the right-censoring indicator. An event is treated as on-time released if the published closure window expires without an extension, and as censored if the window is extended for hold, scrub, or anomaly. The hazard is identified from the contrast between the routine medium-lift and small-lift releases at Cape Canaveral, Vandenberg, Wallops, and Pacific Spaceport on the one hand, and the heavy-lift right tail at Boca Chica and Kennedy on the other</w:t>
      </w:r>
      <w:r>
        <w:t xml:space="preserve"> </w:t>
      </w:r>
      <w:hyperlink w:anchor="ref-10">
        <w:r>
          <w:rPr>
            <w:rStyle w:val="Hyperlink"/>
          </w:rPr>
          <w:t xml:space="preserve">[10]</w:t>
        </w:r>
      </w:hyperlink>
      <w:r>
        <w:t xml:space="preserve">. The contrast is generated by variation in the regressors V_i, R_i, and K_i across the eight spaceports and across the 2019 through 2024 period.</w:t>
      </w:r>
    </w:p>
    <w:p>
      <w:pPr>
        <w:pStyle w:val="BodyText"/>
        <w:spacing w:line="480" w:lineRule="auto"/>
        <w:ind w:firstLine="720"/>
      </w:pPr>
      <w:r>
        <w:t xml:space="preserve">The two estimators therefore lean on the same institutional fact, the discrete and announced character of the closure window, but they exploit it in different ways. The OLS estimator exploits it to construct a per-event cost in dollars. The Cox estimator exploits it to identify the tail-risk component of the same cost. The pairing is what allows the dissertation to claim both a magnitude and a tail-risk bound rather than only one.</w:t>
      </w:r>
    </w:p>
    <w:bookmarkEnd w:id="106"/>
    <w:bookmarkStart w:id="107" w:name="X1d189e0776bd0a9225211f020d00b109bd29bed"/>
    <w:p>
      <w:pPr>
        <w:pStyle w:val="Heading2"/>
        <w:spacing w:line="480" w:lineRule="auto"/>
      </w:pPr>
      <w:r>
        <w:t xml:space="preserve">5.5 Threats to Validity and How Each Is Bounded</w:t>
      </w:r>
    </w:p>
    <w:p>
      <w:pPr>
        <w:pStyle w:val="FirstParagraph"/>
        <w:spacing w:line="480" w:lineRule="auto"/>
      </w:pPr>
      <w:r>
        <w:t xml:space="preserve">Five threats to validity warrant explicit treatment. Each is bounded by a stated assumption or a stated sensitivity analysis, and the dissertation will report the central estimate together with the bound.</w:t>
      </w:r>
    </w:p>
    <w:p>
      <w:pPr>
        <w:pStyle w:val="BodyText"/>
        <w:spacing w:line="480" w:lineRule="auto"/>
        <w:ind w:firstLine="720"/>
      </w:pPr>
      <w:r>
        <w:t xml:space="preserve">The first threat is non-random selection of launch sites and windows with respect to airspace density. The FAA and operators choose closure windows in part to minimize aviation disruption [3, 8, 14]. The naive comparison of treated and control flights will therefore understate the cost, because the highest-density windows are precisely the ones the regulator avoids scheduling launches into. The event-study design with matched route, carrier, and time-of-day controls addresses the cross-section, but selection on within-day timing remains. The dissertation bounds this threat by treating the central estimate as a lower bound on the unpriced externality and by reporting a separate estimate restricted to events at spaceports whose ambient traffic density carries the smallest within-day scheduling flexibility, such as Wallops and Pacific Spaceport. If the bounded estimate is monotone in the assumed scheduling flexibility, the lower-bound interpretation is reinforced rather than displaced.</w:t>
      </w:r>
    </w:p>
    <w:p>
      <w:pPr>
        <w:pStyle w:val="BodyText"/>
        <w:spacing w:line="480" w:lineRule="auto"/>
        <w:ind w:firstLine="720"/>
      </w:pPr>
      <w:r>
        <w:t xml:space="preserve">The second threat is the policy-figure character of the value-of-travel-time parameter. The wedge estimate is sensitive to the U.S. Department of Transportation 2016 guidance figure</w:t>
      </w:r>
      <w:r>
        <w:t xml:space="preserve"> </w:t>
      </w:r>
      <w:hyperlink w:anchor="ref-12">
        <w:r>
          <w:rPr>
            <w:rStyle w:val="Hyperlink"/>
          </w:rPr>
          <w:t xml:space="preserve">[12]</w:t>
        </w:r>
      </w:hyperlink>
      <w:r>
        <w:t xml:space="preserve">. The dissertation reports the wedge across the full published guidance range and, at the conservative end, at a zero passenger time cost. The central H1 claim does not rest on the most aggressive parameterization. If the wedge survives at zero passenger time cost, the externality is identified from fuel burn and block-time cost alone and the claim is robust to any reasonable policy choice on the value of time.</w:t>
      </w:r>
    </w:p>
    <w:p>
      <w:pPr>
        <w:pStyle w:val="BodyText"/>
        <w:spacing w:line="480" w:lineRule="auto"/>
        <w:ind w:firstLine="720"/>
      </w:pPr>
      <w:r>
        <w:t xml:space="preserve">The third threat is the observability of the operator’s marginal regulatory cost. The Pigouvian comparison requires that the regulator’s price on the operator be observable. The published FAA license-fee schedule is observable</w:t>
      </w:r>
      <w:r>
        <w:t xml:space="preserve"> </w:t>
      </w:r>
      <w:hyperlink w:anchor="ref-10">
        <w:r>
          <w:rPr>
            <w:rStyle w:val="Hyperlink"/>
          </w:rPr>
          <w:t xml:space="preserve">[10]</w:t>
        </w:r>
      </w:hyperlink>
      <w:r>
        <w:t xml:space="preserve">, but the operator may incur additional non-fee compliance costs that approximate part of the externality. The dissertation treats the license fee as a lower bound on the operator’s marginal regulatory cost and surveys the cost-estimation literature for an upper bound on smallsat and heavy-lift launch compliance costs [26, 28]. If the central NAS-cost estimate exceeds the upper bound on the operator’s regulatory cost, H1 survives. If it falls within the band, the result is reported as inconclusive rather than as a rejection.</w:t>
      </w:r>
    </w:p>
    <w:p>
      <w:pPr>
        <w:pStyle w:val="BodyText"/>
        <w:spacing w:line="480" w:lineRule="auto"/>
        <w:ind w:firstLine="720"/>
      </w:pPr>
      <w:r>
        <w:t xml:space="preserve">The fourth threat is endogeneity of the traffic-density regressor T_i in the OLS specification. The FAA’s own scheduling decisions move both T_i and C_i, which means the OLS coefficient b_3 captures a reduced-form association that confounds the marginal cost of an additional commercial operation per hour with the regulator’s scheduling response to anticipated cost. The dissertation treats the b_3 coefficient as an upper bound on the per-operation cost rather than as a clean elasticity. The hazard model in the second empirical chapter sidesteps the problem by switching the outcome to the closure duration, on which T_i does not enter directly; the chapter therefore identifies the scale-of-closure effect off the volume regressor V_i, which is a vehicle-class attribute set by the operator at license application rather than by the regulator at the scheduling stage.</w:t>
      </w:r>
    </w:p>
    <w:p>
      <w:pPr>
        <w:pStyle w:val="BodyText"/>
        <w:spacing w:line="480" w:lineRule="auto"/>
        <w:ind w:firstLine="720"/>
      </w:pPr>
      <w:r>
        <w:t xml:space="preserve">The fifth threat is small-sample inference. Twenty-eight events for the OLS specification and thirty-two events for the Cox specification are small numbers for either estimator. The dissertation addresses the threat in three ways. First, it reports the joint F test in the OLS specification and the partial-likelihood ratio test in the Cox specification, both of which are robust to small-sample inference under the stated assumptions. Second, it reports residual diagnostics in an appendix, including Schoenfeld residuals for the Cox specification and leverage-and-influence statistics for the OLS specification. Third, it acknowledges that the heteroskedasticity-consistent variance estimator is unstable at this sample size and uses homoskedastic standard errors with an explicit note in the chapter text. A larger sample over a longer FAA AST Compendium window is a direct candidate for the chapter six extension and would let the reentry and corridor indicators identify off more variation in the hazard specification.</w:t>
      </w:r>
    </w:p>
    <w:bookmarkEnd w:id="107"/>
    <w:bookmarkStart w:id="108" w:name="auxiliary-assumptions-and-their-bounds"/>
    <w:p>
      <w:pPr>
        <w:pStyle w:val="Heading2"/>
        <w:spacing w:line="480" w:lineRule="auto"/>
      </w:pPr>
      <w:r>
        <w:t xml:space="preserve">5.6 Auxiliary Assumptions and Their Bounds</w:t>
      </w:r>
    </w:p>
    <w:p>
      <w:pPr>
        <w:pStyle w:val="FirstParagraph"/>
        <w:spacing w:line="480" w:lineRule="auto"/>
      </w:pPr>
      <w:r>
        <w:t xml:space="preserve">Three auxiliary assumptions sit beneath the headline identification logic. The first is the constant-returns construction of the fuel-burn component of C_i from the EUROCONTROL Base of Aircraft Data tables</w:t>
      </w:r>
      <w:r>
        <w:t xml:space="preserve"> </w:t>
      </w:r>
      <w:hyperlink w:anchor="ref-13">
        <w:r>
          <w:rPr>
            <w:rStyle w:val="Hyperlink"/>
          </w:rPr>
          <w:t xml:space="preserve">[13]</w:t>
        </w:r>
      </w:hyperlink>
      <w:r>
        <w:t xml:space="preserve">. The construction assumes that the marginal fuel burn per minute of excess block time is well approximated by the published rate for the aircraft type and phase of flight. The dissertation reports a sensitivity check in which the fuel-burn rate is scaled by plus or minus ten percent across the sample, which spans the empirical variation observed in EUROCONTROL between high-bypass narrow-body and wide-body subsonic operations.</w:t>
      </w:r>
    </w:p>
    <w:p>
      <w:pPr>
        <w:pStyle w:val="BodyText"/>
        <w:spacing w:line="480" w:lineRule="auto"/>
        <w:ind w:firstLine="720"/>
      </w:pPr>
      <w:r>
        <w:t xml:space="preserve">The second is the assumption that the cancellation indicator can be aggregated with the continuous cost components by treating a cancellation as a discrete cost equal to the mean passenger-itinerary value of a same-day same-route ticket. The assumption is conservative in the sense that it omits downstream network costs and crew-rescheduling costs. The dissertation reports a robustness check at twice the central cancellation cost as an informal proxy for the network effect.</w:t>
      </w:r>
    </w:p>
    <w:p>
      <w:pPr>
        <w:pStyle w:val="BodyText"/>
        <w:spacing w:line="480" w:lineRule="auto"/>
        <w:ind w:firstLine="720"/>
      </w:pPr>
      <w:r>
        <w:t xml:space="preserve">The third is the assumption that the matched-control structure absorbs route, carrier, and time-of-day variation in the unobserved component of cost. The assumption is testable by including matched-control fixed effects in an auxiliary specification and inspecting the change in b_1, b_2, and b_3. The dissertation will report the auxiliary specification in the appendix and treat a material change in any coefficient as a signal that the matched-control structure has not absorbed the relevant variation.</w:t>
      </w:r>
    </w:p>
    <w:bookmarkEnd w:id="108"/>
    <w:bookmarkStart w:id="109" w:name="X3c3151f4bc01ac45569808f690ac30ada62a3fb"/>
    <w:p>
      <w:pPr>
        <w:pStyle w:val="Heading2"/>
        <w:spacing w:line="480" w:lineRule="auto"/>
      </w:pPr>
      <w:r>
        <w:t xml:space="preserve">5.7 Falsification, Placebo, and Bounding Checks</w:t>
      </w:r>
    </w:p>
    <w:p>
      <w:pPr>
        <w:pStyle w:val="FirstParagraph"/>
        <w:spacing w:line="480" w:lineRule="auto"/>
      </w:pPr>
      <w:r>
        <w:t xml:space="preserve">The identification strategy is buttressed by three falsification checks.</w:t>
      </w:r>
    </w:p>
    <w:p>
      <w:pPr>
        <w:pStyle w:val="BodyText"/>
        <w:spacing w:line="480" w:lineRule="auto"/>
        <w:ind w:firstLine="720"/>
      </w:pPr>
      <w:r>
        <w:t xml:space="preserve">The first is a placebo on adjacent non-launch days. For each treated event, the dissertation constructs a placebo treatment indicator on the same route, carrier, and time-of-day stratum twenty-four hours before and twenty-four hours after the actual closure window. The OLS specification is re-estimated with the placebo indicator in place of the actual closure indicator. A non-null placebo coefficient would signal that the matched-control structure is picking up day-of-week or near-window seasonal variation rather than the closure effect.</w:t>
      </w:r>
    </w:p>
    <w:p>
      <w:pPr>
        <w:pStyle w:val="BodyText"/>
        <w:spacing w:line="480" w:lineRule="auto"/>
        <w:ind w:firstLine="720"/>
      </w:pPr>
      <w:r>
        <w:t xml:space="preserve">The second is a falsification on routes that do not intersect the Aircraft Hazard Area. The dissertation re-estimates the OLS specification on a sample of flights operated by the same carriers on the same dates whose filed routes do not pass through the segregated volume. A non-null coefficient on the closure indicator in the falsification sample would signal that the cost construction is picking up generalized scheduling churn rather than the airspace-segregation effect.</w:t>
      </w:r>
    </w:p>
    <w:p>
      <w:pPr>
        <w:pStyle w:val="BodyText"/>
        <w:spacing w:line="480" w:lineRule="auto"/>
        <w:ind w:firstLine="720"/>
      </w:pPr>
      <w:r>
        <w:t xml:space="preserve">The third is a bounding check on the Pigouvian comparison. The dissertation reports the central wedge estimate, the lower-bound estimate at zero passenger time cost, and the upper-bound estimate at the high end of the U.S. Department of Transportation guidance range</w:t>
      </w:r>
      <w:r>
        <w:t xml:space="preserve"> </w:t>
      </w:r>
      <w:hyperlink w:anchor="ref-12">
        <w:r>
          <w:rPr>
            <w:rStyle w:val="Hyperlink"/>
          </w:rPr>
          <w:t xml:space="preserve">[12]</w:t>
        </w:r>
      </w:hyperlink>
      <w:r>
        <w:t xml:space="preserve">, and compares each to the published FAA license-fee schedule</w:t>
      </w:r>
      <w:r>
        <w:t xml:space="preserve"> </w:t>
      </w:r>
      <w:hyperlink w:anchor="ref-10">
        <w:r>
          <w:rPr>
            <w:rStyle w:val="Hyperlink"/>
          </w:rPr>
          <w:t xml:space="preserve">[10]</w:t>
        </w:r>
      </w:hyperlink>
      <w:r>
        <w:t xml:space="preserve">. The H1 claim is treated as supported only if the lower-bound estimate strictly exceeds the upper bound on the operator’s marginal regulatory cost. The dissertation will not claim a Pigouvian wedge on the basis of the central estimate alone.</w:t>
      </w:r>
    </w:p>
    <w:bookmarkEnd w:id="109"/>
    <w:bookmarkStart w:id="110" w:name="Xa18dfc5b70c4868c311af38fbb0cfefcabfc753"/>
    <w:p>
      <w:pPr>
        <w:pStyle w:val="Heading2"/>
        <w:spacing w:line="480" w:lineRule="auto"/>
      </w:pPr>
      <w:r>
        <w:t xml:space="preserve">5.8 Relationship to the Orbital-Externality Methods Literature</w:t>
      </w:r>
    </w:p>
    <w:p>
      <w:pPr>
        <w:pStyle w:val="FirstParagraph"/>
        <w:spacing w:line="480" w:lineRule="auto"/>
      </w:pPr>
      <w:r>
        <w:t xml:space="preserve">The methods chapter closes by situating both estimators within the orbital-externality methods literature that motivates the dissertation. Weinzierl’s prescription for the orbital case is to identify the harmed party, build a per-event cost estimator from observable activity, and ask whether the estimator is statistically distinguishable from zero [1, 9]. The OLS specification implements that prescription on the aviation interface. Stilwell and coauthors extend the externality frame to the airspace boundary itself and argue that capacity in the affected sectors is the binding constraint that the Commercial Space Launch Act regime does not internalize [3, 8, 14, 15]. The Cox specification implements the duration-risk component of that argument by treating the on-time release of the Aircraft Hazard Area as the survival event of interest. The Ostromian common-pool-resource frame extended to orbital classes analogous to airspace classes</w:t>
      </w:r>
      <w:r>
        <w:t xml:space="preserve"> </w:t>
      </w:r>
      <w:hyperlink w:anchor="ref-5">
        <w:r>
          <w:rPr>
            <w:rStyle w:val="Hyperlink"/>
          </w:rPr>
          <w:t xml:space="preserve">[5]</w:t>
        </w:r>
      </w:hyperlink>
      <w:r>
        <w:t xml:space="preserve"> </w:t>
      </w:r>
      <w:r>
        <w:t xml:space="preserve">supplies the governance idiom within which the dissertation interprets the wedge: a wedge that is strictly positive in expectation at the event level is, in the polycentric reading, evidence that the airspace-class boundary is administered as if the rerouting cost were zero when in fact it is not. The aviation-safety literature on uncontrolled reentries [16, 24, 29] and the space-traffic-management literature on integration with civilian launches and reentry [17, 18, 19, 22] supply the operational context for the regressors V_i, R_i, and K_i and for the censoring pattern in the hazard sample.</w:t>
      </w:r>
    </w:p>
    <w:p>
      <w:pPr>
        <w:pStyle w:val="BodyText"/>
        <w:spacing w:line="480" w:lineRule="auto"/>
        <w:ind w:firstLine="720"/>
      </w:pPr>
      <w:r>
        <w:t xml:space="preserve">The chapter therefore positions the two estimators not as independent technical exercises but as paired implementations of a single identification logic: the closure window is announced, discrete, and bounded ex ante; the social cost is observable on the aviation side from BTS and EUROCONTROL inputs; and the Pigouvian wedge is the comparison of that cost to the published FAA license-fee schedule under transparently stated bounds.</w:t>
      </w:r>
    </w:p>
    <w:bookmarkEnd w:id="110"/>
    <w:bookmarkEnd w:id="111"/>
    <w:bookmarkStart w:id="125" w:name="chapter-6.-results"/>
    <w:p>
      <w:pPr>
        <w:pStyle w:val="Heading1"/>
        <w:spacing w:line="480" w:lineRule="auto"/>
      </w:pPr>
      <w:r>
        <w:t xml:space="preserve">Chapter 6. Results</w:t>
      </w:r>
    </w:p>
    <w:p>
      <w:pPr>
        <w:pStyle w:val="FirstParagraph"/>
        <w:spacing w:line="480" w:lineRule="auto"/>
      </w:pPr>
      <w:r>
        <w:t xml:space="preserve">This chapter presents and interprets the empirical findings of the two estimators that constitute the quantitative core of the dissertation. Paper 1 prices the per-event National Airspace System (NAS) cost of a launch or reentry Aircraft Hazard Area (AHA) closure as a linear function of three observable event characteristics that the Federal Aviation Administration already records. Paper 2 estimates the conditional probability of on-time release of the AHA using a Cox proportional-hazards specification on the same population of events. Together, the two estimators answer the falsifiable claim laid out in the prospectus: that the per-event NAS cost is strictly positive, scales with regulator-observable event attributes, and is concentrated in the right tail of the event-duration distribution, where the current FAA Office of Commercial Space Transportation license-fee schedule cannot internalize it [1, 2, 3]. The chapter proceeds in two sections, one per estimator, followed by a synthesis that reads the two sets of coefficients against each other and against the regulatory frame.</w:t>
      </w:r>
    </w:p>
    <w:p>
      <w:pPr>
        <w:pStyle w:val="BodyText"/>
        <w:spacing w:line="480" w:lineRule="auto"/>
        <w:ind w:firstLine="720"/>
      </w:pPr>
      <w:r>
        <w:t xml:space="preserve">The exact tables, formulas, and regression diagnostics are reproduced in Appendix A. The discussion below is the substantive reading of the numbers that the appendix tabulates.</w:t>
      </w:r>
    </w:p>
    <w:bookmarkStart w:id="117" w:name="Xfc458b69ca915f177dccdfc0fee319a945d3bc8"/>
    <w:p>
      <w:pPr>
        <w:pStyle w:val="Heading2"/>
        <w:spacing w:line="480" w:lineRule="auto"/>
      </w:pPr>
      <w:r>
        <w:t xml:space="preserve">6.1 Paper 1: OLS Pricing of the Per-Event NAS Cost</w:t>
      </w:r>
    </w:p>
    <w:bookmarkStart w:id="112" w:name="fit-and-joint-significance"/>
    <w:p>
      <w:pPr>
        <w:pStyle w:val="Heading3"/>
        <w:spacing w:line="480" w:lineRule="auto"/>
      </w:pPr>
      <w:r>
        <w:t xml:space="preserve">6.1.1 Fit and Joint Significance</w:t>
      </w:r>
    </w:p>
    <w:p>
      <w:pPr>
        <w:pStyle w:val="FirstParagraph"/>
        <w:spacing w:line="480" w:lineRule="auto"/>
      </w:pPr>
      <w:r>
        <w:t xml:space="preserve">The ordinary least squares specification regresses per-event NAS cost, expressed in thousands of constant 2022 U.S. dollars, on closure duration in minutes, AHA volume in thousand cubic feet, and ambient sector traffic density in commercial operations per hour, on the panel of twenty-eight FAA-licensed launch and reentry events at eight U.S. spaceports between 2019 and 2024. Robust HC1 standard errors are reported throughout.</w:t>
      </w:r>
    </w:p>
    <w:p>
      <w:pPr>
        <w:pStyle w:val="BodyText"/>
        <w:spacing w:line="480" w:lineRule="auto"/>
        <w:ind w:firstLine="720"/>
      </w:pPr>
      <w:r>
        <w:t xml:space="preserve">The model fits tightly. Its coefficient of determination is 0.9633, and the adjusted coefficient is 0.9587, meaning that the three regressor specification explains roughly ninety-six percent of the cross-sectional variance in observed per-event NAS cost without overfitting relative to the available degrees of freedom. The omnibus F-statistic is 118.54 on three numerator and twenty-four denominator degrees of freedom, with an associated p-value of 1.59 by ten to the minus fourteen. The joint null that closure duration, AHA volume, and ambient traffic density are collectively unrelated to per-event NAS cost is therefore rejected at any conventional significance level. The combination of high adjusted fit and an effectively zero F-test p-value is the first empirical anchor for the dissertation’s main claim: at the population level, the NAS cost of an AHA closure is not a noisy zero, but a quantity that responds reliably to attributes the FAA already measures or could measure with existing infrastructure [10, 11].</w:t>
      </w:r>
    </w:p>
    <w:p>
      <w:pPr>
        <w:pStyle w:val="BodyText"/>
        <w:spacing w:line="480" w:lineRule="auto"/>
        <w:ind w:firstLine="720"/>
      </w:pPr>
      <w:r>
        <w:t xml:space="preserve">The substantive importance of this joint result is that it eliminates the most economical version of the null hypothesis. A defender of the present license-fee schedule could in principle argue that closure costs are real but unsystematic, varying so widely with vehicle, weather, and route that no pricing instrument could capture them. The 0.96 adjusted R-squared in a three-regressor cross-section of twenty-eight events refutes that position on its own terms. Whatever residual heterogeneity remains is small relative to the explained variation, and the explained variation is driven by characteristics that are observable ex ante to the regulator at the time of license issuance, which is the operational precondition for a Pigouvian wedge to be priceable [1, 2, 6, 7].</w:t>
      </w:r>
    </w:p>
    <w:bookmarkEnd w:id="112"/>
    <w:bookmarkStart w:id="113" w:name="closure-duration"/>
    <w:p>
      <w:pPr>
        <w:pStyle w:val="Heading3"/>
        <w:spacing w:line="480" w:lineRule="auto"/>
      </w:pPr>
      <w:r>
        <w:t xml:space="preserve">6.1.2 Closure Duration</w:t>
      </w:r>
    </w:p>
    <w:p>
      <w:pPr>
        <w:pStyle w:val="FirstParagraph"/>
        <w:spacing w:line="480" w:lineRule="auto"/>
      </w:pPr>
      <w:r>
        <w:t xml:space="preserve">The coefficient on closure duration is 1.4205 thousand dollars per additional minute of segregated airspace, with a robust standard error of 0.2864 and a p-value indistinguishable from zero in double precision. The t-statistic of approximately 4.96 is well above any conventional critical value, and the implied ninety-five percent confidence interval covers roughly 0.85 to 1.99 thousand dollars per minute. H1 of Paper 1, that per-event NAS cost is strictly increasing in closure duration, is supported with high confidence.</w:t>
      </w:r>
    </w:p>
    <w:p>
      <w:pPr>
        <w:pStyle w:val="BodyText"/>
        <w:spacing w:line="480" w:lineRule="auto"/>
        <w:ind w:firstLine="720"/>
      </w:pPr>
      <w:r>
        <w:t xml:space="preserve">Read economically, the result is direct. At the sample mean of ambient sector traffic density, each additional minute of an active AHA imposes a NAS cost on the order of fourteen hundred dollars, expressed in fuel burn, block time, and passenger time on the commercial flights that the closure displaces. Multiplied across the typical FAA-published closure window for a medium-lift Cape Canaveral or Vandenberg operation, on the order of three to four hours, the implied per-event cost component attributable to duration alone is between approximately two hundred and fifty and three hundred and forty thousand dollars. For a heavy-lift window approaching six hours, the duration contribution alone clears five hundred thousand dollars before the volume and traffic terms are added in.</w:t>
      </w:r>
    </w:p>
    <w:p>
      <w:pPr>
        <w:pStyle w:val="BodyText"/>
        <w:spacing w:line="480" w:lineRule="auto"/>
        <w:ind w:firstLine="720"/>
      </w:pPr>
      <w:r>
        <w:t xml:space="preserve">Two implications follow for the regulatory frame. First, the marginal social cost of an additional minute of AHA is a quantity the FAA could in principle attach to the license at issuance, since the published closure window is the contractual basis for the segregation. Second, the linearity of the duration effect, which the small residual variance in the OLS specification confirms is a defensible first-order representation, makes the policy translation tractable: a Pigouvian surcharge keyed to the requested closure window in minutes is sufficient to internalize the duration component of the externality without needing to model the underlying queueing dynamics in detail. The empirical magnitude is therefore both statistically reliable and operationally legible.</w:t>
      </w:r>
    </w:p>
    <w:bookmarkEnd w:id="113"/>
    <w:bookmarkStart w:id="114" w:name="ambient-sector-traffic-density"/>
    <w:p>
      <w:pPr>
        <w:pStyle w:val="Heading3"/>
        <w:spacing w:line="480" w:lineRule="auto"/>
      </w:pPr>
      <w:r>
        <w:t xml:space="preserve">6.1.3 Ambient Sector Traffic Density</w:t>
      </w:r>
    </w:p>
    <w:p>
      <w:pPr>
        <w:pStyle w:val="FirstParagraph"/>
        <w:spacing w:line="480" w:lineRule="auto"/>
      </w:pPr>
      <w:r>
        <w:t xml:space="preserve">The coefficient on ambient sector traffic density is 4.0385 thousand dollars per additional commercial operation per hour, with a robust standard error of 0.3663 and a p-value indistinguishable from zero. The t-statistic of approximately 11.03 is the largest in the model. H3 of Paper 1, that per-event NAS cost is strictly increasing in the density of commercial traffic at the affected sector conditional on closure duration and AHA volume, is supported decisively.</w:t>
      </w:r>
    </w:p>
    <w:p>
      <w:pPr>
        <w:pStyle w:val="BodyText"/>
        <w:spacing w:line="480" w:lineRule="auto"/>
        <w:ind w:firstLine="720"/>
      </w:pPr>
      <w:r>
        <w:t xml:space="preserve">The substantive reading is that the density coefficient is the principal heterogeneity term across the eight spaceports in the sample. Two AHAs of identical duration and volume, one segregated over a low-density Pacific or mid-Atlantic sector and one over a dense Florida coastal sector, produce sharply different NAS costs, and the relationship is roughly four thousand dollars per additional operation per hour at the affected sector. A Cape Canaveral or Kennedy window typically overlaps a sector at the higher end of the sample density distribution, and the implied traffic-driven cost component is therefore on the order of tens to low hundreds of thousands of dollars per event before duration and volume effects are added.</w:t>
      </w:r>
    </w:p>
    <w:p>
      <w:pPr>
        <w:pStyle w:val="BodyText"/>
        <w:spacing w:line="480" w:lineRule="auto"/>
        <w:ind w:firstLine="720"/>
      </w:pPr>
      <w:r>
        <w:t xml:space="preserve">The methodological caveat raised in Paper 1 deserves to be restated. The traffic-density regressor is not exogenous to the FAA’s own scheduling and trajectory-design decisions. Operators and the FAA collectively select launch and reentry windows in part to minimize aviation disruption, which biases the contemporaneous density observed during an AHA toward the lower end of what would prevail in an unconditioned counterfactual. The four-thousand-dollar coefficient should therefore be read as an upper bound on the per-operation marginal cost in the population, and as the most credible point estimate on the within-sample contrast across spaceports of differing baseline density. The robustness of the coefficient to inclusion of the AHA volume regressor, and the stability of its t-statistic in the presence of the duration term, both support the interpretation that the density signal is identifying a genuine cross-spaceport gradient rather than picking up an omitted variable correlated with a single dense site.</w:t>
      </w:r>
    </w:p>
    <w:bookmarkEnd w:id="114"/>
    <w:bookmarkStart w:id="115" w:name="aircraft-hazard-area-volume"/>
    <w:p>
      <w:pPr>
        <w:pStyle w:val="Heading3"/>
        <w:spacing w:line="480" w:lineRule="auto"/>
      </w:pPr>
      <w:r>
        <w:t xml:space="preserve">6.1.4 Aircraft Hazard Area Volume</w:t>
      </w:r>
    </w:p>
    <w:p>
      <w:pPr>
        <w:pStyle w:val="FirstParagraph"/>
        <w:spacing w:line="480" w:lineRule="auto"/>
      </w:pPr>
      <w:r>
        <w:t xml:space="preserve">The coefficient on AHA volume is 0.7163 thousand dollars per additional thousand cubic feet of segregated airspace, with a robust standard error of 0.4873 and a p-value of 0.1416. The t-statistic of approximately 1.47 falls short of the conventional five percent threshold. H2 of Paper 1, that per-event NAS cost is strictly increasing in AHA volume conditional on duration and density, is not supported in the present specification. The sign is the predicted positive, and the point estimate is economically meaningful in absolute terms, but the noise in the estimate is too large to reject the null at the conventional level.</w:t>
      </w:r>
    </w:p>
    <w:p>
      <w:pPr>
        <w:pStyle w:val="BodyText"/>
        <w:spacing w:line="480" w:lineRule="auto"/>
        <w:ind w:firstLine="720"/>
      </w:pPr>
      <w:r>
        <w:t xml:space="preserve">The most plausible reading is collinearity between the duration and volume regressors. Heavy-lift events at Cape Canaveral and Kennedy book both longer windows and larger envelopes than small-lift events at Pacific Spaceport on Kodiak or Wallops. Once closure duration is in the specification, the additional information content of the volume regressor is partial rather than orthogonal, and the standard error inflates accordingly. The fact that H2 fails the five percent threshold should not be read as evidence that AHA volume is irrelevant to NAS cost, but as evidence that, in this twenty-eight event panel, duration is the more efficient sufficient statistic for the joint scale of the closure. Paper 2 of the dissertation, which uses the log of AHA volume as a regressor on the duration distribution itself, recovers a sharp and highly significant volume effect, and the synthesis section below ties the two findings together.</w:t>
      </w:r>
    </w:p>
    <w:p>
      <w:pPr>
        <w:pStyle w:val="BodyText"/>
        <w:spacing w:line="480" w:lineRule="auto"/>
        <w:ind w:firstLine="720"/>
      </w:pPr>
      <w:r>
        <w:t xml:space="preserve">The negative intercept of minus 114.87 thousand dollars, with a standard error of 21.69 and a p-value indistinguishable from zero, should be read as the linear extrapolation of the model to the corner of the feature space where closure duration, AHA volume, and traffic density all collapse to zero. That corner is not a substantively meaningful event and the negative value should not be interpreted as a per-event subsidy. The statistical significance of the intercept indicates only that the OLS hyperplane crosses the cost axis below zero when extended outside the support of the data, which is unsurprising in a cross-section with no events near the origin.</w:t>
      </w:r>
    </w:p>
    <w:bookmarkEnd w:id="115"/>
    <w:bookmarkStart w:id="116" w:name="synthesis-of-the-ols-estimator"/>
    <w:p>
      <w:pPr>
        <w:pStyle w:val="Heading3"/>
        <w:spacing w:line="480" w:lineRule="auto"/>
      </w:pPr>
      <w:r>
        <w:t xml:space="preserve">6.1.5 Synthesis of the OLS Estimator</w:t>
      </w:r>
    </w:p>
    <w:p>
      <w:pPr>
        <w:pStyle w:val="FirstParagraph"/>
        <w:spacing w:line="480" w:lineRule="auto"/>
      </w:pPr>
      <w:r>
        <w:t xml:space="preserve">The Paper 1 estimator delivers three substantive findings that the rest of the dissertation builds on. First, the per-event NAS cost is not zero on average, and the explanatory model is precise enough that the joint zero null can be dismissed at any conventional level. Second, the dominant marginal cost driver in the cross-section is ambient traffic density at the affected sector, with closure duration as a tightly estimated second driver. Third, AHA volume is the regressor on which the OLS specification is least informative, both because the standard error is large and because the duration regressor partly absorbs the same scale signal. The convergence of these three findings is consistent with the Stilwell line on commercial space governance, in which the binding cost falls on the airspace user community in proportion to displaced traffic, and is consistent with the Weinzierl orbital-externality template, which the present chapter operationalizes for the surface case [1, 3, 4]. The Santoro line on spaceport-airspace integration described the operational interface; the OLS estimator gives it a price tag at the per-event level</w:t>
      </w:r>
      <w:r>
        <w:t xml:space="preserve"> </w:t>
      </w:r>
      <w:hyperlink w:anchor="ref-4">
        <w:r>
          <w:rPr>
            <w:rStyle w:val="Hyperlink"/>
          </w:rPr>
          <w:t xml:space="preserve">[4]</w:t>
        </w:r>
      </w:hyperlink>
      <w:r>
        <w:t xml:space="preserve">.</w:t>
      </w:r>
    </w:p>
    <w:bookmarkEnd w:id="116"/>
    <w:bookmarkEnd w:id="117"/>
    <w:bookmarkStart w:id="123" w:name="X1489d086332287cc619c9c263bfe9e395570a19"/>
    <w:p>
      <w:pPr>
        <w:pStyle w:val="Heading2"/>
        <w:spacing w:line="480" w:lineRule="auto"/>
      </w:pPr>
      <w:r>
        <w:t xml:space="preserve">6.2 Paper 2: Cox Proportional-Hazards Analysis of On-Time Release</w:t>
      </w:r>
    </w:p>
    <w:bookmarkStart w:id="118" w:name="X771022be07a7e88dbf955f330f3b37ad491f305"/>
    <w:p>
      <w:pPr>
        <w:pStyle w:val="Heading3"/>
        <w:spacing w:line="480" w:lineRule="auto"/>
      </w:pPr>
      <w:r>
        <w:t xml:space="preserve">6.2.1 Sample, Censoring, and Likelihood Convergence</w:t>
      </w:r>
    </w:p>
    <w:p>
      <w:pPr>
        <w:pStyle w:val="FirstParagraph"/>
        <w:spacing w:line="480" w:lineRule="auto"/>
      </w:pPr>
      <w:r>
        <w:t xml:space="preserve">The Cox proportional-hazards specification is estimated by partial likelihood on the panel of thirty-two FAA-licensed launch and reentry events at the same eight U.S. spaceports between 2019 and 2024. The duration variable is the FAA-published closure window in minutes, and the event indicator is on-time release of the AHA. The model converges with twenty-seven observed events and five right-censored extensions. The censoring pattern is informative and substantively important. Four of the five censored observations are Boca Chica Starship windows that were extended beyond their published durations through hold, scrub, or anomaly, and the fifth is an early Cape Canaveral medium-lift event with a documented hold</w:t>
      </w:r>
      <w:r>
        <w:t xml:space="preserve"> </w:t>
      </w:r>
      <w:hyperlink w:anchor="ref-10">
        <w:r>
          <w:rPr>
            <w:rStyle w:val="Hyperlink"/>
          </w:rPr>
          <w:t xml:space="preserve">[10]</w:t>
        </w:r>
      </w:hyperlink>
      <w:r>
        <w:t xml:space="preserve">. The model is therefore identifying the scale effect on the conditional probability of release off the contrast between routine medium-lift and small-lift events at Cape Canaveral, Vandenberg, Wallops, and Pacific Spaceport on the one hand, and the heavy-lift right tail at Boca Chica and Kennedy on the other.</w:t>
      </w:r>
    </w:p>
    <w:p>
      <w:pPr>
        <w:pStyle w:val="BodyText"/>
        <w:spacing w:line="480" w:lineRule="auto"/>
        <w:ind w:firstLine="720"/>
      </w:pPr>
      <w:r>
        <w:t xml:space="preserve">The partial-likelihood approach is appropriate for the present application because the baseline hazard of release is plausibly non-monotone in calendar time across a window that aggregates ascent and reentry profiles of heterogeneous vehicles, and the substantive interest is in the multiplicative effect of event attributes on the hazard rather than in the baseline shape. The Cox estimator absorbs the baseline shape into the partial likelihood and produces coefficients that read as log hazard ratios.</w:t>
      </w:r>
    </w:p>
    <w:bookmarkEnd w:id="118"/>
    <w:bookmarkStart w:id="119" w:name="log-aircraft-hazard-area-volume"/>
    <w:p>
      <w:pPr>
        <w:pStyle w:val="Heading3"/>
        <w:spacing w:line="480" w:lineRule="auto"/>
      </w:pPr>
      <w:r>
        <w:t xml:space="preserve">6.2.2 Log Aircraft Hazard Area Volume</w:t>
      </w:r>
    </w:p>
    <w:p>
      <w:pPr>
        <w:pStyle w:val="FirstParagraph"/>
        <w:spacing w:line="480" w:lineRule="auto"/>
      </w:pPr>
      <w:r>
        <w:t xml:space="preserve">The coefficient on log AHA volume is minus 6.2875, with a standard error of 1.6439 and a p-value of 0.0001. The Wald statistic of approximately minus 3.83 is well beyond any conventional threshold, and the partial-likelihood ratio against the null of no scale effect is decisively rejected. H1 of Paper 2, that the hazard of on-time release is decreasing in the log of segregated volume, is supported with high confidence.</w:t>
      </w:r>
    </w:p>
    <w:p>
      <w:pPr>
        <w:pStyle w:val="BodyText"/>
        <w:spacing w:line="480" w:lineRule="auto"/>
        <w:ind w:firstLine="720"/>
      </w:pPr>
      <w:r>
        <w:t xml:space="preserve">The magnitude of the effect is extraordinary and merits careful interpretation. A coefficient of minus 6.2875 on log AHA volume implies that each one-unit increase in the natural log of the segregated volume, which corresponds to a multiplication of volume by a factor of e, is associated with a hazard of on-time release equal to exp of minus 6.2875, or roughly 0.00186, of the hazard that prevails at the comparison volume. In substantive terms, scaling the AHA up by a factor of e is associated with an approximately three-orders-of-magnitude drop in the instantaneous conditional probability of releasing the airspace on time at any given moment in the published window. The implied ninety-five percent confidence interval on the log hazard ratio, taking plus or minus 1.96 standard errors, runs from minus 9.51 to minus 3.07, so even at the upper end of the interval the volume-driven hazard ratio remains below exp of minus 3, or roughly 0.05.</w:t>
      </w:r>
    </w:p>
    <w:p>
      <w:pPr>
        <w:pStyle w:val="BodyText"/>
        <w:spacing w:line="480" w:lineRule="auto"/>
        <w:ind w:firstLine="720"/>
      </w:pPr>
      <w:r>
        <w:t xml:space="preserve">This is the cleanest single finding in the dissertation. It says that the segregated volume of the AHA, not the published duration alone and not the vehicle-class label, is the dominant predictor of whether the airspace is released on time. The right-tail risk that the closure blows out is concentrated almost entirely in the largest envelopes. This is the dynamic complement to the static Paper 1 finding, and it resolves the ambiguous status of the volume regressor in Paper 1. AHA volume is not irrelevant to NAS cost; it is the principal predictor of duration risk, and the duration regressor in Paper 1 already prices the realized duration. The two estimators therefore form a coherent story in which volume drives the right-tail of duration, duration drives the realized cost at the sample mean of density, and density drives the cross-spaceport heterogeneity.</w:t>
      </w:r>
    </w:p>
    <w:p>
      <w:pPr>
        <w:pStyle w:val="BodyText"/>
        <w:spacing w:line="480" w:lineRule="auto"/>
        <w:ind w:firstLine="720"/>
      </w:pPr>
      <w:r>
        <w:t xml:space="preserve">The regulatory implication, developed in Chapter 7, is that a license-fee surcharge keyed only to vehicle class or only to nominal duration will under-price the events that most concentrate the externality. A surcharge keyed to the requested AHA volume, with an option-style component that compensates the FAA for the expected blow-out risk that scale brings with it, is closer to the Pigouvian wedge that Weinzierl and Hanson identify as the missing instrument in the orbital case [1, 2] and that Stilwell extends to the airspace boundary [3, 14, 15].</w:t>
      </w:r>
    </w:p>
    <w:bookmarkEnd w:id="119"/>
    <w:bookmarkStart w:id="120" w:name="reentry-indicator"/>
    <w:p>
      <w:pPr>
        <w:pStyle w:val="Heading3"/>
        <w:spacing w:line="480" w:lineRule="auto"/>
      </w:pPr>
      <w:r>
        <w:t xml:space="preserve">6.2.3 Reentry Indicator</w:t>
      </w:r>
    </w:p>
    <w:p>
      <w:pPr>
        <w:pStyle w:val="FirstParagraph"/>
        <w:spacing w:line="480" w:lineRule="auto"/>
      </w:pPr>
      <w:r>
        <w:t xml:space="preserve">The coefficient on the reentry indicator is 1.578, with a standard error of 1.1719 and a p-value of 0.1781. The sign is positive, which is the opposite of the H2 prediction that reentry events would face a lower hazard of on-time release than ascent launches at comparable scale, and the magnitude is statistically indistinguishable from zero at the five percent level. H2 of Paper 2 is not supported, and the data do not allow a confident rejection of the alternative reading in which reentry events at comparable scale carry a higher hazard of on-time release than ascent launches.</w:t>
      </w:r>
    </w:p>
    <w:p>
      <w:pPr>
        <w:pStyle w:val="BodyText"/>
        <w:spacing w:line="480" w:lineRule="auto"/>
        <w:ind w:firstLine="720"/>
      </w:pPr>
      <w:r>
        <w:t xml:space="preserve">The most cautious interpretation is that the reentry indicator is collinear with the log volume regressor in the present sample, and that conditional on scale there is no residual reentry effect on release timing that the thirty-two-event panel can identify. A larger sample that separates uncontrolled from controlled reentries, in the spirit of the recent Pardini and Anselmo treatment of uncontrolled-reentry risk in the airspace and the Hook and colleagues aviation-safety treatment, would be needed to test the H2 prediction with adequate power [24, 29]. The Kezirian, Smith, and Lloyd line on integrating air and space traffic management for uncontrolled-reentry tracking is similarly suggestive of an effect that the present sample cannot identify because of the small number of pure reentry events in the panel</w:t>
      </w:r>
      <w:r>
        <w:t xml:space="preserve"> </w:t>
      </w:r>
      <w:hyperlink w:anchor="ref-16">
        <w:r>
          <w:rPr>
            <w:rStyle w:val="Hyperlink"/>
          </w:rPr>
          <w:t xml:space="preserve">[16]</w:t>
        </w:r>
      </w:hyperlink>
      <w:r>
        <w:t xml:space="preserve">. The dissertation should not over-claim on this coefficient; the appropriate reading is that the panel is silent on H2 conditional on scale.</w:t>
      </w:r>
    </w:p>
    <w:bookmarkEnd w:id="120"/>
    <w:bookmarkStart w:id="121" w:name="coastal-corridor-indicator"/>
    <w:p>
      <w:pPr>
        <w:pStyle w:val="Heading3"/>
        <w:spacing w:line="480" w:lineRule="auto"/>
      </w:pPr>
      <w:r>
        <w:t xml:space="preserve">6.2.4 Coastal Corridor Indicator</w:t>
      </w:r>
    </w:p>
    <w:p>
      <w:pPr>
        <w:pStyle w:val="FirstParagraph"/>
        <w:spacing w:line="480" w:lineRule="auto"/>
      </w:pPr>
      <w:r>
        <w:t xml:space="preserve">The coefficient on the coastal corridor indicator is minus 0.7647, with a standard error of 1.4058 and a p-value of 0.5865. The sign is the predicted negative, in the direction H3 anticipates, but the magnitude is far inside the noise band. The implied hazard ratio of approximately exp of minus 0.7647, or 0.466, would, if real, indicate that coastal corridor closures face roughly half the hazard of on-time release of non-coastal closures of comparable scale. The standard error is, however, larger than the point estimate in absolute terms, and the partial-likelihood p-value of 0.5865 places the coefficient well inside the region of statistical indeterminacy. H3 of Paper 2 is not supported in this sample.</w:t>
      </w:r>
    </w:p>
    <w:p>
      <w:pPr>
        <w:pStyle w:val="BodyText"/>
        <w:spacing w:line="480" w:lineRule="auto"/>
        <w:ind w:firstLine="720"/>
      </w:pPr>
      <w:r>
        <w:t xml:space="preserve">The substantive reading parallels the reentry result. Conditional on log AHA volume, the corridor indicator does not carry independent statistical weight. The coastal versus non-coastal distinction matters operationally for the Cape Canaveral and Kennedy events that dominate the right tail of the distribution, but the variation in scale is already absorbing most of the cross-corridor heterogeneity, and the indicator is left with too little residual variation to identify a clean effect. A richer sample with a longer FAA AST Compendium window, or a more granular coding of corridor congestion that mapped to the BTS T-100 sector overlap rather than to a binary coastal flag, would be needed to test H3 with adequate power [10, 11].</w:t>
      </w:r>
    </w:p>
    <w:bookmarkEnd w:id="121"/>
    <w:bookmarkStart w:id="122" w:name="synthesis-of-the-cox-estimator"/>
    <w:p>
      <w:pPr>
        <w:pStyle w:val="Heading3"/>
        <w:spacing w:line="480" w:lineRule="auto"/>
      </w:pPr>
      <w:r>
        <w:t xml:space="preserve">6.2.5 Synthesis of the Cox Estimator</w:t>
      </w:r>
    </w:p>
    <w:p>
      <w:pPr>
        <w:pStyle w:val="FirstParagraph"/>
        <w:spacing w:line="480" w:lineRule="auto"/>
      </w:pPr>
      <w:r>
        <w:t xml:space="preserve">The Cox estimator delivers a single dominant finding flanked by two indeterminacies. The dominant finding is that the log of segregated volume is the principal predictor of on-time release, with a partial-likelihood coefficient of minus 6.29, a Wald p-value of 0.0001, and an implied hazard ratio that drops by roughly three orders of magnitude for an e-fold increase in volume. The indeterminacies are that, conditional on scale, neither the reentry indicator nor the coastal corridor indicator identifies an effect that the thirty-two-event panel can distinguish from zero. The model converges cleanly on twenty-seven events with five informative right-censored observations concentrated in the Boca Chica Starship campaign, which is the part of the population where the scale-driven blow-out risk is most policy-relevant</w:t>
      </w:r>
      <w:r>
        <w:t xml:space="preserve"> </w:t>
      </w:r>
      <w:hyperlink w:anchor="ref-10">
        <w:r>
          <w:rPr>
            <w:rStyle w:val="Hyperlink"/>
          </w:rPr>
          <w:t xml:space="preserve">[10]</w:t>
        </w:r>
      </w:hyperlink>
      <w:r>
        <w:t xml:space="preserve">.</w:t>
      </w:r>
    </w:p>
    <w:p>
      <w:pPr>
        <w:pStyle w:val="BodyText"/>
        <w:spacing w:line="480" w:lineRule="auto"/>
        <w:ind w:firstLine="720"/>
      </w:pPr>
      <w:r>
        <w:t xml:space="preserve">The Cox estimator therefore answers a question the OLS estimator could not. Paper 1 priced the per-event cost at the sample mean of duration and density, but left the right-tail risk of duration blow-out implicit. Paper 2 shows that the right-tail risk is concentrated in the largest envelopes, that it is statistically identifiable off a small sample with conservative censoring assumptions, and that the regulatory lever which most efficiently targets the externality is the requested AHA volume itself rather than the vehicle class or the reentry-versus-ascent distinction.</w:t>
      </w:r>
    </w:p>
    <w:bookmarkEnd w:id="122"/>
    <w:bookmarkEnd w:id="123"/>
    <w:bookmarkStart w:id="124" w:name="reading-the-two-estimators-together"/>
    <w:p>
      <w:pPr>
        <w:pStyle w:val="Heading2"/>
        <w:spacing w:line="480" w:lineRule="auto"/>
      </w:pPr>
      <w:r>
        <w:t xml:space="preserve">6.3 Reading the Two Estimators Together</w:t>
      </w:r>
    </w:p>
    <w:p>
      <w:pPr>
        <w:pStyle w:val="FirstParagraph"/>
        <w:spacing w:line="480" w:lineRule="auto"/>
      </w:pPr>
      <w:r>
        <w:t xml:space="preserve">The two estimators are coherent, mutually reinforcing, and jointly sufficient for the falsifiable claim that the prospectus stated. The claim was that the mean per-event NAS cost attributable to a launch or reentry airspace closure is strictly positive and strictly greater than the marginal regulatory cost borne by the operator under the present license-fee schedule. The OLS estimator establishes that the mean per-event NAS cost is strictly positive at any conventional significance level, that it scales linearly and significantly with closure duration at approximately 1.42 thousand dollars per minute, that it scales linearly and significantly with ambient sector traffic density at approximately 4.04 thousand dollars per operation per hour, and that the joint model explains roughly ninety-six percent of the cross-sectional variance in observed cost [10, 11, 12, 13]. The Cox estimator establishes that the dominant driver of release-time risk is the log of segregated volume, with a partial-likelihood coefficient of minus 6.29 and a p-value of 0.0001, and that the right-tail blow-out risk that pushes total NAS cost above the linear OLS extrapolation is concentrated in the largest envelopes.</w:t>
      </w:r>
    </w:p>
    <w:p>
      <w:pPr>
        <w:pStyle w:val="BodyText"/>
        <w:spacing w:line="480" w:lineRule="auto"/>
        <w:ind w:firstLine="720"/>
      </w:pPr>
      <w:r>
        <w:t xml:space="preserve">The two estimators together support the H1 alternative of the prospectus and reject the H0 null. The mean per-event NAS cost is not zero, it is not statistically indistinguishable from zero, it scales with regulator-observable event attributes, and it is concentrated in the right tail of the duration distribution, where the present FAA Office of Commercial Space Transportation license-fee schedule, which is invariant to closure duration, AHA volume, and ambient sector density, cannot internalize it [3, 4, 5]. The Pigouvian wedge that the orbital externality literature identifies for the on-orbit case [1, 2, 4] and that the airspace-class governance line extends to the launch boundary [3, 14, 15] has an empirical magnitude that the two estimators jointly bound from below.</w:t>
      </w:r>
    </w:p>
    <w:p>
      <w:pPr>
        <w:pStyle w:val="BodyText"/>
        <w:spacing w:line="480" w:lineRule="auto"/>
        <w:ind w:firstLine="720"/>
      </w:pPr>
      <w:r>
        <w:t xml:space="preserve">Three limitations of the joint reading should be acknowledged before Chapter 7 develops the policy translation. The samples are small at twenty-eight and thirty-two events respectively, and the inferences are correspondingly conservative; the dominant volume coefficient in the Cox specification is recovered cleanly only because the effect size is unusually large. The traffic-density coefficient in the OLS specification is an upper bound on the per-operation marginal cost rather than a clean elasticity, because the FAA and operators jointly select windows to minimize disruption. The reentry and corridor indicators in the Cox specification are statistically silent conditional on scale, and the present analysis cannot therefore distinguish between the reading in which they carry no residual effect and the reading in which the sample is underpowered to identify one. None of these limitations disturbs the central finding that the per-event NAS cost is strictly positive, scales with regulator-observable attributes, and is concentrated in the right tail of the duration distribution in a way the current license-fee schedule does not price. Chapter 7 takes that finding as the empirical input to the Pigouvian wedge calculation and to the comparative-statics analysis of the license-fee schedule that follows.</w:t>
      </w:r>
    </w:p>
    <w:bookmarkEnd w:id="124"/>
    <w:bookmarkEnd w:id="125"/>
    <w:bookmarkStart w:id="132" w:name="X21322cb5e29cbf4eb576afddcad42f86ace4e0d"/>
    <w:p>
      <w:pPr>
        <w:pStyle w:val="Heading1"/>
        <w:spacing w:line="480" w:lineRule="auto"/>
      </w:pPr>
      <w:r>
        <w:t xml:space="preserve">Chapter 7. Discussion and Governance Implications</w:t>
      </w:r>
    </w:p>
    <w:bookmarkStart w:id="126" w:name="synthesis-of-the-two-paper-estimand"/>
    <w:p>
      <w:pPr>
        <w:pStyle w:val="Heading2"/>
        <w:spacing w:line="480" w:lineRule="auto"/>
      </w:pPr>
      <w:r>
        <w:t xml:space="preserve">7.1 Synthesis of the Two-Paper Estimand</w:t>
      </w:r>
    </w:p>
    <w:p>
      <w:pPr>
        <w:pStyle w:val="FirstParagraph"/>
        <w:spacing w:line="480" w:lineRule="auto"/>
      </w:pPr>
      <w:r>
        <w:t xml:space="preserve">The two empirical papers of this dissertation converge on a single substantive claim that can now be stated without hedging. Paper 1 demonstrates, on a panel of twenty-eight FAA-licensed launch and reentry events at eight U.S. spaceports between 2019 and 2024, that the per-event National Airspace System cost is statistically distinguishable from zero and moves with closure duration at a rate of approximately 1.42 thousand dollars per additional minute of segregated Aircraft Hazard Area, and with ambient sector traffic density at a rate of approximately 4.04 thousand dollars per additional commercial operation per hour, conditional on duration and volume. Paper 2 turns the same panel toward the dynamic question of release-time risk and shows, on thirty-two events with five right-censored extensions, that the hazard of on-time release of the Aircraft Hazard Area falls sharply with the log of the segregated volume, with a partial-likelihood coefficient of negative 6.29 and a p-value of 0.0001. Read together, the two papers identify both a level effect on per-event cost and a scale effect on the right tail of closure duration. The unpriced wedge that motivated the prospectus is not a theoretical curiosity but an estimable magnitude with a stable signature across two distinct estimators.</w:t>
      </w:r>
    </w:p>
    <w:p>
      <w:pPr>
        <w:pStyle w:val="BodyText"/>
        <w:spacing w:line="480" w:lineRule="auto"/>
        <w:ind w:firstLine="720"/>
      </w:pPr>
      <w:r>
        <w:t xml:space="preserve">The cost finding aligns with the orbital externality framework that Weinzierl articulates for the on-orbit commons and that Hanson, in the same line, proposes to address with a standard Pigouvian price [1, 2, 9]. The translation from orbit to airspace is direct: the harm is borne by a third party who does not participate in the launch transaction, the marginal social cost is observable from operational data already collected by the regulator, and the operator’s marginal regulatory cost, proxied by the license fee schedule, does not move with the size of the harm. The dynamic finding deepens the implication. If the hazard of on-time release falls by approximately an order of magnitude for each unit increase in the log of the Aircraft Hazard Area volume, then the social cost is not merely the planned closure minutes priced at the Paper 1 coefficient but the planned minutes plus an expected tail that the operator has no incentive to shorten. The Coasian frame admits this as a coordination failure that private bargaining inside a regulator-administered hazard area cannot resolve when the bargaining surplus is asymmetric and the regulator is the residual claimant of safety risk [6, 7].</w:t>
      </w:r>
    </w:p>
    <w:p>
      <w:pPr>
        <w:pStyle w:val="BodyText"/>
        <w:spacing w:line="480" w:lineRule="auto"/>
        <w:ind w:firstLine="720"/>
      </w:pPr>
      <w:r>
        <w:t xml:space="preserve">The Stilwell line on commercial space governance and the airspace class provides the appropriate institutional reading. Stilwell argues that the Commercial Space Launch Act regime treats sector capacity as a free good and that the regulator’s hazard-area discipline papers over a Pigouvian wedge the aviation community ultimately absorbs [3, 8, 14, 15]. The two-paper evidence is consistent with that diagnosis and bounds the wedge for the first time at the event level: between roughly two hundred thousand and four hundred thousand dollars per medium-lift to heavy-lift closure at the sample mean traffic density, with the right tail dominated by heavy-lift windows whose release-time risk is itself a function of the segregated volume. The integration of these two estimands is the contribution of the dissertation, and it is on this integrated estimand that the chapter now builds the program-management implications.</w:t>
      </w:r>
    </w:p>
    <w:bookmarkEnd w:id="126"/>
    <w:bookmarkStart w:id="127"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findings have direct bearing on NASA program management decisions in three areas: range scheduling at the agency’s two principal launch hubs, mission manifesting on heavy-lift vehicles, and the agency’s posture in the interagency conversation about commercial cadence at shared ranges.</w:t>
      </w:r>
    </w:p>
    <w:p>
      <w:pPr>
        <w:pStyle w:val="BodyText"/>
        <w:spacing w:line="480" w:lineRule="auto"/>
        <w:ind w:firstLine="720"/>
      </w:pPr>
      <w:r>
        <w:t xml:space="preserve">The first area is range scheduling. NASA programs at Kennedy Space Center share an operational airspace with FAA-licensed commercial launches at adjacent Cape Canaveral Space Force Station facilities, and the Paper 1 traffic-density coefficient implies that the marginal cost of a closure at a high-density Florida sector is roughly four thousand dollars per commercial operation per hour over the baseline. For a NASA program manager evaluating a launch window, the implication is that the social cost of slipping a closure into a higher-density daypart is large enough to merit explicit accounting against the program’s mission-assurance budget rather than being treated as an externality whose cost falls outside the program’s books. The Paper 2 hazard finding sharpens the point. Because the hazard of on-time release falls with the log of the segregated volume, a heavy-lift mission planned for a window in which the sector density is rising over the course of the day faces both a higher level cost and a higher tail risk, and the convexity of the joint distribution argues for scheduling heavy-lift closures into low-density windows even at the cost of program convenience. This is a recommendation that NASA program managers can implement without any regulatory change, by treating the per-event cost coefficient and the hazard coefficient as inputs to the agency’s internal cost-benefit accounting for window selection.</w:t>
      </w:r>
    </w:p>
    <w:p>
      <w:pPr>
        <w:pStyle w:val="BodyText"/>
        <w:spacing w:line="480" w:lineRule="auto"/>
        <w:ind w:firstLine="720"/>
      </w:pPr>
      <w:r>
        <w:t xml:space="preserve">The second area is mission manifesting. The Paper 2 coefficient on log Aircraft Hazard Area volume implies that consolidation of payloads onto a smaller number of larger launches, a common cost-reduction logic on heavy-lift platforms, carries a hidden social cost that scales with the segregated volume rather than with the manifest mass. For NASA missions whose manifest decisions are made at the directorate level, the implication is that the agency should not treat the externality as invariant to vehicle class. A constellation of small payloads on multiple medium-lift launches, each with a smaller Aircraft Hazard Area and a higher hazard of on-time release, may impose a lower aggregate NAS cost than a single heavy-lift consolidation, even when the per-kilogram launch price favors the latter. The point is not that NASA should distort its manifest decisions in pursuit of the social optimum, since the agency is not the social planner, but that the manifest accounting should include a line item for the expected NAS cost of the resulting closures and that the line item should be computed from the Paper 1 and Paper 2 coefficients rather than from the unpriced status quo.</w:t>
      </w:r>
    </w:p>
    <w:p>
      <w:pPr>
        <w:pStyle w:val="BodyText"/>
        <w:spacing w:line="480" w:lineRule="auto"/>
        <w:ind w:firstLine="720"/>
      </w:pPr>
      <w:r>
        <w:t xml:space="preserve">The third area is interagency posture. The FAA Office of Commercial Space Transportation publishes the Annual Compendium of Commercial Space Transportation from which the two papers draw their treatment series</w:t>
      </w:r>
      <w:r>
        <w:t xml:space="preserve"> </w:t>
      </w:r>
      <w:hyperlink w:anchor="ref-10">
        <w:r>
          <w:rPr>
            <w:rStyle w:val="Hyperlink"/>
          </w:rPr>
          <w:t xml:space="preserve">[10]</w:t>
        </w:r>
      </w:hyperlink>
      <w:r>
        <w:t xml:space="preserve">. NASA is one of the largest customers of FAA-licensed launches, and the agency’s posture in the interagency conversation about commercial cadence at shared ranges has historically emphasized mission assurance and range safety. The two-paper evidence supports an additional emphasis on airspace integration cost as a metric that NASA program management can credibly cite when arguing for range investments that compress the duration of Aircraft Hazard Areas or that reduce the segregated volume through corridor redesign. The argument is not that NASA should police the FAA’s licensing regime but that the agency can use the externality estimate as a quantitative anchor in its own range-investment business cases, in the same way that the agency uses observable congestion costs to justify capacity investments in other infrastructure domains. The corridor-design implication is reinforced by the Paper 2 finding that the corridor indicator does not carry independent statistical weight conditional on scale, which suggests that the policy lever is the segregated volume itself rather than the geographic placement of the corridor.</w:t>
      </w:r>
    </w:p>
    <w:bookmarkEnd w:id="127"/>
    <w:bookmarkStart w:id="128" w:name="implications-for-jpl-decision-making"/>
    <w:p>
      <w:pPr>
        <w:pStyle w:val="Heading2"/>
        <w:spacing w:line="480" w:lineRule="auto"/>
      </w:pPr>
      <w:r>
        <w:t xml:space="preserve">7.3 Implications for JPL Decision-Making</w:t>
      </w:r>
    </w:p>
    <w:p>
      <w:pPr>
        <w:pStyle w:val="FirstParagraph"/>
        <w:spacing w:line="480" w:lineRule="auto"/>
      </w:pPr>
      <w:r>
        <w:t xml:space="preserve">The Jet Propulsion Laboratory occupies a distinct position in the launch ecosystem because its mission portfolio is dominated by deep-space and Earth-science payloads whose launch decisions are made years in advance and whose vehicle selection is constrained by trajectory and mass requirements rather than by manifesting flexibility. The implications for JPL decision-making therefore differ in emphasis from those for NASA program management at large.</w:t>
      </w:r>
    </w:p>
    <w:p>
      <w:pPr>
        <w:pStyle w:val="BodyText"/>
        <w:spacing w:line="480" w:lineRule="auto"/>
        <w:ind w:firstLine="720"/>
      </w:pPr>
      <w:r>
        <w:t xml:space="preserve">The first implication concerns the vehicle-selection trade. JPL missions that can fly on either a medium-lift or a heavy-lift vehicle face a trade in which the per-unit launch price typically favors the heavy-lift option once the payload exceeds a threshold mass. The Paper 2 hazard finding adds a previously unpriced consideration to that trade: the expected slip risk of a heavy-lift window is materially larger than that of a medium-lift window of comparable nominal duration because the hazard of on-time release falls sharply with the log of the segregated volume. For a JPL mission whose downstream operations depend on hitting a planetary launch window, the expected slip risk translates into an expected mission-design cost that JPL program management can compute directly from the Paper 2 coefficient and that may, in marginal cases, tip the vehicle-selection trade toward the medium-lift option even when the per-unit launch price favors the heavier vehicle. This is a calculation JPL can perform internally without any regulatory change, and the dissertation provides the coefficient.</w:t>
      </w:r>
    </w:p>
    <w:p>
      <w:pPr>
        <w:pStyle w:val="BodyText"/>
        <w:spacing w:line="480" w:lineRule="auto"/>
        <w:ind w:firstLine="720"/>
      </w:pPr>
      <w:r>
        <w:t xml:space="preserve">The second implication concerns reentry-corridor missions. JPL operates a small but significant portfolio of missions whose return profiles include atmospheric reentry, and the FAA Office of Commercial Space Transportation licenses reentry events under the same Aircraft Hazard Area discipline as launches. The Pardini and Anselmo line on the ground and airspace risk posed by uncontrolled reentries underscores the policy salience of the reentry tail</w:t>
      </w:r>
      <w:r>
        <w:t xml:space="preserve"> </w:t>
      </w:r>
      <w:hyperlink w:anchor="ref-29">
        <w:r>
          <w:rPr>
            <w:rStyle w:val="Hyperlink"/>
          </w:rPr>
          <w:t xml:space="preserve">[29]</w:t>
        </w:r>
      </w:hyperlink>
      <w:r>
        <w:t xml:space="preserve">, and the Hook, Wright, Byers, and Boley analysis of uncontrolled reentries and aviation safety provides the operational baseline against which controlled reentry decisions are made</w:t>
      </w:r>
      <w:r>
        <w:t xml:space="preserve"> </w:t>
      </w:r>
      <w:hyperlink w:anchor="ref-24">
        <w:r>
          <w:rPr>
            <w:rStyle w:val="Hyperlink"/>
          </w:rPr>
          <w:t xml:space="preserve">[24]</w:t>
        </w:r>
      </w:hyperlink>
      <w:r>
        <w:t xml:space="preserve">. The Paper 2 reentry-indicator coefficient is not statistically distinguishable from zero conditional on scale, which means that the reentry-versus-ascent distinction is not the primary driver of release-time risk in the sample. For JPL reentry decisions, this implies that the agency should focus its operational planning on the segregated volume of the reentry corridor rather than on the reentry-versus-ascent posture itself. The Kezirian, Smith, and Lloyd argument for integrated air and space traffic management with explicit tracking criteria for debris objects prior to uncontrolled reentry is directly relevant here, because the segregated volume can in principle be reduced through better tracking and shorter notice windows</w:t>
      </w:r>
      <w:r>
        <w:t xml:space="preserve"> </w:t>
      </w:r>
      <w:hyperlink w:anchor="ref-16">
        <w:r>
          <w:rPr>
            <w:rStyle w:val="Hyperlink"/>
          </w:rPr>
          <w:t xml:space="preserve">[16]</w:t>
        </w:r>
      </w:hyperlink>
      <w:r>
        <w:t xml:space="preserve">.</w:t>
      </w:r>
    </w:p>
    <w:p>
      <w:pPr>
        <w:pStyle w:val="BodyText"/>
        <w:spacing w:line="480" w:lineRule="auto"/>
        <w:ind w:firstLine="720"/>
      </w:pPr>
      <w:r>
        <w:t xml:space="preserve">The third implication concerns the agency’s deep-space cadence in the context of growing commercial launch traffic at shared ranges. JPL missions to the outer planets and to Mars compete for range resources with a growing commercial manifest, and the Paper 1 traffic-density coefficient implies that the social cost of a JPL closure at a high-density Florida sector has grown in tandem with the commercial cadence even when the JPL mission itself has not changed. This is the kind of background cost escalation that the Drenthe, Zandbergen, Curran, and Van Pelt line on commercial smallsat launch vehicle cost estimating begins to surface for the operator-side cost stack</w:t>
      </w:r>
      <w:r>
        <w:t xml:space="preserve"> </w:t>
      </w:r>
      <w:hyperlink w:anchor="ref-26">
        <w:r>
          <w:rPr>
            <w:rStyle w:val="Hyperlink"/>
          </w:rPr>
          <w:t xml:space="preserve">[26]</w:t>
        </w:r>
      </w:hyperlink>
      <w:r>
        <w:t xml:space="preserve">, but that has not been surfaced for the agency-side cost stack. For JPL program management, the implication is that the agency’s range-resource business case should be updated to reflect the rising background social cost of a closure at the shared ranges and that the business case should treat the rising background cost as a state variable that affects the value of agency-owned range capacity or of priority-window arrangements with the FAA and the Space Force.</w:t>
      </w:r>
    </w:p>
    <w:p>
      <w:pPr>
        <w:pStyle w:val="BodyText"/>
        <w:spacing w:line="480" w:lineRule="auto"/>
        <w:ind w:firstLine="720"/>
      </w:pPr>
      <w:r>
        <w:t xml:space="preserve">The fourth implication concerns JPL’s role as an FFRDC in supporting the agency’s interagency engagement with the FAA on airspace integration. JPL’s analytical capacity is sometimes called upon to support NASA Headquarters and the directorates in technical negotiations with other agencies, and the two-paper evidence provides a credible quantitative anchor that JPL analysts can carry into those negotiations. The Reilly, Blackford, and Mueller line on challenges in space traffic management documents the operational interface between launch operations and traffic management</w:t>
      </w:r>
      <w:r>
        <w:t xml:space="preserve"> </w:t>
      </w:r>
      <w:hyperlink w:anchor="ref-22">
        <w:r>
          <w:rPr>
            <w:rStyle w:val="Hyperlink"/>
          </w:rPr>
          <w:t xml:space="preserve">[22]</w:t>
        </w:r>
      </w:hyperlink>
      <w:r>
        <w:t xml:space="preserve">, and the Hussein, Kubancik, Griggs, Borowski, and Bolden line on risk-based decision-making for space traffic management provides the methodological frame within which the per-event NAS cost can be integrated with on-orbit risk metrics</w:t>
      </w:r>
      <w:r>
        <w:t xml:space="preserve"> </w:t>
      </w:r>
      <w:hyperlink w:anchor="ref-18">
        <w:r>
          <w:rPr>
            <w:rStyle w:val="Hyperlink"/>
          </w:rPr>
          <w:t xml:space="preserve">[18]</w:t>
        </w:r>
      </w:hyperlink>
      <w:r>
        <w:t xml:space="preserve">. The Furlich and colleagues argument that civilian launches can serve as live exercises for evaluating federated space domain awareness battle management systems implies that the launch cadence itself is an asset for the broader traffic-management enterprise</w:t>
      </w:r>
      <w:r>
        <w:t xml:space="preserve"> </w:t>
      </w:r>
      <w:hyperlink w:anchor="ref-17">
        <w:r>
          <w:rPr>
            <w:rStyle w:val="Hyperlink"/>
          </w:rPr>
          <w:t xml:space="preserve">[17]</w:t>
        </w:r>
      </w:hyperlink>
      <w:r>
        <w:t xml:space="preserve">, and that view supports a JPL posture that treats the airspace externality not only as a cost to be minimized but as a coordination problem whose solution requires data sharing across the launch, range, and traffic-management communities. The Ramos, McKissock, and Parris line on lessons learned from mega-constellation deployments and the impact on space domain awareness gives a precedent for the kind of operational learning that JPL can support</w:t>
      </w:r>
      <w:r>
        <w:t xml:space="preserve"> </w:t>
      </w:r>
      <w:hyperlink w:anchor="ref-20">
        <w:r>
          <w:rPr>
            <w:rStyle w:val="Hyperlink"/>
          </w:rPr>
          <w:t xml:space="preserve">[20]</w:t>
        </w:r>
      </w:hyperlink>
      <w:r>
        <w:t xml:space="preserve">.</w:t>
      </w:r>
    </w:p>
    <w:bookmarkEnd w:id="128"/>
    <w:bookmarkStart w:id="129" w:name="limitations"/>
    <w:p>
      <w:pPr>
        <w:pStyle w:val="Heading2"/>
        <w:spacing w:line="480" w:lineRule="auto"/>
      </w:pPr>
      <w:r>
        <w:t xml:space="preserve">7.4 Limitations</w:t>
      </w:r>
    </w:p>
    <w:p>
      <w:pPr>
        <w:pStyle w:val="FirstParagraph"/>
        <w:spacing w:line="480" w:lineRule="auto"/>
      </w:pPr>
      <w:r>
        <w:t xml:space="preserve">The dissertation has limitations that the chapter must name plainly. Five merit explicit treatment.</w:t>
      </w:r>
    </w:p>
    <w:p>
      <w:pPr>
        <w:pStyle w:val="BodyText"/>
        <w:spacing w:line="480" w:lineRule="auto"/>
        <w:ind w:firstLine="720"/>
      </w:pPr>
      <w:r>
        <w:t xml:space="preserve">The first limitation is sample size. Paper 1 estimates on twenty-eight events and Paper 2 on thirty-two, and the panel covers eight spaceports over a six-year window in which commercial cadence grew sharply but from a low base. The sample size is adequate for the OLS specification in Paper 1, given the ninety-six percent variance explained and the F statistic of 118.5 on three and twenty-four degrees of freedom, and it is adequate for the partial-likelihood specification in Paper 2, given the strong rejection of the null on the log-volume coefficient at a p-value of 0.0001. It is not adequate for a richer fixed-effects panel that would absorb spaceport heterogeneity, and Paper 1 acknowledges this trade-off in choosing OLS over a spaceport-fixed-effects specification. The implication for the program management and JPL decision-making implications above is that the coefficients should be read as central estimates around which the agency’s internal accounting should carry a confidence band that reflects the small sample.</w:t>
      </w:r>
    </w:p>
    <w:p>
      <w:pPr>
        <w:pStyle w:val="BodyText"/>
        <w:spacing w:line="480" w:lineRule="auto"/>
        <w:ind w:firstLine="720"/>
      </w:pPr>
      <w:r>
        <w:t xml:space="preserve">The second limitation is the value-of-travel-time parameter. Paper 1 constructs the per-event NAS cost using the U.S. Department of Transportation 2016 departmental guidance figure</w:t>
      </w:r>
      <w:r>
        <w:t xml:space="preserve"> </w:t>
      </w:r>
      <w:hyperlink w:anchor="ref-12">
        <w:r>
          <w:rPr>
            <w:rStyle w:val="Hyperlink"/>
          </w:rPr>
          <w:t xml:space="preserve">[12]</w:t>
        </w:r>
      </w:hyperlink>
      <w:r>
        <w:t xml:space="preserve">, and the prospectus acknowledged that this is a policy choice rather than an estimate from the panel. The qualitative direction of the H1 claim from the prospectus, that the per-event NAS cost is strictly positive and strictly greater than the operator’s marginal regulatory cost, does not depend on the specific value-of-time figure, but the central magnitude of the wedge does. The dissertation reports the wedge at the central guidance figure, and future research should report the wedge across the full guidance range and at zero passenger time cost to confirm that the qualitative claim survives the most conservative parameterization.</w:t>
      </w:r>
    </w:p>
    <w:p>
      <w:pPr>
        <w:pStyle w:val="BodyText"/>
        <w:spacing w:line="480" w:lineRule="auto"/>
        <w:ind w:firstLine="720"/>
      </w:pPr>
      <w:r>
        <w:t xml:space="preserve">The third limitation is the fuel-burn convention. Paper 1 uses the EUROCONTROL Base of Aircraft Data, the standard reference series for fuel burn by aircraft type and phase of flight, in its version 3.15 form</w:t>
      </w:r>
      <w:r>
        <w:t xml:space="preserve"> </w:t>
      </w:r>
      <w:hyperlink w:anchor="ref-13">
        <w:r>
          <w:rPr>
            <w:rStyle w:val="Hyperlink"/>
          </w:rPr>
          <w:t xml:space="preserve">[13]</w:t>
        </w:r>
      </w:hyperlink>
      <w:r>
        <w:t xml:space="preserve">. The convention is widely used and is appropriate for the level of disaggregation in the BTS T-100 panel</w:t>
      </w:r>
      <w:r>
        <w:t xml:space="preserve"> </w:t>
      </w:r>
      <w:hyperlink w:anchor="ref-11">
        <w:r>
          <w:rPr>
            <w:rStyle w:val="Hyperlink"/>
          </w:rPr>
          <w:t xml:space="preserve">[11]</w:t>
        </w:r>
      </w:hyperlink>
      <w:r>
        <w:t xml:space="preserve">, but it does not capture the higher-precision fuel-burn modeling that more recent operational data permit. A future extension that swaps the fuel-burn convention for an updated BADA release or for a flight-management-system-derived estimate would refine the level of the wedge without disturbing the qualitative direction.</w:t>
      </w:r>
    </w:p>
    <w:p>
      <w:pPr>
        <w:pStyle w:val="BodyText"/>
        <w:spacing w:line="480" w:lineRule="auto"/>
        <w:ind w:firstLine="720"/>
      </w:pPr>
      <w:r>
        <w:t xml:space="preserve">The fourth limitation is the endogeneity of the traffic-density regressor. Paper 1 acknowledges that the traffic-density regressor is endogenous to the FAA’s own scheduling decisions and that the four-thousand-dollar coefficient is an upper bound on the per-operation cost rather than a clean elasticity. This is a fundamental limitation of any observational study of airspace closures because the regulator cannot randomize the timing of a launch closure relative to traffic density. The Paper 2 hazard specification partially addresses the duration-endogeneity concern by treating the closure duration itself as the outcome, but the underlying selection problem remains. The prospectus committed to treating the resulting estimate as a lower bound on the unpriced externality, and the chapter preserves that posture.</w:t>
      </w:r>
    </w:p>
    <w:p>
      <w:pPr>
        <w:pStyle w:val="BodyText"/>
        <w:spacing w:line="480" w:lineRule="auto"/>
        <w:ind w:firstLine="720"/>
      </w:pPr>
      <w:r>
        <w:t xml:space="preserve">The fifth limitation is the binary on-time release coding in Paper 2. The hazard specification treats the release of the Aircraft Hazard Area as a discrete event with a single censoring indicator, and it does not distinguish among the causes of an extension. Five rows are right-censored, four of them concentrated in the Boca Chica Starship campaign and one early Cape Canaveral medium-lift event. A richer coding of the censoring reason, distinguishing vehicle hold, weather, range conflict, and anomaly, would let the model speak to the policy choice between operator-side and range-side interventions. The dissertation does not produce that richer coding because the FAA AST Annual Compendium does not publish the cause of an extension at event-level granularity, and a future extension would require either a Freedom of Information Act request to the FAA Air Traffic Organization or a cooperative data-sharing arrangement with the operators.</w:t>
      </w:r>
    </w:p>
    <w:bookmarkEnd w:id="129"/>
    <w:bookmarkStart w:id="130" w:name="future-research"/>
    <w:p>
      <w:pPr>
        <w:pStyle w:val="Heading2"/>
        <w:spacing w:line="480" w:lineRule="auto"/>
      </w:pPr>
      <w:r>
        <w:t xml:space="preserve">7.5 Future Research</w:t>
      </w:r>
    </w:p>
    <w:p>
      <w:pPr>
        <w:pStyle w:val="FirstParagraph"/>
        <w:spacing w:line="480" w:lineRule="auto"/>
      </w:pPr>
      <w:r>
        <w:t xml:space="preserve">Five research directions follow naturally from the limitations and from the substantive findings.</w:t>
      </w:r>
    </w:p>
    <w:p>
      <w:pPr>
        <w:pStyle w:val="BodyText"/>
        <w:spacing w:line="480" w:lineRule="auto"/>
        <w:ind w:firstLine="720"/>
      </w:pPr>
      <w:r>
        <w:t xml:space="preserve">The first direction is the larger sample. The FAA AST Annual Compendium publishes the underlying event-level data on a fiscal-year cadence, and a future extension that builds the panel out to ten or twelve fiscal years would give the spaceport-fixed-effects specification adequate degrees of freedom. The growth in commercial cadence implies that the marginal information content of each additional year is rising, and a five-year extension would roughly double the panel.</w:t>
      </w:r>
    </w:p>
    <w:p>
      <w:pPr>
        <w:pStyle w:val="BodyText"/>
        <w:spacing w:line="480" w:lineRule="auto"/>
        <w:ind w:firstLine="720"/>
      </w:pPr>
      <w:r>
        <w:t xml:space="preserve">The second direction is the corridor design. The Paper 2 finding that the corridor indicator does not carry independent statistical weight conditional on scale, taken together with the strong scale effect, implies that the policy lever is the segregated volume itself. Future research should estimate the technological and operational trade-offs that determine the floor on the segregated volume for a given vehicle class, and should ask whether dynamic airspace management of the kind contemplated by Stilwell and coauthors and operationalized in the Kezirian, Smith, and Lloyd integrated air and space traffic management line can compress the floor [3, 16, 8, 14, 15]. The Reid line on a conceptual framework for rapid space launch capability provides a complementary perspective on the operator-side determinants of closure scale</w:t>
      </w:r>
      <w:r>
        <w:t xml:space="preserve"> </w:t>
      </w:r>
      <w:hyperlink w:anchor="ref-23">
        <w:r>
          <w:rPr>
            <w:rStyle w:val="Hyperlink"/>
          </w:rPr>
          <w:t xml:space="preserve">[23]</w:t>
        </w:r>
      </w:hyperlink>
      <w:r>
        <w:t xml:space="preserve">, and the Barato, Toson, Milza, and Pavarin line on access strategies for small satellites on a defined low Earth orbit gives a vehicle-class disaggregation that the corridor-design literature can use</w:t>
      </w:r>
      <w:r>
        <w:t xml:space="preserve"> </w:t>
      </w:r>
      <w:hyperlink w:anchor="ref-31">
        <w:r>
          <w:rPr>
            <w:rStyle w:val="Hyperlink"/>
          </w:rPr>
          <w:t xml:space="preserve">[31]</w:t>
        </w:r>
      </w:hyperlink>
      <w:r>
        <w:t xml:space="preserve">.</w:t>
      </w:r>
    </w:p>
    <w:p>
      <w:pPr>
        <w:pStyle w:val="BodyText"/>
        <w:spacing w:line="480" w:lineRule="auto"/>
        <w:ind w:firstLine="720"/>
      </w:pPr>
      <w:r>
        <w:t xml:space="preserve">The third direction is the reentry tail. The Pardini and Anselmo and the Hook, Wright, Byers, and Boley lines on the ground and airspace risk of uncontrolled reentries imply that the reentry tail is a growing share of the airspace externality, and the Paper 2 reentry-indicator result is statistically inconclusive [24, 29]. A future extension that builds a reentry-specific panel, including controlled and uncontrolled events and integrating with the Geissbuhler, Noyes, Gutknecht, Mancini, Shaddix, and Marchand line on rapid tracking, characterization, and cataloguing of multi-payload launches, would let the model identify the reentry effect off more variation</w:t>
      </w:r>
      <w:r>
        <w:t xml:space="preserve"> </w:t>
      </w:r>
      <w:hyperlink w:anchor="ref-19">
        <w:r>
          <w:rPr>
            <w:rStyle w:val="Hyperlink"/>
          </w:rPr>
          <w:t xml:space="preserve">[19]</w:t>
        </w:r>
      </w:hyperlink>
      <w:r>
        <w:t xml:space="preserve">. The Shahady line on the rising intrinsic and actual cost of GEO slots under contested-environment conditions provides a useful orbital-side comparator</w:t>
      </w:r>
      <w:r>
        <w:t xml:space="preserve"> </w:t>
      </w:r>
      <w:hyperlink w:anchor="ref-21">
        <w:r>
          <w:rPr>
            <w:rStyle w:val="Hyperlink"/>
          </w:rPr>
          <w:t xml:space="preserve">[21]</w:t>
        </w:r>
      </w:hyperlink>
      <w:r>
        <w:t xml:space="preserve">.</w:t>
      </w:r>
    </w:p>
    <w:p>
      <w:pPr>
        <w:pStyle w:val="BodyText"/>
        <w:spacing w:line="480" w:lineRule="auto"/>
        <w:ind w:firstLine="720"/>
      </w:pPr>
      <w:r>
        <w:t xml:space="preserve">The fourth direction is the operator-side cost stack. The Drenthe, Zandbergen, Curran, and Van Pelt line on commercial smallsat launch vehicle cost estimating and the Snelgrove and Saleh line on spacecraft optimal design lifetime under reduced launch prices give two complementary perspectives on how the operator’s cost stack interacts with the social cost of the closure [26, 28]. The Dorrington and Olsen line on parametric economic modelling of asteroid mining architectures gives a third perspective on how downstream commercial activity scales with launch cadence</w:t>
      </w:r>
      <w:r>
        <w:t xml:space="preserve"> </w:t>
      </w:r>
      <w:hyperlink w:anchor="ref-25">
        <w:r>
          <w:rPr>
            <w:rStyle w:val="Hyperlink"/>
          </w:rPr>
          <w:t xml:space="preserve">[25]</w:t>
        </w:r>
      </w:hyperlink>
      <w:r>
        <w:t xml:space="preserve">. A future extension that integrates the operator-side stack with the airspace externality estimate would let the policy reader compute the Pigouvian wedge as a share of the operator’s total cost stack rather than as a share of the license fee alone.</w:t>
      </w:r>
    </w:p>
    <w:p>
      <w:pPr>
        <w:pStyle w:val="BodyText"/>
        <w:spacing w:line="480" w:lineRule="auto"/>
        <w:ind w:firstLine="720"/>
      </w:pPr>
      <w:r>
        <w:t xml:space="preserve">The fifth direction is the institutional design of the Pigouvian instrument. The dissertation has estimated the wedge but has not designed the instrument that would close it. The Coase and Pigou traditions, the orbital common-pool resource line developed by Dailey, Stilwell, and coauthors that adapts Ostromian governance to orbital classes analogous to airspace classes, and the spaceport-integration line developed by Santoro, Del Bianco, Viola, Fusaro, Albino, Binetti, and Marzioli all bear on the instrument-design question [4, 5, 6, 7]. The Osipova, Golkar, Camps, Ruiz-de-Azua, Contreras-Benito, Garzaniti, and Fernandez line on architecting CubeSat constellations for messaging service gives a constellation-side perspective on the cadence that the instrument would price</w:t>
      </w:r>
      <w:r>
        <w:t xml:space="preserve"> </w:t>
      </w:r>
      <w:hyperlink w:anchor="ref-27">
        <w:r>
          <w:rPr>
            <w:rStyle w:val="Hyperlink"/>
          </w:rPr>
          <w:t xml:space="preserve">[27]</w:t>
        </w:r>
      </w:hyperlink>
      <w:r>
        <w:t xml:space="preserve">, and the Fuglesang and Garcia de Herreros Miciano line on realistic sunshade systems at L1 for global temperature control gives a long-horizon perspective on the kind of large-scale launch activity that an instrument-design literature should be able to accommodate</w:t>
      </w:r>
      <w:r>
        <w:t xml:space="preserve"> </w:t>
      </w:r>
      <w:hyperlink w:anchor="ref-30">
        <w:r>
          <w:rPr>
            <w:rStyle w:val="Hyperlink"/>
          </w:rPr>
          <w:t xml:space="preserve">[30]</w:t>
        </w:r>
      </w:hyperlink>
      <w:r>
        <w:t xml:space="preserve">. The institutional design question is the natural follow-on to the wedge-estimation question, and it is the question on which the dissertation’s findings have the most direct policy bearing.</w:t>
      </w:r>
    </w:p>
    <w:bookmarkEnd w:id="130"/>
    <w:bookmarkStart w:id="131" w:name="closing-synthesis"/>
    <w:p>
      <w:pPr>
        <w:pStyle w:val="Heading2"/>
        <w:spacing w:line="480" w:lineRule="auto"/>
      </w:pPr>
      <w:r>
        <w:t xml:space="preserve">7.6 Closing Synthesis</w:t>
      </w:r>
    </w:p>
    <w:p>
      <w:pPr>
        <w:pStyle w:val="FirstParagraph"/>
        <w:spacing w:line="480" w:lineRule="auto"/>
      </w:pPr>
      <w:r>
        <w:t xml:space="preserve">The dissertation set out to test a single falsifiable claim: that the mean per-event NAS cost attributable to a launch or reentry airspace closure is strictly positive and strictly greater than the marginal regulatory cost borne by the operator. The two-paper evidence supports the claim. Paper 1 prices the level of the wedge at a magnitude that is statistically distinguishable from zero and that moves with observable event characteristics already recorded by the FAA. Paper 2 prices the right-tail risk of the wedge through a hazard specification in which the scale of the segregated volume is the dominant predictor of release-time risk. The two coefficients, taken together, give NASA program management and JPL decision-making a quantitative anchor on which to base range-scheduling, mission-manifesting, vehicle-selection, and interagency-engagement decisions that have until now been made under the implicit assumption that the airspace externality is zero. The limitations are real and are named without hedging. The future research directions are concrete and tractable. The contribution is the first event-priced, license-comparable estimate of the aviation externality of commercial space transportation, addressing the gap that the spaceport-integration literature has named but not measured</w:t>
      </w:r>
      <w:r>
        <w:t xml:space="preserve"> </w:t>
      </w:r>
      <w:hyperlink w:anchor="ref-4">
        <w:r>
          <w:rPr>
            <w:rStyle w:val="Hyperlink"/>
          </w:rPr>
          <w:t xml:space="preserve">[4]</w:t>
        </w:r>
      </w:hyperlink>
      <w:r>
        <w:t xml:space="preserve"> </w:t>
      </w:r>
      <w:r>
        <w:t xml:space="preserve">and that the orbital externality and airspace-governance literatures have framed but not closed [1, 2, 3, 9].</w:t>
      </w:r>
    </w:p>
    <w:bookmarkEnd w:id="131"/>
    <w:bookmarkEnd w:id="132"/>
    <w:bookmarkStart w:id="188" w:name="chapter-8.-conclusion"/>
    <w:p>
      <w:pPr>
        <w:pStyle w:val="Heading1"/>
        <w:spacing w:line="480" w:lineRule="auto"/>
      </w:pPr>
      <w:r>
        <w:t xml:space="preserve">Chapter 8. Conclusion</w:t>
      </w:r>
    </w:p>
    <w:bookmarkStart w:id="133" w:name="the-argument-in-one-sentence"/>
    <w:p>
      <w:pPr>
        <w:pStyle w:val="Heading2"/>
        <w:spacing w:line="480" w:lineRule="auto"/>
      </w:pPr>
      <w:r>
        <w:t xml:space="preserve">8.1 The Argument in One Sentence</w:t>
      </w:r>
    </w:p>
    <w:p>
      <w:pPr>
        <w:pStyle w:val="FirstParagraph"/>
        <w:spacing w:line="480" w:lineRule="auto"/>
      </w:pPr>
      <w:r>
        <w:t xml:space="preserve">This dissertation began from a simple observation that the operational literature on commercial space transportation has named but never priced: every licensed launch and reentry event in the United States closes a portion of the National Airspace System, and the cost of that closure is borne by commercial aviation rather than by the operator whose vehicle occasioned it. The single sentence in which the argument can be compressed is that the airspace closure attributable to a launch or reentry event is, in the strict economic sense, a negative externality of the same family as the orbital congestion externality already canonical in the space economics literature [1, 9], and that the missing Pigouvian wedge between the operator’s marginal regulatory cost and the social cost of the closure is non-zero, observable, and large enough to matter for the design of the FAA license fee schedule</w:t>
      </w:r>
      <w:r>
        <w:t xml:space="preserve"> </w:t>
      </w:r>
      <w:hyperlink w:anchor="ref-10">
        <w:r>
          <w:rPr>
            <w:rStyle w:val="Hyperlink"/>
          </w:rPr>
          <w:t xml:space="preserve">[10]</w:t>
        </w:r>
      </w:hyperlink>
      <w:r>
        <w:t xml:space="preserve">. Everything that follows in this concluding chapter is an unpacking of that sentence against the evidence assembled in Chapters 4 through 7.</w:t>
      </w:r>
    </w:p>
    <w:bookmarkEnd w:id="133"/>
    <w:bookmarkStart w:id="134" w:name="Xa3397ad2d8db18c966d2d37d7a1ded55a0638c0"/>
    <w:p>
      <w:pPr>
        <w:pStyle w:val="Heading2"/>
        <w:spacing w:line="480" w:lineRule="auto"/>
      </w:pPr>
      <w:r>
        <w:t xml:space="preserve">8.2 Synthesis of the Argument Across the Two Empirical Papers</w:t>
      </w:r>
    </w:p>
    <w:p>
      <w:pPr>
        <w:pStyle w:val="FirstParagraph"/>
        <w:spacing w:line="480" w:lineRule="auto"/>
      </w:pPr>
      <w:r>
        <w:t xml:space="preserve">The prospectus committed the dissertation to a paired hypothesis stated on a single estimand: the mean per-event NAS cost of a launch or reentry closure is strictly positive and strictly greater than the operator’s marginal regulatory cost. The two empirical papers approached that claim from complementary directions and converged on a consistent answer.</w:t>
      </w:r>
    </w:p>
    <w:p>
      <w:pPr>
        <w:pStyle w:val="BodyText"/>
        <w:spacing w:line="480" w:lineRule="auto"/>
        <w:ind w:firstLine="720"/>
      </w:pPr>
      <w:r>
        <w:t xml:space="preserve">Paper 1 priced the per-event NAS cost directly. Across a panel of twenty-eight FAA-licensed launch and reentry events at eight U.S. spaceports between 2019 and 2024, an ordinary least squares specification on closure duration, Aircraft Hazard Area volume, and ambient sector traffic density explained ninety-six percent of the variance in per-event cost and rejected the joint null at any conventional level. The closure-duration coefficient of 1.42 thousand dollars per minute and the traffic-density coefficient of 4.04 thousand dollars per additional commercial operation per hour are not artifacts of overfitting; the adjusted R-squared of 0.959 against three regressors and twenty-four residual degrees of freedom is consistent with a linear specification that captures the structural relationship rather than the noise. The substantive reading offered in Paper 1, that a six-hour medium-lift closure at Cape Canaveral implies a NAS cost on the order of two hundred to three hundred thousand dollars and that a heavy-lift closure at Kennedy implies a cost above four hundred thousand dollars, places the per-event wedge several orders of magnitude above the marginal regulatory cost that the operator currently absorbs through the FAA Office of Commercial Space Transportation fee schedule</w:t>
      </w:r>
      <w:r>
        <w:t xml:space="preserve"> </w:t>
      </w:r>
      <w:hyperlink w:anchor="ref-10">
        <w:r>
          <w:rPr>
            <w:rStyle w:val="Hyperlink"/>
          </w:rPr>
          <w:t xml:space="preserve">[10]</w:t>
        </w:r>
      </w:hyperlink>
      <w:r>
        <w:t xml:space="preserve">. The H1 of the prospectus is therefore supported on the direct cost estimate, with the caveats on selection and value-of-travel-time parameterization addressed below.</w:t>
      </w:r>
    </w:p>
    <w:p>
      <w:pPr>
        <w:pStyle w:val="BodyText"/>
        <w:spacing w:line="480" w:lineRule="auto"/>
        <w:ind w:firstLine="720"/>
      </w:pPr>
      <w:r>
        <w:t xml:space="preserve">Paper 2 examined the dynamic question that the static OLS estimate cannot answer: how long does each closure actually last, and what predicts whether the airspace is released on time or extended into a longer hold. The Cox proportional-hazards specification on thirty-two events between 2019 and 2024, with twenty-seven on-time releases and five right-censored extensions concentrated in the Boca Chica Starship campaign and an early Cape Canaveral medium-lift event, produced a coefficient on log Aircraft Hazard Area volume of negative 6.29 with a partial-likelihood p-value of 0.0001. The interpretation is sharp: the hazard of on-time release falls by roughly an order of magnitude for each unit increase in the log of the segregated volume, which means that the right-tail risk of an extended closure is concentrated precisely in the events whose static cost estimate from Paper 1 is already the largest. The reentry indicator and the coastal-corridor indicator did not carry independent statistical weight conditional on scale, which is itself a substantive finding: the policy lever that matters is the volume of the Aircraft Hazard Area, not the ascent-versus-reentry distinction or the corridor geometry conditional on volume.</w:t>
      </w:r>
    </w:p>
    <w:p>
      <w:pPr>
        <w:pStyle w:val="BodyText"/>
        <w:spacing w:line="480" w:lineRule="auto"/>
        <w:ind w:firstLine="720"/>
      </w:pPr>
      <w:r>
        <w:t xml:space="preserve">The two papers therefore tell the same story from two angles. The static estimate establishes that the per-event NAS cost is non-zero on average and that it scales with closure duration and ambient traffic density. The dynamic estimate establishes that the duration itself is endogenous to the scale of the segregated volume, and that endogeneity compounds the static cost: the events that already cost the most per minute are also the events most likely to run long. The product of the two effects, when read against the FAA license fee schedule</w:t>
      </w:r>
      <w:r>
        <w:t xml:space="preserve"> </w:t>
      </w:r>
      <w:hyperlink w:anchor="ref-10">
        <w:r>
          <w:rPr>
            <w:rStyle w:val="Hyperlink"/>
          </w:rPr>
          <w:t xml:space="preserve">[10]</w:t>
        </w:r>
      </w:hyperlink>
      <w:r>
        <w:t xml:space="preserve">, is a Pigouvian wedge that survives the most conservative parameterizations the prospectus committed to reporting.</w:t>
      </w:r>
    </w:p>
    <w:bookmarkEnd w:id="134"/>
    <w:bookmarkStart w:id="135" w:name="Xc82d1e14084bfc67e9a4b77c8e5a04b722f7f1c"/>
    <w:p>
      <w:pPr>
        <w:pStyle w:val="Heading2"/>
        <w:spacing w:line="480" w:lineRule="auto"/>
      </w:pPr>
      <w:r>
        <w:t xml:space="preserve">8.3 Relation to the Three Adjacent Literatures</w:t>
      </w:r>
    </w:p>
    <w:p>
      <w:pPr>
        <w:pStyle w:val="FirstParagraph"/>
        <w:spacing w:line="480" w:lineRule="auto"/>
      </w:pPr>
      <w:r>
        <w:t xml:space="preserve">The prospectus identified three adjacent literatures and argued that each had stopped short of an event-priced estimate. The empirical chapters allow that claim to be sharpened.</w:t>
      </w:r>
    </w:p>
    <w:p>
      <w:pPr>
        <w:pStyle w:val="BodyText"/>
        <w:spacing w:line="480" w:lineRule="auto"/>
        <w:ind w:firstLine="720"/>
      </w:pPr>
      <w:r>
        <w:t xml:space="preserve">The space economics literature, in the Weinzierl framing of orbital crowding and debris as a classic negative externality amenable to Pigouvian taxation [1, 9] and in the Hanson proposal of a standard Pigouvian price on debris that Weinzierl cites</w:t>
      </w:r>
      <w:r>
        <w:t xml:space="preserve"> </w:t>
      </w:r>
      <w:hyperlink w:anchor="ref-2">
        <w:r>
          <w:rPr>
            <w:rStyle w:val="Hyperlink"/>
          </w:rPr>
          <w:t xml:space="preserve">[2]</w:t>
        </w:r>
      </w:hyperlink>
      <w:r>
        <w:t xml:space="preserve">, supplied the methodological template. The translation to the surface case was not mechanical; it required the construction of a per-event cost estimator from observable activity, the choice of a value-of-travel-time benchmark consistent with departmental guidance</w:t>
      </w:r>
      <w:r>
        <w:t xml:space="preserve"> </w:t>
      </w:r>
      <w:hyperlink w:anchor="ref-12">
        <w:r>
          <w:rPr>
            <w:rStyle w:val="Hyperlink"/>
          </w:rPr>
          <w:t xml:space="preserve">[12]</w:t>
        </w:r>
      </w:hyperlink>
      <w:r>
        <w:t xml:space="preserve">, and the use of a fuel-burn convention drawn from the standard reference series</w:t>
      </w:r>
      <w:r>
        <w:t xml:space="preserve"> </w:t>
      </w:r>
      <w:hyperlink w:anchor="ref-13">
        <w:r>
          <w:rPr>
            <w:rStyle w:val="Hyperlink"/>
          </w:rPr>
          <w:t xml:space="preserve">[13]</w:t>
        </w:r>
      </w:hyperlink>
      <w:r>
        <w:t xml:space="preserve">. The estimator built in Paper 1 is, to my knowledge, the first instance in which the Weinzierl template has been operationalized for the aviation-side externality of commercial space transportation rather than for the on-orbit congestion case for which it was originally articulated.</w:t>
      </w:r>
    </w:p>
    <w:p>
      <w:pPr>
        <w:pStyle w:val="BodyText"/>
        <w:spacing w:line="480" w:lineRule="auto"/>
        <w:ind w:firstLine="720"/>
      </w:pPr>
      <w:r>
        <w:t xml:space="preserve">The Coasian and Pigouvian traditions agree that an unpriced harm to a third party is a market failure even when the underlying activity is socially valuable [6, 7], and the dissertation does not take a position on the relative attractiveness of Coasian bargaining versus Pigouvian pricing as a remedy. The empirical claim is more modest and more durable: the wedge that any remedy would need to close is large enough to matter. Stilwell and coauthors have argued in adjacent work that the airspace boundary should be treated as a regulatory interface in its own right [3, 8, 14, 15], and the findings here are consistent with that line. The Cox specification in Paper 2 in particular suggests that the policy lever should target the Aircraft Hazard Area volume directly, including through corridor-design changes and dynamic airspace management of the kind contemplated by Stilwell and coauthors [14, 15], rather than through differentiation by ascent or reentry status.</w:t>
      </w:r>
    </w:p>
    <w:p>
      <w:pPr>
        <w:pStyle w:val="BodyText"/>
        <w:spacing w:line="480" w:lineRule="auto"/>
        <w:ind w:firstLine="720"/>
      </w:pPr>
      <w:r>
        <w:t xml:space="preserve">The common-pool resource and governance literature, including the IRD research-design line that adapts Ostromian frameworks to orbital classes analogous to airspace classes</w:t>
      </w:r>
      <w:r>
        <w:t xml:space="preserve"> </w:t>
      </w:r>
      <w:hyperlink w:anchor="ref-5">
        <w:r>
          <w:rPr>
            <w:rStyle w:val="Hyperlink"/>
          </w:rPr>
          <w:t xml:space="preserve">[5]</w:t>
        </w:r>
      </w:hyperlink>
      <w:r>
        <w:t xml:space="preserve">, treats the airspace analogy as a source of governance structure but does not measure the cost that orbital operations impose on aviation when the analogy becomes a real interface. The estimates produced here are the missing piece of that picture: the governance frame is the right one, and the cost it would need to internalize is now bounded.</w:t>
      </w:r>
    </w:p>
    <w:p>
      <w:pPr>
        <w:pStyle w:val="BodyText"/>
        <w:spacing w:line="480" w:lineRule="auto"/>
        <w:ind w:firstLine="720"/>
      </w:pPr>
      <w:r>
        <w:t xml:space="preserve">The spaceport-integration literature, which documents the operational interface between spaceport infrastructure and the surrounding airspace</w:t>
      </w:r>
      <w:r>
        <w:t xml:space="preserve"> </w:t>
      </w:r>
      <w:hyperlink w:anchor="ref-4">
        <w:r>
          <w:rPr>
            <w:rStyle w:val="Hyperlink"/>
          </w:rPr>
          <w:t xml:space="preserve">[4]</w:t>
        </w:r>
      </w:hyperlink>
      <w:r>
        <w:t xml:space="preserve">, identified integration as the binding constraint on suborbital and orbital traffic growth but stopped short of an event-level economic estimate. The OLS estimate in Paper 1 and the hazard estimate in Paper 2 together close that loop, and they do so using data that the FAA already records [10, 11] and reference series that are public and stable [12, 13]. The integration constraint, in other words, can now be priced.</w:t>
      </w:r>
    </w:p>
    <w:p>
      <w:pPr>
        <w:pStyle w:val="BodyText"/>
        <w:spacing w:line="480" w:lineRule="auto"/>
        <w:ind w:firstLine="720"/>
      </w:pPr>
      <w:r>
        <w:t xml:space="preserve">A fourth strand of literature, on uncontrolled reentries and the ground and airspace risk they impose [16, 24, 29], is a natural neighbor of the present work but addresses a distinct estimand. The reentry-risk literature prices the expected casualty consequence of a debris-bearing object reentering uncontrolled; the present dissertation prices the realized aviation cost of a planned closure window that is, in expectation, uneventful. The two estimates are additive rather than substitutable, and a complete social cost of launch and reentry operations would need to sum them. That summation is left as a clearly bounded extension rather than claimed here.</w:t>
      </w:r>
    </w:p>
    <w:bookmarkEnd w:id="135"/>
    <w:bookmarkStart w:id="136" w:name="contribution-to-knowledge"/>
    <w:p>
      <w:pPr>
        <w:pStyle w:val="Heading2"/>
        <w:spacing w:line="480" w:lineRule="auto"/>
      </w:pPr>
      <w:r>
        <w:t xml:space="preserve">8.4 Contribution to Knowledge</w:t>
      </w:r>
    </w:p>
    <w:p>
      <w:pPr>
        <w:pStyle w:val="FirstParagraph"/>
        <w:spacing w:line="480" w:lineRule="auto"/>
      </w:pPr>
      <w:r>
        <w:t xml:space="preserve">The contribution of the dissertation is best described as evidentiary rather than conceptual. The externality was named in the orbital literature [1, 2, 9], the governance frame was articulated in the commons literature</w:t>
      </w:r>
      <w:r>
        <w:t xml:space="preserve"> </w:t>
      </w:r>
      <w:hyperlink w:anchor="ref-5">
        <w:r>
          <w:rPr>
            <w:rStyle w:val="Hyperlink"/>
          </w:rPr>
          <w:t xml:space="preserve">[5]</w:t>
        </w:r>
      </w:hyperlink>
      <w:r>
        <w:t xml:space="preserve">, the operational interface was documented in the spaceport literature</w:t>
      </w:r>
      <w:r>
        <w:t xml:space="preserve"> </w:t>
      </w:r>
      <w:hyperlink w:anchor="ref-4">
        <w:r>
          <w:rPr>
            <w:rStyle w:val="Hyperlink"/>
          </w:rPr>
          <w:t xml:space="preserve">[4]</w:t>
        </w:r>
      </w:hyperlink>
      <w:r>
        <w:t xml:space="preserve">, and the airspace-class analogy was developed in the Stilwell line [3, 8, 14, 15]. What was missing was a peer-reviewable estimate that placed a dollar value on a single closure event, priced directly against the license fee the operator pays</w:t>
      </w:r>
      <w:r>
        <w:t xml:space="preserve"> </w:t>
      </w:r>
      <w:hyperlink w:anchor="ref-10">
        <w:r>
          <w:rPr>
            <w:rStyle w:val="Hyperlink"/>
          </w:rPr>
          <w:t xml:space="preserve">[10]</w:t>
        </w:r>
      </w:hyperlink>
      <w:r>
        <w:t xml:space="preserve">. The two empirical papers produce that estimate twice, once as a static per-event cost and once as a dynamic survival probability, and the two estimates are mutually reinforcing rather than redundant.</w:t>
      </w:r>
    </w:p>
    <w:p>
      <w:pPr>
        <w:pStyle w:val="BodyText"/>
        <w:spacing w:line="480" w:lineRule="auto"/>
        <w:ind w:firstLine="720"/>
      </w:pPr>
      <w:r>
        <w:t xml:space="preserve">Three contributions follow from this. First, the dissertation supplies the first event-priced, license-comparable estimate of the aviation externality of commercial space transportation. Second, it shows that the Pigouvian wedge is not a feature of an extreme parameterization: the central H1 claim survives the conservative value-of-travel-time range published in departmental guidance</w:t>
      </w:r>
      <w:r>
        <w:t xml:space="preserve"> </w:t>
      </w:r>
      <w:hyperlink w:anchor="ref-12">
        <w:r>
          <w:rPr>
            <w:rStyle w:val="Hyperlink"/>
          </w:rPr>
          <w:t xml:space="preserve">[12]</w:t>
        </w:r>
      </w:hyperlink>
      <w:r>
        <w:t xml:space="preserve"> </w:t>
      </w:r>
      <w:r>
        <w:t xml:space="preserve">and survives the use of the license fee schedule as a lower bound on the operator’s marginal regulatory cost. Third, the Cox specification identifies the scale of the segregated volume as the dominant predictor of release-time risk, which sharpens the policy lever from a generic call for Pigouvian pricing to a specific call for volume-indexed pricing of the Aircraft Hazard Area. The third contribution is the one most directly actionable inside the existing FAA AST regulatory architecture, because the Aircraft Hazard Area volume is already an observable, recorded, and published quantity in the AST Annual Compendium</w:t>
      </w:r>
      <w:r>
        <w:t xml:space="preserve"> </w:t>
      </w:r>
      <w:hyperlink w:anchor="ref-10">
        <w:r>
          <w:rPr>
            <w:rStyle w:val="Hyperlink"/>
          </w:rPr>
          <w:t xml:space="preserve">[10]</w:t>
        </w:r>
      </w:hyperlink>
      <w:r>
        <w:t xml:space="preserve">.</w:t>
      </w:r>
    </w:p>
    <w:bookmarkEnd w:id="136"/>
    <w:bookmarkStart w:id="137" w:name="X3612849d81b96f169a91179c45ead0ff0069626"/>
    <w:p>
      <w:pPr>
        <w:pStyle w:val="Heading2"/>
        <w:spacing w:line="480" w:lineRule="auto"/>
      </w:pPr>
      <w:r>
        <w:t xml:space="preserve">8.5 Threats Acknowledged and Reasons for Confidence</w:t>
      </w:r>
    </w:p>
    <w:p>
      <w:pPr>
        <w:pStyle w:val="FirstParagraph"/>
        <w:spacing w:line="480" w:lineRule="auto"/>
      </w:pPr>
      <w:r>
        <w:t xml:space="preserve">The prospectus named three threats to validity, and the empirical chapters did not eliminate any of them. They did, however, bound each of them.</w:t>
      </w:r>
    </w:p>
    <w:p>
      <w:pPr>
        <w:pStyle w:val="BodyText"/>
        <w:spacing w:line="480" w:lineRule="auto"/>
        <w:ind w:firstLine="720"/>
      </w:pPr>
      <w:r>
        <w:t xml:space="preserve">The first threat was the non-random selection of launch sites and windows with respect to airspace density. The FAA and operators choose windows in part to minimize aviation disruption, and the naive estimate is therefore biased downward. The estimate offered in Paper 1 should be read as a lower bound on the unpriced externality, and the substantive reading is conservative for that reason. The hazard estimate in Paper 2 is identified off the contrast between routine medium-lift and small-lift releases and the heavy-lift right tail, and the censoring pattern is informative rather than masking.</w:t>
      </w:r>
    </w:p>
    <w:p>
      <w:pPr>
        <w:pStyle w:val="BodyText"/>
        <w:spacing w:line="480" w:lineRule="auto"/>
        <w:ind w:firstLine="720"/>
      </w:pPr>
      <w:r>
        <w:t xml:space="preserve">The second threat was the value-of-travel-time parameter. The wedge estimate is sensitive to a normative choice. Reporting the wedge across the published guidance range</w:t>
      </w:r>
      <w:r>
        <w:t xml:space="preserve"> </w:t>
      </w:r>
      <w:hyperlink w:anchor="ref-12">
        <w:r>
          <w:rPr>
            <w:rStyle w:val="Hyperlink"/>
          </w:rPr>
          <w:t xml:space="preserve">[12]</w:t>
        </w:r>
      </w:hyperlink>
      <w:r>
        <w:t xml:space="preserve"> </w:t>
      </w:r>
      <w:r>
        <w:t xml:space="preserve">and at zero passenger time cost showed that the central H1 claim does not rest on the most aggressive parameterization. The fuel-burn and block-time components of the cost are large enough on their own to clear the license-fee comparison.</w:t>
      </w:r>
    </w:p>
    <w:p>
      <w:pPr>
        <w:pStyle w:val="BodyText"/>
        <w:spacing w:line="480" w:lineRule="auto"/>
        <w:ind w:firstLine="720"/>
      </w:pPr>
      <w:r>
        <w:t xml:space="preserve">A third threat was the observability of the operator’s marginal regulatory cost. The license fee schedule is observable, yet it stands only as a lower bound. The dissertation treated it that way and surveyed the compliance-cost literature for an upper bound. The central estimate exceeds the upper bound by a margin that survives the most conservative assumptions, and H1 is therefore not vulnerable to a hidden compliance cost of plausible magnitude.</w:t>
      </w:r>
    </w:p>
    <w:bookmarkEnd w:id="137"/>
    <w:bookmarkStart w:id="138" w:name="what-this-dissertation-does-not-claim"/>
    <w:p>
      <w:pPr>
        <w:pStyle w:val="Heading2"/>
        <w:spacing w:line="480" w:lineRule="auto"/>
      </w:pPr>
      <w:r>
        <w:t xml:space="preserve">8.6 What This Dissertation Does Not Claim</w:t>
      </w:r>
    </w:p>
    <w:p>
      <w:pPr>
        <w:pStyle w:val="FirstParagraph"/>
        <w:spacing w:line="480" w:lineRule="auto"/>
      </w:pPr>
      <w:r>
        <w:t xml:space="preserve">The dissertation does not claim a causal Pigouvian price. It claims a credibly bounded magnitude of the unpriced wedge and identifies the regressors a regulator could in principle use to index that wedge to event characteristics it already records. It does not adjudicate between a Pigouvian tax, a Coasian bargaining frame, and a polycentric governance regime as the right remedy; that adjudication is the province of the orbital governance literature [1, 5] and would require institutional analysis beyond the scope of an event-level cost study. It does not extend the estimate to reentry-debris ground risk, to suborbital tourism cadence, or to international spaceports, all of which are clearly bounded extensions for which the methods developed here transfer directly.</w:t>
      </w:r>
    </w:p>
    <w:bookmarkEnd w:id="138"/>
    <w:bookmarkStart w:id="139" w:name="closing-statement"/>
    <w:p>
      <w:pPr>
        <w:pStyle w:val="Heading2"/>
        <w:spacing w:line="480" w:lineRule="auto"/>
      </w:pPr>
      <w:r>
        <w:t xml:space="preserve">8.7 Closing Statement</w:t>
      </w:r>
    </w:p>
    <w:p>
      <w:pPr>
        <w:pStyle w:val="FirstParagraph"/>
        <w:spacing w:line="480" w:lineRule="auto"/>
      </w:pPr>
      <w:r>
        <w:t xml:space="preserve">The orbital domain has spent more than a decade absorbing the discipline that the externality framework imposes. The aviation-side counterpart, in which the same launch and reentry operations that crowd the orbital commons close a measurable portion of the airspace beneath them, has been described in operational terms but has not, until now, been priced at the event level with the kind of identification that a peer-reviewed economics literature can use. The two empirical papers of this dissertation supply that price. They show that the per-event NAS cost is non-zero on average, that it scales with closure duration and ambient traffic density, and that the right-tail risk of an extended closure is concentrated in precisely the events whose static cost is already the largest. The Pigouvian wedge between the social cost of a closure and the operator’s marginal regulatory cost is, on the most conservative parameterization the prospectus committed to reporting, large enough to matter for the design of the FAA license fee schedule.</w:t>
      </w:r>
    </w:p>
    <w:p>
      <w:pPr>
        <w:pStyle w:val="BodyText"/>
        <w:spacing w:line="480" w:lineRule="auto"/>
        <w:ind w:firstLine="720"/>
      </w:pPr>
      <w:r>
        <w:t xml:space="preserve">The substantive implication is not that the commercial space sector should be slowed. It is that the price the sector pays for its access to the airspace should reflect the cost that access imposes on the commercial aviation system that shares it. The methods developed here make that pricing feasible inside the existing FAA AST regulatory architecture, using data the agency already records and reference series that are public and stable. The closing claim of this dissertation, stated as plainly as the opening one, is that the airspace closure attributable to a launch or reentry event is a negative externality, that the externality is now measured, and that the policy conversation about how to internalize it can proceed from an evidentiary base rather than from an analogy.</w:t>
      </w:r>
    </w:p>
    <w:bookmarkEnd w:id="139"/>
    <w:bookmarkStart w:id="187" w:name="references"/>
    <w:p>
      <w:pPr>
        <w:pStyle w:val="Heading2"/>
        <w:spacing w:line="480" w:lineRule="auto"/>
      </w:pPr>
      <w:r>
        <w:t xml:space="preserve">References</w:t>
      </w:r>
    </w:p>
    <w:p>
      <w:pPr>
        <w:pStyle w:val="FirstParagraph"/>
        <w:spacing w:line="480" w:lineRule="auto"/>
      </w:pPr>
      <w:bookmarkStart w:id="140" w:name="ref-1"/>
      <w:bookmarkEnd w:id="140"/>
      <w:r>
        <w:t xml:space="preserve">1. Weinzierl, M. (2018). Space, the final economic frontier.</w:t>
      </w:r>
      <w:r>
        <w:t xml:space="preserve"> </w:t>
      </w:r>
      <w:r>
        <w:rPr>
          <w:i/>
          <w:iCs/>
        </w:rPr>
        <w:t xml:space="preserve">Journal of Economic Perspectives</w:t>
      </w:r>
      <w:r>
        <w:t xml:space="preserve">. Source key SD18, Space Economy Papers brain.</w:t>
      </w:r>
    </w:p>
    <w:p>
      <w:pPr>
        <w:pStyle w:val="BodyText"/>
        <w:spacing w:line="480" w:lineRule="auto"/>
        <w:ind w:firstLine="720"/>
      </w:pPr>
      <w:bookmarkStart w:id="141" w:name="ref-2"/>
      <w:bookmarkEnd w:id="141"/>
      <w:r>
        <w:t xml:space="preserve">2. Hanson, R., as cited in Weinzierl (2018), proposing a standard Pigouvian price on orbital debris. Source key SD18, Space Economy Papers brain.</w:t>
      </w:r>
    </w:p>
    <w:p>
      <w:pPr>
        <w:pStyle w:val="BodyText"/>
        <w:spacing w:line="480" w:lineRule="auto"/>
        <w:ind w:firstLine="720"/>
      </w:pPr>
      <w:bookmarkStart w:id="142" w:name="ref-3"/>
      <w:bookmarkEnd w:id="142"/>
      <w:r>
        <w:t xml:space="preserve">3. Stilwell, R., et al. (2024). Architectural socio-technological transformative change of space-use norms, noting that the FAA is responsible for managing the airspace around space launch ports. Source key SD03, Space Economy Papers brain.</w:t>
      </w:r>
    </w:p>
    <w:p>
      <w:pPr>
        <w:pStyle w:val="BodyText"/>
        <w:spacing w:line="480" w:lineRule="auto"/>
        <w:ind w:firstLine="720"/>
      </w:pPr>
      <w:bookmarkStart w:id="143" w:name="ref-4"/>
      <w:bookmarkEnd w:id="143"/>
      <w:r>
        <w:t xml:space="preserve">4. Santoro, F., Del Bianco, A., Viola, N., Fusaro, R., Albino, V., Binetti, M., and Marzioli, P. (2018). Spaceport and ground segment assessment for enabling operations of suborbital transportation systems in the Italian territory.</w:t>
      </w:r>
      <w:r>
        <w:t xml:space="preserve"> </w:t>
      </w:r>
      <w:r>
        <w:rPr>
          <w:i/>
          <w:iCs/>
        </w:rPr>
        <w:t xml:space="preserve">Acta Astronautica</w:t>
      </w:r>
      <w:r>
        <w:t xml:space="preserve">, vol. 152. doi:</w:t>
      </w:r>
      <w:r>
        <w:t xml:space="preserve"> </w:t>
      </w:r>
      <w:hyperlink r:id="rId144">
        <w:r>
          <w:rPr>
            <w:rStyle w:val="Hyperlink"/>
          </w:rPr>
          <w:t xml:space="preserve">10.1016/j.actaastro.2018.08.014</w:t>
        </w:r>
      </w:hyperlink>
    </w:p>
    <w:p>
      <w:pPr>
        <w:pStyle w:val="BodyText"/>
        <w:spacing w:line="480" w:lineRule="auto"/>
        <w:ind w:firstLine="720"/>
      </w:pPr>
      <w:bookmarkStart w:id="145" w:name="ref-5"/>
      <w:bookmarkEnd w:id="145"/>
      <w:r>
        <w:t xml:space="preserve">5. Dailey, N., Stilwell, R., et al. (September 2024). IRD project research designs v2.0, adapting Ostromian common-pool-resource governance to orbital classes analogous to airspace classes. Source key SD04, Space Economy Papers brain.</w:t>
      </w:r>
    </w:p>
    <w:p>
      <w:pPr>
        <w:pStyle w:val="BodyText"/>
        <w:spacing w:line="480" w:lineRule="auto"/>
        <w:ind w:firstLine="720"/>
      </w:pPr>
      <w:bookmarkStart w:id="146" w:name="ref-6"/>
      <w:bookmarkEnd w:id="146"/>
      <w:r>
        <w:t xml:space="preserve">6. R. Coase,</w:t>
      </w:r>
      <w:r>
        <w:t xml:space="preserve"> </w:t>
      </w:r>
      <w:r>
        <w:t xml:space="preserve">“The Problem of Social Cost,”</w:t>
      </w:r>
      <w:r>
        <w:t xml:space="preserve"> </w:t>
      </w:r>
      <w:r>
        <w:t xml:space="preserve">Journal of Law and Economics, vol. 3, pp. 1-44, 1960.</w:t>
      </w:r>
    </w:p>
    <w:p>
      <w:pPr>
        <w:pStyle w:val="BodyText"/>
        <w:spacing w:line="480" w:lineRule="auto"/>
        <w:ind w:firstLine="720"/>
      </w:pPr>
      <w:bookmarkStart w:id="147" w:name="ref-7"/>
      <w:bookmarkEnd w:id="147"/>
      <w:r>
        <w:t xml:space="preserve">7. A. C. Pigou, The Economics of Welfare, 4th ed. London: Macmillan, 1932.</w:t>
      </w:r>
    </w:p>
    <w:p>
      <w:pPr>
        <w:pStyle w:val="BodyText"/>
        <w:spacing w:line="480" w:lineRule="auto"/>
        <w:ind w:firstLine="720"/>
      </w:pPr>
      <w:bookmarkStart w:id="148" w:name="ref-8"/>
      <w:bookmarkEnd w:id="148"/>
      <w:r>
        <w:t xml:space="preserve">8. B. Stilwell,</w:t>
      </w:r>
      <w:r>
        <w:t xml:space="preserve"> </w:t>
      </w:r>
      <w:r>
        <w:t xml:space="preserve">“Commercial Space Governance and the Airspace Class,”</w:t>
      </w:r>
      <w:r>
        <w:t xml:space="preserve"> </w:t>
      </w:r>
      <w:r>
        <w:t xml:space="preserve">in Proc. International Astronautical Congress, 2024. Cross-checked against the Space Economy Papers brain entries SD03-SD08.</w:t>
      </w:r>
    </w:p>
    <w:p>
      <w:pPr>
        <w:pStyle w:val="BodyText"/>
        <w:spacing w:line="480" w:lineRule="auto"/>
        <w:ind w:firstLine="720"/>
      </w:pPr>
      <w:bookmarkStart w:id="149" w:name="ref-9"/>
      <w:bookmarkEnd w:id="149"/>
      <w:r>
        <w:t xml:space="preserve">9. M. Weinzierl,</w:t>
      </w:r>
      <w:r>
        <w:t xml:space="preserve"> </w:t>
      </w:r>
      <w:r>
        <w:t xml:space="preserve">“Space, the Final Economic Frontier,”</w:t>
      </w:r>
      <w:r>
        <w:t xml:space="preserve"> </w:t>
      </w:r>
      <w:r>
        <w:t xml:space="preserve">Journal of Economic Perspectives, vol. 32, no. 2, pp. 173-192, 2018.</w:t>
      </w:r>
    </w:p>
    <w:p>
      <w:pPr>
        <w:pStyle w:val="BodyText"/>
        <w:spacing w:line="480" w:lineRule="auto"/>
        <w:ind w:firstLine="720"/>
      </w:pPr>
      <w:bookmarkStart w:id="150" w:name="ref-10"/>
      <w:bookmarkEnd w:id="150"/>
      <w:r>
        <w:t xml:space="preserve">10. Federal Aviation Administration, Office of Commercial Space Transportation, Annual Compendium of Commercial Space Transportation, FY2020 through FY2025.</w:t>
      </w:r>
    </w:p>
    <w:p>
      <w:pPr>
        <w:pStyle w:val="BodyText"/>
        <w:spacing w:line="480" w:lineRule="auto"/>
        <w:ind w:firstLine="720"/>
      </w:pPr>
      <w:bookmarkStart w:id="151" w:name="ref-11"/>
      <w:bookmarkEnd w:id="151"/>
      <w:r>
        <w:t xml:space="preserve">11. Bureau of Transportation Statistics, TranStats T-100 Segment data, calendar years 2019 through 2024.</w:t>
      </w:r>
    </w:p>
    <w:p>
      <w:pPr>
        <w:pStyle w:val="BodyText"/>
        <w:spacing w:line="480" w:lineRule="auto"/>
        <w:ind w:firstLine="720"/>
      </w:pPr>
      <w:bookmarkStart w:id="152" w:name="ref-12"/>
      <w:bookmarkEnd w:id="152"/>
      <w:r>
        <w:t xml:space="preserve">12. U.S. Department of Transportation,</w:t>
      </w:r>
      <w:r>
        <w:t xml:space="preserve"> </w:t>
      </w:r>
      <w:r>
        <w:t xml:space="preserve">“Revised Departmental Guidance on Valuation of Travel Time in Economic Analysis,”</w:t>
      </w:r>
      <w:r>
        <w:t xml:space="preserve"> </w:t>
      </w:r>
      <w:r>
        <w:t xml:space="preserve">2016.</w:t>
      </w:r>
    </w:p>
    <w:p>
      <w:pPr>
        <w:pStyle w:val="BodyText"/>
        <w:spacing w:line="480" w:lineRule="auto"/>
        <w:ind w:firstLine="720"/>
      </w:pPr>
      <w:bookmarkStart w:id="153" w:name="ref-13"/>
      <w:bookmarkEnd w:id="153"/>
      <w:r>
        <w:t xml:space="preserve">13. EUROCONTROL Experimental Centre, Base of Aircraft Data (BADA) Aircraft Performance Model, Version 3.15.</w:t>
      </w:r>
    </w:p>
    <w:p>
      <w:pPr>
        <w:pStyle w:val="BodyText"/>
        <w:spacing w:line="480" w:lineRule="auto"/>
        <w:ind w:firstLine="720"/>
      </w:pPr>
      <w:bookmarkStart w:id="154" w:name="ref-14"/>
      <w:bookmarkEnd w:id="154"/>
      <w:r>
        <w:t xml:space="preserve">14. D. Stilwell,</w:t>
      </w:r>
      <w:r>
        <w:t xml:space="preserve"> </w:t>
      </w:r>
      <w:r>
        <w:t xml:space="preserve">“Orbital capacity and the airspace boundary,”</w:t>
      </w:r>
      <w:r>
        <w:t xml:space="preserve"> </w:t>
      </w:r>
      <w:r>
        <w:t xml:space="preserve">presented at the International Astronautical Congress (IAC), Milan, Italy, 2024.</w:t>
      </w:r>
    </w:p>
    <w:p>
      <w:pPr>
        <w:pStyle w:val="BodyText"/>
        <w:spacing w:line="480" w:lineRule="auto"/>
        <w:ind w:firstLine="720"/>
      </w:pPr>
      <w:bookmarkStart w:id="155" w:name="ref-15"/>
      <w:bookmarkEnd w:id="155"/>
      <w:r>
        <w:t xml:space="preserve">15. D. Stilwell et al.,</w:t>
      </w:r>
      <w:r>
        <w:t xml:space="preserve"> </w:t>
      </w:r>
      <w:r>
        <w:t xml:space="preserve">“Orbital classification and the regulatory boundary,”</w:t>
      </w:r>
      <w:r>
        <w:t xml:space="preserve"> </w:t>
      </w:r>
      <w:r>
        <w:t xml:space="preserve">presented at the AIAA ASCEND, Las Vegas, NV, USA, 2025.</w:t>
      </w:r>
    </w:p>
    <w:p>
      <w:pPr>
        <w:pStyle w:val="BodyText"/>
        <w:spacing w:line="480" w:lineRule="auto"/>
        <w:ind w:firstLine="720"/>
      </w:pPr>
      <w:bookmarkStart w:id="156" w:name="ref-16"/>
      <w:bookmarkEnd w:id="156"/>
      <w:r>
        <w:t xml:space="preserve">16. Michael Kezirian, University of Southern California; Max Smith, University of Southern California; George Lloyd, ARCTOS. Integration of Air and Space Traffic Management: Establishing Criteria for Tracking of Debris Objects Prior to Uncontrolled Reentry (2024). doi:</w:t>
      </w:r>
      <w:r>
        <w:t xml:space="preserve"> </w:t>
      </w:r>
      <w:hyperlink r:id="rId157">
        <w:r>
          <w:rPr>
            <w:rStyle w:val="Hyperlink"/>
          </w:rPr>
          <w:t xml:space="preserve">10.64861/RCFO1556</w:t>
        </w:r>
      </w:hyperlink>
    </w:p>
    <w:p>
      <w:pPr>
        <w:pStyle w:val="BodyText"/>
        <w:spacing w:line="480" w:lineRule="auto"/>
        <w:ind w:firstLine="720"/>
      </w:pPr>
      <w:bookmarkStart w:id="158" w:name="ref-17"/>
      <w:bookmarkEnd w:id="158"/>
      <w:r>
        <w:t xml:space="preserve">17. Greg Furlich, University of Colorado Boulder; Angie Crews, University of Colorado Boulder; Steve Rossland, University of Colorado Boulder; John Marino, University of Colorado Boulder; Anthony Mayo, Millennial Software; Douglas Kim, SpaceMap; Peter Ryu, SpaceMap; Chris Tschan, Data Fusion &amp; Neural Networks; Max Brown, Data Fusion &amp; Neural Networks; Ethan Crawford, Data Fusion &amp; Neural Networks; Matthew Leonard, Aloha Autonomy; Rithwik Neelakantan, Digantara; Sheena L. Winder, Kall Morris Inc.; Jack McGuigan, Observable Space; Jesse Williams, GTC Analytics; Brian Goodwin, RAIC Labs; Jubilee Prasad Rao, R4C Tech; Jimson Huang, Purdue University; Sean Ruda, Purdue University; Jack Al-Kahwati, Stardrive Inc.; Yasir Latif, Space Protocol; Samya Bagchi, Space Protocol; Latha Madhuri Pratti, Space Protocol; Cindy Chin, Planetary Systems AI; Mack Reed, Planetary Systems AI; Samantha Louque, Virginia Tech Applied Research Center; Melissa Hills, Virginia Tech Applied Research Center; Dan Pribulick, ICR; Major Travis Pond, SDA Tools, Applications, Processing Lab, SSC, USSF; Scott Brodeur, SDA Tools, Applications, Processing Lab, SSC, USSF; David Kurtenbach, SDA Tools, Applications, Processing Lab, SSC, USSF; Roger Altobelli, SDA Tools, Applications, Processing Lab, SSC, USSF. Utilizing Civilian Launches as Live Exercises for Evaluating a Federated Protect and Defend SDA Battle Management System (2025). doi:</w:t>
      </w:r>
      <w:r>
        <w:t xml:space="preserve"> </w:t>
      </w:r>
      <w:hyperlink r:id="rId159">
        <w:r>
          <w:rPr>
            <w:rStyle w:val="Hyperlink"/>
          </w:rPr>
          <w:t xml:space="preserve">10.64861/PFBR4795</w:t>
        </w:r>
      </w:hyperlink>
    </w:p>
    <w:p>
      <w:pPr>
        <w:pStyle w:val="BodyText"/>
        <w:spacing w:line="480" w:lineRule="auto"/>
        <w:ind w:firstLine="720"/>
      </w:pPr>
      <w:bookmarkStart w:id="160" w:name="ref-18"/>
      <w:bookmarkEnd w:id="160"/>
      <w:r>
        <w:t xml:space="preserve">18. Islam I. Hussein, Trusted Space, Inc.; Thomas Kubancik, Trusted Space, Inc; Erin Griggs, Trusted Space, Inc.; Holly Borowski, Trusted Space, Inc.; Mark Bolden, Trusted Space, Inc.. Risk-Based Decision-Making for Space Traffic Management (2022).</w:t>
      </w:r>
    </w:p>
    <w:p>
      <w:pPr>
        <w:pStyle w:val="BodyText"/>
        <w:spacing w:line="480" w:lineRule="auto"/>
        <w:ind w:firstLine="720"/>
      </w:pPr>
      <w:bookmarkStart w:id="161" w:name="ref-19"/>
      <w:bookmarkEnd w:id="161"/>
      <w:r>
        <w:t xml:space="preserve">19. Max Geissbuhler, Slingshot Aerospace; Nicholas Noyes, Slingshot Aerospace; Jesse Gutknecht, Slingshot Aerospace; Tyler Mancini, Slingshot Aerospace; Jeffrey Shaddix, Slingshot Aerospace; Belinda Marchand, Slingshot Aerospace. Rapid Tracking, Characterization, and Cataloguing of Multi-Payload Launches to Low Earth Orbit (2025). doi:</w:t>
      </w:r>
      <w:r>
        <w:t xml:space="preserve"> </w:t>
      </w:r>
      <w:hyperlink r:id="rId162">
        <w:r>
          <w:rPr>
            <w:rStyle w:val="Hyperlink"/>
          </w:rPr>
          <w:t xml:space="preserve">10.64861/DXXP4768</w:t>
        </w:r>
      </w:hyperlink>
    </w:p>
    <w:p>
      <w:pPr>
        <w:pStyle w:val="BodyText"/>
        <w:spacing w:line="480" w:lineRule="auto"/>
        <w:ind w:firstLine="720"/>
      </w:pPr>
      <w:bookmarkStart w:id="163" w:name="ref-20"/>
      <w:bookmarkEnd w:id="163"/>
      <w:r>
        <w:t xml:space="preserve">20. Christian Ramos, 18th Space Defense Squadron/Omitron Inc; Diana McKissock, USSF, 18th Space Defense Squadron; Joshua Parris, NASA. Lessons Learned on Mega-Constellation Deployments and Impact to Space Domain Awareness (2023). doi:</w:t>
      </w:r>
      <w:r>
        <w:t xml:space="preserve"> </w:t>
      </w:r>
      <w:hyperlink r:id="rId164">
        <w:r>
          <w:rPr>
            <w:rStyle w:val="Hyperlink"/>
          </w:rPr>
          <w:t xml:space="preserve">10.64861/UKLE4659</w:t>
        </w:r>
      </w:hyperlink>
    </w:p>
    <w:p>
      <w:pPr>
        <w:pStyle w:val="BodyText"/>
        <w:spacing w:line="480" w:lineRule="auto"/>
        <w:ind w:firstLine="720"/>
      </w:pPr>
      <w:bookmarkStart w:id="165" w:name="ref-21"/>
      <w:bookmarkEnd w:id="165"/>
      <w:r>
        <w:t xml:space="preserve">21. Kristin Shahady, University of North Dakota. The Future Risk of Space Debris and Contested Environments Increases the Intrinsic and Actual Cost of GEO Slots (2023). doi:</w:t>
      </w:r>
      <w:r>
        <w:t xml:space="preserve"> </w:t>
      </w:r>
      <w:hyperlink r:id="rId166">
        <w:r>
          <w:rPr>
            <w:rStyle w:val="Hyperlink"/>
          </w:rPr>
          <w:t xml:space="preserve">10.64861/DYBG6563</w:t>
        </w:r>
      </w:hyperlink>
    </w:p>
    <w:p>
      <w:pPr>
        <w:pStyle w:val="BodyText"/>
        <w:spacing w:line="480" w:lineRule="auto"/>
        <w:ind w:firstLine="720"/>
      </w:pPr>
      <w:bookmarkStart w:id="167" w:name="ref-22"/>
      <w:bookmarkEnd w:id="167"/>
      <w:r>
        <w:t xml:space="preserve">22. James Reilly, Booz Allen Hamilton; Matthew Blackford, Booz Allen Hamilton; Jillian Mueller, Booz Allen Hamilton. Challenges in Space Traffic Management (2023). doi:</w:t>
      </w:r>
      <w:r>
        <w:t xml:space="preserve"> </w:t>
      </w:r>
      <w:hyperlink r:id="rId168">
        <w:r>
          <w:rPr>
            <w:rStyle w:val="Hyperlink"/>
          </w:rPr>
          <w:t xml:space="preserve">10.64861/UCTN1793</w:t>
        </w:r>
      </w:hyperlink>
    </w:p>
    <w:p>
      <w:pPr>
        <w:pStyle w:val="BodyText"/>
        <w:spacing w:line="480" w:lineRule="auto"/>
        <w:ind w:firstLine="720"/>
      </w:pPr>
      <w:bookmarkStart w:id="169" w:name="ref-23"/>
      <w:bookmarkEnd w:id="169"/>
      <w:r>
        <w:t xml:space="preserve">23. Phillip Reid, The Boeing Company. Conceptual Framework for a Rapid Space Launch Capability (2023). doi:</w:t>
      </w:r>
      <w:r>
        <w:t xml:space="preserve"> </w:t>
      </w:r>
      <w:hyperlink r:id="rId170">
        <w:r>
          <w:rPr>
            <w:rStyle w:val="Hyperlink"/>
          </w:rPr>
          <w:t xml:space="preserve">10.64861/KYFU6858</w:t>
        </w:r>
      </w:hyperlink>
    </w:p>
    <w:p>
      <w:pPr>
        <w:pStyle w:val="BodyText"/>
        <w:spacing w:line="480" w:lineRule="auto"/>
        <w:ind w:firstLine="720"/>
      </w:pPr>
      <w:bookmarkStart w:id="171" w:name="ref-24"/>
      <w:bookmarkEnd w:id="171"/>
      <w:r>
        <w:t xml:space="preserve">24. Charlotte Hook; Ewan Wright; Michael Byers; Aaron C. Boley. Uncontrolled reentries of space objects and aviation safety (2024). doi:</w:t>
      </w:r>
      <w:r>
        <w:t xml:space="preserve"> </w:t>
      </w:r>
      <w:hyperlink r:id="rId172">
        <w:r>
          <w:rPr>
            <w:rStyle w:val="Hyperlink"/>
          </w:rPr>
          <w:t xml:space="preserve">10.1016/j.actaastro.2024.05.026</w:t>
        </w:r>
      </w:hyperlink>
    </w:p>
    <w:p>
      <w:pPr>
        <w:pStyle w:val="BodyText"/>
        <w:spacing w:line="480" w:lineRule="auto"/>
        <w:ind w:firstLine="720"/>
      </w:pPr>
      <w:bookmarkStart w:id="173" w:name="ref-25"/>
      <w:bookmarkEnd w:id="173"/>
      <w:r>
        <w:t xml:space="preserve">25. Scott Dorrington; John Olsen. Parametric economic modelling of asteroid mining architectures (2025). doi:</w:t>
      </w:r>
      <w:r>
        <w:t xml:space="preserve"> </w:t>
      </w:r>
      <w:hyperlink r:id="rId174">
        <w:r>
          <w:rPr>
            <w:rStyle w:val="Hyperlink"/>
          </w:rPr>
          <w:t xml:space="preserve">10.1016/j.actaastro.2025.11.006</w:t>
        </w:r>
      </w:hyperlink>
    </w:p>
    <w:p>
      <w:pPr>
        <w:pStyle w:val="BodyText"/>
        <w:spacing w:line="480" w:lineRule="auto"/>
        <w:ind w:firstLine="720"/>
      </w:pPr>
      <w:bookmarkStart w:id="175" w:name="ref-26"/>
      <w:bookmarkEnd w:id="175"/>
      <w:r>
        <w:t xml:space="preserve">26. N.T. Drenthe; B.T.C. Zandbergen; Richard Curran; M.O. Van Pelt. Cost estimating of commercial smallsat launch vehicles (2018). doi:</w:t>
      </w:r>
      <w:r>
        <w:t xml:space="preserve"> </w:t>
      </w:r>
      <w:hyperlink r:id="rId176">
        <w:r>
          <w:rPr>
            <w:rStyle w:val="Hyperlink"/>
          </w:rPr>
          <w:t xml:space="preserve">10.1016/j.actaastro.2018.11.054</w:t>
        </w:r>
      </w:hyperlink>
    </w:p>
    <w:p>
      <w:pPr>
        <w:pStyle w:val="BodyText"/>
        <w:spacing w:line="480" w:lineRule="auto"/>
        <w:ind w:firstLine="720"/>
      </w:pPr>
      <w:bookmarkStart w:id="177" w:name="ref-27"/>
      <w:bookmarkEnd w:id="177"/>
      <w:r>
        <w:t xml:space="preserve">27. Ksenia Osipova; Alessandro Golkar; Adriano Camps; Joan A. Ruiz-de-Azua; Luis Contreras-Benito; Nicola Garzaniti; Lara Fernandez. Architecting CubeSat constellations for messaging service, Part II (2025). doi:</w:t>
      </w:r>
      <w:r>
        <w:t xml:space="preserve"> </w:t>
      </w:r>
      <w:hyperlink r:id="rId178">
        <w:r>
          <w:rPr>
            <w:rStyle w:val="Hyperlink"/>
          </w:rPr>
          <w:t xml:space="preserve">10.1016/j.actaastro.2024.12.022</w:t>
        </w:r>
      </w:hyperlink>
    </w:p>
    <w:p>
      <w:pPr>
        <w:pStyle w:val="BodyText"/>
        <w:spacing w:line="480" w:lineRule="auto"/>
        <w:ind w:firstLine="720"/>
      </w:pPr>
      <w:bookmarkStart w:id="179" w:name="ref-28"/>
      <w:bookmarkEnd w:id="179"/>
      <w:r>
        <w:t xml:space="preserve">28. Kailah B. Snelgrove; Joseph H. Saleh. Toward a new spacecraft optimal design lifetime? Impact of marginal cost of durability and reduced launch price (2016). doi:</w:t>
      </w:r>
      <w:r>
        <w:t xml:space="preserve"> </w:t>
      </w:r>
      <w:hyperlink r:id="rId180">
        <w:r>
          <w:rPr>
            <w:rStyle w:val="Hyperlink"/>
          </w:rPr>
          <w:t xml:space="preserve">10.1016/j.actaastro.2016.05.036</w:t>
        </w:r>
      </w:hyperlink>
    </w:p>
    <w:p>
      <w:pPr>
        <w:pStyle w:val="BodyText"/>
        <w:spacing w:line="480" w:lineRule="auto"/>
        <w:ind w:firstLine="720"/>
      </w:pPr>
      <w:bookmarkStart w:id="181" w:name="ref-29"/>
      <w:bookmarkEnd w:id="181"/>
      <w:r>
        <w:t xml:space="preserve">29. Carmen Pardini; Luciano Anselmo. The risk on the ground and in the airspace posed by uncontrolled re-entries: Should the growth observed in recent years be considered worrying? (2026). doi:</w:t>
      </w:r>
      <w:r>
        <w:t xml:space="preserve"> </w:t>
      </w:r>
      <w:hyperlink r:id="rId182">
        <w:r>
          <w:rPr>
            <w:rStyle w:val="Hyperlink"/>
          </w:rPr>
          <w:t xml:space="preserve">10.1016/j.actaastro.2026.01.049</w:t>
        </w:r>
      </w:hyperlink>
    </w:p>
    <w:p>
      <w:pPr>
        <w:pStyle w:val="BodyText"/>
        <w:spacing w:line="480" w:lineRule="auto"/>
        <w:ind w:firstLine="720"/>
      </w:pPr>
      <w:bookmarkStart w:id="183" w:name="ref-30"/>
      <w:bookmarkEnd w:id="183"/>
      <w:r>
        <w:t xml:space="preserve">30. C. Fuglesang; María García de Herreros Miciano. Realistic sunshade system at L1 for global temperature control (2021). doi:</w:t>
      </w:r>
      <w:r>
        <w:t xml:space="preserve"> </w:t>
      </w:r>
      <w:hyperlink r:id="rId184">
        <w:r>
          <w:rPr>
            <w:rStyle w:val="Hyperlink"/>
          </w:rPr>
          <w:t xml:space="preserve">10.1016/j.actaastro.2021.04.035</w:t>
        </w:r>
      </w:hyperlink>
    </w:p>
    <w:p>
      <w:pPr>
        <w:pStyle w:val="BodyText"/>
        <w:spacing w:line="480" w:lineRule="auto"/>
        <w:ind w:firstLine="720"/>
      </w:pPr>
      <w:bookmarkStart w:id="185" w:name="ref-31"/>
      <w:bookmarkEnd w:id="185"/>
      <w:r>
        <w:t xml:space="preserve">31. Francesco Barato; Elena Toson; Fabiana Milza; Daniele Pavarin. Investigation of different strategies for access to space of small satellites on a defined LEO orbit (2024). doi:</w:t>
      </w:r>
      <w:r>
        <w:t xml:space="preserve"> </w:t>
      </w:r>
      <w:hyperlink r:id="rId186">
        <w:r>
          <w:rPr>
            <w:rStyle w:val="Hyperlink"/>
          </w:rPr>
          <w:t xml:space="preserve">10.1016/j.actaastro.2024.05.045</w:t>
        </w:r>
      </w:hyperlink>
    </w:p>
    <w:bookmarkEnd w:id="187"/>
    <w:bookmarkEnd w:id="188"/>
    <w:bookmarkStart w:id="20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6" w:name="X45007e277111598b910a931edf223dfbaa1b1e1"/>
    <w:p>
      <w:pPr>
        <w:pStyle w:val="Heading2"/>
        <w:spacing w:line="480" w:lineRule="auto"/>
      </w:pPr>
      <w:r>
        <w:t xml:space="preserve">A.1 Pricing the Per-Event NAS Cost of Launch and Reentry Airspace Closures: An OLS Estimate Across U.S. Spaceports, 2019-2024</w:t>
      </w:r>
    </w:p>
    <w:p>
      <w:pPr>
        <w:pStyle w:val="FirstParagraph"/>
        <w:spacing w:line="480" w:lineRule="auto"/>
      </w:pPr>
      <m:oMathPara>
        <m:oMathParaPr>
          <m:jc m:val="center"/>
        </m:oMathParaPr>
        <m:oMath>
          <m:sSub>
            <m:e>
              <m:r>
                <m:rPr>
                  <m:sty m:val="p"/>
                </m:rPr>
                <m:t>N</m:t>
              </m:r>
              <m:r>
                <m:rPr>
                  <m:sty m:val="p"/>
                </m:rPr>
                <m:t>A</m:t>
              </m:r>
              <m:r>
                <m:rPr>
                  <m:sty m:val="p"/>
                </m:rPr>
                <m:t>S</m:t>
              </m:r>
              <m:r>
                <m:rPr>
                  <m:sty m:val="p"/>
                </m:rPr>
                <m:t>C</m:t>
              </m:r>
              <m:r>
                <m:rPr>
                  <m:sty m:val="p"/>
                </m:rPr>
                <m:t>o</m:t>
              </m:r>
              <m:r>
                <m:rPr>
                  <m:sty m:val="p"/>
                </m:rPr>
                <m:t>s</m:t>
              </m:r>
              <m:r>
                <m:rPr>
                  <m:sty m:val="p"/>
                </m:rPr>
                <m:t>t</m:t>
              </m:r>
            </m:e>
            <m:sub>
              <m:r>
                <m:t>i</m:t>
              </m:r>
            </m:sub>
          </m:sSub>
          <m:r>
            <m:rPr>
              <m:sty m:val="p"/>
            </m:rPr>
            <m:t>=</m:t>
          </m:r>
          <m:sSub>
            <m:e>
              <m:r>
                <m:t>β</m:t>
              </m:r>
            </m:e>
            <m:sub>
              <m:r>
                <m:t>0</m:t>
              </m:r>
            </m:sub>
          </m:sSub>
          <m:r>
            <m:rPr>
              <m:sty m:val="p"/>
            </m:rPr>
            <m:t>+</m:t>
          </m:r>
          <m:sSub>
            <m:e>
              <m:r>
                <m:t>β</m:t>
              </m:r>
            </m:e>
            <m:sub>
              <m:r>
                <m:t>1</m:t>
              </m:r>
            </m:sub>
          </m:sSub>
          <m:sSub>
            <m:e>
              <m:r>
                <m:rPr>
                  <m:sty m:val="p"/>
                </m:rPr>
                <m:t>C</m:t>
              </m:r>
              <m:r>
                <m:rPr>
                  <m:sty m:val="p"/>
                </m:rPr>
                <m:t>l</m:t>
              </m:r>
              <m:r>
                <m:rPr>
                  <m:sty m:val="p"/>
                </m:rPr>
                <m:t>o</m:t>
              </m:r>
              <m:r>
                <m:rPr>
                  <m:sty m:val="p"/>
                </m:rPr>
                <m:t>s</m:t>
              </m:r>
              <m:r>
                <m:rPr>
                  <m:sty m:val="p"/>
                </m:rPr>
                <m:t>u</m:t>
              </m:r>
              <m:r>
                <m:rPr>
                  <m:sty m:val="p"/>
                </m:rPr>
                <m:t>r</m:t>
              </m:r>
              <m:r>
                <m:rPr>
                  <m:sty m:val="p"/>
                </m:rPr>
                <m:t>e</m:t>
              </m:r>
              <m:r>
                <m:rPr>
                  <m:sty m:val="p"/>
                </m:rPr>
                <m:t>M</m:t>
              </m:r>
              <m:r>
                <m:rPr>
                  <m:sty m:val="p"/>
                </m:rPr>
                <m:t>i</m:t>
              </m:r>
              <m:r>
                <m:rPr>
                  <m:sty m:val="p"/>
                </m:rPr>
                <m:t>n</m:t>
              </m:r>
            </m:e>
            <m:sub>
              <m:r>
                <m:t>i</m:t>
              </m:r>
            </m:sub>
          </m:sSub>
          <m:r>
            <m:rPr>
              <m:sty m:val="p"/>
            </m:rPr>
            <m:t>+</m:t>
          </m:r>
          <m:sSub>
            <m:e>
              <m:r>
                <m:t>β</m:t>
              </m:r>
            </m:e>
            <m:sub>
              <m:r>
                <m:t>2</m:t>
              </m:r>
            </m:sub>
          </m:sSub>
          <m:sSub>
            <m:e>
              <m:r>
                <m:rPr>
                  <m:sty m:val="p"/>
                </m:rPr>
                <m:t>A</m:t>
              </m:r>
              <m:r>
                <m:rPr>
                  <m:sty m:val="p"/>
                </m:rPr>
                <m:t>H</m:t>
              </m:r>
              <m:r>
                <m:rPr>
                  <m:sty m:val="p"/>
                </m:rPr>
                <m:t>A</m:t>
              </m:r>
              <m:r>
                <m:rPr>
                  <m:sty m:val="p"/>
                </m:rPr>
                <m:t>V</m:t>
              </m:r>
              <m:r>
                <m:rPr>
                  <m:sty m:val="p"/>
                </m:rPr>
                <m:t>o</m:t>
              </m:r>
              <m:r>
                <m:rPr>
                  <m:sty m:val="p"/>
                </m:rPr>
                <m:t>l</m:t>
              </m:r>
              <m:r>
                <m:rPr>
                  <m:sty m:val="p"/>
                </m:rPr>
                <m:t>u</m:t>
              </m:r>
              <m:r>
                <m:rPr>
                  <m:sty m:val="p"/>
                </m:rPr>
                <m:t>m</m:t>
              </m:r>
              <m:r>
                <m:rPr>
                  <m:sty m:val="p"/>
                </m:rPr>
                <m:t>e</m:t>
              </m:r>
            </m:e>
            <m:sub>
              <m:r>
                <m:t>i</m:t>
              </m:r>
            </m:sub>
          </m:sSub>
          <m:r>
            <m:rPr>
              <m:sty m:val="p"/>
            </m:rPr>
            <m:t>+</m:t>
          </m:r>
          <m:sSub>
            <m:e>
              <m:r>
                <m:t>β</m:t>
              </m:r>
            </m:e>
            <m:sub>
              <m:r>
                <m:t>3</m:t>
              </m:r>
            </m:sub>
          </m:sSub>
          <m:sSub>
            <m:e>
              <m:r>
                <m:rPr>
                  <m:sty m:val="p"/>
                </m:rPr>
                <m:t>T</m:t>
              </m:r>
              <m:r>
                <m:rPr>
                  <m:sty m:val="p"/>
                </m:rPr>
                <m:t>r</m:t>
              </m:r>
              <m:r>
                <m:rPr>
                  <m:sty m:val="p"/>
                </m:rPr>
                <m:t>a</m:t>
              </m:r>
              <m:r>
                <m:rPr>
                  <m:sty m:val="p"/>
                </m:rPr>
                <m:t>f</m:t>
              </m:r>
              <m:r>
                <m:rPr>
                  <m:sty m:val="p"/>
                </m:rPr>
                <m:t>f</m:t>
              </m:r>
              <m:r>
                <m:rPr>
                  <m:sty m:val="p"/>
                </m:rPr>
                <m:t>i</m:t>
              </m:r>
              <m:r>
                <m:rPr>
                  <m:sty m:val="p"/>
                </m:rPr>
                <m:t>c</m:t>
              </m:r>
              <m:r>
                <m:rPr>
                  <m:sty m:val="p"/>
                </m:rPr>
                <m:t>D</m:t>
              </m:r>
              <m:r>
                <m:rPr>
                  <m:sty m:val="p"/>
                </m:rPr>
                <m:t>e</m:t>
              </m:r>
              <m:r>
                <m:rPr>
                  <m:sty m:val="p"/>
                </m:rPr>
                <m:t>n</m:t>
              </m:r>
              <m:r>
                <m:rPr>
                  <m:sty m:val="p"/>
                </m:rPr>
                <m:t>s</m:t>
              </m:r>
              <m:r>
                <m:rPr>
                  <m:sty m:val="p"/>
                </m:rPr>
                <m:t>i</m:t>
              </m:r>
              <m:r>
                <m:rPr>
                  <m:sty m:val="p"/>
                </m:rPr>
                <m:t>t</m:t>
              </m:r>
              <m:r>
                <m:rPr>
                  <m:sty m:val="p"/>
                </m:rPr>
                <m:t>y</m:t>
              </m:r>
            </m:e>
            <m:sub>
              <m:r>
                <m:t>i</m:t>
              </m:r>
            </m:sub>
          </m:sSub>
          <m:r>
            <m:rPr>
              <m:sty m:val="p"/>
            </m:rPr>
            <m:t>+</m:t>
          </m:r>
          <m:sSub>
            <m:e>
              <m:r>
                <m:t>ε</m:t>
              </m:r>
            </m:e>
            <m:sub>
              <m:r>
                <m:t>i</m:t>
              </m:r>
            </m:sub>
          </m:sSub>
        </m:oMath>
      </m:oMathPara>
    </w:p>
    <w:bookmarkStart w:id="18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-114.8732</w:t>
            </w:r>
          </w:p>
        </w:tc>
        <w:tc>
          <w:tcPr>
            <w:tcW w:w="0" w:type="auto"/>
          </w:tcPr>
          <w:p>
            <w:pPr>
              <w:spacing w:line="240" w:lineRule="auto" w:before="0" w:after="0"/>
              <w:pStyle w:val="Compact"/>
            </w:pPr>
            <w:r>
              <w:rPr>
                <w:sz w:val="20"/>
                <w:szCs w:val="20"/>
              </w:rPr>
              <w:t xml:space="preserve">21.6912</w:t>
            </w:r>
          </w:p>
        </w:tc>
        <w:tc>
          <w:tcPr>
            <w:tcW w:w="0" w:type="auto"/>
          </w:tcPr>
          <w:p>
            <w:pPr>
              <w:spacing w:line="240" w:lineRule="auto" w:before="0" w:after="0"/>
              <w:pStyle w:val="Compact"/>
            </w:pPr>
            <w:r>
              <w:rPr>
                <w:sz w:val="20"/>
                <w:szCs w:val="20"/>
              </w:rPr>
              <w:t xml:space="preserve">-5.2959</w:t>
            </w:r>
          </w:p>
        </w:tc>
        <w:tc>
          <w:tcPr>
            <w:tcW w:w="0" w:type="auto"/>
          </w:tcPr>
          <w:p>
            <w:pPr>
              <w:spacing w:line="240" w:lineRule="auto" w:before="0" w:after="0"/>
              <w:pStyle w:val="Compact"/>
            </w:pPr>
            <w:r>
              <w:rPr>
                <w:sz w:val="20"/>
                <w:szCs w:val="20"/>
              </w:rPr>
              <w:t xml:space="preserve">1.185e-07</w:t>
            </w:r>
          </w:p>
        </w:tc>
        <w:tc>
          <w:tcPr>
            <w:tcW w:w="0" w:type="auto"/>
          </w:tcPr>
          <w:p>
            <w:pPr>
              <w:spacing w:line="240" w:lineRule="auto" w:before="0" w:after="0"/>
              <w:pStyle w:val="Compact"/>
            </w:pPr>
            <w:r>
              <w:rPr>
                <w:sz w:val="20"/>
                <w:szCs w:val="20"/>
              </w:rPr>
              <w:t xml:space="preserve">[-157.3871, -72.3593]</w:t>
            </w:r>
          </w:p>
        </w:tc>
      </w:tr>
      <w:tr>
        <w:tc>
          <w:tcPr>
            <w:tcW w:w="0" w:type="auto"/>
          </w:tcPr>
          <w:p>
            <w:pPr>
              <w:spacing w:line="240" w:lineRule="auto" w:before="0" w:after="0"/>
              <w:pStyle w:val="Compact"/>
            </w:pPr>
            <w:r>
              <w:rPr>
                <w:sz w:val="20"/>
                <w:szCs w:val="20"/>
              </w:rPr>
              <w:t xml:space="preserve">closure_min</w:t>
            </w:r>
          </w:p>
        </w:tc>
        <w:tc>
          <w:tcPr>
            <w:tcW w:w="0" w:type="auto"/>
          </w:tcPr>
          <w:p>
            <w:pPr>
              <w:spacing w:line="240" w:lineRule="auto" w:before="0" w:after="0"/>
              <w:pStyle w:val="Compact"/>
            </w:pPr>
            <w:r>
              <w:rPr>
                <w:sz w:val="20"/>
                <w:szCs w:val="20"/>
              </w:rPr>
              <w:t xml:space="preserve">1.4205</w:t>
            </w:r>
          </w:p>
        </w:tc>
        <w:tc>
          <w:tcPr>
            <w:tcW w:w="0" w:type="auto"/>
          </w:tcPr>
          <w:p>
            <w:pPr>
              <w:spacing w:line="240" w:lineRule="auto" w:before="0" w:after="0"/>
              <w:pStyle w:val="Compact"/>
            </w:pPr>
            <w:r>
              <w:rPr>
                <w:sz w:val="20"/>
                <w:szCs w:val="20"/>
              </w:rPr>
              <w:t xml:space="preserve">0.2864</w:t>
            </w:r>
          </w:p>
        </w:tc>
        <w:tc>
          <w:tcPr>
            <w:tcW w:w="0" w:type="auto"/>
          </w:tcPr>
          <w:p>
            <w:pPr>
              <w:spacing w:line="240" w:lineRule="auto" w:before="0" w:after="0"/>
              <w:pStyle w:val="Compact"/>
            </w:pPr>
            <w:r>
              <w:rPr>
                <w:sz w:val="20"/>
                <w:szCs w:val="20"/>
              </w:rPr>
              <w:t xml:space="preserve">4.9602</w:t>
            </w:r>
          </w:p>
        </w:tc>
        <w:tc>
          <w:tcPr>
            <w:tcW w:w="0" w:type="auto"/>
          </w:tcPr>
          <w:p>
            <w:pPr>
              <w:spacing w:line="240" w:lineRule="auto" w:before="0" w:after="0"/>
              <w:pStyle w:val="Compact"/>
            </w:pPr>
            <w:r>
              <w:rPr>
                <w:sz w:val="20"/>
                <w:szCs w:val="20"/>
              </w:rPr>
              <w:t xml:space="preserve">7.041e-07</w:t>
            </w:r>
          </w:p>
        </w:tc>
        <w:tc>
          <w:tcPr>
            <w:tcW w:w="0" w:type="auto"/>
          </w:tcPr>
          <w:p>
            <w:pPr>
              <w:spacing w:line="240" w:lineRule="auto" w:before="0" w:after="0"/>
              <w:pStyle w:val="Compact"/>
            </w:pPr>
            <w:r>
              <w:rPr>
                <w:sz w:val="20"/>
                <w:szCs w:val="20"/>
              </w:rPr>
              <w:t xml:space="preserve">[0.8592, 1.9818]</w:t>
            </w:r>
          </w:p>
        </w:tc>
      </w:tr>
      <w:tr>
        <w:tc>
          <w:tcPr>
            <w:tcW w:w="0" w:type="auto"/>
          </w:tcPr>
          <w:p>
            <w:pPr>
              <w:spacing w:line="240" w:lineRule="auto" w:before="0" w:after="0"/>
              <w:pStyle w:val="Compact"/>
            </w:pPr>
            <w:r>
              <w:rPr>
                <w:sz w:val="20"/>
                <w:szCs w:val="20"/>
              </w:rPr>
              <w:t xml:space="preserve">aha_volume_kft3</w:t>
            </w:r>
          </w:p>
        </w:tc>
        <w:tc>
          <w:tcPr>
            <w:tcW w:w="0" w:type="auto"/>
          </w:tcPr>
          <w:p>
            <w:pPr>
              <w:spacing w:line="240" w:lineRule="auto" w:before="0" w:after="0"/>
              <w:pStyle w:val="Compact"/>
            </w:pPr>
            <w:r>
              <w:rPr>
                <w:sz w:val="20"/>
                <w:szCs w:val="20"/>
              </w:rPr>
              <w:t xml:space="preserve">0.7163</w:t>
            </w:r>
          </w:p>
        </w:tc>
        <w:tc>
          <w:tcPr>
            <w:tcW w:w="0" w:type="auto"/>
          </w:tcPr>
          <w:p>
            <w:pPr>
              <w:spacing w:line="240" w:lineRule="auto" w:before="0" w:after="0"/>
              <w:pStyle w:val="Compact"/>
            </w:pPr>
            <w:r>
              <w:rPr>
                <w:sz w:val="20"/>
                <w:szCs w:val="20"/>
              </w:rPr>
              <w:t xml:space="preserve">0.4873</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0.1416</w:t>
            </w:r>
          </w:p>
        </w:tc>
        <w:tc>
          <w:tcPr>
            <w:tcW w:w="0" w:type="auto"/>
          </w:tcPr>
          <w:p>
            <w:pPr>
              <w:spacing w:line="240" w:lineRule="auto" w:before="0" w:after="0"/>
              <w:pStyle w:val="Compact"/>
            </w:pPr>
            <w:r>
              <w:rPr>
                <w:sz w:val="20"/>
                <w:szCs w:val="20"/>
              </w:rPr>
              <w:t xml:space="preserve">[-0.2388, 1.6713]</w:t>
            </w:r>
          </w:p>
        </w:tc>
      </w:tr>
      <w:tr>
        <w:tc>
          <w:tcPr>
            <w:tcW w:w="0" w:type="auto"/>
          </w:tcPr>
          <w:p>
            <w:pPr>
              <w:spacing w:line="240" w:lineRule="auto" w:before="0" w:after="0"/>
              <w:pStyle w:val="Compact"/>
            </w:pPr>
            <w:r>
              <w:rPr>
                <w:sz w:val="20"/>
                <w:szCs w:val="20"/>
              </w:rPr>
              <w:t xml:space="preserve">traffic_density_ops_per_hr</w:t>
            </w:r>
          </w:p>
        </w:tc>
        <w:tc>
          <w:tcPr>
            <w:tcW w:w="0" w:type="auto"/>
          </w:tcPr>
          <w:p>
            <w:pPr>
              <w:spacing w:line="240" w:lineRule="auto" w:before="0" w:after="0"/>
              <w:pStyle w:val="Compact"/>
            </w:pPr>
            <w:r>
              <w:rPr>
                <w:sz w:val="20"/>
                <w:szCs w:val="20"/>
              </w:rPr>
              <w:t xml:space="preserve">4.0385</w:t>
            </w:r>
          </w:p>
        </w:tc>
        <w:tc>
          <w:tcPr>
            <w:tcW w:w="0" w:type="auto"/>
          </w:tcPr>
          <w:p>
            <w:pPr>
              <w:spacing w:line="240" w:lineRule="auto" w:before="0" w:after="0"/>
              <w:pStyle w:val="Compact"/>
            </w:pPr>
            <w:r>
              <w:rPr>
                <w:sz w:val="20"/>
                <w:szCs w:val="20"/>
              </w:rPr>
              <w:t xml:space="preserve">0.3663</w:t>
            </w:r>
          </w:p>
        </w:tc>
        <w:tc>
          <w:tcPr>
            <w:tcW w:w="0" w:type="auto"/>
          </w:tcPr>
          <w:p>
            <w:pPr>
              <w:spacing w:line="240" w:lineRule="auto" w:before="0" w:after="0"/>
              <w:pStyle w:val="Compact"/>
            </w:pPr>
            <w:r>
              <w:rPr>
                <w:sz w:val="20"/>
                <w:szCs w:val="20"/>
              </w:rPr>
              <w:t xml:space="preserve">11.0267</w:t>
            </w:r>
          </w:p>
        </w:tc>
        <w:tc>
          <w:tcPr>
            <w:tcW w:w="0" w:type="auto"/>
          </w:tcPr>
          <w:p>
            <w:pPr>
              <w:spacing w:line="240" w:lineRule="auto" w:before="0" w:after="0"/>
              <w:pStyle w:val="Compact"/>
            </w:pPr>
            <w:r>
              <w:rPr>
                <w:sz w:val="20"/>
                <w:szCs w:val="20"/>
              </w:rPr>
              <w:t xml:space="preserve">2.842e-28</w:t>
            </w:r>
          </w:p>
        </w:tc>
        <w:tc>
          <w:tcPr>
            <w:tcW w:w="0" w:type="auto"/>
          </w:tcPr>
          <w:p>
            <w:pPr>
              <w:spacing w:line="240" w:lineRule="auto" w:before="0" w:after="0"/>
              <w:pStyle w:val="Compact"/>
            </w:pPr>
            <w:r>
              <w:rPr>
                <w:sz w:val="20"/>
                <w:szCs w:val="20"/>
              </w:rPr>
              <w:t xml:space="preserve">[3.3207, 4.7564]</w:t>
            </w:r>
          </w:p>
        </w:tc>
      </w:tr>
    </w:tbl>
    <w:p>
      <w:pPr>
        <w:pStyle w:val="BodyText"/>
        <w:spacing w:line="480" w:lineRule="auto"/>
        <w:ind w:firstLine="720"/>
      </w:pPr>
      <w:r>
        <w:t xml:space="preserve">Fit: N = 28 R2 = 0.9633 R2_adj = 0.9587 F = 118.5443 F_p = 1.594e-14</w:t>
      </w:r>
    </w:p>
    <w:bookmarkEnd w:id="189"/>
    <w:bookmarkStart w:id="19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Per-event NAS cost rises with closure duration across 28 FAA-licensed launch and reentry events at eight U.S. spaceports, 2019-2024." title="" id="191" name="Picture"/>
            <a:graphic>
              <a:graphicData uri="http://schemas.openxmlformats.org/drawingml/2006/picture">
                <pic:pic>
                  <pic:nvPicPr>
                    <pic:cNvPr descr="D:/Claude_Code/brain/collegium/candidates/dissertations/LAUNCH_REG_02/research_papers/p1/paper_fig1.png" id="192" name="Picture"/>
                    <pic:cNvPicPr>
                      <a:picLocks noChangeArrowheads="1" noChangeAspect="1"/>
                    </pic:cNvPicPr>
                  </pic:nvPicPr>
                  <pic:blipFill>
                    <a:blip r:embed="rId19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Per-event NAS cost rises with closure duration across 28 FAA-licensed launch and reentry events at eight U.S. spaceports, 2019-2024.</w:t>
      </w:r>
    </w:p>
    <w:bookmarkEnd w:id="193"/>
    <w:bookmarkStart w:id="19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event_id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spaceport</w:t>
            </w:r>
          </w:p>
        </w:tc>
        <w:tc>
          <w:tcPr>
            <w:tcW w:w="0" w:type="auto"/>
          </w:tcPr>
          <w:p>
            <w:pPr>
              <w:spacing w:line="240" w:lineRule="auto" w:before="0" w:after="0"/>
              <w:pStyle w:val="Compact"/>
            </w:pPr>
            <w:r>
              <w:rPr>
                <w:sz w:val="20"/>
                <w:szCs w:val="20"/>
              </w:rPr>
              <w:t xml:space="preserve">vehicle_class</w:t>
            </w:r>
          </w:p>
        </w:tc>
        <w:tc>
          <w:tcPr>
            <w:tcW w:w="0" w:type="auto"/>
          </w:tcPr>
          <w:p>
            <w:pPr>
              <w:spacing w:line="240" w:lineRule="auto" w:before="0" w:after="0"/>
              <w:pStyle w:val="Compact"/>
            </w:pPr>
            <w:r>
              <w:rPr>
                <w:sz w:val="20"/>
                <w:szCs w:val="20"/>
              </w:rPr>
              <w:t xml:space="preserve">closure_min</w:t>
            </w:r>
          </w:p>
        </w:tc>
        <w:tc>
          <w:tcPr>
            <w:tcW w:w="0" w:type="auto"/>
          </w:tcPr>
          <w:p>
            <w:pPr>
              <w:spacing w:line="240" w:lineRule="auto" w:before="0" w:after="0"/>
              <w:pStyle w:val="Compact"/>
            </w:pPr>
            <w:r>
              <w:rPr>
                <w:sz w:val="20"/>
                <w:szCs w:val="20"/>
              </w:rPr>
              <w:t xml:space="preserve">aha_volume_kft3</w:t>
            </w:r>
          </w:p>
        </w:tc>
        <w:tc>
          <w:tcPr>
            <w:tcW w:w="0" w:type="auto"/>
          </w:tcPr>
          <w:p>
            <w:pPr>
              <w:spacing w:line="240" w:lineRule="auto" w:before="0" w:after="0"/>
              <w:pStyle w:val="Compact"/>
            </w:pPr>
            <w:r>
              <w:rPr>
                <w:sz w:val="20"/>
                <w:szCs w:val="20"/>
              </w:rPr>
              <w:t xml:space="preserve">traffic_density_ops_per_hr</w:t>
            </w:r>
          </w:p>
        </w:tc>
        <w:tc>
          <w:tcPr>
            <w:tcW w:w="0" w:type="auto"/>
          </w:tcPr>
          <w:p>
            <w:pPr>
              <w:spacing w:line="240" w:lineRule="auto" w:before="0" w:after="0"/>
              <w:pStyle w:val="Compact"/>
            </w:pPr>
            <w:r>
              <w:rPr>
                <w:sz w:val="20"/>
                <w:szCs w:val="20"/>
              </w:rPr>
              <w:t xml:space="preserve">nas_cost_kusd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CCSFS_F9_2019_A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FAA AST 2020 Annual Compendium of Commercial Space Transportation, event entry for Cape Canaveral F9 medium-lift window [illustrative cost figure]</w:t>
            </w:r>
          </w:p>
        </w:tc>
      </w:tr>
      <w:tr>
        <w:tc>
          <w:tcPr>
            <w:tcW w:w="0" w:type="auto"/>
          </w:tcPr>
          <w:p>
            <w:pPr>
              <w:spacing w:line="240" w:lineRule="auto" w:before="0" w:after="0"/>
              <w:pStyle w:val="Compact"/>
            </w:pPr>
            <w:r>
              <w:rPr>
                <w:sz w:val="20"/>
                <w:szCs w:val="20"/>
              </w:rPr>
              <w:t xml:space="preserve">CCSFS_F9_2020_A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FAA AST 2021 Annual Compendium of Commercial Space Transportation; BTS TranStats T-100 Florida sector traffic density 2020</w:t>
            </w:r>
          </w:p>
        </w:tc>
      </w:tr>
      <w:tr>
        <w:tc>
          <w:tcPr>
            <w:tcW w:w="0" w:type="auto"/>
          </w:tcPr>
          <w:p>
            <w:pPr>
              <w:spacing w:line="240" w:lineRule="auto" w:before="0" w:after="0"/>
              <w:pStyle w:val="Compact"/>
            </w:pPr>
            <w:r>
              <w:rPr>
                <w:sz w:val="20"/>
                <w:szCs w:val="20"/>
              </w:rPr>
              <w:t xml:space="preserve">CCSFS_F9_2021_A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246</w:t>
            </w:r>
          </w:p>
        </w:tc>
        <w:tc>
          <w:tcPr>
            <w:tcW w:w="0" w:type="auto"/>
          </w:tcPr>
          <w:p>
            <w:pPr>
              <w:spacing w:line="240" w:lineRule="auto" w:before="0" w:after="0"/>
              <w:pStyle w:val="Compact"/>
            </w:pPr>
            <w:r>
              <w:rPr>
                <w:sz w:val="20"/>
                <w:szCs w:val="20"/>
              </w:rPr>
              <w:t xml:space="preserve">FAA AST 2022 Annual Compendium; FAA OCST licensing record FY2021</w:t>
            </w:r>
          </w:p>
        </w:tc>
      </w:tr>
      <w:tr>
        <w:tc>
          <w:tcPr>
            <w:tcW w:w="0" w:type="auto"/>
          </w:tcPr>
          <w:p>
            <w:pPr>
              <w:spacing w:line="240" w:lineRule="auto" w:before="0" w:after="0"/>
              <w:pStyle w:val="Compact"/>
            </w:pPr>
            <w:r>
              <w:rPr>
                <w:sz w:val="20"/>
                <w:szCs w:val="20"/>
              </w:rPr>
              <w:t xml:space="preserve">CCSFS_F9_2021_B</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302</w:t>
            </w:r>
          </w:p>
        </w:tc>
        <w:tc>
          <w:tcPr>
            <w:tcW w:w="0" w:type="auto"/>
          </w:tcPr>
          <w:p>
            <w:pPr>
              <w:spacing w:line="240" w:lineRule="auto" w:before="0" w:after="0"/>
              <w:pStyle w:val="Compact"/>
            </w:pPr>
            <w:r>
              <w:rPr>
                <w:sz w:val="20"/>
                <w:szCs w:val="20"/>
              </w:rPr>
              <w:t xml:space="preserve">FAA AST 2022 Annual Compendium; FAA OCST licensing record FY2021</w:t>
            </w:r>
          </w:p>
        </w:tc>
      </w:tr>
      <w:tr>
        <w:tc>
          <w:tcPr>
            <w:tcW w:w="0" w:type="auto"/>
          </w:tcPr>
          <w:p>
            <w:pPr>
              <w:spacing w:line="240" w:lineRule="auto" w:before="0" w:after="0"/>
              <w:pStyle w:val="Compact"/>
            </w:pPr>
            <w:r>
              <w:rPr>
                <w:sz w:val="20"/>
                <w:szCs w:val="20"/>
              </w:rPr>
              <w:t xml:space="preserve">CCSFS_FH_2022_A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heavy_lift</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388</w:t>
            </w:r>
          </w:p>
        </w:tc>
        <w:tc>
          <w:tcPr>
            <w:tcW w:w="0" w:type="auto"/>
          </w:tcPr>
          <w:p>
            <w:pPr>
              <w:spacing w:line="240" w:lineRule="auto" w:before="0" w:after="0"/>
              <w:pStyle w:val="Compact"/>
            </w:pPr>
            <w:r>
              <w:rPr>
                <w:sz w:val="20"/>
                <w:szCs w:val="20"/>
              </w:rPr>
              <w:t xml:space="preserve">FAA AST 2023 Annual Compendium; FAA OCST licensing record FY2022</w:t>
            </w:r>
          </w:p>
        </w:tc>
      </w:tr>
      <w:tr>
        <w:tc>
          <w:tcPr>
            <w:tcW w:w="0" w:type="auto"/>
          </w:tcPr>
          <w:p>
            <w:pPr>
              <w:spacing w:line="240" w:lineRule="auto" w:before="0" w:after="0"/>
              <w:pStyle w:val="Compact"/>
            </w:pPr>
            <w:r>
              <w:rPr>
                <w:sz w:val="20"/>
                <w:szCs w:val="20"/>
              </w:rPr>
              <w:t xml:space="preserve">CCSFS_F9_2022_A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201</w:t>
            </w:r>
          </w:p>
        </w:tc>
        <w:tc>
          <w:tcPr>
            <w:tcW w:w="0" w:type="auto"/>
          </w:tcPr>
          <w:p>
            <w:pPr>
              <w:spacing w:line="240" w:lineRule="auto" w:before="0" w:after="0"/>
              <w:pStyle w:val="Compact"/>
            </w:pPr>
            <w:r>
              <w:rPr>
                <w:sz w:val="20"/>
                <w:szCs w:val="20"/>
              </w:rPr>
              <w:t xml:space="preserve">FAA AST 2023 Annual Compendium; BTS T-100 Florida sector traffic density 2022</w:t>
            </w:r>
          </w:p>
        </w:tc>
      </w:tr>
      <w:tr>
        <w:tc>
          <w:tcPr>
            <w:tcW w:w="0" w:type="auto"/>
          </w:tcPr>
          <w:p>
            <w:pPr>
              <w:spacing w:line="240" w:lineRule="auto" w:before="0" w:after="0"/>
              <w:pStyle w:val="Compact"/>
            </w:pPr>
            <w:r>
              <w:rPr>
                <w:sz w:val="20"/>
                <w:szCs w:val="20"/>
              </w:rPr>
              <w:t xml:space="preserve">CCSFS_F9_2023_A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FAA AST 2024 Annual Compendium; FAA OCST licensing record FY2023</w:t>
            </w:r>
          </w:p>
        </w:tc>
      </w:tr>
      <w:tr>
        <w:tc>
          <w:tcPr>
            <w:tcW w:w="0" w:type="auto"/>
          </w:tcPr>
          <w:p>
            <w:pPr>
              <w:spacing w:line="240" w:lineRule="auto" w:before="0" w:after="0"/>
              <w:pStyle w:val="Compact"/>
            </w:pPr>
            <w:r>
              <w:rPr>
                <w:sz w:val="20"/>
                <w:szCs w:val="20"/>
              </w:rPr>
              <w:t xml:space="preserve">CCSFS_F9_2023_B</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254</w:t>
            </w:r>
          </w:p>
        </w:tc>
        <w:tc>
          <w:tcPr>
            <w:tcW w:w="0" w:type="auto"/>
          </w:tcPr>
          <w:p>
            <w:pPr>
              <w:spacing w:line="240" w:lineRule="auto" w:before="0" w:after="0"/>
              <w:pStyle w:val="Compact"/>
            </w:pPr>
            <w:r>
              <w:rPr>
                <w:sz w:val="20"/>
                <w:szCs w:val="20"/>
              </w:rPr>
              <w:t xml:space="preserve">FAA AST 2024 Annual Compendium; FAA OCST licensing record FY2023</w:t>
            </w:r>
          </w:p>
        </w:tc>
      </w:tr>
      <w:tr>
        <w:tc>
          <w:tcPr>
            <w:tcW w:w="0" w:type="auto"/>
          </w:tcPr>
          <w:p>
            <w:pPr>
              <w:spacing w:line="240" w:lineRule="auto" w:before="0" w:after="0"/>
              <w:pStyle w:val="Compact"/>
            </w:pPr>
            <w:r>
              <w:rPr>
                <w:sz w:val="20"/>
                <w:szCs w:val="20"/>
              </w:rPr>
              <w:t xml:space="preserve">KSC_F9_2020_A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Kennedy Space Center</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192</w:t>
            </w:r>
          </w:p>
        </w:tc>
        <w:tc>
          <w:tcPr>
            <w:tcW w:w="0" w:type="auto"/>
          </w:tcPr>
          <w:p>
            <w:pPr>
              <w:spacing w:line="240" w:lineRule="auto" w:before="0" w:after="0"/>
              <w:pStyle w:val="Compact"/>
            </w:pPr>
            <w:r>
              <w:rPr>
                <w:sz w:val="20"/>
                <w:szCs w:val="20"/>
              </w:rPr>
              <w:t xml:space="preserve">FAA AST 2021 Annual Compendium; BTS T-100 Florida sector 2020 [illustrative cost figure]</w:t>
            </w:r>
          </w:p>
        </w:tc>
      </w:tr>
      <w:tr>
        <w:tc>
          <w:tcPr>
            <w:tcW w:w="0" w:type="auto"/>
          </w:tcPr>
          <w:p>
            <w:pPr>
              <w:spacing w:line="240" w:lineRule="auto" w:before="0" w:after="0"/>
              <w:pStyle w:val="Compact"/>
            </w:pPr>
            <w:r>
              <w:rPr>
                <w:sz w:val="20"/>
                <w:szCs w:val="20"/>
              </w:rPr>
              <w:t xml:space="preserve">KSC_FH_2023_A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Kennedy Space Center</w:t>
            </w:r>
          </w:p>
        </w:tc>
        <w:tc>
          <w:tcPr>
            <w:tcW w:w="0" w:type="auto"/>
          </w:tcPr>
          <w:p>
            <w:pPr>
              <w:spacing w:line="240" w:lineRule="auto" w:before="0" w:after="0"/>
              <w:pStyle w:val="Compact"/>
            </w:pPr>
            <w:r>
              <w:rPr>
                <w:sz w:val="20"/>
                <w:szCs w:val="20"/>
              </w:rPr>
              <w:t xml:space="preserve">heavy_lift</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427</w:t>
            </w:r>
          </w:p>
        </w:tc>
        <w:tc>
          <w:tcPr>
            <w:tcW w:w="0" w:type="auto"/>
          </w:tcPr>
          <w:p>
            <w:pPr>
              <w:spacing w:line="240" w:lineRule="auto" w:before="0" w:after="0"/>
              <w:pStyle w:val="Compact"/>
            </w:pPr>
            <w:r>
              <w:rPr>
                <w:sz w:val="20"/>
                <w:szCs w:val="20"/>
              </w:rPr>
              <w:t xml:space="preserve">FAA AST 2024 Annual Compendium; FAA OCST licensing record FY2023</w:t>
            </w:r>
          </w:p>
        </w:tc>
      </w:tr>
      <w:tr>
        <w:tc>
          <w:tcPr>
            <w:tcW w:w="0" w:type="auto"/>
          </w:tcPr>
          <w:p>
            <w:pPr>
              <w:spacing w:line="240" w:lineRule="auto" w:before="0" w:after="0"/>
              <w:pStyle w:val="Compact"/>
            </w:pPr>
            <w:r>
              <w:rPr>
                <w:sz w:val="20"/>
                <w:szCs w:val="20"/>
              </w:rPr>
              <w:t xml:space="preserve">KSC_F9_2024_A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Kennedy Space Center</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236</w:t>
            </w:r>
          </w:p>
        </w:tc>
        <w:tc>
          <w:tcPr>
            <w:tcW w:w="0" w:type="auto"/>
          </w:tcPr>
          <w:p>
            <w:pPr>
              <w:spacing w:line="240" w:lineRule="auto" w:before="0" w:after="0"/>
              <w:pStyle w:val="Compact"/>
            </w:pPr>
            <w:r>
              <w:rPr>
                <w:sz w:val="20"/>
                <w:szCs w:val="20"/>
              </w:rPr>
              <w:t xml:space="preserve">FAA AST 2025 Annual Compendium; FAA OCST licensing record FY2024</w:t>
            </w:r>
          </w:p>
        </w:tc>
      </w:tr>
      <w:tr>
        <w:tc>
          <w:tcPr>
            <w:tcW w:w="0" w:type="auto"/>
          </w:tcPr>
          <w:p>
            <w:pPr>
              <w:spacing w:line="240" w:lineRule="auto" w:before="0" w:after="0"/>
              <w:pStyle w:val="Compact"/>
            </w:pPr>
            <w:r>
              <w:rPr>
                <w:sz w:val="20"/>
                <w:szCs w:val="20"/>
              </w:rPr>
              <w:t xml:space="preserve">VSFB_F9_2020_A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Vandenberg</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FAA AST 2021 Annual Compendium; BTS T-100 California sector traffic density 2020</w:t>
            </w:r>
          </w:p>
        </w:tc>
      </w:tr>
      <w:tr>
        <w:tc>
          <w:tcPr>
            <w:tcW w:w="0" w:type="auto"/>
          </w:tcPr>
          <w:p>
            <w:pPr>
              <w:spacing w:line="240" w:lineRule="auto" w:before="0" w:after="0"/>
              <w:pStyle w:val="Compact"/>
            </w:pPr>
            <w:r>
              <w:rPr>
                <w:sz w:val="20"/>
                <w:szCs w:val="20"/>
              </w:rPr>
              <w:t xml:space="preserve">VSFB_F9_2021_A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Vandenberg</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FAA AST 2022 Annual Compendium; FAA OCST licensing record FY2021</w:t>
            </w:r>
          </w:p>
        </w:tc>
      </w:tr>
      <w:tr>
        <w:tc>
          <w:tcPr>
            <w:tcW w:w="0" w:type="auto"/>
          </w:tcPr>
          <w:p>
            <w:pPr>
              <w:spacing w:line="240" w:lineRule="auto" w:before="0" w:after="0"/>
              <w:pStyle w:val="Compact"/>
            </w:pPr>
            <w:r>
              <w:rPr>
                <w:sz w:val="20"/>
                <w:szCs w:val="20"/>
              </w:rPr>
              <w:t xml:space="preserve">VSFB_F9_2022_A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Vandenberg</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FAA AST 2023 Annual Compendium; FAA OCST licensing record FY2022</w:t>
            </w:r>
          </w:p>
        </w:tc>
      </w:tr>
      <w:tr>
        <w:tc>
          <w:tcPr>
            <w:tcW w:w="0" w:type="auto"/>
          </w:tcPr>
          <w:p>
            <w:pPr>
              <w:spacing w:line="240" w:lineRule="auto" w:before="0" w:after="0"/>
              <w:pStyle w:val="Compact"/>
            </w:pPr>
            <w:r>
              <w:rPr>
                <w:sz w:val="20"/>
                <w:szCs w:val="20"/>
              </w:rPr>
              <w:t xml:space="preserve">VSFB_F9_2023_A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Vandenberg</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FAA AST 2024 Annual Compendium; FAA OCST licensing record FY2023</w:t>
            </w:r>
          </w:p>
        </w:tc>
      </w:tr>
      <w:tr>
        <w:tc>
          <w:tcPr>
            <w:tcW w:w="0" w:type="auto"/>
          </w:tcPr>
          <w:p>
            <w:pPr>
              <w:spacing w:line="240" w:lineRule="auto" w:before="0" w:after="0"/>
              <w:pStyle w:val="Compact"/>
            </w:pPr>
            <w:r>
              <w:rPr>
                <w:sz w:val="20"/>
                <w:szCs w:val="20"/>
              </w:rPr>
              <w:t xml:space="preserve">VSFB_F9_2024_A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Vandenberg</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FAA AST 2025 Annual Compendium; FAA OCST licensing record FY2024</w:t>
            </w:r>
          </w:p>
        </w:tc>
      </w:tr>
      <w:tr>
        <w:tc>
          <w:tcPr>
            <w:tcW w:w="0" w:type="auto"/>
          </w:tcPr>
          <w:p>
            <w:pPr>
              <w:spacing w:line="240" w:lineRule="auto" w:before="0" w:after="0"/>
              <w:pStyle w:val="Compact"/>
            </w:pPr>
            <w:r>
              <w:rPr>
                <w:sz w:val="20"/>
                <w:szCs w:val="20"/>
              </w:rPr>
              <w:t xml:space="preserve">WAL_AN_2021_A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Wallops</w:t>
            </w:r>
          </w:p>
        </w:tc>
        <w:tc>
          <w:tcPr>
            <w:tcW w:w="0" w:type="auto"/>
          </w:tcPr>
          <w:p>
            <w:pPr>
              <w:spacing w:line="240" w:lineRule="auto" w:before="0" w:after="0"/>
              <w:pStyle w:val="Compact"/>
            </w:pPr>
            <w:r>
              <w:rPr>
                <w:sz w:val="20"/>
                <w:szCs w:val="20"/>
              </w:rPr>
              <w:t xml:space="preserve">small_lift</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FAA AST 2022 Annual Compendium; FAA OCST licensing record FY2021</w:t>
            </w:r>
          </w:p>
        </w:tc>
      </w:tr>
      <w:tr>
        <w:tc>
          <w:tcPr>
            <w:tcW w:w="0" w:type="auto"/>
          </w:tcPr>
          <w:p>
            <w:pPr>
              <w:spacing w:line="240" w:lineRule="auto" w:before="0" w:after="0"/>
              <w:pStyle w:val="Compact"/>
            </w:pPr>
            <w:r>
              <w:rPr>
                <w:sz w:val="20"/>
                <w:szCs w:val="20"/>
              </w:rPr>
              <w:t xml:space="preserve">WAL_AN_2022_A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Wallops</w:t>
            </w:r>
          </w:p>
        </w:tc>
        <w:tc>
          <w:tcPr>
            <w:tcW w:w="0" w:type="auto"/>
          </w:tcPr>
          <w:p>
            <w:pPr>
              <w:spacing w:line="240" w:lineRule="auto" w:before="0" w:after="0"/>
              <w:pStyle w:val="Compact"/>
            </w:pPr>
            <w:r>
              <w:rPr>
                <w:sz w:val="20"/>
                <w:szCs w:val="20"/>
              </w:rPr>
              <w:t xml:space="preserve">small_lift</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FAA AST 2023 Annual Compendium; FAA OCST licensing record FY2022</w:t>
            </w:r>
          </w:p>
        </w:tc>
      </w:tr>
      <w:tr>
        <w:tc>
          <w:tcPr>
            <w:tcW w:w="0" w:type="auto"/>
          </w:tcPr>
          <w:p>
            <w:pPr>
              <w:spacing w:line="240" w:lineRule="auto" w:before="0" w:after="0"/>
              <w:pStyle w:val="Compact"/>
            </w:pPr>
            <w:r>
              <w:rPr>
                <w:sz w:val="20"/>
                <w:szCs w:val="20"/>
              </w:rPr>
              <w:t xml:space="preserve">WAL_RL_2023_A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Wallops</w:t>
            </w:r>
          </w:p>
        </w:tc>
        <w:tc>
          <w:tcPr>
            <w:tcW w:w="0" w:type="auto"/>
          </w:tcPr>
          <w:p>
            <w:pPr>
              <w:spacing w:line="240" w:lineRule="auto" w:before="0" w:after="0"/>
              <w:pStyle w:val="Compact"/>
            </w:pPr>
            <w:r>
              <w:rPr>
                <w:sz w:val="20"/>
                <w:szCs w:val="20"/>
              </w:rPr>
              <w:t xml:space="preserve">small_lift</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FAA AST 2024 Annual Compendium; FAA OCST licensing record FY2023</w:t>
            </w:r>
          </w:p>
        </w:tc>
      </w:tr>
      <w:tr>
        <w:tc>
          <w:tcPr>
            <w:tcW w:w="0" w:type="auto"/>
          </w:tcPr>
          <w:p>
            <w:pPr>
              <w:spacing w:line="240" w:lineRule="auto" w:before="0" w:after="0"/>
              <w:pStyle w:val="Compact"/>
            </w:pPr>
            <w:r>
              <w:rPr>
                <w:sz w:val="20"/>
                <w:szCs w:val="20"/>
              </w:rPr>
              <w:t xml:space="preserve">KOD_AN_2022_A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Pacific Spaceport</w:t>
            </w:r>
          </w:p>
        </w:tc>
        <w:tc>
          <w:tcPr>
            <w:tcW w:w="0" w:type="auto"/>
          </w:tcPr>
          <w:p>
            <w:pPr>
              <w:spacing w:line="240" w:lineRule="auto" w:before="0" w:after="0"/>
              <w:pStyle w:val="Compact"/>
            </w:pPr>
            <w:r>
              <w:rPr>
                <w:sz w:val="20"/>
                <w:szCs w:val="20"/>
              </w:rPr>
              <w:t xml:space="preserve">small_lift</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FAA AST 2023 Annual Compendium; FAA OCST licensing record FY2022</w:t>
            </w:r>
          </w:p>
        </w:tc>
      </w:tr>
      <w:tr>
        <w:tc>
          <w:tcPr>
            <w:tcW w:w="0" w:type="auto"/>
          </w:tcPr>
          <w:p>
            <w:pPr>
              <w:spacing w:line="240" w:lineRule="auto" w:before="0" w:after="0"/>
              <w:pStyle w:val="Compact"/>
            </w:pPr>
            <w:r>
              <w:rPr>
                <w:sz w:val="20"/>
                <w:szCs w:val="20"/>
              </w:rPr>
              <w:t xml:space="preserve">KOD_AN_2023_A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Pacific Spaceport</w:t>
            </w:r>
          </w:p>
        </w:tc>
        <w:tc>
          <w:tcPr>
            <w:tcW w:w="0" w:type="auto"/>
          </w:tcPr>
          <w:p>
            <w:pPr>
              <w:spacing w:line="240" w:lineRule="auto" w:before="0" w:after="0"/>
              <w:pStyle w:val="Compact"/>
            </w:pPr>
            <w:r>
              <w:rPr>
                <w:sz w:val="20"/>
                <w:szCs w:val="20"/>
              </w:rPr>
              <w:t xml:space="preserve">small_lift</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FAA AST 2024 Annual Compendium; FAA OCST licensing record FY2023</w:t>
            </w:r>
          </w:p>
        </w:tc>
      </w:tr>
      <w:tr>
        <w:tc>
          <w:tcPr>
            <w:tcW w:w="0" w:type="auto"/>
          </w:tcPr>
          <w:p>
            <w:pPr>
              <w:spacing w:line="240" w:lineRule="auto" w:before="0" w:after="0"/>
              <w:pStyle w:val="Compact"/>
            </w:pPr>
            <w:r>
              <w:rPr>
                <w:sz w:val="20"/>
                <w:szCs w:val="20"/>
              </w:rPr>
              <w:t xml:space="preserve">SSA_NS_2022_A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Spaceport America</w:t>
            </w:r>
          </w:p>
        </w:tc>
        <w:tc>
          <w:tcPr>
            <w:tcW w:w="0" w:type="auto"/>
          </w:tcPr>
          <w:p>
            <w:pPr>
              <w:spacing w:line="240" w:lineRule="auto" w:before="0" w:after="0"/>
              <w:pStyle w:val="Compact"/>
            </w:pPr>
            <w:r>
              <w:rPr>
                <w:sz w:val="20"/>
                <w:szCs w:val="20"/>
              </w:rPr>
              <w:t xml:space="preserve">suborbital</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FAA AST 2023 Annual Compendium; FAA OCST licensing record FY2022 [illustrative cost figure]</w:t>
            </w:r>
          </w:p>
        </w:tc>
      </w:tr>
      <w:tr>
        <w:tc>
          <w:tcPr>
            <w:tcW w:w="0" w:type="auto"/>
          </w:tcPr>
          <w:p>
            <w:pPr>
              <w:spacing w:line="240" w:lineRule="auto" w:before="0" w:after="0"/>
              <w:pStyle w:val="Compact"/>
            </w:pPr>
            <w:r>
              <w:rPr>
                <w:sz w:val="20"/>
                <w:szCs w:val="20"/>
              </w:rPr>
              <w:t xml:space="preserve">SSA_NS_2023_A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Spaceport America</w:t>
            </w:r>
          </w:p>
        </w:tc>
        <w:tc>
          <w:tcPr>
            <w:tcW w:w="0" w:type="auto"/>
          </w:tcPr>
          <w:p>
            <w:pPr>
              <w:spacing w:line="240" w:lineRule="auto" w:before="0" w:after="0"/>
              <w:pStyle w:val="Compact"/>
            </w:pPr>
            <w:r>
              <w:rPr>
                <w:sz w:val="20"/>
                <w:szCs w:val="20"/>
              </w:rPr>
              <w:t xml:space="preserve">suborbital</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FAA AST 2024 Annual Compendium; FAA OCST licensing record FY2023</w:t>
            </w:r>
          </w:p>
        </w:tc>
      </w:tr>
      <w:tr>
        <w:tc>
          <w:tcPr>
            <w:tcW w:w="0" w:type="auto"/>
          </w:tcPr>
          <w:p>
            <w:pPr>
              <w:spacing w:line="240" w:lineRule="auto" w:before="0" w:after="0"/>
              <w:pStyle w:val="Compact"/>
            </w:pPr>
            <w:r>
              <w:rPr>
                <w:sz w:val="20"/>
                <w:szCs w:val="20"/>
              </w:rPr>
              <w:t xml:space="preserve">BOC_NS_2022_A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Boca Chica</w:t>
            </w:r>
          </w:p>
        </w:tc>
        <w:tc>
          <w:tcPr>
            <w:tcW w:w="0" w:type="auto"/>
          </w:tcPr>
          <w:p>
            <w:pPr>
              <w:spacing w:line="240" w:lineRule="auto" w:before="0" w:after="0"/>
              <w:pStyle w:val="Compact"/>
            </w:pPr>
            <w:r>
              <w:rPr>
                <w:sz w:val="20"/>
                <w:szCs w:val="20"/>
              </w:rPr>
              <w:t xml:space="preserve">heavy_lift</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272</w:t>
            </w:r>
          </w:p>
        </w:tc>
        <w:tc>
          <w:tcPr>
            <w:tcW w:w="0" w:type="auto"/>
          </w:tcPr>
          <w:p>
            <w:pPr>
              <w:spacing w:line="240" w:lineRule="auto" w:before="0" w:after="0"/>
              <w:pStyle w:val="Compact"/>
            </w:pPr>
            <w:r>
              <w:rPr>
                <w:sz w:val="20"/>
                <w:szCs w:val="20"/>
              </w:rPr>
              <w:t xml:space="preserve">FAA AST 2023 Annual Compendium; FAA OCST licensing record FY2022</w:t>
            </w:r>
          </w:p>
        </w:tc>
      </w:tr>
      <w:tr>
        <w:tc>
          <w:tcPr>
            <w:tcW w:w="0" w:type="auto"/>
          </w:tcPr>
          <w:p>
            <w:pPr>
              <w:spacing w:line="240" w:lineRule="auto" w:before="0" w:after="0"/>
              <w:pStyle w:val="Compact"/>
            </w:pPr>
            <w:r>
              <w:rPr>
                <w:sz w:val="20"/>
                <w:szCs w:val="20"/>
              </w:rPr>
              <w:t xml:space="preserve">BOC_SH_2023_A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Boca Chica</w:t>
            </w:r>
          </w:p>
        </w:tc>
        <w:tc>
          <w:tcPr>
            <w:tcW w:w="0" w:type="auto"/>
          </w:tcPr>
          <w:p>
            <w:pPr>
              <w:spacing w:line="240" w:lineRule="auto" w:before="0" w:after="0"/>
              <w:pStyle w:val="Compact"/>
            </w:pPr>
            <w:r>
              <w:rPr>
                <w:sz w:val="20"/>
                <w:szCs w:val="20"/>
              </w:rPr>
              <w:t xml:space="preserve">heavy_lift</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FAA AST 2024 Annual Compendium; FAA OCST licensing record FY2023</w:t>
            </w:r>
          </w:p>
        </w:tc>
      </w:tr>
      <w:tr>
        <w:tc>
          <w:tcPr>
            <w:tcW w:w="0" w:type="auto"/>
          </w:tcPr>
          <w:p>
            <w:pPr>
              <w:spacing w:line="240" w:lineRule="auto" w:before="0" w:after="0"/>
              <w:pStyle w:val="Compact"/>
            </w:pPr>
            <w:r>
              <w:rPr>
                <w:sz w:val="20"/>
                <w:szCs w:val="20"/>
              </w:rPr>
              <w:t xml:space="preserve">BOC_SH_2024_A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Boca Chica</w:t>
            </w:r>
          </w:p>
        </w:tc>
        <w:tc>
          <w:tcPr>
            <w:tcW w:w="0" w:type="auto"/>
          </w:tcPr>
          <w:p>
            <w:pPr>
              <w:spacing w:line="240" w:lineRule="auto" w:before="0" w:after="0"/>
              <w:pStyle w:val="Compact"/>
            </w:pPr>
            <w:r>
              <w:rPr>
                <w:sz w:val="20"/>
                <w:szCs w:val="20"/>
              </w:rPr>
              <w:t xml:space="preserve">heavy_lift</w:t>
            </w:r>
          </w:p>
        </w:tc>
        <w:tc>
          <w:tcPr>
            <w:tcW w:w="0" w:type="auto"/>
          </w:tcPr>
          <w:p>
            <w:pPr>
              <w:spacing w:line="240" w:lineRule="auto" w:before="0" w:after="0"/>
              <w:pStyle w:val="Compact"/>
            </w:pPr>
            <w:r>
              <w:rPr>
                <w:sz w:val="20"/>
                <w:szCs w:val="20"/>
              </w:rPr>
              <w:t xml:space="preserve">216</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294</w:t>
            </w:r>
          </w:p>
        </w:tc>
        <w:tc>
          <w:tcPr>
            <w:tcW w:w="0" w:type="auto"/>
          </w:tcPr>
          <w:p>
            <w:pPr>
              <w:spacing w:line="240" w:lineRule="auto" w:before="0" w:after="0"/>
              <w:pStyle w:val="Compact"/>
            </w:pPr>
            <w:r>
              <w:rPr>
                <w:sz w:val="20"/>
                <w:szCs w:val="20"/>
              </w:rPr>
              <w:t xml:space="preserve">FAA AST 2025 Annual Compendium; FAA OCST licensing record FY2024</w:t>
            </w:r>
          </w:p>
        </w:tc>
      </w:tr>
      <w:tr>
        <w:tc>
          <w:tcPr>
            <w:tcW w:w="0" w:type="auto"/>
          </w:tcPr>
          <w:p>
            <w:pPr>
              <w:spacing w:line="240" w:lineRule="auto" w:before="0" w:after="0"/>
              <w:pStyle w:val="Compact"/>
            </w:pPr>
            <w:r>
              <w:rPr>
                <w:sz w:val="20"/>
                <w:szCs w:val="20"/>
              </w:rPr>
              <w:t xml:space="preserve">DRY_DC_2022_A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Edwards reentry corridor</w:t>
            </w:r>
          </w:p>
        </w:tc>
        <w:tc>
          <w:tcPr>
            <w:tcW w:w="0" w:type="auto"/>
          </w:tcPr>
          <w:p>
            <w:pPr>
              <w:spacing w:line="240" w:lineRule="auto" w:before="0" w:after="0"/>
              <w:pStyle w:val="Compact"/>
            </w:pPr>
            <w:r>
              <w:rPr>
                <w:sz w:val="20"/>
                <w:szCs w:val="20"/>
              </w:rPr>
              <w:t xml:space="preserve">reentry</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FAA AST 2023 Annual Compendium reentry event; BTS T-100 California 2022</w:t>
            </w:r>
          </w:p>
        </w:tc>
      </w:tr>
      <w:tr>
        <w:tc>
          <w:tcPr>
            <w:tcW w:w="0" w:type="auto"/>
          </w:tcPr>
          <w:p>
            <w:pPr>
              <w:spacing w:line="240" w:lineRule="auto" w:before="0" w:after="0"/>
              <w:pStyle w:val="Compact"/>
            </w:pPr>
            <w:r>
              <w:rPr>
                <w:sz w:val="20"/>
                <w:szCs w:val="20"/>
              </w:rPr>
              <w:t xml:space="preserve">KSC_DC_2023_A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KSC reentry corridor</w:t>
            </w:r>
          </w:p>
        </w:tc>
        <w:tc>
          <w:tcPr>
            <w:tcW w:w="0" w:type="auto"/>
          </w:tcPr>
          <w:p>
            <w:pPr>
              <w:spacing w:line="240" w:lineRule="auto" w:before="0" w:after="0"/>
              <w:pStyle w:val="Compact"/>
            </w:pPr>
            <w:r>
              <w:rPr>
                <w:sz w:val="20"/>
                <w:szCs w:val="20"/>
              </w:rPr>
              <w:t xml:space="preserve">reentry</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266</w:t>
            </w:r>
          </w:p>
        </w:tc>
        <w:tc>
          <w:tcPr>
            <w:tcW w:w="0" w:type="auto"/>
          </w:tcPr>
          <w:p>
            <w:pPr>
              <w:spacing w:line="240" w:lineRule="auto" w:before="0" w:after="0"/>
              <w:pStyle w:val="Compact"/>
            </w:pPr>
            <w:r>
              <w:rPr>
                <w:sz w:val="20"/>
                <w:szCs w:val="20"/>
              </w:rPr>
              <w:t xml:space="preserve">FAA AST 2024 Annual Compendium reentry event; FAA OCST licensing record FY2023</w:t>
            </w:r>
          </w:p>
        </w:tc>
      </w:tr>
    </w:tbl>
    <w:bookmarkEnd w:id="194"/>
    <w:bookmarkStart w:id="195"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nas_cost_kusd</w:t>
            </w:r>
          </w:p>
        </w:tc>
        <w:tc>
          <w:tcPr>
            <w:tcW w:w="0" w:type="auto"/>
          </w:tcPr>
          <w:p>
            <w:pPr>
              <w:spacing w:line="240" w:lineRule="auto" w:before="0" w:after="0"/>
              <w:pStyle w:val="Compact"/>
            </w:pPr>
            <w:r>
              <w:rPr>
                <w:sz w:val="20"/>
                <w:szCs w:val="20"/>
              </w:rPr>
              <w:t xml:space="preserve">Imputed per-event National Airspace System cost in thousands of U.S. dollars, summing excess block time, excess fuel burn, cancellation indicator, and passenger time cost</w:t>
            </w:r>
          </w:p>
        </w:tc>
        <w:tc>
          <w:tcPr>
            <w:tcW w:w="0" w:type="auto"/>
          </w:tcPr>
          <w:p>
            <w:pPr>
              <w:spacing w:line="240" w:lineRule="auto" w:before="0" w:after="0"/>
              <w:pStyle w:val="Compact"/>
            </w:pPr>
            <w:r>
              <w:rPr>
                <w:sz w:val="20"/>
                <w:szCs w:val="20"/>
              </w:rPr>
              <w:t xml:space="preserve">Constructed from BTS T-100 sector traffic, EUROCONTROL BADA fuel burn rates, and USDOT 2016 value-of-travel-time guidance</w:t>
            </w:r>
          </w:p>
        </w:tc>
      </w:tr>
      <w:tr>
        <w:tc>
          <w:tcPr>
            <w:tcW w:w="0" w:type="auto"/>
          </w:tcPr>
          <w:p>
            <w:pPr>
              <w:spacing w:line="240" w:lineRule="auto" w:before="0" w:after="0"/>
              <w:pStyle w:val="Compact"/>
            </w:pPr>
            <w:r>
              <w:rPr>
                <w:sz w:val="20"/>
                <w:szCs w:val="20"/>
              </w:rPr>
              <w:t xml:space="preserve">closure_min</w:t>
            </w:r>
          </w:p>
        </w:tc>
        <w:tc>
          <w:tcPr>
            <w:tcW w:w="0" w:type="auto"/>
          </w:tcPr>
          <w:p>
            <w:pPr>
              <w:spacing w:line="240" w:lineRule="auto" w:before="0" w:after="0"/>
              <w:pStyle w:val="Compact"/>
            </w:pPr>
            <w:r>
              <w:rPr>
                <w:sz w:val="20"/>
                <w:szCs w:val="20"/>
              </w:rPr>
              <w:t xml:space="preserve">Duration of the FAA-segregated Aircraft Hazard Area in minutes for the launch or reentry window</w:t>
            </w:r>
          </w:p>
        </w:tc>
        <w:tc>
          <w:tcPr>
            <w:tcW w:w="0" w:type="auto"/>
          </w:tcPr>
          <w:p>
            <w:pPr>
              <w:spacing w:line="240" w:lineRule="auto" w:before="0" w:after="0"/>
              <w:pStyle w:val="Compact"/>
            </w:pPr>
            <w:r>
              <w:rPr>
                <w:sz w:val="20"/>
                <w:szCs w:val="20"/>
              </w:rPr>
              <w:t xml:space="preserve">FAA Office of Commercial Space Transportation licensing record and FAA AST Annual Compendium event entries</w:t>
            </w:r>
          </w:p>
        </w:tc>
      </w:tr>
      <w:tr>
        <w:tc>
          <w:tcPr>
            <w:tcW w:w="0" w:type="auto"/>
          </w:tcPr>
          <w:p>
            <w:pPr>
              <w:spacing w:line="240" w:lineRule="auto" w:before="0" w:after="0"/>
              <w:pStyle w:val="Compact"/>
            </w:pPr>
            <w:r>
              <w:rPr>
                <w:sz w:val="20"/>
                <w:szCs w:val="20"/>
              </w:rPr>
              <w:t xml:space="preserve">aha_volume_kft3</w:t>
            </w:r>
          </w:p>
        </w:tc>
        <w:tc>
          <w:tcPr>
            <w:tcW w:w="0" w:type="auto"/>
          </w:tcPr>
          <w:p>
            <w:pPr>
              <w:spacing w:line="240" w:lineRule="auto" w:before="0" w:after="0"/>
              <w:pStyle w:val="Compact"/>
            </w:pPr>
            <w:r>
              <w:rPr>
                <w:sz w:val="20"/>
                <w:szCs w:val="20"/>
              </w:rPr>
              <w:t xml:space="preserve">Spatial volume of the Aircraft Hazard Area in thousands of cubic feet at the published flight-level envelope</w:t>
            </w:r>
          </w:p>
        </w:tc>
        <w:tc>
          <w:tcPr>
            <w:tcW w:w="0" w:type="auto"/>
          </w:tcPr>
          <w:p>
            <w:pPr>
              <w:spacing w:line="240" w:lineRule="auto" w:before="0" w:after="0"/>
              <w:pStyle w:val="Compact"/>
            </w:pPr>
            <w:r>
              <w:rPr>
                <w:sz w:val="20"/>
                <w:szCs w:val="20"/>
              </w:rPr>
              <w:t xml:space="preserve">FAA AST Annual Compendium event geometry; vehicle-class envelope conventions</w:t>
            </w:r>
          </w:p>
        </w:tc>
      </w:tr>
      <w:tr>
        <w:tc>
          <w:tcPr>
            <w:tcW w:w="0" w:type="auto"/>
          </w:tcPr>
          <w:p>
            <w:pPr>
              <w:spacing w:line="240" w:lineRule="auto" w:before="0" w:after="0"/>
              <w:pStyle w:val="Compact"/>
            </w:pPr>
            <w:r>
              <w:rPr>
                <w:sz w:val="20"/>
                <w:szCs w:val="20"/>
              </w:rPr>
              <w:t xml:space="preserve">traffic_density_ops_per_hr</w:t>
            </w:r>
          </w:p>
        </w:tc>
        <w:tc>
          <w:tcPr>
            <w:tcW w:w="0" w:type="auto"/>
          </w:tcPr>
          <w:p>
            <w:pPr>
              <w:spacing w:line="240" w:lineRule="auto" w:before="0" w:after="0"/>
              <w:pStyle w:val="Compact"/>
            </w:pPr>
            <w:r>
              <w:rPr>
                <w:sz w:val="20"/>
                <w:szCs w:val="20"/>
              </w:rPr>
              <w:t xml:space="preserve">Mean commercial aviation operations per hour over the affected sector during the closure window</w:t>
            </w:r>
          </w:p>
        </w:tc>
        <w:tc>
          <w:tcPr>
            <w:tcW w:w="0" w:type="auto"/>
          </w:tcPr>
          <w:p>
            <w:pPr>
              <w:spacing w:line="240" w:lineRule="auto" w:before="0" w:after="0"/>
              <w:pStyle w:val="Compact"/>
            </w:pPr>
            <w:r>
              <w:rPr>
                <w:sz w:val="20"/>
                <w:szCs w:val="20"/>
              </w:rPr>
              <w:t xml:space="preserve">BTS TranStats T-100 sector-hour aggregates matched to the closure timestamp</w:t>
            </w:r>
          </w:p>
        </w:tc>
      </w:tr>
      <w:tr>
        <w:tc>
          <w:tcPr>
            <w:tcW w:w="0" w:type="auto"/>
          </w:tcPr>
          <w:p>
            <w:pPr>
              <w:spacing w:line="240" w:lineRule="auto" w:before="0" w:after="0"/>
              <w:pStyle w:val="Compact"/>
            </w:pPr>
            <w:r>
              <w:rPr>
                <w:sz w:val="20"/>
                <w:szCs w:val="20"/>
              </w:rPr>
              <w:t xml:space="preserve">spaceport</w:t>
            </w:r>
          </w:p>
        </w:tc>
        <w:tc>
          <w:tcPr>
            <w:tcW w:w="0" w:type="auto"/>
          </w:tcPr>
          <w:p>
            <w:pPr>
              <w:spacing w:line="240" w:lineRule="auto" w:before="0" w:after="0"/>
              <w:pStyle w:val="Compact"/>
            </w:pPr>
            <w:r>
              <w:rPr>
                <w:sz w:val="20"/>
                <w:szCs w:val="20"/>
              </w:rPr>
              <w:t xml:space="preserve">U.S. spaceport hosting the event, used as a descriptive identifier</w:t>
            </w:r>
          </w:p>
        </w:tc>
        <w:tc>
          <w:tcPr>
            <w:tcW w:w="0" w:type="auto"/>
          </w:tcPr>
          <w:p>
            <w:pPr>
              <w:spacing w:line="240" w:lineRule="auto" w:before="0" w:after="0"/>
              <w:pStyle w:val="Compact"/>
            </w:pPr>
            <w:r>
              <w:rPr>
                <w:sz w:val="20"/>
                <w:szCs w:val="20"/>
              </w:rPr>
              <w:t xml:space="preserve">FAA AST Annual Compendium</w:t>
            </w:r>
          </w:p>
        </w:tc>
      </w:tr>
      <w:tr>
        <w:tc>
          <w:tcPr>
            <w:tcW w:w="0" w:type="auto"/>
          </w:tcPr>
          <w:p>
            <w:pPr>
              <w:spacing w:line="240" w:lineRule="auto" w:before="0" w:after="0"/>
              <w:pStyle w:val="Compact"/>
            </w:pPr>
            <w:r>
              <w:rPr>
                <w:sz w:val="20"/>
                <w:szCs w:val="20"/>
              </w:rPr>
              <w:t xml:space="preserve">vehicle_class</w:t>
            </w:r>
          </w:p>
        </w:tc>
        <w:tc>
          <w:tcPr>
            <w:tcW w:w="0" w:type="auto"/>
          </w:tcPr>
          <w:p>
            <w:pPr>
              <w:spacing w:line="240" w:lineRule="auto" w:before="0" w:after="0"/>
              <w:pStyle w:val="Compact"/>
            </w:pPr>
            <w:r>
              <w:rPr>
                <w:sz w:val="20"/>
                <w:szCs w:val="20"/>
              </w:rPr>
              <w:t xml:space="preserve">Vehicle class for the licensed event (suborbital, small-lift, medium-lift, heavy-lift, reentry)</w:t>
            </w:r>
          </w:p>
        </w:tc>
        <w:tc>
          <w:tcPr>
            <w:tcW w:w="0" w:type="auto"/>
          </w:tcPr>
          <w:p>
            <w:pPr>
              <w:spacing w:line="240" w:lineRule="auto" w:before="0" w:after="0"/>
              <w:pStyle w:val="Compact"/>
            </w:pPr>
            <w:r>
              <w:rPr>
                <w:sz w:val="20"/>
                <w:szCs w:val="20"/>
              </w:rPr>
              <w:t xml:space="preserve">FAA OCST licensing record</w:t>
            </w:r>
          </w:p>
        </w:tc>
      </w:tr>
    </w:tbl>
    <w:bookmarkEnd w:id="195"/>
    <w:bookmarkEnd w:id="196"/>
    <w:bookmarkStart w:id="204" w:name="Xdd240ea042a8b1f442b047d8e441b3f44829813"/>
    <w:p>
      <w:pPr>
        <w:pStyle w:val="Heading2"/>
        <w:spacing w:line="480" w:lineRule="auto"/>
      </w:pPr>
      <w:r>
        <w:t xml:space="preserve">A.2 How Long Until the Sky Reopens? A Cox Proportional-Hazards Analysis of FAA Aircraft Hazard Area Release Times for U.S. Launch and Reentry Events, 2019-2024</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sty m:val="p"/>
                </m:rPr>
                <m:t>log</m:t>
              </m:r>
              <m:r>
                <m:rPr>
                  <m:sty m:val="p"/>
                </m:rPr>
                <m:t>(</m:t>
              </m:r>
              <m:r>
                <m:rPr>
                  <m:nor/>
                  <m:sty m:val="p"/>
                </m:rPr>
                <m:t>AHAVolume</m:t>
              </m:r>
              <m:r>
                <m:rPr>
                  <m:sty m:val="p"/>
                </m:rPr>
                <m:t>)</m:t>
              </m:r>
              <m:r>
                <m:rPr>
                  <m:sty m:val="p"/>
                </m:rPr>
                <m:t>+</m:t>
              </m:r>
              <m:sSub>
                <m:e>
                  <m:r>
                    <m:t>β</m:t>
                  </m:r>
                </m:e>
                <m:sub>
                  <m:r>
                    <m:t>2</m:t>
                  </m:r>
                </m:sub>
              </m:sSub>
              <m:r>
                <m:t> </m:t>
              </m:r>
              <m:r>
                <m:rPr>
                  <m:nor/>
                  <m:sty m:val="p"/>
                </m:rPr>
                <m:t>ReentryEvent</m:t>
              </m:r>
              <m:r>
                <m:rPr>
                  <m:sty m:val="p"/>
                </m:rPr>
                <m:t>+</m:t>
              </m:r>
              <m:sSub>
                <m:e>
                  <m:r>
                    <m:t>β</m:t>
                  </m:r>
                </m:e>
                <m:sub>
                  <m:r>
                    <m:t>3</m:t>
                  </m:r>
                </m:sub>
              </m:sSub>
              <m:r>
                <m:t> </m:t>
              </m:r>
              <m:r>
                <m:rPr>
                  <m:nor/>
                  <m:sty m:val="p"/>
                </m:rPr>
                <m:t>CoastalCorridor</m:t>
              </m:r>
            </m:e>
          </m:d>
        </m:oMath>
      </m:oMathPara>
    </w:p>
    <w:bookmarkStart w:id="19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log_aha_volume</w:t>
            </w:r>
          </w:p>
        </w:tc>
        <w:tc>
          <w:tcPr>
            <w:tcW w:w="0" w:type="auto"/>
          </w:tcPr>
          <w:p>
            <w:pPr>
              <w:spacing w:line="240" w:lineRule="auto" w:before="0" w:after="0"/>
              <w:pStyle w:val="Compact"/>
            </w:pPr>
            <w:r>
              <w:rPr>
                <w:sz w:val="20"/>
                <w:szCs w:val="20"/>
              </w:rPr>
              <w:t xml:space="preserve">-6.2875</w:t>
            </w:r>
          </w:p>
        </w:tc>
        <w:tc>
          <w:tcPr>
            <w:tcW w:w="0" w:type="auto"/>
          </w:tcPr>
          <w:p>
            <w:pPr>
              <w:spacing w:line="240" w:lineRule="auto" w:before="0" w:after="0"/>
              <w:pStyle w:val="Compact"/>
            </w:pPr>
            <w:r>
              <w:rPr>
                <w:sz w:val="20"/>
                <w:szCs w:val="20"/>
              </w:rPr>
              <w:t xml:space="preserve">1.6439</w:t>
            </w:r>
          </w:p>
        </w:tc>
        <w:tc>
          <w:tcPr>
            <w:tcW w:w="0" w:type="auto"/>
          </w:tcPr>
          <w:p>
            <w:pPr>
              <w:spacing w:line="240" w:lineRule="auto" w:before="0" w:after="0"/>
              <w:pStyle w:val="Compact"/>
            </w:pPr>
            <w:r>
              <w:rPr>
                <w:sz w:val="20"/>
                <w:szCs w:val="20"/>
              </w:rPr>
              <w:t xml:space="preserve">-3.8248</w:t>
            </w:r>
          </w:p>
        </w:tc>
        <w:tc>
          <w:tcPr>
            <w:tcW w:w="0" w:type="auto"/>
          </w:tcPr>
          <w:p>
            <w:pPr>
              <w:spacing w:line="240" w:lineRule="auto" w:before="0" w:after="0"/>
              <w:pStyle w:val="Compact"/>
            </w:pPr>
            <w:r>
              <w:rPr>
                <w:sz w:val="20"/>
                <w:szCs w:val="20"/>
              </w:rPr>
              <w:t xml:space="preserve">0.0001309</w:t>
            </w:r>
          </w:p>
        </w:tc>
        <w:tc>
          <w:tcPr>
            <w:tcW w:w="0" w:type="auto"/>
          </w:tcPr>
          <w:p>
            <w:pPr>
              <w:spacing w:line="240" w:lineRule="auto" w:before="0" w:after="0"/>
              <w:pStyle w:val="Compact"/>
            </w:pPr>
            <w:r>
              <w:rPr>
                <w:sz w:val="20"/>
                <w:szCs w:val="20"/>
              </w:rPr>
              <w:t xml:space="preserve">[-9.5095, -3.0655]</w:t>
            </w:r>
          </w:p>
        </w:tc>
        <w:tc>
          <w:tcPr>
            <w:tcW w:w="0" w:type="auto"/>
          </w:tcPr>
          <w:p>
            <w:pPr>
              <w:spacing w:line="240" w:lineRule="auto" w:before="0" w:after="0"/>
              <w:pStyle w:val="Compact"/>
            </w:pPr>
            <w:r>
              <w:rPr>
                <w:sz w:val="20"/>
                <w:szCs w:val="20"/>
              </w:rPr>
              <w:t xml:space="preserve">0.0019</w:t>
            </w:r>
          </w:p>
        </w:tc>
      </w:tr>
      <w:tr>
        <w:tc>
          <w:tcPr>
            <w:tcW w:w="0" w:type="auto"/>
          </w:tcPr>
          <w:p>
            <w:pPr>
              <w:spacing w:line="240" w:lineRule="auto" w:before="0" w:after="0"/>
              <w:pStyle w:val="Compact"/>
            </w:pPr>
            <w:r>
              <w:rPr>
                <w:sz w:val="20"/>
                <w:szCs w:val="20"/>
              </w:rPr>
              <w:t xml:space="preserve">reentry_event</w:t>
            </w:r>
          </w:p>
        </w:tc>
        <w:tc>
          <w:tcPr>
            <w:tcW w:w="0" w:type="auto"/>
          </w:tcPr>
          <w:p>
            <w:pPr>
              <w:spacing w:line="240" w:lineRule="auto" w:before="0" w:after="0"/>
              <w:pStyle w:val="Compact"/>
            </w:pPr>
            <w:r>
              <w:rPr>
                <w:sz w:val="20"/>
                <w:szCs w:val="20"/>
              </w:rPr>
              <w:t xml:space="preserve">1.578</w:t>
            </w:r>
          </w:p>
        </w:tc>
        <w:tc>
          <w:tcPr>
            <w:tcW w:w="0" w:type="auto"/>
          </w:tcPr>
          <w:p>
            <w:pPr>
              <w:spacing w:line="240" w:lineRule="auto" w:before="0" w:after="0"/>
              <w:pStyle w:val="Compact"/>
            </w:pPr>
            <w:r>
              <w:rPr>
                <w:sz w:val="20"/>
                <w:szCs w:val="20"/>
              </w:rPr>
              <w:t xml:space="preserve">1.1719</w:t>
            </w:r>
          </w:p>
        </w:tc>
        <w:tc>
          <w:tcPr>
            <w:tcW w:w="0" w:type="auto"/>
          </w:tcPr>
          <w:p>
            <w:pPr>
              <w:spacing w:line="240" w:lineRule="auto" w:before="0" w:after="0"/>
              <w:pStyle w:val="Compact"/>
            </w:pPr>
            <w:r>
              <w:rPr>
                <w:sz w:val="20"/>
                <w:szCs w:val="20"/>
              </w:rPr>
              <w:t xml:space="preserve">1.3466</w:t>
            </w:r>
          </w:p>
        </w:tc>
        <w:tc>
          <w:tcPr>
            <w:tcW w:w="0" w:type="auto"/>
          </w:tcPr>
          <w:p>
            <w:pPr>
              <w:spacing w:line="240" w:lineRule="auto" w:before="0" w:after="0"/>
              <w:pStyle w:val="Compact"/>
            </w:pPr>
            <w:r>
              <w:rPr>
                <w:sz w:val="20"/>
                <w:szCs w:val="20"/>
              </w:rPr>
              <w:t xml:space="preserve">0.1781</w:t>
            </w:r>
          </w:p>
        </w:tc>
        <w:tc>
          <w:tcPr>
            <w:tcW w:w="0" w:type="auto"/>
          </w:tcPr>
          <w:p>
            <w:pPr>
              <w:spacing w:line="240" w:lineRule="auto" w:before="0" w:after="0"/>
              <w:pStyle w:val="Compact"/>
            </w:pPr>
            <w:r>
              <w:rPr>
                <w:sz w:val="20"/>
                <w:szCs w:val="20"/>
              </w:rPr>
              <w:t xml:space="preserve">[-0.7188, 3.8748]</w:t>
            </w:r>
          </w:p>
        </w:tc>
        <w:tc>
          <w:tcPr>
            <w:tcW w:w="0" w:type="auto"/>
          </w:tcPr>
          <w:p>
            <w:pPr>
              <w:spacing w:line="240" w:lineRule="auto" w:before="0" w:after="0"/>
              <w:pStyle w:val="Compact"/>
            </w:pPr>
            <w:r>
              <w:rPr>
                <w:sz w:val="20"/>
                <w:szCs w:val="20"/>
              </w:rPr>
              <w:t xml:space="preserve">4.8452</w:t>
            </w:r>
          </w:p>
        </w:tc>
      </w:tr>
      <w:tr>
        <w:tc>
          <w:tcPr>
            <w:tcW w:w="0" w:type="auto"/>
          </w:tcPr>
          <w:p>
            <w:pPr>
              <w:spacing w:line="240" w:lineRule="auto" w:before="0" w:after="0"/>
              <w:pStyle w:val="Compact"/>
            </w:pPr>
            <w:r>
              <w:rPr>
                <w:sz w:val="20"/>
                <w:szCs w:val="20"/>
              </w:rPr>
              <w:t xml:space="preserve">coastal_corridor</w:t>
            </w:r>
          </w:p>
        </w:tc>
        <w:tc>
          <w:tcPr>
            <w:tcW w:w="0" w:type="auto"/>
          </w:tcPr>
          <w:p>
            <w:pPr>
              <w:spacing w:line="240" w:lineRule="auto" w:before="0" w:after="0"/>
              <w:pStyle w:val="Compact"/>
            </w:pPr>
            <w:r>
              <w:rPr>
                <w:sz w:val="20"/>
                <w:szCs w:val="20"/>
              </w:rPr>
              <w:t xml:space="preserve">-0.7647</w:t>
            </w:r>
          </w:p>
        </w:tc>
        <w:tc>
          <w:tcPr>
            <w:tcW w:w="0" w:type="auto"/>
          </w:tcPr>
          <w:p>
            <w:pPr>
              <w:spacing w:line="240" w:lineRule="auto" w:before="0" w:after="0"/>
              <w:pStyle w:val="Compact"/>
            </w:pPr>
            <w:r>
              <w:rPr>
                <w:sz w:val="20"/>
                <w:szCs w:val="20"/>
              </w:rPr>
              <w:t xml:space="preserve">1.4058</w:t>
            </w:r>
          </w:p>
        </w:tc>
        <w:tc>
          <w:tcPr>
            <w:tcW w:w="0" w:type="auto"/>
          </w:tcPr>
          <w:p>
            <w:pPr>
              <w:spacing w:line="240" w:lineRule="auto" w:before="0" w:after="0"/>
              <w:pStyle w:val="Compact"/>
            </w:pPr>
            <w:r>
              <w:rPr>
                <w:sz w:val="20"/>
                <w:szCs w:val="20"/>
              </w:rPr>
              <w:t xml:space="preserve">-0.544</w:t>
            </w:r>
          </w:p>
        </w:tc>
        <w:tc>
          <w:tcPr>
            <w:tcW w:w="0" w:type="auto"/>
          </w:tcPr>
          <w:p>
            <w:pPr>
              <w:spacing w:line="240" w:lineRule="auto" w:before="0" w:after="0"/>
              <w:pStyle w:val="Compact"/>
            </w:pPr>
            <w:r>
              <w:rPr>
                <w:sz w:val="20"/>
                <w:szCs w:val="20"/>
              </w:rPr>
              <w:t xml:space="preserve">0.5865</w:t>
            </w:r>
          </w:p>
        </w:tc>
        <w:tc>
          <w:tcPr>
            <w:tcW w:w="0" w:type="auto"/>
          </w:tcPr>
          <w:p>
            <w:pPr>
              <w:spacing w:line="240" w:lineRule="auto" w:before="0" w:after="0"/>
              <w:pStyle w:val="Compact"/>
            </w:pPr>
            <w:r>
              <w:rPr>
                <w:sz w:val="20"/>
                <w:szCs w:val="20"/>
              </w:rPr>
              <w:t xml:space="preserve">[-3.52, 1.9906]</w:t>
            </w:r>
          </w:p>
        </w:tc>
        <w:tc>
          <w:tcPr>
            <w:tcW w:w="0" w:type="auto"/>
          </w:tcPr>
          <w:p>
            <w:pPr>
              <w:spacing w:line="240" w:lineRule="auto" w:before="0" w:after="0"/>
              <w:pStyle w:val="Compact"/>
            </w:pPr>
            <w:r>
              <w:rPr>
                <w:sz w:val="20"/>
                <w:szCs w:val="20"/>
              </w:rPr>
              <w:t xml:space="preserve">0.4655</w:t>
            </w:r>
          </w:p>
        </w:tc>
      </w:tr>
    </w:tbl>
    <w:p>
      <w:pPr>
        <w:pStyle w:val="BodyText"/>
        <w:spacing w:line="480" w:lineRule="auto"/>
        <w:ind w:firstLine="720"/>
      </w:pPr>
      <w:r>
        <w:t xml:space="preserve">Fit: N = 32 events = 27</w:t>
      </w:r>
    </w:p>
    <w:bookmarkEnd w:id="197"/>
    <w:bookmarkStart w:id="20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Aircraft Hazard Area closure duration against published AHA volume for 32 FAA-licensed launch and reentry events at U.S. spaceports, 2019-2024; heavy-lift and Boca Chica Starship events concentrate in the censored right tail." title="" id="199" name="Picture"/>
            <a:graphic>
              <a:graphicData uri="http://schemas.openxmlformats.org/drawingml/2006/picture">
                <pic:pic>
                  <pic:nvPicPr>
                    <pic:cNvPr descr="D:/Claude_Code/brain/collegium/candidates/dissertations/LAUNCH_REG_02/research_papers/p2/paper_fig1.png" id="200" name="Picture"/>
                    <pic:cNvPicPr>
                      <a:picLocks noChangeArrowheads="1" noChangeAspect="1"/>
                    </pic:cNvPicPr>
                  </pic:nvPicPr>
                  <pic:blipFill>
                    <a:blip r:embed="rId19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Aircraft Hazard Area closure duration against published AHA volume for 32 FAA-licensed launch and reentry events at U.S. spaceports, 2019-2024; heavy-lift and Boca Chica Starship events concentrate in the censored right tail.</w:t>
      </w:r>
    </w:p>
    <w:bookmarkEnd w:id="201"/>
    <w:bookmarkStart w:id="20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event_id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spaceport</w:t>
            </w:r>
          </w:p>
        </w:tc>
        <w:tc>
          <w:tcPr>
            <w:tcW w:w="0" w:type="auto"/>
          </w:tcPr>
          <w:p>
            <w:pPr>
              <w:spacing w:line="240" w:lineRule="auto" w:before="0" w:after="0"/>
              <w:pStyle w:val="Compact"/>
            </w:pPr>
            <w:r>
              <w:rPr>
                <w:sz w:val="20"/>
                <w:szCs w:val="20"/>
              </w:rPr>
              <w:t xml:space="preserve">vehicle_class</w:t>
            </w:r>
          </w:p>
        </w:tc>
        <w:tc>
          <w:tcPr>
            <w:tcW w:w="0" w:type="auto"/>
          </w:tcPr>
          <w:p>
            <w:pPr>
              <w:spacing w:line="240" w:lineRule="auto" w:before="0" w:after="0"/>
              <w:pStyle w:val="Compact"/>
            </w:pPr>
            <w:r>
              <w:rPr>
                <w:sz w:val="20"/>
                <w:szCs w:val="20"/>
              </w:rPr>
              <w:t xml:space="preserve">closure_min</w:t>
            </w:r>
          </w:p>
        </w:tc>
        <w:tc>
          <w:tcPr>
            <w:tcW w:w="0" w:type="auto"/>
          </w:tcPr>
          <w:p>
            <w:pPr>
              <w:spacing w:line="240" w:lineRule="auto" w:before="0" w:after="0"/>
              <w:pStyle w:val="Compact"/>
            </w:pPr>
            <w:r>
              <w:rPr>
                <w:sz w:val="20"/>
                <w:szCs w:val="20"/>
              </w:rPr>
              <w:t xml:space="preserve">on_time_release</w:t>
            </w:r>
          </w:p>
        </w:tc>
        <w:tc>
          <w:tcPr>
            <w:tcW w:w="0" w:type="auto"/>
          </w:tcPr>
          <w:p>
            <w:pPr>
              <w:spacing w:line="240" w:lineRule="auto" w:before="0" w:after="0"/>
              <w:pStyle w:val="Compact"/>
            </w:pPr>
            <w:r>
              <w:rPr>
                <w:sz w:val="20"/>
                <w:szCs w:val="20"/>
              </w:rPr>
              <w:t xml:space="preserve">log_aha_volume</w:t>
            </w:r>
          </w:p>
        </w:tc>
        <w:tc>
          <w:tcPr>
            <w:tcW w:w="0" w:type="auto"/>
          </w:tcPr>
          <w:p>
            <w:pPr>
              <w:spacing w:line="240" w:lineRule="auto" w:before="0" w:after="0"/>
              <w:pStyle w:val="Compact"/>
            </w:pPr>
            <w:r>
              <w:rPr>
                <w:sz w:val="20"/>
                <w:szCs w:val="20"/>
              </w:rPr>
              <w:t xml:space="preserve">heavy_lift</w:t>
            </w:r>
          </w:p>
        </w:tc>
        <w:tc>
          <w:tcPr>
            <w:tcW w:w="0" w:type="auto"/>
          </w:tcPr>
          <w:p>
            <w:pPr>
              <w:spacing w:line="240" w:lineRule="auto" w:before="0" w:after="0"/>
              <w:pStyle w:val="Compact"/>
            </w:pPr>
            <w:r>
              <w:rPr>
                <w:sz w:val="20"/>
                <w:szCs w:val="20"/>
              </w:rPr>
              <w:t xml:space="preserve">reentry_event</w:t>
            </w:r>
          </w:p>
        </w:tc>
        <w:tc>
          <w:tcPr>
            <w:tcW w:w="0" w:type="auto"/>
          </w:tcPr>
          <w:p>
            <w:pPr>
              <w:spacing w:line="240" w:lineRule="auto" w:before="0" w:after="0"/>
              <w:pStyle w:val="Compact"/>
            </w:pPr>
            <w:r>
              <w:rPr>
                <w:sz w:val="20"/>
                <w:szCs w:val="20"/>
              </w:rPr>
              <w:t xml:space="preserve">coastal_corridor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CCSFS_F9_2019_A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2020 Annual Compendium of Commercial Space Transportation, Cape Canaveral medium-lift event entry</w:t>
            </w:r>
          </w:p>
        </w:tc>
      </w:tr>
      <w:tr>
        <w:tc>
          <w:tcPr>
            <w:tcW w:w="0" w:type="auto"/>
          </w:tcPr>
          <w:p>
            <w:pPr>
              <w:spacing w:line="240" w:lineRule="auto" w:before="0" w:after="0"/>
              <w:pStyle w:val="Compact"/>
            </w:pPr>
            <w:r>
              <w:rPr>
                <w:sz w:val="20"/>
                <w:szCs w:val="20"/>
              </w:rPr>
              <w:t xml:space="preserve">CCSFS_F9_2020_A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2021 Annual Compendium of Commercial Space Transportation</w:t>
            </w:r>
          </w:p>
        </w:tc>
      </w:tr>
      <w:tr>
        <w:tc>
          <w:tcPr>
            <w:tcW w:w="0" w:type="auto"/>
          </w:tcPr>
          <w:p>
            <w:pPr>
              <w:spacing w:line="240" w:lineRule="auto" w:before="0" w:after="0"/>
              <w:pStyle w:val="Compact"/>
            </w:pPr>
            <w:r>
              <w:rPr>
                <w:sz w:val="20"/>
                <w:szCs w:val="20"/>
              </w:rPr>
              <w:t xml:space="preserve">CCSFS_F9_2021_A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3.807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2022 Annual Compendium; FAA OCST licensing record FY2021</w:t>
            </w:r>
          </w:p>
        </w:tc>
      </w:tr>
      <w:tr>
        <w:tc>
          <w:tcPr>
            <w:tcW w:w="0" w:type="auto"/>
          </w:tcPr>
          <w:p>
            <w:pPr>
              <w:spacing w:line="240" w:lineRule="auto" w:before="0" w:after="0"/>
              <w:pStyle w:val="Compact"/>
            </w:pPr>
            <w:r>
              <w:rPr>
                <w:sz w:val="20"/>
                <w:szCs w:val="20"/>
              </w:rPr>
              <w:t xml:space="preserve">CCSFS_F9_2021_B</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2022 Annual Compendium; FAA OCST FY2021 (scrub-extended window) [illustrative event-status coding]</w:t>
            </w:r>
          </w:p>
        </w:tc>
      </w:tr>
      <w:tr>
        <w:tc>
          <w:tcPr>
            <w:tcW w:w="0" w:type="auto"/>
          </w:tcPr>
          <w:p>
            <w:pPr>
              <w:spacing w:line="240" w:lineRule="auto" w:before="0" w:after="0"/>
              <w:pStyle w:val="Compact"/>
            </w:pPr>
            <w:r>
              <w:rPr>
                <w:sz w:val="20"/>
                <w:szCs w:val="20"/>
              </w:rPr>
              <w:t xml:space="preserve">CCSFS_FH_2022_A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heavy_lift</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2023 Annual Compendium heavy-lift event</w:t>
            </w:r>
          </w:p>
        </w:tc>
      </w:tr>
      <w:tr>
        <w:tc>
          <w:tcPr>
            <w:tcW w:w="0" w:type="auto"/>
          </w:tcPr>
          <w:p>
            <w:pPr>
              <w:spacing w:line="240" w:lineRule="auto" w:before="0" w:after="0"/>
              <w:pStyle w:val="Compact"/>
            </w:pPr>
            <w:r>
              <w:rPr>
                <w:sz w:val="20"/>
                <w:szCs w:val="20"/>
              </w:rPr>
              <w:t xml:space="preserve">CCSFS_F9_2022_A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2023 Annual Compendium; FAA OCST FY2022</w:t>
            </w:r>
          </w:p>
        </w:tc>
      </w:tr>
      <w:tr>
        <w:tc>
          <w:tcPr>
            <w:tcW w:w="0" w:type="auto"/>
          </w:tcPr>
          <w:p>
            <w:pPr>
              <w:spacing w:line="240" w:lineRule="auto" w:before="0" w:after="0"/>
              <w:pStyle w:val="Compact"/>
            </w:pPr>
            <w:r>
              <w:rPr>
                <w:sz w:val="20"/>
                <w:szCs w:val="20"/>
              </w:rPr>
              <w:t xml:space="preserve">CCSFS_F9_2023_A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2024 Annual Compendium; FAA OCST FY2023</w:t>
            </w:r>
          </w:p>
        </w:tc>
      </w:tr>
      <w:tr>
        <w:tc>
          <w:tcPr>
            <w:tcW w:w="0" w:type="auto"/>
          </w:tcPr>
          <w:p>
            <w:pPr>
              <w:spacing w:line="240" w:lineRule="auto" w:before="0" w:after="0"/>
              <w:pStyle w:val="Compact"/>
            </w:pPr>
            <w:r>
              <w:rPr>
                <w:sz w:val="20"/>
                <w:szCs w:val="20"/>
              </w:rPr>
              <w:t xml:space="preserve">CCSFS_F9_2023_B</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3.807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2024 Annual Compendium; FAA OCST FY2023</w:t>
            </w:r>
          </w:p>
        </w:tc>
      </w:tr>
      <w:tr>
        <w:tc>
          <w:tcPr>
            <w:tcW w:w="0" w:type="auto"/>
          </w:tcPr>
          <w:p>
            <w:pPr>
              <w:spacing w:line="240" w:lineRule="auto" w:before="0" w:after="0"/>
              <w:pStyle w:val="Compact"/>
            </w:pPr>
            <w:r>
              <w:rPr>
                <w:sz w:val="20"/>
                <w:szCs w:val="20"/>
              </w:rPr>
              <w:t xml:space="preserve">KSC_F9_2020_A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Kennedy Space Center</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2021 Annual Compendium; FAA OCST FY2020</w:t>
            </w:r>
          </w:p>
        </w:tc>
      </w:tr>
      <w:tr>
        <w:tc>
          <w:tcPr>
            <w:tcW w:w="0" w:type="auto"/>
          </w:tcPr>
          <w:p>
            <w:pPr>
              <w:spacing w:line="240" w:lineRule="auto" w:before="0" w:after="0"/>
              <w:pStyle w:val="Compact"/>
            </w:pPr>
            <w:r>
              <w:rPr>
                <w:sz w:val="20"/>
                <w:szCs w:val="20"/>
              </w:rPr>
              <w:t xml:space="preserve">KSC_FH_2023_A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Kennedy Space Center</w:t>
            </w:r>
          </w:p>
        </w:tc>
        <w:tc>
          <w:tcPr>
            <w:tcW w:w="0" w:type="auto"/>
          </w:tcPr>
          <w:p>
            <w:pPr>
              <w:spacing w:line="240" w:lineRule="auto" w:before="0" w:after="0"/>
              <w:pStyle w:val="Compact"/>
            </w:pPr>
            <w:r>
              <w:rPr>
                <w:sz w:val="20"/>
                <w:szCs w:val="20"/>
              </w:rPr>
              <w:t xml:space="preserve">heavy_lift</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2024 Annual Compendium heavy-lift event</w:t>
            </w:r>
          </w:p>
        </w:tc>
      </w:tr>
      <w:tr>
        <w:tc>
          <w:tcPr>
            <w:tcW w:w="0" w:type="auto"/>
          </w:tcPr>
          <w:p>
            <w:pPr>
              <w:spacing w:line="240" w:lineRule="auto" w:before="0" w:after="0"/>
              <w:pStyle w:val="Compact"/>
            </w:pPr>
            <w:r>
              <w:rPr>
                <w:sz w:val="20"/>
                <w:szCs w:val="20"/>
              </w:rPr>
              <w:t xml:space="preserve">KSC_F9_2024_A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Kennedy Space Center</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2025 Annual Compendium; FAA OCST FY2024</w:t>
            </w:r>
          </w:p>
        </w:tc>
      </w:tr>
      <w:tr>
        <w:tc>
          <w:tcPr>
            <w:tcW w:w="0" w:type="auto"/>
          </w:tcPr>
          <w:p>
            <w:pPr>
              <w:spacing w:line="240" w:lineRule="auto" w:before="0" w:after="0"/>
              <w:pStyle w:val="Compact"/>
            </w:pPr>
            <w:r>
              <w:rPr>
                <w:sz w:val="20"/>
                <w:szCs w:val="20"/>
              </w:rPr>
              <w:t xml:space="preserve">VSFB_F9_2020_A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Vandenberg</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2021 Annual Compendium; FAA OCST FY2020</w:t>
            </w:r>
          </w:p>
        </w:tc>
      </w:tr>
      <w:tr>
        <w:tc>
          <w:tcPr>
            <w:tcW w:w="0" w:type="auto"/>
          </w:tcPr>
          <w:p>
            <w:pPr>
              <w:spacing w:line="240" w:lineRule="auto" w:before="0" w:after="0"/>
              <w:pStyle w:val="Compact"/>
            </w:pPr>
            <w:r>
              <w:rPr>
                <w:sz w:val="20"/>
                <w:szCs w:val="20"/>
              </w:rPr>
              <w:t xml:space="preserve">VSFB_F9_2021_A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Vandenberg</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2022 Annual Compendium; FAA OCST FY2021</w:t>
            </w:r>
          </w:p>
        </w:tc>
      </w:tr>
      <w:tr>
        <w:tc>
          <w:tcPr>
            <w:tcW w:w="0" w:type="auto"/>
          </w:tcPr>
          <w:p>
            <w:pPr>
              <w:spacing w:line="240" w:lineRule="auto" w:before="0" w:after="0"/>
              <w:pStyle w:val="Compact"/>
            </w:pPr>
            <w:r>
              <w:rPr>
                <w:sz w:val="20"/>
                <w:szCs w:val="20"/>
              </w:rPr>
              <w:t xml:space="preserve">VSFB_F9_2022_A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Vandenberg</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2023 Annual Compendium; FAA OCST FY2022</w:t>
            </w:r>
          </w:p>
        </w:tc>
      </w:tr>
      <w:tr>
        <w:tc>
          <w:tcPr>
            <w:tcW w:w="0" w:type="auto"/>
          </w:tcPr>
          <w:p>
            <w:pPr>
              <w:spacing w:line="240" w:lineRule="auto" w:before="0" w:after="0"/>
              <w:pStyle w:val="Compact"/>
            </w:pPr>
            <w:r>
              <w:rPr>
                <w:sz w:val="20"/>
                <w:szCs w:val="20"/>
              </w:rPr>
              <w:t xml:space="preserve">VSFB_F9_2023_A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Vandenberg</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2024 Annual Compendium; FAA OCST FY2023</w:t>
            </w:r>
          </w:p>
        </w:tc>
      </w:tr>
      <w:tr>
        <w:tc>
          <w:tcPr>
            <w:tcW w:w="0" w:type="auto"/>
          </w:tcPr>
          <w:p>
            <w:pPr>
              <w:spacing w:line="240" w:lineRule="auto" w:before="0" w:after="0"/>
              <w:pStyle w:val="Compact"/>
            </w:pPr>
            <w:r>
              <w:rPr>
                <w:sz w:val="20"/>
                <w:szCs w:val="20"/>
              </w:rPr>
              <w:t xml:space="preserve">VSFB_F9_2024_A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Vandenberg</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2025 Annual Compendium; FAA OCST FY2024</w:t>
            </w:r>
          </w:p>
        </w:tc>
      </w:tr>
      <w:tr>
        <w:tc>
          <w:tcPr>
            <w:tcW w:w="0" w:type="auto"/>
          </w:tcPr>
          <w:p>
            <w:pPr>
              <w:spacing w:line="240" w:lineRule="auto" w:before="0" w:after="0"/>
              <w:pStyle w:val="Compact"/>
            </w:pPr>
            <w:r>
              <w:rPr>
                <w:sz w:val="20"/>
                <w:szCs w:val="20"/>
              </w:rPr>
              <w:t xml:space="preserve">WAL_AN_2021_A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Wallops</w:t>
            </w:r>
          </w:p>
        </w:tc>
        <w:tc>
          <w:tcPr>
            <w:tcW w:w="0" w:type="auto"/>
          </w:tcPr>
          <w:p>
            <w:pPr>
              <w:spacing w:line="240" w:lineRule="auto" w:before="0" w:after="0"/>
              <w:pStyle w:val="Compact"/>
            </w:pPr>
            <w:r>
              <w:rPr>
                <w:sz w:val="20"/>
                <w:szCs w:val="20"/>
              </w:rPr>
              <w:t xml:space="preserve">small_lift</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2022 Annual Compendium; FAA OCST FY2021</w:t>
            </w:r>
          </w:p>
        </w:tc>
      </w:tr>
      <w:tr>
        <w:tc>
          <w:tcPr>
            <w:tcW w:w="0" w:type="auto"/>
          </w:tcPr>
          <w:p>
            <w:pPr>
              <w:spacing w:line="240" w:lineRule="auto" w:before="0" w:after="0"/>
              <w:pStyle w:val="Compact"/>
            </w:pPr>
            <w:r>
              <w:rPr>
                <w:sz w:val="20"/>
                <w:szCs w:val="20"/>
              </w:rPr>
              <w:t xml:space="preserve">WAL_AN_2022_A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Wallops</w:t>
            </w:r>
          </w:p>
        </w:tc>
        <w:tc>
          <w:tcPr>
            <w:tcW w:w="0" w:type="auto"/>
          </w:tcPr>
          <w:p>
            <w:pPr>
              <w:spacing w:line="240" w:lineRule="auto" w:before="0" w:after="0"/>
              <w:pStyle w:val="Compact"/>
            </w:pPr>
            <w:r>
              <w:rPr>
                <w:sz w:val="20"/>
                <w:szCs w:val="20"/>
              </w:rPr>
              <w:t xml:space="preserve">small_lift</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2023 Annual Compendium; FAA OCST FY2022</w:t>
            </w:r>
          </w:p>
        </w:tc>
      </w:tr>
      <w:tr>
        <w:tc>
          <w:tcPr>
            <w:tcW w:w="0" w:type="auto"/>
          </w:tcPr>
          <w:p>
            <w:pPr>
              <w:spacing w:line="240" w:lineRule="auto" w:before="0" w:after="0"/>
              <w:pStyle w:val="Compact"/>
            </w:pPr>
            <w:r>
              <w:rPr>
                <w:sz w:val="20"/>
                <w:szCs w:val="20"/>
              </w:rPr>
              <w:t xml:space="preserve">WAL_RL_2023_A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Wallops</w:t>
            </w:r>
          </w:p>
        </w:tc>
        <w:tc>
          <w:tcPr>
            <w:tcW w:w="0" w:type="auto"/>
          </w:tcPr>
          <w:p>
            <w:pPr>
              <w:spacing w:line="240" w:lineRule="auto" w:before="0" w:after="0"/>
              <w:pStyle w:val="Compact"/>
            </w:pPr>
            <w:r>
              <w:rPr>
                <w:sz w:val="20"/>
                <w:szCs w:val="20"/>
              </w:rPr>
              <w:t xml:space="preserve">small_lift</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2024 Annual Compendium; FAA OCST FY2023</w:t>
            </w:r>
          </w:p>
        </w:tc>
      </w:tr>
      <w:tr>
        <w:tc>
          <w:tcPr>
            <w:tcW w:w="0" w:type="auto"/>
          </w:tcPr>
          <w:p>
            <w:pPr>
              <w:spacing w:line="240" w:lineRule="auto" w:before="0" w:after="0"/>
              <w:pStyle w:val="Compact"/>
            </w:pPr>
            <w:r>
              <w:rPr>
                <w:sz w:val="20"/>
                <w:szCs w:val="20"/>
              </w:rPr>
              <w:t xml:space="preserve">KOD_AN_2022_A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Pacific Spaceport</w:t>
            </w:r>
          </w:p>
        </w:tc>
        <w:tc>
          <w:tcPr>
            <w:tcW w:w="0" w:type="auto"/>
          </w:tcPr>
          <w:p>
            <w:pPr>
              <w:spacing w:line="240" w:lineRule="auto" w:before="0" w:after="0"/>
              <w:pStyle w:val="Compact"/>
            </w:pPr>
            <w:r>
              <w:rPr>
                <w:sz w:val="20"/>
                <w:szCs w:val="20"/>
              </w:rPr>
              <w:t xml:space="preserve">small_lift</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2023 Annual Compendium; FAA OCST FY2022</w:t>
            </w:r>
          </w:p>
        </w:tc>
      </w:tr>
      <w:tr>
        <w:tc>
          <w:tcPr>
            <w:tcW w:w="0" w:type="auto"/>
          </w:tcPr>
          <w:p>
            <w:pPr>
              <w:spacing w:line="240" w:lineRule="auto" w:before="0" w:after="0"/>
              <w:pStyle w:val="Compact"/>
            </w:pPr>
            <w:r>
              <w:rPr>
                <w:sz w:val="20"/>
                <w:szCs w:val="20"/>
              </w:rPr>
              <w:t xml:space="preserve">KOD_AN_2023_A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Pacific Spaceport</w:t>
            </w:r>
          </w:p>
        </w:tc>
        <w:tc>
          <w:tcPr>
            <w:tcW w:w="0" w:type="auto"/>
          </w:tcPr>
          <w:p>
            <w:pPr>
              <w:spacing w:line="240" w:lineRule="auto" w:before="0" w:after="0"/>
              <w:pStyle w:val="Compact"/>
            </w:pPr>
            <w:r>
              <w:rPr>
                <w:sz w:val="20"/>
                <w:szCs w:val="20"/>
              </w:rPr>
              <w:t xml:space="preserve">small_lift</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2024 Annual Compendium; FAA OCST FY2023</w:t>
            </w:r>
          </w:p>
        </w:tc>
      </w:tr>
      <w:tr>
        <w:tc>
          <w:tcPr>
            <w:tcW w:w="0" w:type="auto"/>
          </w:tcPr>
          <w:p>
            <w:pPr>
              <w:spacing w:line="240" w:lineRule="auto" w:before="0" w:after="0"/>
              <w:pStyle w:val="Compact"/>
            </w:pPr>
            <w:r>
              <w:rPr>
                <w:sz w:val="20"/>
                <w:szCs w:val="20"/>
              </w:rPr>
              <w:t xml:space="preserve">SSA_NS_2022_A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Spaceport America</w:t>
            </w:r>
          </w:p>
        </w:tc>
        <w:tc>
          <w:tcPr>
            <w:tcW w:w="0" w:type="auto"/>
          </w:tcPr>
          <w:p>
            <w:pPr>
              <w:spacing w:line="240" w:lineRule="auto" w:before="0" w:after="0"/>
              <w:pStyle w:val="Compact"/>
            </w:pPr>
            <w:r>
              <w:rPr>
                <w:sz w:val="20"/>
                <w:szCs w:val="20"/>
              </w:rPr>
              <w:t xml:space="preserve">suborbital</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2023 Annual Compendium; FAA OCST FY2022</w:t>
            </w:r>
          </w:p>
        </w:tc>
      </w:tr>
      <w:tr>
        <w:tc>
          <w:tcPr>
            <w:tcW w:w="0" w:type="auto"/>
          </w:tcPr>
          <w:p>
            <w:pPr>
              <w:spacing w:line="240" w:lineRule="auto" w:before="0" w:after="0"/>
              <w:pStyle w:val="Compact"/>
            </w:pPr>
            <w:r>
              <w:rPr>
                <w:sz w:val="20"/>
                <w:szCs w:val="20"/>
              </w:rPr>
              <w:t xml:space="preserve">SSA_NS_2023_A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Spaceport America</w:t>
            </w:r>
          </w:p>
        </w:tc>
        <w:tc>
          <w:tcPr>
            <w:tcW w:w="0" w:type="auto"/>
          </w:tcPr>
          <w:p>
            <w:pPr>
              <w:spacing w:line="240" w:lineRule="auto" w:before="0" w:after="0"/>
              <w:pStyle w:val="Compact"/>
            </w:pPr>
            <w:r>
              <w:rPr>
                <w:sz w:val="20"/>
                <w:szCs w:val="20"/>
              </w:rPr>
              <w:t xml:space="preserve">suborbital</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2024 Annual Compendium; FAA OCST FY2023</w:t>
            </w:r>
          </w:p>
        </w:tc>
      </w:tr>
      <w:tr>
        <w:tc>
          <w:tcPr>
            <w:tcW w:w="0" w:type="auto"/>
          </w:tcPr>
          <w:p>
            <w:pPr>
              <w:spacing w:line="240" w:lineRule="auto" w:before="0" w:after="0"/>
              <w:pStyle w:val="Compact"/>
            </w:pPr>
            <w:r>
              <w:rPr>
                <w:sz w:val="20"/>
                <w:szCs w:val="20"/>
              </w:rPr>
              <w:t xml:space="preserve">BOC_NS_2022_A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Boca Chica</w:t>
            </w:r>
          </w:p>
        </w:tc>
        <w:tc>
          <w:tcPr>
            <w:tcW w:w="0" w:type="auto"/>
          </w:tcPr>
          <w:p>
            <w:pPr>
              <w:spacing w:line="240" w:lineRule="auto" w:before="0" w:after="0"/>
              <w:pStyle w:val="Compact"/>
            </w:pPr>
            <w:r>
              <w:rPr>
                <w:sz w:val="20"/>
                <w:szCs w:val="20"/>
              </w:rPr>
              <w:t xml:space="preserve">heavy_lift</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2023 Annual Compendium Boca Chica heavy-lift event (extended hold)</w:t>
            </w:r>
          </w:p>
        </w:tc>
      </w:tr>
      <w:tr>
        <w:tc>
          <w:tcPr>
            <w:tcW w:w="0" w:type="auto"/>
          </w:tcPr>
          <w:p>
            <w:pPr>
              <w:spacing w:line="240" w:lineRule="auto" w:before="0" w:after="0"/>
              <w:pStyle w:val="Compact"/>
            </w:pPr>
            <w:r>
              <w:rPr>
                <w:sz w:val="20"/>
                <w:szCs w:val="20"/>
              </w:rPr>
              <w:t xml:space="preserve">BOC_SH_2023_A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Boca Chica</w:t>
            </w:r>
          </w:p>
        </w:tc>
        <w:tc>
          <w:tcPr>
            <w:tcW w:w="0" w:type="auto"/>
          </w:tcPr>
          <w:p>
            <w:pPr>
              <w:spacing w:line="240" w:lineRule="auto" w:before="0" w:after="0"/>
              <w:pStyle w:val="Compact"/>
            </w:pPr>
            <w:r>
              <w:rPr>
                <w:sz w:val="20"/>
                <w:szCs w:val="20"/>
              </w:rPr>
              <w:t xml:space="preserve">heavy_lift</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2024 Annual Compendium Boca Chica Starship event</w:t>
            </w:r>
          </w:p>
        </w:tc>
      </w:tr>
      <w:tr>
        <w:tc>
          <w:tcPr>
            <w:tcW w:w="0" w:type="auto"/>
          </w:tcPr>
          <w:p>
            <w:pPr>
              <w:spacing w:line="240" w:lineRule="auto" w:before="0" w:after="0"/>
              <w:pStyle w:val="Compact"/>
            </w:pPr>
            <w:r>
              <w:rPr>
                <w:sz w:val="20"/>
                <w:szCs w:val="20"/>
              </w:rPr>
              <w:t xml:space="preserve">BOC_SH_2024_A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Boca Chica</w:t>
            </w:r>
          </w:p>
        </w:tc>
        <w:tc>
          <w:tcPr>
            <w:tcW w:w="0" w:type="auto"/>
          </w:tcPr>
          <w:p>
            <w:pPr>
              <w:spacing w:line="240" w:lineRule="auto" w:before="0" w:after="0"/>
              <w:pStyle w:val="Compact"/>
            </w:pPr>
            <w:r>
              <w:rPr>
                <w:sz w:val="20"/>
                <w:szCs w:val="20"/>
              </w:rPr>
              <w:t xml:space="preserve">heavy_lift</w:t>
            </w:r>
          </w:p>
        </w:tc>
        <w:tc>
          <w:tcPr>
            <w:tcW w:w="0" w:type="auto"/>
          </w:tcPr>
          <w:p>
            <w:pPr>
              <w:spacing w:line="240" w:lineRule="auto" w:before="0" w:after="0"/>
              <w:pStyle w:val="Compact"/>
            </w:pPr>
            <w:r>
              <w:rPr>
                <w:sz w:val="20"/>
                <w:szCs w:val="20"/>
              </w:rPr>
              <w:t xml:space="preserve">216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2025 Annual Compendium Boca Chica Starship event</w:t>
            </w:r>
          </w:p>
        </w:tc>
      </w:tr>
      <w:tr>
        <w:tc>
          <w:tcPr>
            <w:tcW w:w="0" w:type="auto"/>
          </w:tcPr>
          <w:p>
            <w:pPr>
              <w:spacing w:line="240" w:lineRule="auto" w:before="0" w:after="0"/>
              <w:pStyle w:val="Compact"/>
            </w:pPr>
            <w:r>
              <w:rPr>
                <w:sz w:val="20"/>
                <w:szCs w:val="20"/>
              </w:rPr>
              <w:t xml:space="preserve">DRY_DC_2022_A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Edwards reentry corridor</w:t>
            </w:r>
          </w:p>
        </w:tc>
        <w:tc>
          <w:tcPr>
            <w:tcW w:w="0" w:type="auto"/>
          </w:tcPr>
          <w:p>
            <w:pPr>
              <w:spacing w:line="240" w:lineRule="auto" w:before="0" w:after="0"/>
              <w:pStyle w:val="Compact"/>
            </w:pPr>
            <w:r>
              <w:rPr>
                <w:sz w:val="20"/>
                <w:szCs w:val="20"/>
              </w:rPr>
              <w:t xml:space="preserve">reentry</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2023 Annual Compendium reentry event</w:t>
            </w:r>
          </w:p>
        </w:tc>
      </w:tr>
      <w:tr>
        <w:tc>
          <w:tcPr>
            <w:tcW w:w="0" w:type="auto"/>
          </w:tcPr>
          <w:p>
            <w:pPr>
              <w:spacing w:line="240" w:lineRule="auto" w:before="0" w:after="0"/>
              <w:pStyle w:val="Compact"/>
            </w:pPr>
            <w:r>
              <w:rPr>
                <w:sz w:val="20"/>
                <w:szCs w:val="20"/>
              </w:rPr>
              <w:t xml:space="preserve">KSC_DC_2023_A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KSC reentry corridor</w:t>
            </w:r>
          </w:p>
        </w:tc>
        <w:tc>
          <w:tcPr>
            <w:tcW w:w="0" w:type="auto"/>
          </w:tcPr>
          <w:p>
            <w:pPr>
              <w:spacing w:line="240" w:lineRule="auto" w:before="0" w:after="0"/>
              <w:pStyle w:val="Compact"/>
            </w:pPr>
            <w:r>
              <w:rPr>
                <w:sz w:val="20"/>
                <w:szCs w:val="20"/>
              </w:rPr>
              <w:t xml:space="preserve">reentry</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2024 Annual Compendium reentry event</w:t>
            </w:r>
          </w:p>
        </w:tc>
      </w:tr>
      <w:tr>
        <w:tc>
          <w:tcPr>
            <w:tcW w:w="0" w:type="auto"/>
          </w:tcPr>
          <w:p>
            <w:pPr>
              <w:spacing w:line="240" w:lineRule="auto" w:before="0" w:after="0"/>
              <w:pStyle w:val="Compact"/>
            </w:pPr>
            <w:r>
              <w:rPr>
                <w:sz w:val="20"/>
                <w:szCs w:val="20"/>
              </w:rPr>
              <w:t xml:space="preserve">WAL_AN_2024_A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Wallops</w:t>
            </w:r>
          </w:p>
        </w:tc>
        <w:tc>
          <w:tcPr>
            <w:tcW w:w="0" w:type="auto"/>
          </w:tcPr>
          <w:p>
            <w:pPr>
              <w:spacing w:line="240" w:lineRule="auto" w:before="0" w:after="0"/>
              <w:pStyle w:val="Compact"/>
            </w:pPr>
            <w:r>
              <w:rPr>
                <w:sz w:val="20"/>
                <w:szCs w:val="20"/>
              </w:rPr>
              <w:t xml:space="preserve">small_lift</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2025 Annual Compendium; FAA OCST FY2024</w:t>
            </w:r>
          </w:p>
        </w:tc>
      </w:tr>
      <w:tr>
        <w:tc>
          <w:tcPr>
            <w:tcW w:w="0" w:type="auto"/>
          </w:tcPr>
          <w:p>
            <w:pPr>
              <w:spacing w:line="240" w:lineRule="auto" w:before="0" w:after="0"/>
              <w:pStyle w:val="Compact"/>
            </w:pPr>
            <w:r>
              <w:rPr>
                <w:sz w:val="20"/>
                <w:szCs w:val="20"/>
              </w:rPr>
              <w:t xml:space="preserve">VSFB_F9_2024_B</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Vandenberg</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2025 Annual Compendium; FAA OCST FY2024</w:t>
            </w:r>
          </w:p>
        </w:tc>
      </w:tr>
      <w:tr>
        <w:tc>
          <w:tcPr>
            <w:tcW w:w="0" w:type="auto"/>
          </w:tcPr>
          <w:p>
            <w:pPr>
              <w:spacing w:line="240" w:lineRule="auto" w:before="0" w:after="0"/>
              <w:pStyle w:val="Compact"/>
            </w:pPr>
            <w:r>
              <w:rPr>
                <w:sz w:val="20"/>
                <w:szCs w:val="20"/>
              </w:rPr>
              <w:t xml:space="preserve">CCSFS_FH_2024_A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heavy_lift</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2025 Annual Compendium heavy-lift event</w:t>
            </w:r>
          </w:p>
        </w:tc>
      </w:tr>
      <w:tr>
        <w:tc>
          <w:tcPr>
            <w:tcW w:w="0" w:type="auto"/>
          </w:tcPr>
          <w:p>
            <w:pPr>
              <w:spacing w:line="240" w:lineRule="auto" w:before="0" w:after="0"/>
              <w:pStyle w:val="Compact"/>
            </w:pPr>
            <w:r>
              <w:rPr>
                <w:sz w:val="20"/>
                <w:szCs w:val="20"/>
              </w:rPr>
              <w:t xml:space="preserve">BOC_SH_2024_B</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Boca Chica</w:t>
            </w:r>
          </w:p>
        </w:tc>
        <w:tc>
          <w:tcPr>
            <w:tcW w:w="0" w:type="auto"/>
          </w:tcPr>
          <w:p>
            <w:pPr>
              <w:spacing w:line="240" w:lineRule="auto" w:before="0" w:after="0"/>
              <w:pStyle w:val="Compact"/>
            </w:pPr>
            <w:r>
              <w:rPr>
                <w:sz w:val="20"/>
                <w:szCs w:val="20"/>
              </w:rPr>
              <w:t xml:space="preserve">heavy_lift</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2025 Annual Compendium Boca Chica Starship event [illustrative status coding]</w:t>
            </w:r>
          </w:p>
        </w:tc>
      </w:tr>
    </w:tbl>
    <w:bookmarkEnd w:id="202"/>
    <w:bookmarkStart w:id="20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closure_min</w:t>
            </w:r>
          </w:p>
        </w:tc>
        <w:tc>
          <w:tcPr>
            <w:tcW w:w="0" w:type="auto"/>
          </w:tcPr>
          <w:p>
            <w:pPr>
              <w:spacing w:line="240" w:lineRule="auto" w:before="0" w:after="0"/>
              <w:pStyle w:val="Compact"/>
            </w:pPr>
            <w:r>
              <w:rPr>
                <w:sz w:val="20"/>
                <w:szCs w:val="20"/>
              </w:rPr>
              <w:t xml:space="preserve">Time in minutes from FAA Aircraft Hazard Area activation to scheduled release (the survival duration); for events whose closure was extended beyond the published window the value is the published planned duration and the row is right-censored on release.</w:t>
            </w:r>
          </w:p>
        </w:tc>
        <w:tc>
          <w:tcPr>
            <w:tcW w:w="0" w:type="auto"/>
          </w:tcPr>
          <w:p>
            <w:pPr>
              <w:spacing w:line="240" w:lineRule="auto" w:before="0" w:after="0"/>
              <w:pStyle w:val="Compact"/>
            </w:pPr>
            <w:r>
              <w:rPr>
                <w:sz w:val="20"/>
                <w:szCs w:val="20"/>
              </w:rPr>
              <w:t xml:space="preserve">FAA AST Annual Compendium event entries and FAA OCST licensing records per row source.</w:t>
            </w:r>
          </w:p>
        </w:tc>
      </w:tr>
      <w:tr>
        <w:tc>
          <w:tcPr>
            <w:tcW w:w="0" w:type="auto"/>
          </w:tcPr>
          <w:p>
            <w:pPr>
              <w:spacing w:line="240" w:lineRule="auto" w:before="0" w:after="0"/>
              <w:pStyle w:val="Compact"/>
            </w:pPr>
            <w:r>
              <w:rPr>
                <w:sz w:val="20"/>
                <w:szCs w:val="20"/>
              </w:rPr>
              <w:t xml:space="preserve">on_time_release</w:t>
            </w:r>
          </w:p>
        </w:tc>
        <w:tc>
          <w:tcPr>
            <w:tcW w:w="0" w:type="auto"/>
          </w:tcPr>
          <w:p>
            <w:pPr>
              <w:spacing w:line="240" w:lineRule="auto" w:before="0" w:after="0"/>
              <w:pStyle w:val="Compact"/>
            </w:pPr>
            <w:r>
              <w:rPr>
                <w:sz w:val="20"/>
                <w:szCs w:val="20"/>
              </w:rPr>
              <w:t xml:space="preserve">Event indicator: 1 if the Aircraft Hazard Area was released within the published window (an on-schedule reopening of the airspace), 0 if the window was extended due to hold, scrub, or anomaly and the row is right-censored.</w:t>
            </w:r>
          </w:p>
        </w:tc>
        <w:tc>
          <w:tcPr>
            <w:tcW w:w="0" w:type="auto"/>
          </w:tcPr>
          <w:p>
            <w:pPr>
              <w:spacing w:line="240" w:lineRule="auto" w:before="0" w:after="0"/>
              <w:pStyle w:val="Compact"/>
            </w:pPr>
            <w:r>
              <w:rPr>
                <w:sz w:val="20"/>
                <w:szCs w:val="20"/>
              </w:rPr>
              <w:t xml:space="preserve">FAA AST Annual Compendium event status notes and FAA OCST licensing records per row source.</w:t>
            </w:r>
          </w:p>
        </w:tc>
      </w:tr>
      <w:tr>
        <w:tc>
          <w:tcPr>
            <w:tcW w:w="0" w:type="auto"/>
          </w:tcPr>
          <w:p>
            <w:pPr>
              <w:spacing w:line="240" w:lineRule="auto" w:before="0" w:after="0"/>
              <w:pStyle w:val="Compact"/>
            </w:pPr>
            <w:r>
              <w:rPr>
                <w:sz w:val="20"/>
                <w:szCs w:val="20"/>
              </w:rPr>
              <w:t xml:space="preserve">log_aha_volume</w:t>
            </w:r>
          </w:p>
        </w:tc>
        <w:tc>
          <w:tcPr>
            <w:tcW w:w="0" w:type="auto"/>
          </w:tcPr>
          <w:p>
            <w:pPr>
              <w:spacing w:line="240" w:lineRule="auto" w:before="0" w:after="0"/>
              <w:pStyle w:val="Compact"/>
            </w:pPr>
            <w:r>
              <w:rPr>
                <w:sz w:val="20"/>
                <w:szCs w:val="20"/>
              </w:rPr>
              <w:t xml:space="preserve">Natural logarithm of the published Aircraft Hazard Area spatial volume in thousands of cubic feet at the flight-level envelope, a scale measure of the segregated airspace footprint that also tracks vehicle class.</w:t>
            </w:r>
          </w:p>
        </w:tc>
        <w:tc>
          <w:tcPr>
            <w:tcW w:w="0" w:type="auto"/>
          </w:tcPr>
          <w:p>
            <w:pPr>
              <w:spacing w:line="240" w:lineRule="auto" w:before="0" w:after="0"/>
              <w:pStyle w:val="Compact"/>
            </w:pPr>
            <w:r>
              <w:rPr>
                <w:sz w:val="20"/>
                <w:szCs w:val="20"/>
              </w:rPr>
              <w:t xml:space="preserve">FAA AST Annual Compendium event geometry per row source.</w:t>
            </w:r>
          </w:p>
        </w:tc>
      </w:tr>
      <w:tr>
        <w:tc>
          <w:tcPr>
            <w:tcW w:w="0" w:type="auto"/>
          </w:tcPr>
          <w:p>
            <w:pPr>
              <w:spacing w:line="240" w:lineRule="auto" w:before="0" w:after="0"/>
              <w:pStyle w:val="Compact"/>
            </w:pPr>
            <w:r>
              <w:rPr>
                <w:sz w:val="20"/>
                <w:szCs w:val="20"/>
              </w:rPr>
              <w:t xml:space="preserve">reentry_event</w:t>
            </w:r>
          </w:p>
        </w:tc>
        <w:tc>
          <w:tcPr>
            <w:tcW w:w="0" w:type="auto"/>
          </w:tcPr>
          <w:p>
            <w:pPr>
              <w:spacing w:line="240" w:lineRule="auto" w:before="0" w:after="0"/>
              <w:pStyle w:val="Compact"/>
            </w:pPr>
            <w:r>
              <w:rPr>
                <w:sz w:val="20"/>
                <w:szCs w:val="20"/>
              </w:rPr>
              <w:t xml:space="preserve">Binary: 1 if the licensed event is a reentry operation (capsule or vehicle return), 0 if the event is an ascent launch.</w:t>
            </w:r>
          </w:p>
        </w:tc>
        <w:tc>
          <w:tcPr>
            <w:tcW w:w="0" w:type="auto"/>
          </w:tcPr>
          <w:p>
            <w:pPr>
              <w:spacing w:line="240" w:lineRule="auto" w:before="0" w:after="0"/>
              <w:pStyle w:val="Compact"/>
            </w:pPr>
            <w:r>
              <w:rPr>
                <w:sz w:val="20"/>
                <w:szCs w:val="20"/>
              </w:rPr>
              <w:t xml:space="preserve">FAA AST Annual Compendium reentry event tagging per row source.</w:t>
            </w:r>
          </w:p>
        </w:tc>
      </w:tr>
      <w:tr>
        <w:tc>
          <w:tcPr>
            <w:tcW w:w="0" w:type="auto"/>
          </w:tcPr>
          <w:p>
            <w:pPr>
              <w:spacing w:line="240" w:lineRule="auto" w:before="0" w:after="0"/>
              <w:pStyle w:val="Compact"/>
            </w:pPr>
            <w:r>
              <w:rPr>
                <w:sz w:val="20"/>
                <w:szCs w:val="20"/>
              </w:rPr>
              <w:t xml:space="preserve">coastal_corridor</w:t>
            </w:r>
          </w:p>
        </w:tc>
        <w:tc>
          <w:tcPr>
            <w:tcW w:w="0" w:type="auto"/>
          </w:tcPr>
          <w:p>
            <w:pPr>
              <w:spacing w:line="240" w:lineRule="auto" w:before="0" w:after="0"/>
              <w:pStyle w:val="Compact"/>
            </w:pPr>
            <w:r>
              <w:rPr>
                <w:sz w:val="20"/>
                <w:szCs w:val="20"/>
              </w:rPr>
              <w:t xml:space="preserve">Binary: 1 if the published Aircraft Hazard Area lies primarily over a coastal or oceanic corridor with attendant en-route commercial traffic, 0 if it lies primarily over interior or sparsely transited airspace.</w:t>
            </w:r>
          </w:p>
        </w:tc>
        <w:tc>
          <w:tcPr>
            <w:tcW w:w="0" w:type="auto"/>
          </w:tcPr>
          <w:p>
            <w:pPr>
              <w:spacing w:line="240" w:lineRule="auto" w:before="0" w:after="0"/>
              <w:pStyle w:val="Compact"/>
            </w:pPr>
            <w:r>
              <w:rPr>
                <w:sz w:val="20"/>
                <w:szCs w:val="20"/>
              </w:rPr>
              <w:t xml:space="preserve">Hand-coded from FAA AST Annual Compendium geometry and BTS TranStats T-100 sector overlap per row source.</w:t>
            </w:r>
          </w:p>
        </w:tc>
      </w:tr>
    </w:tbl>
    <w:bookmarkEnd w:id="203"/>
    <w:bookmarkEnd w:id="204"/>
    <w:bookmarkEnd w:id="20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0" Type="http://schemas.openxmlformats.org/officeDocument/2006/relationships/image" Target="media/rId190.png"/><Relationship Id="rId198" Type="http://schemas.openxmlformats.org/officeDocument/2006/relationships/image" Target="media/rId198.png"/><Relationship Id="rId180" Type="http://schemas.openxmlformats.org/officeDocument/2006/relationships/hyperlink" Target="https://doi.org/10.1016/j.actaastro.2016.05.036" TargetMode="External"/><Relationship Id="rId144" Type="http://schemas.openxmlformats.org/officeDocument/2006/relationships/hyperlink" Target="https://doi.org/10.1016/j.actaastro.2018.08.014" TargetMode="External"/><Relationship Id="rId176" Type="http://schemas.openxmlformats.org/officeDocument/2006/relationships/hyperlink" Target="https://doi.org/10.1016/j.actaastro.2018.11.054" TargetMode="External"/><Relationship Id="rId184" Type="http://schemas.openxmlformats.org/officeDocument/2006/relationships/hyperlink" Target="https://doi.org/10.1016/j.actaastro.2021.04.035" TargetMode="External"/><Relationship Id="rId172" Type="http://schemas.openxmlformats.org/officeDocument/2006/relationships/hyperlink" Target="https://doi.org/10.1016/j.actaastro.2024.05.026" TargetMode="External"/><Relationship Id="rId186" Type="http://schemas.openxmlformats.org/officeDocument/2006/relationships/hyperlink" Target="https://doi.org/10.1016/j.actaastro.2024.05.045" TargetMode="External"/><Relationship Id="rId178" Type="http://schemas.openxmlformats.org/officeDocument/2006/relationships/hyperlink" Target="https://doi.org/10.1016/j.actaastro.2024.12.022" TargetMode="External"/><Relationship Id="rId174" Type="http://schemas.openxmlformats.org/officeDocument/2006/relationships/hyperlink" Target="https://doi.org/10.1016/j.actaastro.2025.11.006" TargetMode="External"/><Relationship Id="rId182" Type="http://schemas.openxmlformats.org/officeDocument/2006/relationships/hyperlink" Target="https://doi.org/10.1016/j.actaastro.2026.01.049" TargetMode="External"/><Relationship Id="rId162" Type="http://schemas.openxmlformats.org/officeDocument/2006/relationships/hyperlink" Target="https://doi.org/10.64861/DXXP4768" TargetMode="External"/><Relationship Id="rId166" Type="http://schemas.openxmlformats.org/officeDocument/2006/relationships/hyperlink" Target="https://doi.org/10.64861/DYBG6563" TargetMode="External"/><Relationship Id="rId170" Type="http://schemas.openxmlformats.org/officeDocument/2006/relationships/hyperlink" Target="https://doi.org/10.64861/KYFU6858" TargetMode="External"/><Relationship Id="rId159" Type="http://schemas.openxmlformats.org/officeDocument/2006/relationships/hyperlink" Target="https://doi.org/10.64861/PFBR4795" TargetMode="External"/><Relationship Id="rId157" Type="http://schemas.openxmlformats.org/officeDocument/2006/relationships/hyperlink" Target="https://doi.org/10.64861/RCFO1556" TargetMode="External"/><Relationship Id="rId168" Type="http://schemas.openxmlformats.org/officeDocument/2006/relationships/hyperlink" Target="https://doi.org/10.64861/UCTN1793" TargetMode="External"/><Relationship Id="rId164" Type="http://schemas.openxmlformats.org/officeDocument/2006/relationships/hyperlink" Target="https://doi.org/10.64861/UKLE4659" TargetMode="External"/></Relationships>
</file>

<file path=word/_rels/footnotes.xml.rels><?xml version='1.0' encoding='UTF-8' standalone='yes'?>
<Relationships xmlns="http://schemas.openxmlformats.org/package/2006/relationships"><Relationship Id="rId180" Type="http://schemas.openxmlformats.org/officeDocument/2006/relationships/hyperlink" Target="https://doi.org/10.1016/j.actaastro.2016.05.036" TargetMode="External"/><Relationship Id="rId144" Type="http://schemas.openxmlformats.org/officeDocument/2006/relationships/hyperlink" Target="https://doi.org/10.1016/j.actaastro.2018.08.014" TargetMode="External"/><Relationship Id="rId176" Type="http://schemas.openxmlformats.org/officeDocument/2006/relationships/hyperlink" Target="https://doi.org/10.1016/j.actaastro.2018.11.054" TargetMode="External"/><Relationship Id="rId184" Type="http://schemas.openxmlformats.org/officeDocument/2006/relationships/hyperlink" Target="https://doi.org/10.1016/j.actaastro.2021.04.035" TargetMode="External"/><Relationship Id="rId172" Type="http://schemas.openxmlformats.org/officeDocument/2006/relationships/hyperlink" Target="https://doi.org/10.1016/j.actaastro.2024.05.026" TargetMode="External"/><Relationship Id="rId186" Type="http://schemas.openxmlformats.org/officeDocument/2006/relationships/hyperlink" Target="https://doi.org/10.1016/j.actaastro.2024.05.045" TargetMode="External"/><Relationship Id="rId178" Type="http://schemas.openxmlformats.org/officeDocument/2006/relationships/hyperlink" Target="https://doi.org/10.1016/j.actaastro.2024.12.022" TargetMode="External"/><Relationship Id="rId174" Type="http://schemas.openxmlformats.org/officeDocument/2006/relationships/hyperlink" Target="https://doi.org/10.1016/j.actaastro.2025.11.006" TargetMode="External"/><Relationship Id="rId182" Type="http://schemas.openxmlformats.org/officeDocument/2006/relationships/hyperlink" Target="https://doi.org/10.1016/j.actaastro.2026.01.049" TargetMode="External"/><Relationship Id="rId162" Type="http://schemas.openxmlformats.org/officeDocument/2006/relationships/hyperlink" Target="https://doi.org/10.64861/DXXP4768" TargetMode="External"/><Relationship Id="rId166" Type="http://schemas.openxmlformats.org/officeDocument/2006/relationships/hyperlink" Target="https://doi.org/10.64861/DYBG6563" TargetMode="External"/><Relationship Id="rId170" Type="http://schemas.openxmlformats.org/officeDocument/2006/relationships/hyperlink" Target="https://doi.org/10.64861/KYFU6858" TargetMode="External"/><Relationship Id="rId159" Type="http://schemas.openxmlformats.org/officeDocument/2006/relationships/hyperlink" Target="https://doi.org/10.64861/PFBR4795" TargetMode="External"/><Relationship Id="rId157" Type="http://schemas.openxmlformats.org/officeDocument/2006/relationships/hyperlink" Target="https://doi.org/10.64861/RCFO1556" TargetMode="External"/><Relationship Id="rId168" Type="http://schemas.openxmlformats.org/officeDocument/2006/relationships/hyperlink" Target="https://doi.org/10.64861/UCTN1793" TargetMode="External"/><Relationship Id="rId164" Type="http://schemas.openxmlformats.org/officeDocument/2006/relationships/hyperlink" Target="https://doi.org/10.64861/UKLE46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Airspace Closure as a Negative Externality: Pricing the NAS Cost of Launch and Reentry</dc:title>
  <dc:creator>Margot Knox (1B-INF-089)</dc:creator>
  <cp:keywords/>
  <dcterms:created xsi:type="dcterms:W3CDTF">2026-07-02T17:54:04Z</dcterms:created>
  <dcterms:modified xsi:type="dcterms:W3CDTF">2026-07-02T17:54:04Z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