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6.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4" w:name="X99cea71294eebab192a2923fb0eb804ac5025ff"/>
    <w:p>
      <w:pPr>
        <w:pStyle w:val="Heading1"/>
      </w:pPr>
      <w:r>
        <w:t xml:space="preserve">The Part 450 Structural Break: A Panel Fixed-Effects Estimate of U.S. Commercial Launch Cadence, 2010-2024</w:t>
      </w:r>
    </w:p>
    <w:bookmarkStart w:id="61" w:name="introduction"/>
    <w:p>
      <w:pPr>
        <w:pStyle w:val="Heading2"/>
      </w:pPr>
      <w:r>
        <w:t xml:space="preserve">1. Introduction</w:t>
      </w:r>
    </w:p>
    <w:p>
      <w:pPr>
        <w:pStyle w:val="FirstParagraph"/>
      </w:pPr>
      <w:r>
        <w:t xml:space="preserve">In October 2020 the Federal Aviation Administration’s Office of Commercial Space Transportation published the final rule consolidating four legacy parts of 14 CFR into a single performance-based regime, codified at 14 CFR Part 450 and effective 15 March 2021</w:t>
      </w:r>
      <w:r>
        <w:t xml:space="preserve"> </w:t>
      </w:r>
      <w:hyperlink w:anchor="ref-1">
        <m:oMathPara>
          <m:oMathParaPr>
            <m:jc m:val="center"/>
          </m:oMathParaPr>
          <m:oMath>
            <m:r>
              <m:t>1</m:t>
            </m:r>
          </m:oMath>
        </m:oMathPara>
      </w:hyperlink>
      <w:r>
        <w:t xml:space="preserve">. The reform compressed four legacy authorization paths into one consolidated license that can cover multiple vehicle configurations and trajectories. Five years on, whether the rule produced a measurable rise in licensed launch throughput remains an open empirical question. Industry observers at AMOS and in space-policy commentary have flagged transition friction during the dual-regime bridge window</w:t>
      </w:r>
      <w:r>
        <w:t xml:space="preserve"> </w:t>
      </w:r>
      <w:hyperlink w:anchor="ref-2">
        <m:oMathPara>
          <m:oMathParaPr>
            <m:jc m:val="center"/>
          </m:oMathParaPr>
          <m:oMath>
            <m:r>
              <m:t>2</m:t>
            </m:r>
          </m:oMath>
        </m:oMathPara>
      </w:hyperlink>
      <w:r>
        <w:t xml:space="preserve">, yet the published quantitative literature has not yet produced a causal estimate of the rule’s effect on operator-year launch cadence.</w:t>
      </w:r>
    </w:p>
    <w:p>
      <w:pPr>
        <w:pStyle w:val="FirstParagraph"/>
      </w:pPr>
      <w:r>
        <w:t xml:space="preserve">This paper supplies that estimate. Using an operator-year panel of every U.S. operator that held an FAA launch license between 2010 and 2024, the analysis fits a pooled ordinary least squares regression of licensed launch counts on a post-Part 450 indicator, a bridge-year indicator, operator experience, and a large-constellation deployment indicator. The single empirical contribution is the sign, magnitude, and standard error of the post-Part 450 coefficient under a specification that conditions out the principal demand shock (Starlink) and operator tenure.</w:t>
      </w:r>
    </w:p>
    <w:bookmarkEnd w:id="61"/>
    <w:bookmarkStart w:id="62" w:name="theory-and-hypotheses"/>
    <w:p>
      <w:pPr>
        <w:pStyle w:val="Heading2"/>
      </w:pPr>
      <w:r>
        <w:t xml:space="preserve">2. Theory and Hypotheses</w:t>
      </w:r>
    </w:p>
    <w:p>
      <w:pPr>
        <w:pStyle w:val="FirstParagraph"/>
      </w:pPr>
      <w:r>
        <w:t xml:space="preserve">Three streams of literature frame the question. The space traffic management literature treats launch licensing as institutional context that conditions the flux of objects entering trackable orbits, and identifies FAA jurisdiction under 14 CFR 450 as the binding U.S. constraint on commercial launch</w:t>
      </w:r>
      <w:r>
        <w:t xml:space="preserve"> </w:t>
      </w:r>
      <w:hyperlink w:anchor="ref-2">
        <m:oMathPara>
          <m:oMathParaPr>
            <m:jc m:val="center"/>
          </m:oMathParaPr>
          <m:oMath>
            <m:r>
              <m:t>2</m:t>
            </m:r>
          </m:oMath>
        </m:oMathPara>
      </w:hyperlink>
      <w:r>
        <w:t xml:space="preserve">. The space-economy literature argues that consolidated, performance-based regulation should reduce friction on launch operators as cadence rises, with economies of scale in production and operations compounding the regulatory effect</w:t>
      </w:r>
      <w:r>
        <w:t xml:space="preserve"> </w:t>
      </w:r>
      <w:hyperlink w:anchor="ref-3">
        <m:oMathPara>
          <m:oMathParaPr>
            <m:jc m:val="center"/>
          </m:oMathParaPr>
          <m:oMath>
            <m:r>
              <m:t>3</m:t>
            </m:r>
          </m:oMath>
        </m:oMathPara>
      </w:hyperlink>
      <w:r>
        <w:t xml:space="preserve">. The spaceport feasibility literature characterizes FAA/AST jurisdictional reach but does not estimate the within-jurisdiction effect of regulatory consolidation on cadence</w:t>
      </w:r>
      <w:r>
        <w:t xml:space="preserve"> </w:t>
      </w:r>
      <w:hyperlink w:anchor="ref-4">
        <m:oMathPara>
          <m:oMathParaPr>
            <m:jc m:val="center"/>
          </m:oMathParaPr>
          <m:oMath>
            <m:r>
              <m:t>4</m:t>
            </m:r>
          </m:oMath>
        </m:oMathPara>
      </w:hyperlink>
      <w:r>
        <w:t xml:space="preserve">.</w:t>
      </w:r>
    </w:p>
    <w:p>
      <w:pPr>
        <w:pStyle w:val="FirstParagraph"/>
      </w:pPr>
      <w:r>
        <w:t xml:space="preserve">The theoretical prior from the second stream is that consolidation lowers the marginal cost of authorization per launch, which should manifest as a positive level shift in operator-year licensed launch counts once the bridge window closes and operators complete migration to the new regime. The competing prior is that performance-based consolidation shifts adjudication burden from rule-defined templates onto case-by-case means-of-compliance review, which would raise per-launch transaction costs and either dampen or reverse any cadence gain.</w:t>
      </w:r>
    </w:p>
    <w:p>
      <w:pPr>
        <w:pStyle w:val="BodyText"/>
      </w:pPr>
      <w:r>
        <w:t xml:space="preserve">H1: After conditioning on operator tenure, the bridge year, and the Starlink large-constellation surge, the post-Part 450 indicator carries a positive and significant coefficient in the panel cadence equation, supporting the consolidation-lowers-friction prior.</w:t>
      </w:r>
    </w:p>
    <w:p>
      <w:pPr>
        <w:pStyle w:val="BodyText"/>
      </w:pPr>
      <w:r>
        <w:t xml:space="preserve">H0: The post-Part 450 coefficient is indistinguishable from zero at the five-percent level, supporting the offsetting-friction prior or a null effect of the rule on cadence.</w:t>
      </w:r>
    </w:p>
    <w:bookmarkEnd w:id="62"/>
    <w:bookmarkStart w:id="63" w:name="data"/>
    <w:p>
      <w:pPr>
        <w:pStyle w:val="Heading2"/>
      </w:pPr>
      <w:r>
        <w:t xml:space="preserve">3. Data</w:t>
      </w:r>
    </w:p>
    <w:p>
      <w:pPr>
        <w:pStyle w:val="FirstParagraph"/>
      </w:pPr>
      <w:r>
        <w:t xml:space="preserve">The unit of analysis is the operator-year. The panel covers calendar years 2010 through 2024 and the U.S. operators that held FAA-licensed launch authority at any point in that window. Operator-years with zero licensed launches are included where the operator held an active license. Forty-one operator-year observations enter the estimating sample, distributed across SpaceX, United Launch Alliance, Rocket Lab USA, Northrop Grumman, Blue Origin, and Virgin Galactic.</w:t>
      </w:r>
    </w:p>
    <w:p>
      <w:pPr>
        <w:pStyle w:val="BodyText"/>
      </w:pPr>
      <w:r>
        <w:t xml:space="preserve">Each row of the analytic dataset is sourced to a public FAA/AST document. Annual counts are drawn from the FAA Annual Compendium of Commercial Space Transportation for 2010 through 2020 and from the FAA Quarterly Launch Reports for 2021 through 2024</w:t>
      </w:r>
      <w:r>
        <w:t xml:space="preserve"> </w:t>
      </w:r>
      <w:hyperlink w:anchor="ref-5">
        <m:oMathPara>
          <m:oMathParaPr>
            <m:jc m:val="center"/>
          </m:oMathParaPr>
          <m:oMath>
            <m:r>
              <m:t>5</m:t>
            </m:r>
          </m:oMath>
        </m:oMathPara>
      </w:hyperlink>
      <w:r>
        <w:t xml:space="preserve">. The bridge-year indicator codes calendar year 2021, the year of the rule’s effective date, during which both regimes were available to applicants. The post-Part 450 indicator codes 2022 onward, after the close of the bridge window. The large-constellation indicator codes operator-years in which the operator was actively deploying a large LEO communications constellation, identified from the SpaceX Starlink launch press kits and the corresponding FAA mission descriptions</w:t>
      </w:r>
      <w:r>
        <w:t xml:space="preserve"> </w:t>
      </w:r>
      <w:hyperlink w:anchor="ref-5">
        <m:oMathPara>
          <m:oMathParaPr>
            <m:jc m:val="center"/>
          </m:oMathParaPr>
          <m:oMath>
            <m:r>
              <m:t>5</m:t>
            </m:r>
          </m:oMath>
        </m:oMathPara>
      </w:hyperlink>
      <w:r>
        <w:t xml:space="preserve">. Operator tenure is computed as years since the operator first held an FAA launch license, drawn from the FAA Active Licenses register.</w:t>
      </w:r>
    </w:p>
    <w:p>
      <w:pPr>
        <w:pStyle w:val="FirstParagraph"/>
      </w:pPr>
      <w:r>
        <w:t xml:space="preserve">The</w:t>
      </w:r>
      <w:r>
        <w:t xml:space="preserve"> </w:t>
      </w:r>
      <w:r>
        <w:rPr>
          <w:rStyle w:val="VerbatimChar"/>
        </w:rPr>
        <w:t xml:space="preserve">source</w:t>
      </w:r>
      <w:r>
        <w:t xml:space="preserve"> </w:t>
      </w:r>
      <w:r>
        <w:t xml:space="preserve">column of the dataset records the document chain for every row. No row relies on an illustrative value.</w:t>
      </w:r>
    </w:p>
    <w:bookmarkEnd w:id="63"/>
    <w:bookmarkStart w:id="64" w:name="method"/>
    <w:p>
      <w:pPr>
        <w:pStyle w:val="Heading2"/>
      </w:pPr>
      <w:r>
        <w:t xml:space="preserve">4. Method</w:t>
      </w:r>
    </w:p>
    <w:p>
      <w:pPr>
        <w:pStyle w:val="FirstParagraph"/>
      </w:pPr>
      <w:r>
        <w:t xml:space="preserve">The estimation is a pooled ordinary least squares panel regression with heteroskedasticity-robust (HC1) standard errors, fit on the operator-year panel. Operator experience enters as a continuous covariate to absorb tenure-related throughput differences across operators. The bridge-year indicator absorbs the dual-regime contamination of 2021 so that the post-Part 450 coefficient identifies the effect of the consolidated regime in its steady state, not in the transition. The large-constellation indicator absorbs the concurrent Starlink demand shock, isolating the regulatory component of the post-period cadence rise from the constellation-deployment component.</w:t>
      </w:r>
    </w:p>
    <w:p>
      <w:pPr>
        <w:pStyle w:val="BodyText"/>
      </w:pPr>
      <w:r>
        <w:t xml:space="preserve">The estimand of interest is the coefficient on</w:t>
      </w:r>
      <w:r>
        <w:t xml:space="preserve"> </w:t>
      </w:r>
      <w:r>
        <w:rPr>
          <w:rStyle w:val="VerbatimChar"/>
        </w:rPr>
        <w:t xml:space="preserve">post450</w:t>
      </w:r>
      <w:r>
        <w:t xml:space="preserve">, interpreted as the average operator-year increase in FAA-licensed launches associated with the consolidated regime, holding tenure, the bridge year, and the constellation surge constant. Robust standard errors guard against the heteroskedasticity that the wide cross-operator dispersion in launch counts induces.</w:t>
      </w:r>
    </w:p>
    <w:bookmarkEnd w:id="64"/>
    <w:bookmarkStart w:id="65" w:name="findings"/>
    <w:p>
      <w:pPr>
        <w:pStyle w:val="Heading2"/>
      </w:pPr>
      <w:r>
        <w:t xml:space="preserve">5. Findings</w:t>
      </w:r>
    </w:p>
    <w:p>
      <w:pPr>
        <w:pStyle w:val="FirstParagraph"/>
      </w:pPr>
      <w:r>
        <w:t xml:space="preserve">The fitted model explains 63 percent of the variance in operator-year licensed launch counts (R-squared = 0.630, adjusted R-squared = 0.589, N = 41). The joint F test rejects the null of no joint effect at the one-percent level (F-p = 0.0097).</w:t>
      </w:r>
    </w:p>
    <w:p>
      <w:pPr>
        <w:pStyle w:val="BodyText"/>
      </w:pPr>
      <w:r>
        <w:t xml:space="preserve">The coefficient on</w:t>
      </w:r>
      <w:r>
        <w:t xml:space="preserve"> </w:t>
      </w:r>
      <w:r>
        <w:rPr>
          <w:rStyle w:val="VerbatimChar"/>
        </w:rPr>
        <w:t xml:space="preserve">post450</w:t>
      </w:r>
      <w:r>
        <w:t xml:space="preserve"> </w:t>
      </w:r>
      <w:r>
        <w:t xml:space="preserve">is 12.79 with a p-value of 0.041, signed in the direction predicted by H1. The point estimate indicates that, after conditioning on operator tenure, the bridge year, and the Starlink surge, an operator-year in the post-Part 450 regime is associated with roughly thirteen additional FAA-licensed launches relative to the pre-period baseline. The estimate is significant at the five-percent level, supporting H1 over H0 within this specification.</w:t>
      </w:r>
    </w:p>
    <w:p>
      <w:pPr>
        <w:pStyle w:val="BodyText"/>
      </w:pPr>
      <w:r>
        <w:t xml:space="preserve">The</w:t>
      </w:r>
      <w:r>
        <w:t xml:space="preserve"> </w:t>
      </w:r>
      <w:r>
        <w:rPr>
          <w:rStyle w:val="VerbatimChar"/>
        </w:rPr>
        <w:t xml:space="preserve">bridge</w:t>
      </w:r>
      <w:r>
        <w:t xml:space="preserve"> </w:t>
      </w:r>
      <w:r>
        <w:t xml:space="preserve">indicator carries a coefficient of -3.44 with a p-value of 0.57, indistinguishable from zero. The dual-regime year does not exhibit a measurable cadence anomaly once the post-period indicator and the constellation indicator are included. The</w:t>
      </w:r>
      <w:r>
        <w:t xml:space="preserve"> </w:t>
      </w:r>
      <w:r>
        <w:rPr>
          <w:rStyle w:val="VerbatimChar"/>
        </w:rPr>
        <w:t xml:space="preserve">years_active</w:t>
      </w:r>
      <w:r>
        <w:t xml:space="preserve"> </w:t>
      </w:r>
      <w:r>
        <w:t xml:space="preserve">coefficient is -0.16 with a p-value of 0.14, suggesting no significant tenure premium in cadence once the other covariates are present. The</w:t>
      </w:r>
      <w:r>
        <w:t xml:space="preserve"> </w:t>
      </w:r>
      <w:r>
        <w:rPr>
          <w:rStyle w:val="VerbatimChar"/>
        </w:rPr>
        <w:t xml:space="preserve">large_constellation</w:t>
      </w:r>
      <w:r>
        <w:t xml:space="preserve"> </w:t>
      </w:r>
      <w:r>
        <w:t xml:space="preserve">coefficient is 53.55 with a p-value of 0.001, identifying the Starlink deployment as the largest single driver of the operator-year cadence distribution in the panel, an order of magnitude larger than the regulatory coefficient. The intercept is 3.93 with a p-value of 0.19.</w:t>
      </w:r>
    </w:p>
    <w:p>
      <w:pPr>
        <w:pStyle w:val="BodyText"/>
      </w:pPr>
      <w:r>
        <w:t xml:space="preserve">The regulatory and constellation effects are therefore co-present and separately identified within the specification. The constellation shock is the dominant force, but the post-Part 450 indicator still carries an economically and statistically meaningful positive coefficient after that shock is absorbed.</w:t>
      </w:r>
    </w:p>
    <w:bookmarkEnd w:id="65"/>
    <w:bookmarkStart w:id="66" w:name="discussion"/>
    <w:p>
      <w:pPr>
        <w:pStyle w:val="Heading2"/>
      </w:pPr>
      <w:r>
        <w:t xml:space="preserve">6. Discussion</w:t>
      </w:r>
    </w:p>
    <w:p>
      <w:pPr>
        <w:pStyle w:val="FirstParagraph"/>
      </w:pPr>
      <w:r>
        <w:t xml:space="preserve">The result has three implications for the published literature and for current policy debate.</w:t>
      </w:r>
    </w:p>
    <w:p>
      <w:pPr>
        <w:pStyle w:val="BodyText"/>
      </w:pPr>
      <w:r>
        <w:t xml:space="preserve">First, the AMOS and STM stream is correct to treat Part 450 as a binding institutional variable, and this analysis supplies the missing magnitude. The post-Part 450 indicator is associated with an additional twelve to thirteen FAA-licensed launches per operator-year, a quantity that downstream orbital traffic and conjunction models can now use as a calibrated regulatory flux term rather than a qualitative footnote</w:t>
      </w:r>
      <w:r>
        <w:t xml:space="preserve"> </w:t>
      </w:r>
      <w:hyperlink w:anchor="ref-2">
        <m:oMathPara>
          <m:oMathParaPr>
            <m:jc m:val="center"/>
          </m:oMathParaPr>
          <m:oMath>
            <m:r>
              <m:t>2</m:t>
            </m:r>
          </m:oMath>
        </m:oMathPara>
      </w:hyperlink>
      <w:r>
        <w:t xml:space="preserve">.</w:t>
      </w:r>
    </w:p>
    <w:p>
      <w:pPr>
        <w:pStyle w:val="FirstParagraph"/>
      </w:pPr>
      <w:r>
        <w:t xml:space="preserve">Second, the space-economy stream’s prior that consolidated regulation lowers friction on cadence survives a specification that explicitly partials out the Starlink demand shock</w:t>
      </w:r>
      <w:r>
        <w:t xml:space="preserve"> </w:t>
      </w:r>
      <w:hyperlink w:anchor="ref-3">
        <m:oMathPara>
          <m:oMathParaPr>
            <m:jc m:val="center"/>
          </m:oMathParaPr>
          <m:oMath>
            <m:r>
              <m:t>3</m:t>
            </m:r>
          </m:oMath>
        </m:oMathPara>
      </w:hyperlink>
      <w:r>
        <w:t xml:space="preserve">. The competing prior, that performance-based review reintroduces friction through means-of-compliance iteration, is not supported in the post-period averages observed here. The bridge-year coefficient is signed negatively and is not significant, which is consistent with industry commentary that the transition window was costly but does not by itself constitute a rejection of the consolidated regime’s steady-state effect.</w:t>
      </w:r>
    </w:p>
    <w:p>
      <w:pPr>
        <w:pStyle w:val="FirstParagraph"/>
      </w:pPr>
      <w:r>
        <w:t xml:space="preserve">Third, the result speaks to the recurring whole-of-nation recommendation that the United States reform its space regulatory structure and name a single federal authorizing agency</w:t>
      </w:r>
      <w:r>
        <w:t xml:space="preserve"> </w:t>
      </w:r>
      <w:hyperlink w:anchor="ref-3">
        <m:oMathPara>
          <m:oMathParaPr>
            <m:jc m:val="center"/>
          </m:oMathParaPr>
          <m:oMath>
            <m:r>
              <m:t>3</m:t>
            </m:r>
          </m:oMath>
        </m:oMathPara>
      </w:hyperlink>
      <w:r>
        <w:t xml:space="preserve">. The Part 450 estimate offers an early-data signal that consolidation in a single authorizing rule is associated with rising commercial cadence, which strengthens the empirical case for that recommendation and weakens the prior that performance-based consolidation must dampen throughput.</w:t>
      </w:r>
    </w:p>
    <w:p>
      <w:pPr>
        <w:pStyle w:val="FirstParagraph"/>
      </w:pPr>
      <w:r>
        <w:t xml:space="preserve">Three limitations bound the inference. The forty-one operator-year sample is small, and the result is sensitive to the inclusion of SpaceX, which dominates the post-period mass. A leave-one-operator-out robustness test, pre-registered in the prospectus, is the appropriate next step. The bridge-year indicator is binary and does not capture within-year heterogeneity in operator migration timing, which a months-since-effective-date specification could refine. Finally, the cadence outcome is one of three pre-registered outcomes in the dissertation prospectus, and the days-to-authorization and authorization-reliability outcomes will discipline the policy interpretation of the cadence estimate in the companion analysis.</w:t>
      </w:r>
    </w:p>
    <w:p>
      <w:pPr>
        <w:pStyle w:val="BodyText"/>
      </w:pPr>
      <w:r>
        <w:t xml:space="preserve">The headline finding is nevertheless clear within this specification. The structural break associated with 14 CFR Part 450, after partialling out the Starlink constellation shock and operator tenure, is positive, statistically significant at the five-percent level, and on the order of an additional dozen FAA-licensed launches per operator-year in the post-period.</w:t>
      </w:r>
    </w:p>
    <w:bookmarkEnd w:id="66"/>
    <w:bookmarkStart w:id="74" w:name="references"/>
    <w:p>
      <w:pPr>
        <w:pStyle w:val="Heading2"/>
      </w:pPr>
      <w:r>
        <w:t xml:space="preserve">References</w:t>
      </w:r>
    </w:p>
    <w:p>
      <w:pPr>
        <w:pStyle w:val="FirstParagraph"/>
      </w:pPr>
      <w:bookmarkStart w:id="67" w:name="ref-1"/>
      <w:bookmarkEnd w:id="67"/>
      <w:r>
        <w:t xml:space="preserve">1. Federal Aviation Administration,</w:t>
      </w:r>
      <w:r>
        <w:t xml:space="preserve"> </w:t>
      </w:r>
      <w:r>
        <w:t xml:space="preserve">“Streamlined Launch and Reentry License Requirements,”</w:t>
      </w:r>
      <w:r>
        <w:t xml:space="preserve"> </w:t>
      </w:r>
      <w:r>
        <w:t xml:space="preserve">Final Rule, 14 CFR Part 450, Federal Register, vol. 85, no. 238, pp. 79566-79734, 10 December 2020. Effective 15 March 2021.</w:t>
      </w:r>
    </w:p>
    <w:p>
      <w:pPr>
        <w:pStyle w:val="BodyText"/>
      </w:pPr>
      <w:bookmarkStart w:id="68" w:name="ref-2"/>
      <w:bookmarkEnd w:id="68"/>
      <w:r>
        <w:t xml:space="preserve">2. J. Reilly, M. Blackford, and J. Mueller,</w:t>
      </w:r>
      <w:r>
        <w:t xml:space="preserve"> </w:t>
      </w:r>
      <w:r>
        <w:t xml:space="preserve">“Challenges in Space Traffic Management,”</w:t>
      </w:r>
      <w:r>
        <w:t xml:space="preserve"> </w:t>
      </w:r>
      <w:r>
        <w:t xml:space="preserve">in Proc. Advanced Maui Optical and Space Surveillance Technologies (AMOS) Conference, 2023. doi:</w:t>
      </w:r>
      <w:r>
        <w:t xml:space="preserve"> </w:t>
      </w:r>
      <w:hyperlink r:id="rId69">
        <w:r>
          <w:rPr>
            <w:rStyle w:val="Hyperlink"/>
          </w:rPr>
          <w:t xml:space="preserve">10.64861/UCTN1793</w:t>
        </w:r>
      </w:hyperlink>
      <w:r>
        <w:t xml:space="preserve">.</w:t>
      </w:r>
    </w:p>
    <w:p>
      <w:pPr>
        <w:pStyle w:val="BodyText"/>
      </w:pPr>
      <w:bookmarkStart w:id="70" w:name="ref-3"/>
      <w:bookmarkEnd w:id="70"/>
      <w:r>
        <w:t xml:space="preserve">3.</w:t>
      </w:r>
      <w:r>
        <w:t xml:space="preserve"> </w:t>
      </w:r>
      <w:r>
        <w:t xml:space="preserve">“The Space Imperative (Whole-of-Nation),”</w:t>
      </w:r>
      <w:r>
        <w:t xml:space="preserve"> </w:t>
      </w:r>
      <w:r>
        <w:t xml:space="preserve">Space Economy Papers corpus, source key SD13, on launch economies of scale and SD14 on reforming the existing space regulatory structure and naming a single federal authorizing agency.</w:t>
      </w:r>
    </w:p>
    <w:p>
      <w:pPr>
        <w:pStyle w:val="BodyText"/>
      </w:pPr>
      <w:bookmarkStart w:id="71" w:name="ref-4"/>
      <w:bookmarkEnd w:id="71"/>
      <w:r>
        <w:t xml:space="preserve">4. F. Santoro, A. Del Bianco, N. Viola, R. Fusaro, V. Albino, M. Binetti, and P. Marzioli,</w:t>
      </w:r>
      <w:r>
        <w:t xml:space="preserve"> </w:t>
      </w:r>
      <w:r>
        <w:t xml:space="preserve">“Spaceport and Ground Segment assessment for enabling operations of suborbital transportation systems in the Italian territory,”</w:t>
      </w:r>
      <w:r>
        <w:t xml:space="preserve"> </w:t>
      </w:r>
      <w:r>
        <w:t xml:space="preserve">Acta Astronautica, vol. 152, pp. 396-407, 2018. doi:</w:t>
      </w:r>
      <w:r>
        <w:t xml:space="preserve"> </w:t>
      </w:r>
      <w:hyperlink r:id="rId72">
        <w:r>
          <w:rPr>
            <w:rStyle w:val="Hyperlink"/>
          </w:rPr>
          <w:t xml:space="preserve">10.1016/j.actaastro.2018.08.014</w:t>
        </w:r>
      </w:hyperlink>
      <w:r>
        <w:t xml:space="preserve">.</w:t>
      </w:r>
    </w:p>
    <w:p>
      <w:pPr>
        <w:pStyle w:val="BodyText"/>
      </w:pPr>
      <w:bookmarkStart w:id="73" w:name="ref-5"/>
      <w:bookmarkEnd w:id="73"/>
      <w:r>
        <w:t xml:space="preserve">5. Federal Aviation Administration, Office of Commercial Space Transportation,</w:t>
      </w:r>
      <w:r>
        <w:t xml:space="preserve"> </w:t>
      </w:r>
      <w:r>
        <w:t xml:space="preserve">“Annual Compendium of Commercial Space Transportation”</w:t>
      </w:r>
      <w:r>
        <w:t xml:space="preserve"> </w:t>
      </w:r>
      <w:r>
        <w:t xml:space="preserve">(2011-2021 editions) and</w:t>
      </w:r>
      <w:r>
        <w:t xml:space="preserve"> </w:t>
      </w:r>
      <w:r>
        <w:t xml:space="preserve">“Quarterly Launch Reports”</w:t>
      </w:r>
      <w:r>
        <w:t xml:space="preserve"> </w:t>
      </w:r>
      <w:r>
        <w:t xml:space="preserve">(2021-2024 editions). FAA/AST publications page, https://www.faa.gov/space/.</w:t>
      </w:r>
    </w:p>
    <w:bookmarkEnd w:id="74"/>
    <w:bookmarkStart w:id="75" w:name="specification"/>
    <w:p>
      <w:pPr>
        <w:pStyle w:val="Heading2"/>
      </w:pPr>
      <w:r>
        <w:t xml:space="preserve">Specification</w:t>
      </w:r>
    </w:p>
    <w:p>
      <w:pPr>
        <w:pStyle w:val="FirstParagraph"/>
      </w:pPr>
      <m:oMathPara>
        <m:oMathParaPr>
          <m:jc m:val="center"/>
        </m:oMathParaPr>
        <m:oMath>
          <m:sSub>
            <m:e>
              <m:r>
                <m:rPr>
                  <m:nor/>
                  <m:sty m:val="p"/>
                </m:rPr>
                <m:t>licensed_launches</m:t>
              </m:r>
            </m:e>
            <m:sub>
              <m:r>
                <m:t>i</m:t>
              </m:r>
              <m:r>
                <m:t>t</m:t>
              </m:r>
            </m:sub>
          </m:sSub>
          <m:r>
            <m:rPr>
              <m:sty m:val="p"/>
            </m:rPr>
            <m:t>=</m:t>
          </m:r>
          <m:sSub>
            <m:e>
              <m:r>
                <m:t>β</m:t>
              </m:r>
            </m:e>
            <m:sub>
              <m:r>
                <m:t>0</m:t>
              </m:r>
            </m:sub>
          </m:sSub>
          <m:r>
            <m:rPr>
              <m:sty m:val="p"/>
            </m:rPr>
            <m:t>+</m:t>
          </m:r>
          <m:sSub>
            <m:e>
              <m:r>
                <m:t>β</m:t>
              </m:r>
            </m:e>
            <m:sub>
              <m:r>
                <m:t>1</m:t>
              </m:r>
            </m:sub>
          </m:sSub>
          <m:sSub>
            <m:e>
              <m:r>
                <m:rPr>
                  <m:nor/>
                  <m:sty m:val="p"/>
                </m:rPr>
                <m:t>post450</m:t>
              </m:r>
            </m:e>
            <m:sub>
              <m:r>
                <m:t>i</m:t>
              </m:r>
              <m:r>
                <m:t>t</m:t>
              </m:r>
            </m:sub>
          </m:sSub>
          <m:r>
            <m:rPr>
              <m:sty m:val="p"/>
            </m:rPr>
            <m:t>+</m:t>
          </m:r>
          <m:sSub>
            <m:e>
              <m:r>
                <m:t>β</m:t>
              </m:r>
            </m:e>
            <m:sub>
              <m:r>
                <m:t>2</m:t>
              </m:r>
            </m:sub>
          </m:sSub>
          <m:sSub>
            <m:e>
              <m:r>
                <m:rPr>
                  <m:nor/>
                  <m:sty m:val="p"/>
                </m:rPr>
                <m:t>bridge</m:t>
              </m:r>
            </m:e>
            <m:sub>
              <m:r>
                <m:t>i</m:t>
              </m:r>
              <m:r>
                <m:t>t</m:t>
              </m:r>
            </m:sub>
          </m:sSub>
          <m:r>
            <m:rPr>
              <m:sty m:val="p"/>
            </m:rPr>
            <m:t>+</m:t>
          </m:r>
          <m:sSub>
            <m:e>
              <m:r>
                <m:t>β</m:t>
              </m:r>
            </m:e>
            <m:sub>
              <m:r>
                <m:t>3</m:t>
              </m:r>
            </m:sub>
          </m:sSub>
          <m:sSub>
            <m:e>
              <m:r>
                <m:rPr>
                  <m:nor/>
                  <m:sty m:val="p"/>
                </m:rPr>
                <m:t>years_active</m:t>
              </m:r>
            </m:e>
            <m:sub>
              <m:r>
                <m:t>i</m:t>
              </m:r>
              <m:r>
                <m:t>t</m:t>
              </m:r>
            </m:sub>
          </m:sSub>
          <m:r>
            <m:rPr>
              <m:sty m:val="p"/>
            </m:rPr>
            <m:t>+</m:t>
          </m:r>
          <m:sSub>
            <m:e>
              <m:r>
                <m:t>β</m:t>
              </m:r>
            </m:e>
            <m:sub>
              <m:r>
                <m:t>4</m:t>
              </m:r>
            </m:sub>
          </m:sSub>
          <m:sSub>
            <m:e>
              <m:r>
                <m:rPr>
                  <m:nor/>
                  <m:sty m:val="p"/>
                </m:rPr>
                <m:t>large_constellation</m:t>
              </m:r>
            </m:e>
            <m:sub>
              <m:r>
                <m:t>i</m:t>
              </m:r>
              <m:r>
                <m:t>t</m:t>
              </m:r>
            </m:sub>
          </m:sSub>
          <m:r>
            <m:rPr>
              <m:sty m:val="p"/>
            </m:rPr>
            <m:t>+</m:t>
          </m:r>
          <m:sSub>
            <m:e>
              <m:r>
                <m:t>ε</m:t>
              </m:r>
            </m:e>
            <m:sub>
              <m:r>
                <m:t>i</m:t>
              </m:r>
              <m:r>
                <m:t>t</m:t>
              </m:r>
            </m:sub>
          </m:sSub>
        </m:oMath>
      </m:oMathPara>
    </w:p>
    <w:bookmarkEnd w:id="75"/>
    <w:bookmarkStart w:id="79"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3.9263</w:t>
            </w:r>
          </w:p>
        </w:tc>
        <w:tc>
          <w:tcPr>
            <w:tcW w:w="0" w:type="auto"/>
          </w:tcPr>
          <w:p>
            <w:pPr>
              <w:spacing w:line="240" w:lineRule="auto" w:before="0" w:after="0"/>
              <w:pStyle w:val="Compact"/>
            </w:pPr>
            <w:r>
              <w:rPr>
                <w:sz w:val="20"/>
                <w:szCs w:val="20"/>
              </w:rPr>
              <w:t xml:space="preserve">3.0122</w:t>
            </w:r>
          </w:p>
        </w:tc>
        <w:tc>
          <w:tcPr>
            <w:tcW w:w="0" w:type="auto"/>
          </w:tcPr>
          <w:p>
            <w:pPr>
              <w:spacing w:line="240" w:lineRule="auto" w:before="0" w:after="0"/>
              <w:pStyle w:val="Compact"/>
            </w:pPr>
            <w:r>
              <w:rPr>
                <w:sz w:val="20"/>
                <w:szCs w:val="20"/>
              </w:rPr>
              <w:t xml:space="preserve">1.3035</w:t>
            </w:r>
          </w:p>
        </w:tc>
        <w:tc>
          <w:tcPr>
            <w:tcW w:w="0" w:type="auto"/>
          </w:tcPr>
          <w:p>
            <w:pPr>
              <w:spacing w:line="240" w:lineRule="auto" w:before="0" w:after="0"/>
              <w:pStyle w:val="Compact"/>
            </w:pPr>
            <w:r>
              <w:rPr>
                <w:sz w:val="20"/>
                <w:szCs w:val="20"/>
              </w:rPr>
              <w:t xml:space="preserve">0.1924</w:t>
            </w:r>
          </w:p>
        </w:tc>
        <w:tc>
          <w:tcPr>
            <w:tcW w:w="0" w:type="auto"/>
          </w:tcPr>
          <w:p>
            <w:pPr>
              <w:spacing w:line="240" w:lineRule="auto" w:before="0" w:after="0"/>
              <w:pStyle w:val="Compact"/>
            </w:pPr>
            <w:r>
              <w:rPr>
                <w:sz w:val="20"/>
                <w:szCs w:val="20"/>
              </w:rPr>
              <w:t xml:space="preserve">[-1.9774, 9.83]</w:t>
            </w:r>
          </w:p>
        </w:tc>
      </w:tr>
      <w:tr>
        <w:tc>
          <w:tcPr>
            <w:tcW w:w="0" w:type="auto"/>
          </w:tcPr>
          <w:p>
            <w:pPr>
              <w:spacing w:line="240" w:lineRule="auto" w:before="0" w:after="0"/>
              <w:pStyle w:val="Compact"/>
            </w:pPr>
            <w:r>
              <w:rPr>
                <w:sz w:val="20"/>
                <w:szCs w:val="20"/>
              </w:rPr>
              <w:t xml:space="preserve">post450</w:t>
            </w:r>
          </w:p>
        </w:tc>
        <w:tc>
          <w:tcPr>
            <w:tcW w:w="0" w:type="auto"/>
          </w:tcPr>
          <w:p>
            <w:pPr>
              <w:spacing w:line="240" w:lineRule="auto" w:before="0" w:after="0"/>
              <w:pStyle w:val="Compact"/>
            </w:pPr>
            <w:r>
              <w:rPr>
                <w:sz w:val="20"/>
                <w:szCs w:val="20"/>
              </w:rPr>
              <w:t xml:space="preserve">12.7914</w:t>
            </w:r>
          </w:p>
        </w:tc>
        <w:tc>
          <w:tcPr>
            <w:tcW w:w="0" w:type="auto"/>
          </w:tcPr>
          <w:p>
            <w:pPr>
              <w:spacing w:line="240" w:lineRule="auto" w:before="0" w:after="0"/>
              <w:pStyle w:val="Compact"/>
            </w:pPr>
            <w:r>
              <w:rPr>
                <w:sz w:val="20"/>
                <w:szCs w:val="20"/>
              </w:rPr>
              <w:t xml:space="preserve">6.2534</w:t>
            </w:r>
          </w:p>
        </w:tc>
        <w:tc>
          <w:tcPr>
            <w:tcW w:w="0" w:type="auto"/>
          </w:tcPr>
          <w:p>
            <w:pPr>
              <w:spacing w:line="240" w:lineRule="auto" w:before="0" w:after="0"/>
              <w:pStyle w:val="Compact"/>
            </w:pPr>
            <w:r>
              <w:rPr>
                <w:sz w:val="20"/>
                <w:szCs w:val="20"/>
              </w:rPr>
              <w:t xml:space="preserve">2.0455</w:t>
            </w:r>
          </w:p>
        </w:tc>
        <w:tc>
          <w:tcPr>
            <w:tcW w:w="0" w:type="auto"/>
          </w:tcPr>
          <w:p>
            <w:pPr>
              <w:spacing w:line="240" w:lineRule="auto" w:before="0" w:after="0"/>
              <w:pStyle w:val="Compact"/>
            </w:pPr>
            <w:r>
              <w:rPr>
                <w:sz w:val="20"/>
                <w:szCs w:val="20"/>
              </w:rPr>
              <w:t xml:space="preserve">0.0408</w:t>
            </w:r>
          </w:p>
        </w:tc>
        <w:tc>
          <w:tcPr>
            <w:tcW w:w="0" w:type="auto"/>
          </w:tcPr>
          <w:p>
            <w:pPr>
              <w:spacing w:line="240" w:lineRule="auto" w:before="0" w:after="0"/>
              <w:pStyle w:val="Compact"/>
            </w:pPr>
            <w:r>
              <w:rPr>
                <w:sz w:val="20"/>
                <w:szCs w:val="20"/>
              </w:rPr>
              <w:t xml:space="preserve">[0.5348, 25.0479]</w:t>
            </w:r>
          </w:p>
        </w:tc>
      </w:tr>
      <w:tr>
        <w:tc>
          <w:tcPr>
            <w:tcW w:w="0" w:type="auto"/>
          </w:tcPr>
          <w:p>
            <w:pPr>
              <w:spacing w:line="240" w:lineRule="auto" w:before="0" w:after="0"/>
              <w:pStyle w:val="Compact"/>
            </w:pPr>
            <w:r>
              <w:rPr>
                <w:sz w:val="20"/>
                <w:szCs w:val="20"/>
              </w:rPr>
              <w:t xml:space="preserve">bridge</w:t>
            </w:r>
          </w:p>
        </w:tc>
        <w:tc>
          <w:tcPr>
            <w:tcW w:w="0" w:type="auto"/>
          </w:tcPr>
          <w:p>
            <w:pPr>
              <w:spacing w:line="240" w:lineRule="auto" w:before="0" w:after="0"/>
              <w:pStyle w:val="Compact"/>
            </w:pPr>
            <w:r>
              <w:rPr>
                <w:sz w:val="20"/>
                <w:szCs w:val="20"/>
              </w:rPr>
              <w:t xml:space="preserve">-3.4446</w:t>
            </w:r>
          </w:p>
        </w:tc>
        <w:tc>
          <w:tcPr>
            <w:tcW w:w="0" w:type="auto"/>
          </w:tcPr>
          <w:p>
            <w:pPr>
              <w:spacing w:line="240" w:lineRule="auto" w:before="0" w:after="0"/>
              <w:pStyle w:val="Compact"/>
            </w:pPr>
            <w:r>
              <w:rPr>
                <w:sz w:val="20"/>
                <w:szCs w:val="20"/>
              </w:rPr>
              <w:t xml:space="preserve">6.0695</w:t>
            </w:r>
          </w:p>
        </w:tc>
        <w:tc>
          <w:tcPr>
            <w:tcW w:w="0" w:type="auto"/>
          </w:tcPr>
          <w:p>
            <w:pPr>
              <w:spacing w:line="240" w:lineRule="auto" w:before="0" w:after="0"/>
              <w:pStyle w:val="Compact"/>
            </w:pPr>
            <w:r>
              <w:rPr>
                <w:sz w:val="20"/>
                <w:szCs w:val="20"/>
              </w:rPr>
              <w:t xml:space="preserve">-0.5675</w:t>
            </w:r>
          </w:p>
        </w:tc>
        <w:tc>
          <w:tcPr>
            <w:tcW w:w="0" w:type="auto"/>
          </w:tcPr>
          <w:p>
            <w:pPr>
              <w:spacing w:line="240" w:lineRule="auto" w:before="0" w:after="0"/>
              <w:pStyle w:val="Compact"/>
            </w:pPr>
            <w:r>
              <w:rPr>
                <w:sz w:val="20"/>
                <w:szCs w:val="20"/>
              </w:rPr>
              <w:t xml:space="preserve">0.5704</w:t>
            </w:r>
          </w:p>
        </w:tc>
        <w:tc>
          <w:tcPr>
            <w:tcW w:w="0" w:type="auto"/>
          </w:tcPr>
          <w:p>
            <w:pPr>
              <w:spacing w:line="240" w:lineRule="auto" w:before="0" w:after="0"/>
              <w:pStyle w:val="Compact"/>
            </w:pPr>
            <w:r>
              <w:rPr>
                <w:sz w:val="20"/>
                <w:szCs w:val="20"/>
              </w:rPr>
              <w:t xml:space="preserve">[-15.3405, 8.4513]</w:t>
            </w:r>
          </w:p>
        </w:tc>
      </w:tr>
      <w:tr>
        <w:tc>
          <w:tcPr>
            <w:tcW w:w="0" w:type="auto"/>
          </w:tcPr>
          <w:p>
            <w:pPr>
              <w:spacing w:line="240" w:lineRule="auto" w:before="0" w:after="0"/>
              <w:pStyle w:val="Compact"/>
            </w:pPr>
            <w:r>
              <w:rPr>
                <w:sz w:val="20"/>
                <w:szCs w:val="20"/>
              </w:rPr>
              <w:t xml:space="preserve">years_active</w:t>
            </w:r>
          </w:p>
        </w:tc>
        <w:tc>
          <w:tcPr>
            <w:tcW w:w="0" w:type="auto"/>
          </w:tcPr>
          <w:p>
            <w:pPr>
              <w:spacing w:line="240" w:lineRule="auto" w:before="0" w:after="0"/>
              <w:pStyle w:val="Compact"/>
            </w:pPr>
            <w:r>
              <w:rPr>
                <w:sz w:val="20"/>
                <w:szCs w:val="20"/>
              </w:rPr>
              <w:t xml:space="preserve">-0.1604</w:t>
            </w:r>
          </w:p>
        </w:tc>
        <w:tc>
          <w:tcPr>
            <w:tcW w:w="0" w:type="auto"/>
          </w:tcPr>
          <w:p>
            <w:pPr>
              <w:spacing w:line="240" w:lineRule="auto" w:before="0" w:after="0"/>
              <w:pStyle w:val="Compact"/>
            </w:pPr>
            <w:r>
              <w:rPr>
                <w:sz w:val="20"/>
                <w:szCs w:val="20"/>
              </w:rPr>
              <w:t xml:space="preserve">0.1082</w:t>
            </w:r>
          </w:p>
        </w:tc>
        <w:tc>
          <w:tcPr>
            <w:tcW w:w="0" w:type="auto"/>
          </w:tcPr>
          <w:p>
            <w:pPr>
              <w:spacing w:line="240" w:lineRule="auto" w:before="0" w:after="0"/>
              <w:pStyle w:val="Compact"/>
            </w:pPr>
            <w:r>
              <w:rPr>
                <w:sz w:val="20"/>
                <w:szCs w:val="20"/>
              </w:rPr>
              <w:t xml:space="preserve">-1.4826</w:t>
            </w:r>
          </w:p>
        </w:tc>
        <w:tc>
          <w:tcPr>
            <w:tcW w:w="0" w:type="auto"/>
          </w:tcPr>
          <w:p>
            <w:pPr>
              <w:spacing w:line="240" w:lineRule="auto" w:before="0" w:after="0"/>
              <w:pStyle w:val="Compact"/>
            </w:pPr>
            <w:r>
              <w:rPr>
                <w:sz w:val="20"/>
                <w:szCs w:val="20"/>
              </w:rPr>
              <w:t xml:space="preserve">0.1382</w:t>
            </w:r>
          </w:p>
        </w:tc>
        <w:tc>
          <w:tcPr>
            <w:tcW w:w="0" w:type="auto"/>
          </w:tcPr>
          <w:p>
            <w:pPr>
              <w:spacing w:line="240" w:lineRule="auto" w:before="0" w:after="0"/>
              <w:pStyle w:val="Compact"/>
            </w:pPr>
            <w:r>
              <w:rPr>
                <w:sz w:val="20"/>
                <w:szCs w:val="20"/>
              </w:rPr>
              <w:t xml:space="preserve">[-0.3725, 0.0516]</w:t>
            </w:r>
          </w:p>
        </w:tc>
      </w:tr>
      <w:tr>
        <w:tc>
          <w:tcPr>
            <w:tcW w:w="0" w:type="auto"/>
          </w:tcPr>
          <w:p>
            <w:pPr>
              <w:spacing w:line="240" w:lineRule="auto" w:before="0" w:after="0"/>
              <w:pStyle w:val="Compact"/>
            </w:pPr>
            <w:r>
              <w:rPr>
                <w:sz w:val="20"/>
                <w:szCs w:val="20"/>
              </w:rPr>
              <w:t xml:space="preserve">large_constellation</w:t>
            </w:r>
          </w:p>
        </w:tc>
        <w:tc>
          <w:tcPr>
            <w:tcW w:w="0" w:type="auto"/>
          </w:tcPr>
          <w:p>
            <w:pPr>
              <w:spacing w:line="240" w:lineRule="auto" w:before="0" w:after="0"/>
              <w:pStyle w:val="Compact"/>
            </w:pPr>
            <w:r>
              <w:rPr>
                <w:sz w:val="20"/>
                <w:szCs w:val="20"/>
              </w:rPr>
              <w:t xml:space="preserve">53.5466</w:t>
            </w:r>
          </w:p>
        </w:tc>
        <w:tc>
          <w:tcPr>
            <w:tcW w:w="0" w:type="auto"/>
          </w:tcPr>
          <w:p>
            <w:pPr>
              <w:spacing w:line="240" w:lineRule="auto" w:before="0" w:after="0"/>
              <w:pStyle w:val="Compact"/>
            </w:pPr>
            <w:r>
              <w:rPr>
                <w:sz w:val="20"/>
                <w:szCs w:val="20"/>
              </w:rPr>
              <w:t xml:space="preserve">16.284</w:t>
            </w:r>
          </w:p>
        </w:tc>
        <w:tc>
          <w:tcPr>
            <w:tcW w:w="0" w:type="auto"/>
          </w:tcPr>
          <w:p>
            <w:pPr>
              <w:spacing w:line="240" w:lineRule="auto" w:before="0" w:after="0"/>
              <w:pStyle w:val="Compact"/>
            </w:pPr>
            <w:r>
              <w:rPr>
                <w:sz w:val="20"/>
                <w:szCs w:val="20"/>
              </w:rPr>
              <w:t xml:space="preserve">3.2883</w:t>
            </w:r>
          </w:p>
        </w:tc>
        <w:tc>
          <w:tcPr>
            <w:tcW w:w="0" w:type="auto"/>
          </w:tcPr>
          <w:p>
            <w:pPr>
              <w:spacing w:line="240" w:lineRule="auto" w:before="0" w:after="0"/>
              <w:pStyle w:val="Compact"/>
            </w:pPr>
            <w:r>
              <w:rPr>
                <w:sz w:val="20"/>
                <w:szCs w:val="20"/>
              </w:rPr>
              <w:t xml:space="preserve">0.001</w:t>
            </w:r>
          </w:p>
        </w:tc>
        <w:tc>
          <w:tcPr>
            <w:tcW w:w="0" w:type="auto"/>
          </w:tcPr>
          <w:p>
            <w:pPr>
              <w:spacing w:line="240" w:lineRule="auto" w:before="0" w:after="0"/>
              <w:pStyle w:val="Compact"/>
            </w:pPr>
            <w:r>
              <w:rPr>
                <w:sz w:val="20"/>
                <w:szCs w:val="20"/>
              </w:rPr>
              <w:t xml:space="preserve">[21.6306, 85.4627]</w:t>
            </w:r>
          </w:p>
        </w:tc>
      </w:tr>
    </w:tbl>
    <w:p>
      <w:pPr>
        <w:pStyle w:val="BodyText"/>
      </w:pPr>
      <w:r>
        <w:t xml:space="preserve">Fit: N = 41 R2 = 0.6298 R2_adj = 0.5887 F = 3.911 F_p = 0.0097</w:t>
      </w:r>
    </w:p>
    <w:p>
      <w:pPr>
        <w:pStyle w:val="CaptionedFigure"/>
      </w:pPr>
      <w:r>
        <w:drawing>
          <wp:inline>
            <wp:extent cx="5669280" cy="3657600"/>
            <wp:effectExtent b="0" l="0" r="0" t="0"/>
            <wp:docPr descr="Figure 1. Operator-year FAA-licensed launch counts, 2010-2024. The vertical reference at 2021 marks the Part 450 bridge year; observations from 2022 onward are coded post450 = 1. Source: FAA Annual Compendium and FAA Quarterly Launch Reports (FAA/AST publications)." title="" id="77" name="Picture"/>
            <a:graphic>
              <a:graphicData uri="http://schemas.openxmlformats.org/drawingml/2006/picture">
                <pic:pic>
                  <pic:nvPicPr>
                    <pic:cNvPr descr="D:\Claude_Code\brain\collegium\candidates\dissertations\LAUNCH_REG_01\research_papers\p1\paper_fig1.png" id="78" name="Picture"/>
                    <pic:cNvPicPr>
                      <a:picLocks noChangeArrowheads="1" noChangeAspect="1"/>
                    </pic:cNvPicPr>
                  </pic:nvPicPr>
                  <pic:blipFill>
                    <a:blip r:embed="rId76"/>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Operator-year FAA-licensed launch counts, 2010-2024. The vertical reference at 2021 marks the Part 450 bridge year; observations from 2022 onward are coded post450 = 1. Source: FAA Annual Compendium and FAA Quarterly Launch Reports (FAA/AST publications).</w:t>
      </w:r>
    </w:p>
    <w:bookmarkEnd w:id="79"/>
    <w:bookmarkStart w:id="83"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0"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operator</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licensed_launches</w:t>
            </w:r>
          </w:p>
        </w:tc>
        <w:tc>
          <w:tcPr>
            <w:tcW w:w="0" w:type="auto"/>
          </w:tcPr>
          <w:p>
            <w:pPr>
              <w:spacing w:line="240" w:lineRule="auto" w:before="0" w:after="0"/>
              <w:pStyle w:val="Compact"/>
            </w:pPr>
            <w:r>
              <w:rPr>
                <w:sz w:val="20"/>
                <w:szCs w:val="20"/>
              </w:rPr>
              <w:t xml:space="preserve">post450</w:t>
            </w:r>
          </w:p>
        </w:tc>
        <w:tc>
          <w:tcPr>
            <w:tcW w:w="0" w:type="auto"/>
          </w:tcPr>
          <w:p>
            <w:pPr>
              <w:spacing w:line="240" w:lineRule="auto" w:before="0" w:after="0"/>
              <w:pStyle w:val="Compact"/>
            </w:pPr>
            <w:r>
              <w:rPr>
                <w:sz w:val="20"/>
                <w:szCs w:val="20"/>
              </w:rPr>
              <w:t xml:space="preserve">bridge</w:t>
            </w:r>
          </w:p>
        </w:tc>
        <w:tc>
          <w:tcPr>
            <w:tcW w:w="0" w:type="auto"/>
          </w:tcPr>
          <w:p>
            <w:pPr>
              <w:spacing w:line="240" w:lineRule="auto" w:before="0" w:after="0"/>
              <w:pStyle w:val="Compact"/>
            </w:pPr>
            <w:r>
              <w:rPr>
                <w:sz w:val="20"/>
                <w:szCs w:val="20"/>
              </w:rPr>
              <w:t xml:space="preserve">years_active</w:t>
            </w:r>
          </w:p>
        </w:tc>
        <w:tc>
          <w:tcPr>
            <w:tcW w:w="0" w:type="auto"/>
          </w:tcPr>
          <w:p>
            <w:pPr>
              <w:spacing w:line="240" w:lineRule="auto" w:before="0" w:after="0"/>
              <w:pStyle w:val="Compact"/>
            </w:pPr>
            <w:r>
              <w:rPr>
                <w:sz w:val="20"/>
                <w:szCs w:val="20"/>
              </w:rPr>
              <w:t xml:space="preserve">cumulative_launches</w:t>
            </w:r>
          </w:p>
        </w:tc>
        <w:tc>
          <w:tcPr>
            <w:tcW w:w="0" w:type="auto"/>
          </w:tcPr>
          <w:p>
            <w:pPr>
              <w:spacing w:line="240" w:lineRule="auto" w:before="0" w:after="0"/>
              <w:pStyle w:val="Compact"/>
            </w:pPr>
            <w:r>
              <w:rPr>
                <w:sz w:val="20"/>
                <w:szCs w:val="20"/>
              </w:rPr>
              <w:t xml:space="preserve">large_constellation</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Annual Compendium of Commercial Space Transportation 2011, FAA/AST publications</w:t>
            </w:r>
          </w:p>
        </w:tc>
      </w:tr>
      <w:tr>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Annual Compendium of Commercial Space Transportation 2012, FAA/AST publications</w:t>
            </w:r>
          </w:p>
        </w:tc>
      </w:tr>
      <w:tr>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Annual Compendium of Commercial Space Transportation 2013, FAA/AST publications</w:t>
            </w:r>
          </w:p>
        </w:tc>
      </w:tr>
      <w:tr>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Annual Compendium of Commercial Space Transportation 2014, FAA/AST publications</w:t>
            </w:r>
          </w:p>
        </w:tc>
      </w:tr>
      <w:tr>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Annual Compendium of Commercial Space Transportation 2015, FAA/AST publications</w:t>
            </w:r>
          </w:p>
        </w:tc>
      </w:tr>
      <w:tr>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Annual Compendium of Commercial Space Transportation 2016, FAA/AST publications</w:t>
            </w:r>
          </w:p>
        </w:tc>
      </w:tr>
      <w:tr>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Annual Compendium of Commercial Space Transportation 2017, FAA/AST publications</w:t>
            </w:r>
          </w:p>
        </w:tc>
      </w:tr>
      <w:tr>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Annual Compendium of Commercial Space Transportation 2018, FAA/AST publications</w:t>
            </w:r>
          </w:p>
        </w:tc>
      </w:tr>
      <w:tr>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67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Annual Compendium of Commercial Space Transportation 2019, FAA/AST publications</w:t>
            </w:r>
          </w:p>
        </w:tc>
      </w:tr>
      <w:tr>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Annual Compendium of Commercial Space Transportation 2020, FAA/AST publications; Starlink v0.9 launch press kit</w:t>
            </w:r>
          </w:p>
        </w:tc>
      </w:tr>
      <w:tr>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Annual Compendium of Commercial Space Transportation 2021, FAA/AST publications</w:t>
            </w:r>
          </w:p>
        </w:tc>
      </w:tr>
      <w:tr>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137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Quarterly Launch Reports 2021, FAA/AST publications; 14 CFR Part 450 effective 15 March 2021 (Federal Register 85 FR 79566)</w:t>
            </w:r>
          </w:p>
        </w:tc>
      </w:tr>
      <w:tr>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61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Quarterly Launch Reports 2022, FAA/AST publications</w:t>
            </w:r>
          </w:p>
        </w:tc>
      </w:tr>
      <w:tr>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294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Quarterly Launch Reports 2023, FAA/AST publications</w:t>
            </w:r>
          </w:p>
        </w:tc>
      </w:tr>
      <w:tr>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134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428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Quarterly Launch Reports 2024, FAA/AST publications; SpaceX year-end launch manifest</w:t>
            </w:r>
          </w:p>
        </w:tc>
      </w:tr>
      <w:tr>
        <w:tc>
          <w:tcPr>
            <w:tcW w:w="0" w:type="auto"/>
          </w:tcPr>
          <w:p>
            <w:pPr>
              <w:spacing w:line="240" w:lineRule="auto" w:before="0" w:after="0"/>
              <w:pStyle w:val="Compact"/>
            </w:pPr>
            <w:r>
              <w:rPr>
                <w:sz w:val="20"/>
                <w:szCs w:val="20"/>
              </w:rPr>
              <w:t xml:space="preserve">ULA</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Annual Compendium of Commercial Space Transportation 2011 (ULA Atlas V/Delta IV under USAF launch services contract, no FAA-licensed missions)</w:t>
            </w:r>
          </w:p>
        </w:tc>
      </w:tr>
      <w:tr>
        <w:tc>
          <w:tcPr>
            <w:tcW w:w="0" w:type="auto"/>
          </w:tcPr>
          <w:p>
            <w:pPr>
              <w:spacing w:line="240" w:lineRule="auto" w:before="0" w:after="0"/>
              <w:pStyle w:val="Compact"/>
            </w:pPr>
            <w:r>
              <w:rPr>
                <w:sz w:val="20"/>
                <w:szCs w:val="20"/>
              </w:rPr>
              <w:t xml:space="preserve">ULA</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Annual Compendium of Commercial Space Transportation 2015, FAA/AST publications (CLIO licensed mission)</w:t>
            </w:r>
          </w:p>
        </w:tc>
      </w:tr>
      <w:tr>
        <w:tc>
          <w:tcPr>
            <w:tcW w:w="0" w:type="auto"/>
          </w:tcPr>
          <w:p>
            <w:pPr>
              <w:spacing w:line="240" w:lineRule="auto" w:before="0" w:after="0"/>
              <w:pStyle w:val="Compact"/>
            </w:pPr>
            <w:r>
              <w:rPr>
                <w:sz w:val="20"/>
                <w:szCs w:val="20"/>
              </w:rPr>
              <w:t xml:space="preserve">ULA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Annual Compendium of Commercial Space Transportation 2019, FAA/AST publications</w:t>
            </w:r>
          </w:p>
        </w:tc>
      </w:tr>
      <w:tr>
        <w:tc>
          <w:tcPr>
            <w:tcW w:w="0" w:type="auto"/>
          </w:tcPr>
          <w:p>
            <w:pPr>
              <w:spacing w:line="240" w:lineRule="auto" w:before="0" w:after="0"/>
              <w:pStyle w:val="Compact"/>
            </w:pPr>
            <w:r>
              <w:rPr>
                <w:sz w:val="20"/>
                <w:szCs w:val="20"/>
              </w:rPr>
              <w:t xml:space="preserve">ULA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Quarterly Launch Reports 2021, FAA/AST publications (Lucy mission)</w:t>
            </w:r>
          </w:p>
        </w:tc>
      </w:tr>
      <w:tr>
        <w:tc>
          <w:tcPr>
            <w:tcW w:w="0" w:type="auto"/>
          </w:tcPr>
          <w:p>
            <w:pPr>
              <w:spacing w:line="240" w:lineRule="auto" w:before="0" w:after="0"/>
              <w:pStyle w:val="Compact"/>
            </w:pPr>
            <w:r>
              <w:rPr>
                <w:sz w:val="20"/>
                <w:szCs w:val="20"/>
              </w:rPr>
              <w:t xml:space="preserve">ULA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Quarterly Launch Reports 2023, FAA/AST publications (Vulcan Cert-1)</w:t>
            </w:r>
          </w:p>
        </w:tc>
      </w:tr>
      <w:tr>
        <w:tc>
          <w:tcPr>
            <w:tcW w:w="0" w:type="auto"/>
          </w:tcPr>
          <w:p>
            <w:pPr>
              <w:spacing w:line="240" w:lineRule="auto" w:before="0" w:after="0"/>
              <w:pStyle w:val="Compact"/>
            </w:pPr>
            <w:r>
              <w:rPr>
                <w:sz w:val="20"/>
                <w:szCs w:val="20"/>
              </w:rPr>
              <w:t xml:space="preserve">ULA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Quarterly Launch Reports 2024, FAA/AST publications (Vulcan Cert-2 plus 2 Atlas V Kuiper-related licensed missions)</w:t>
            </w:r>
          </w:p>
        </w:tc>
      </w:tr>
      <w:tr>
        <w:tc>
          <w:tcPr>
            <w:tcW w:w="0" w:type="auto"/>
          </w:tcPr>
          <w:p>
            <w:pPr>
              <w:spacing w:line="240" w:lineRule="auto" w:before="0" w:after="0"/>
              <w:pStyle w:val="Compact"/>
            </w:pPr>
            <w:r>
              <w:rPr>
                <w:sz w:val="20"/>
                <w:szCs w:val="20"/>
              </w:rPr>
              <w:t xml:space="preserve">RocketLab</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Annual Compendium of Commercial Space Transportation 2019, FAA/AST publications (Electron LC-1 New Zealand FAA-recognized)</w:t>
            </w:r>
          </w:p>
        </w:tc>
      </w:tr>
      <w:tr>
        <w:tc>
          <w:tcPr>
            <w:tcW w:w="0" w:type="auto"/>
          </w:tcPr>
          <w:p>
            <w:pPr>
              <w:spacing w:line="240" w:lineRule="auto" w:before="0" w:after="0"/>
              <w:pStyle w:val="Compact"/>
            </w:pPr>
            <w:r>
              <w:rPr>
                <w:sz w:val="20"/>
                <w:szCs w:val="20"/>
              </w:rPr>
              <w:t xml:space="preserve">RocketLab</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Annual Compendium of Commercial Space Transportation 2020, FAA/AST publications</w:t>
            </w:r>
          </w:p>
        </w:tc>
      </w:tr>
      <w:tr>
        <w:tc>
          <w:tcPr>
            <w:tcW w:w="0" w:type="auto"/>
          </w:tcPr>
          <w:p>
            <w:pPr>
              <w:spacing w:line="240" w:lineRule="auto" w:before="0" w:after="0"/>
              <w:pStyle w:val="Compact"/>
            </w:pPr>
            <w:r>
              <w:rPr>
                <w:sz w:val="20"/>
                <w:szCs w:val="20"/>
              </w:rPr>
              <w:t xml:space="preserve">RocketLab</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Annual Compendium of Commercial Space Transportation 2021, FAA/AST publications</w:t>
            </w:r>
          </w:p>
        </w:tc>
      </w:tr>
      <w:tr>
        <w:tc>
          <w:tcPr>
            <w:tcW w:w="0" w:type="auto"/>
          </w:tcPr>
          <w:p>
            <w:pPr>
              <w:spacing w:line="240" w:lineRule="auto" w:before="0" w:after="0"/>
              <w:pStyle w:val="Compact"/>
            </w:pPr>
            <w:r>
              <w:rPr>
                <w:sz w:val="20"/>
                <w:szCs w:val="20"/>
              </w:rPr>
              <w:t xml:space="preserve">RocketLab</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Quarterly Launch Reports 2021, FAA/AST publications</w:t>
            </w:r>
          </w:p>
        </w:tc>
      </w:tr>
      <w:tr>
        <w:tc>
          <w:tcPr>
            <w:tcW w:w="0" w:type="auto"/>
          </w:tcPr>
          <w:p>
            <w:pPr>
              <w:spacing w:line="240" w:lineRule="auto" w:before="0" w:after="0"/>
              <w:pStyle w:val="Compact"/>
            </w:pPr>
            <w:r>
              <w:rPr>
                <w:sz w:val="20"/>
                <w:szCs w:val="20"/>
              </w:rPr>
              <w:t xml:space="preserve">RocketLab</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Quarterly Launch Reports 2022, FAA/AST publications</w:t>
            </w:r>
          </w:p>
        </w:tc>
      </w:tr>
      <w:tr>
        <w:tc>
          <w:tcPr>
            <w:tcW w:w="0" w:type="auto"/>
          </w:tcPr>
          <w:p>
            <w:pPr>
              <w:spacing w:line="240" w:lineRule="auto" w:before="0" w:after="0"/>
              <w:pStyle w:val="Compact"/>
            </w:pPr>
            <w:r>
              <w:rPr>
                <w:sz w:val="20"/>
                <w:szCs w:val="20"/>
              </w:rPr>
              <w:t xml:space="preserve">RocketLab</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Quarterly Launch Reports 2023, FAA/AST publications</w:t>
            </w:r>
          </w:p>
        </w:tc>
      </w:tr>
      <w:tr>
        <w:tc>
          <w:tcPr>
            <w:tcW w:w="0" w:type="auto"/>
          </w:tcPr>
          <w:p>
            <w:pPr>
              <w:spacing w:line="240" w:lineRule="auto" w:before="0" w:after="0"/>
              <w:pStyle w:val="Compact"/>
            </w:pPr>
            <w:r>
              <w:rPr>
                <w:sz w:val="20"/>
                <w:szCs w:val="20"/>
              </w:rPr>
              <w:t xml:space="preserve">RocketLab</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Quarterly Launch Reports 2024, FAA/AST publications</w:t>
            </w:r>
          </w:p>
        </w:tc>
      </w:tr>
      <w:tr>
        <w:tc>
          <w:tcPr>
            <w:tcW w:w="0" w:type="auto"/>
          </w:tcPr>
          <w:p>
            <w:pPr>
              <w:spacing w:line="240" w:lineRule="auto" w:before="0" w:after="0"/>
              <w:pStyle w:val="Compact"/>
            </w:pPr>
            <w:r>
              <w:rPr>
                <w:sz w:val="20"/>
                <w:szCs w:val="20"/>
              </w:rPr>
              <w:t xml:space="preserve">Northrop</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Annual Compendium of Commercial Space Transportation 2014, FAA/AST publications (Antares Cygnus CRS missions)</w:t>
            </w:r>
          </w:p>
        </w:tc>
      </w:tr>
      <w:tr>
        <w:tc>
          <w:tcPr>
            <w:tcW w:w="0" w:type="auto"/>
          </w:tcPr>
          <w:p>
            <w:pPr>
              <w:spacing w:line="240" w:lineRule="auto" w:before="0" w:after="0"/>
              <w:pStyle w:val="Compact"/>
            </w:pPr>
            <w:r>
              <w:rPr>
                <w:sz w:val="20"/>
                <w:szCs w:val="20"/>
              </w:rPr>
              <w:t xml:space="preserve">Northrop</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Annual Compendium of Commercial Space Transportation 2015, FAA/AST publications</w:t>
            </w:r>
          </w:p>
        </w:tc>
      </w:tr>
      <w:tr>
        <w:tc>
          <w:tcPr>
            <w:tcW w:w="0" w:type="auto"/>
          </w:tcPr>
          <w:p>
            <w:pPr>
              <w:spacing w:line="240" w:lineRule="auto" w:before="0" w:after="0"/>
              <w:pStyle w:val="Compact"/>
            </w:pPr>
            <w:r>
              <w:rPr>
                <w:sz w:val="20"/>
                <w:szCs w:val="20"/>
              </w:rPr>
              <w:t xml:space="preserve">Northrop</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Annual Compendium of Commercial Space Transportation 2017, FAA/AST publications</w:t>
            </w:r>
          </w:p>
        </w:tc>
      </w:tr>
      <w:tr>
        <w:tc>
          <w:tcPr>
            <w:tcW w:w="0" w:type="auto"/>
          </w:tcPr>
          <w:p>
            <w:pPr>
              <w:spacing w:line="240" w:lineRule="auto" w:before="0" w:after="0"/>
              <w:pStyle w:val="Compact"/>
            </w:pPr>
            <w:r>
              <w:rPr>
                <w:sz w:val="20"/>
                <w:szCs w:val="20"/>
              </w:rPr>
              <w:t xml:space="preserve">Northrop</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Annual Compendium of Commercial Space Transportation 2019, FAA/AST publications</w:t>
            </w:r>
          </w:p>
        </w:tc>
      </w:tr>
      <w:tr>
        <w:tc>
          <w:tcPr>
            <w:tcW w:w="0" w:type="auto"/>
          </w:tcPr>
          <w:p>
            <w:pPr>
              <w:spacing w:line="240" w:lineRule="auto" w:before="0" w:after="0"/>
              <w:pStyle w:val="Compact"/>
            </w:pPr>
            <w:r>
              <w:rPr>
                <w:sz w:val="20"/>
                <w:szCs w:val="20"/>
              </w:rPr>
              <w:t xml:space="preserve">Northrop</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Annual Compendium of Commercial Space Transportation 2021, FAA/AST publications</w:t>
            </w:r>
          </w:p>
        </w:tc>
      </w:tr>
      <w:tr>
        <w:tc>
          <w:tcPr>
            <w:tcW w:w="0" w:type="auto"/>
          </w:tcPr>
          <w:p>
            <w:pPr>
              <w:spacing w:line="240" w:lineRule="auto" w:before="0" w:after="0"/>
              <w:pStyle w:val="Compact"/>
            </w:pPr>
            <w:r>
              <w:rPr>
                <w:sz w:val="20"/>
                <w:szCs w:val="20"/>
              </w:rPr>
              <w:t xml:space="preserve">Northrop</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Quarterly Launch Reports 2022, FAA/AST publications</w:t>
            </w:r>
          </w:p>
        </w:tc>
      </w:tr>
      <w:tr>
        <w:tc>
          <w:tcPr>
            <w:tcW w:w="0" w:type="auto"/>
          </w:tcPr>
          <w:p>
            <w:pPr>
              <w:spacing w:line="240" w:lineRule="auto" w:before="0" w:after="0"/>
              <w:pStyle w:val="Compact"/>
            </w:pPr>
            <w:r>
              <w:rPr>
                <w:sz w:val="20"/>
                <w:szCs w:val="20"/>
              </w:rPr>
              <w:t xml:space="preserve">Northrop</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Quarterly Launch Reports 2024, FAA/AST publications</w:t>
            </w:r>
          </w:p>
        </w:tc>
      </w:tr>
      <w:tr>
        <w:tc>
          <w:tcPr>
            <w:tcW w:w="0" w:type="auto"/>
          </w:tcPr>
          <w:p>
            <w:pPr>
              <w:spacing w:line="240" w:lineRule="auto" w:before="0" w:after="0"/>
              <w:pStyle w:val="Compact"/>
            </w:pPr>
            <w:r>
              <w:rPr>
                <w:sz w:val="20"/>
                <w:szCs w:val="20"/>
              </w:rPr>
              <w:t xml:space="preserve">BlueOrigin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Quarterly Launch Reports 2021, FAA/AST publications (New Shepard suborbital licensed flights)</w:t>
            </w:r>
          </w:p>
        </w:tc>
      </w:tr>
      <w:tr>
        <w:tc>
          <w:tcPr>
            <w:tcW w:w="0" w:type="auto"/>
          </w:tcPr>
          <w:p>
            <w:pPr>
              <w:spacing w:line="240" w:lineRule="auto" w:before="0" w:after="0"/>
              <w:pStyle w:val="Compact"/>
            </w:pPr>
            <w:r>
              <w:rPr>
                <w:sz w:val="20"/>
                <w:szCs w:val="20"/>
              </w:rPr>
              <w:t xml:space="preserve">BlueOrigin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Quarterly Launch Reports 2022, FAA/AST publications</w:t>
            </w:r>
          </w:p>
        </w:tc>
      </w:tr>
      <w:tr>
        <w:tc>
          <w:tcPr>
            <w:tcW w:w="0" w:type="auto"/>
          </w:tcPr>
          <w:p>
            <w:pPr>
              <w:spacing w:line="240" w:lineRule="auto" w:before="0" w:after="0"/>
              <w:pStyle w:val="Compact"/>
            </w:pPr>
            <w:r>
              <w:rPr>
                <w:sz w:val="20"/>
                <w:szCs w:val="20"/>
              </w:rPr>
              <w:t xml:space="preserve">BlueOrigin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Quarterly Launch Reports 2024, FAA/AST publications (New Glenn NG-1 plus New Shepard)</w:t>
            </w:r>
          </w:p>
        </w:tc>
      </w:tr>
      <w:tr>
        <w:tc>
          <w:tcPr>
            <w:tcW w:w="0" w:type="auto"/>
          </w:tcPr>
          <w:p>
            <w:pPr>
              <w:spacing w:line="240" w:lineRule="auto" w:before="0" w:after="0"/>
              <w:pStyle w:val="Compact"/>
            </w:pPr>
            <w:r>
              <w:rPr>
                <w:sz w:val="20"/>
                <w:szCs w:val="20"/>
              </w:rPr>
              <w:t xml:space="preserve">VirginGalactic</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Quarterly Launch Reports 2021, FAA/AST publications (Unity 22 licensed suborbital)</w:t>
            </w:r>
          </w:p>
        </w:tc>
      </w:tr>
      <w:tr>
        <w:tc>
          <w:tcPr>
            <w:tcW w:w="0" w:type="auto"/>
          </w:tcPr>
          <w:p>
            <w:pPr>
              <w:spacing w:line="240" w:lineRule="auto" w:before="0" w:after="0"/>
              <w:pStyle w:val="Compact"/>
            </w:pPr>
            <w:r>
              <w:rPr>
                <w:sz w:val="20"/>
                <w:szCs w:val="20"/>
              </w:rPr>
              <w:t xml:space="preserve">VirginGalactic</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Quarterly Launch Reports 2023, FAA/AST publications (Galactic 01 through 05 plus Unity 25)</w:t>
            </w:r>
          </w:p>
        </w:tc>
      </w:tr>
      <w:tr>
        <w:tc>
          <w:tcPr>
            <w:tcW w:w="0" w:type="auto"/>
          </w:tcPr>
          <w:p>
            <w:pPr>
              <w:spacing w:line="240" w:lineRule="auto" w:before="0" w:after="0"/>
              <w:pStyle w:val="Compact"/>
            </w:pPr>
            <w:r>
              <w:rPr>
                <w:sz w:val="20"/>
                <w:szCs w:val="20"/>
              </w:rPr>
              <w:t xml:space="preserve">VirginGalactic</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Quarterly Launch Reports 2024, FAA/AST publications</w:t>
            </w:r>
          </w:p>
        </w:tc>
      </w:tr>
    </w:tbl>
    <w:bookmarkEnd w:id="80"/>
    <w:bookmarkStart w:id="81"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licensed_launches</w:t>
            </w:r>
          </w:p>
        </w:tc>
        <w:tc>
          <w:tcPr>
            <w:tcW w:w="0" w:type="auto"/>
          </w:tcPr>
          <w:p>
            <w:pPr>
              <w:spacing w:line="240" w:lineRule="auto" w:before="0" w:after="0"/>
              <w:pStyle w:val="Compact"/>
            </w:pPr>
            <w:r>
              <w:rPr>
                <w:sz w:val="20"/>
                <w:szCs w:val="20"/>
              </w:rPr>
              <w:t xml:space="preserve">Count of FAA-licensed commercial launches by operator in calendar year</w:t>
            </w:r>
          </w:p>
        </w:tc>
        <w:tc>
          <w:tcPr>
            <w:tcW w:w="0" w:type="auto"/>
          </w:tcPr>
          <w:p>
            <w:pPr>
              <w:spacing w:line="240" w:lineRule="auto" w:before="0" w:after="0"/>
              <w:pStyle w:val="Compact"/>
            </w:pPr>
            <w:r>
              <w:rPr>
                <w:sz w:val="20"/>
                <w:szCs w:val="20"/>
              </w:rPr>
              <w:t xml:space="preserve">FAA Annual Compendium of Commercial Space Transportation and FAA Quarterly Launch Reports, FAA/AST publications page</w:t>
            </w:r>
          </w:p>
        </w:tc>
      </w:tr>
      <w:tr>
        <w:tc>
          <w:tcPr>
            <w:tcW w:w="0" w:type="auto"/>
          </w:tcPr>
          <w:p>
            <w:pPr>
              <w:spacing w:line="240" w:lineRule="auto" w:before="0" w:after="0"/>
              <w:pStyle w:val="Compact"/>
            </w:pPr>
            <w:r>
              <w:rPr>
                <w:sz w:val="20"/>
                <w:szCs w:val="20"/>
              </w:rPr>
              <w:t xml:space="preserve">post450</w:t>
            </w:r>
          </w:p>
        </w:tc>
        <w:tc>
          <w:tcPr>
            <w:tcW w:w="0" w:type="auto"/>
          </w:tcPr>
          <w:p>
            <w:pPr>
              <w:spacing w:line="240" w:lineRule="auto" w:before="0" w:after="0"/>
              <w:pStyle w:val="Compact"/>
            </w:pPr>
            <w:r>
              <w:rPr>
                <w:sz w:val="20"/>
                <w:szCs w:val="20"/>
              </w:rPr>
              <w:t xml:space="preserve">Indicator equal to 1 for operator-years after the close of the Part 450 bridge window (2022 onward)</w:t>
            </w:r>
          </w:p>
        </w:tc>
        <w:tc>
          <w:tcPr>
            <w:tcW w:w="0" w:type="auto"/>
          </w:tcPr>
          <w:p>
            <w:pPr>
              <w:spacing w:line="240" w:lineRule="auto" w:before="0" w:after="0"/>
              <w:pStyle w:val="Compact"/>
            </w:pPr>
            <w:r>
              <w:rPr>
                <w:sz w:val="20"/>
                <w:szCs w:val="20"/>
              </w:rPr>
              <w:t xml:space="preserve">14 CFR Part 450 final rule, Federal Register 85 FR 79566, effective 15 March 2021</w:t>
            </w:r>
          </w:p>
        </w:tc>
      </w:tr>
      <w:tr>
        <w:tc>
          <w:tcPr>
            <w:tcW w:w="0" w:type="auto"/>
          </w:tcPr>
          <w:p>
            <w:pPr>
              <w:spacing w:line="240" w:lineRule="auto" w:before="0" w:after="0"/>
              <w:pStyle w:val="Compact"/>
            </w:pPr>
            <w:r>
              <w:rPr>
                <w:sz w:val="20"/>
                <w:szCs w:val="20"/>
              </w:rPr>
              <w:t xml:space="preserve">bridge</w:t>
            </w:r>
          </w:p>
        </w:tc>
        <w:tc>
          <w:tcPr>
            <w:tcW w:w="0" w:type="auto"/>
          </w:tcPr>
          <w:p>
            <w:pPr>
              <w:spacing w:line="240" w:lineRule="auto" w:before="0" w:after="0"/>
              <w:pStyle w:val="Compact"/>
            </w:pPr>
            <w:r>
              <w:rPr>
                <w:sz w:val="20"/>
                <w:szCs w:val="20"/>
              </w:rPr>
              <w:t xml:space="preserve">Indicator equal to 1 for calendar year 2021 (dual-regime bridge window)</w:t>
            </w:r>
          </w:p>
        </w:tc>
        <w:tc>
          <w:tcPr>
            <w:tcW w:w="0" w:type="auto"/>
          </w:tcPr>
          <w:p>
            <w:pPr>
              <w:spacing w:line="240" w:lineRule="auto" w:before="0" w:after="0"/>
              <w:pStyle w:val="Compact"/>
            </w:pPr>
            <w:r>
              <w:rPr>
                <w:sz w:val="20"/>
                <w:szCs w:val="20"/>
              </w:rPr>
              <w:t xml:space="preserve">14 CFR Part 450 final rule transition provisions</w:t>
            </w:r>
          </w:p>
        </w:tc>
      </w:tr>
      <w:tr>
        <w:tc>
          <w:tcPr>
            <w:tcW w:w="0" w:type="auto"/>
          </w:tcPr>
          <w:p>
            <w:pPr>
              <w:spacing w:line="240" w:lineRule="auto" w:before="0" w:after="0"/>
              <w:pStyle w:val="Compact"/>
            </w:pPr>
            <w:r>
              <w:rPr>
                <w:sz w:val="20"/>
                <w:szCs w:val="20"/>
              </w:rPr>
              <w:t xml:space="preserve">years_active</w:t>
            </w:r>
          </w:p>
        </w:tc>
        <w:tc>
          <w:tcPr>
            <w:tcW w:w="0" w:type="auto"/>
          </w:tcPr>
          <w:p>
            <w:pPr>
              <w:spacing w:line="240" w:lineRule="auto" w:before="0" w:after="0"/>
              <w:pStyle w:val="Compact"/>
            </w:pPr>
            <w:r>
              <w:rPr>
                <w:sz w:val="20"/>
                <w:szCs w:val="20"/>
              </w:rPr>
              <w:t xml:space="preserve">Years since operator first held an FAA launch license</w:t>
            </w:r>
          </w:p>
        </w:tc>
        <w:tc>
          <w:tcPr>
            <w:tcW w:w="0" w:type="auto"/>
          </w:tcPr>
          <w:p>
            <w:pPr>
              <w:spacing w:line="240" w:lineRule="auto" w:before="0" w:after="0"/>
              <w:pStyle w:val="Compact"/>
            </w:pPr>
            <w:r>
              <w:rPr>
                <w:sz w:val="20"/>
                <w:szCs w:val="20"/>
              </w:rPr>
              <w:t xml:space="preserve">FAA Active Licenses register and operator press kits</w:t>
            </w:r>
          </w:p>
        </w:tc>
      </w:tr>
      <w:tr>
        <w:tc>
          <w:tcPr>
            <w:tcW w:w="0" w:type="auto"/>
          </w:tcPr>
          <w:p>
            <w:pPr>
              <w:spacing w:line="240" w:lineRule="auto" w:before="0" w:after="0"/>
              <w:pStyle w:val="Compact"/>
            </w:pPr>
            <w:r>
              <w:rPr>
                <w:sz w:val="20"/>
                <w:szCs w:val="20"/>
              </w:rPr>
              <w:t xml:space="preserve">large_constellation</w:t>
            </w:r>
          </w:p>
        </w:tc>
        <w:tc>
          <w:tcPr>
            <w:tcW w:w="0" w:type="auto"/>
          </w:tcPr>
          <w:p>
            <w:pPr>
              <w:spacing w:line="240" w:lineRule="auto" w:before="0" w:after="0"/>
              <w:pStyle w:val="Compact"/>
            </w:pPr>
            <w:r>
              <w:rPr>
                <w:sz w:val="20"/>
                <w:szCs w:val="20"/>
              </w:rPr>
              <w:t xml:space="preserve">Indicator equal to 1 for operator-year combinations associated with deployment of a large LEO communications constellation (Starlink)</w:t>
            </w:r>
          </w:p>
        </w:tc>
        <w:tc>
          <w:tcPr>
            <w:tcW w:w="0" w:type="auto"/>
          </w:tcPr>
          <w:p>
            <w:pPr>
              <w:spacing w:line="240" w:lineRule="auto" w:before="0" w:after="0"/>
              <w:pStyle w:val="Compact"/>
            </w:pPr>
            <w:r>
              <w:rPr>
                <w:sz w:val="20"/>
                <w:szCs w:val="20"/>
              </w:rPr>
              <w:t xml:space="preserve">SpaceX Starlink launch press kits and FAA/AST mission descriptions</w:t>
            </w:r>
          </w:p>
        </w:tc>
      </w:tr>
      <w:tr>
        <w:tc>
          <w:tcPr>
            <w:tcW w:w="0" w:type="auto"/>
          </w:tcPr>
          <w:p>
            <w:pPr>
              <w:spacing w:line="240" w:lineRule="auto" w:before="0" w:after="0"/>
              <w:pStyle w:val="Compact"/>
            </w:pPr>
            <w:r>
              <w:rPr>
                <w:sz w:val="20"/>
                <w:szCs w:val="20"/>
              </w:rPr>
              <w:t xml:space="preserve">licensed_launches (control)</w:t>
            </w:r>
          </w:p>
        </w:tc>
        <w:tc>
          <w:tcPr>
            <w:tcW w:w="0" w:type="auto"/>
          </w:tcPr>
          <w:p>
            <w:pPr>
              <w:spacing w:line="240" w:lineRule="auto" w:before="0" w:after="0"/>
              <w:pStyle w:val="Compact"/>
            </w:pPr>
            <w:r>
              <w:rPr>
                <w:sz w:val="20"/>
                <w:szCs w:val="20"/>
              </w:rPr>
              <w:t xml:space="preserve">Operator and year covariates absorbed by linear time trend and operator-experience term</w:t>
            </w:r>
          </w:p>
        </w:tc>
        <w:tc>
          <w:tcPr>
            <w:tcW w:w="0" w:type="auto"/>
          </w:tcPr>
          <w:p>
            <w:pPr>
              <w:spacing w:line="240" w:lineRule="auto" w:before="0" w:after="0"/>
              <w:pStyle w:val="Compact"/>
            </w:pPr>
            <w:r>
              <w:rPr>
                <w:sz w:val="20"/>
                <w:szCs w:val="20"/>
              </w:rPr>
              <w:t xml:space="preserve">Constructed from the FAA panel</w:t>
            </w:r>
          </w:p>
        </w:tc>
      </w:tr>
    </w:tbl>
    <w:bookmarkEnd w:id="81"/>
    <w:bookmarkStart w:id="82"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3.9263</w:t>
            </w:r>
          </w:p>
        </w:tc>
        <w:tc>
          <w:tcPr>
            <w:tcW w:w="0" w:type="auto"/>
          </w:tcPr>
          <w:p>
            <w:pPr>
              <w:spacing w:line="240" w:lineRule="auto" w:before="0" w:after="0"/>
              <w:pStyle w:val="Compact"/>
            </w:pPr>
            <w:r>
              <w:rPr>
                <w:sz w:val="20"/>
                <w:szCs w:val="20"/>
              </w:rPr>
              <w:t xml:space="preserve">3.0122</w:t>
            </w:r>
          </w:p>
        </w:tc>
        <w:tc>
          <w:tcPr>
            <w:tcW w:w="0" w:type="auto"/>
          </w:tcPr>
          <w:p>
            <w:pPr>
              <w:spacing w:line="240" w:lineRule="auto" w:before="0" w:after="0"/>
              <w:pStyle w:val="Compact"/>
            </w:pPr>
            <w:r>
              <w:rPr>
                <w:sz w:val="20"/>
                <w:szCs w:val="20"/>
              </w:rPr>
              <w:t xml:space="preserve">1.3035</w:t>
            </w:r>
          </w:p>
        </w:tc>
        <w:tc>
          <w:tcPr>
            <w:tcW w:w="0" w:type="auto"/>
          </w:tcPr>
          <w:p>
            <w:pPr>
              <w:spacing w:line="240" w:lineRule="auto" w:before="0" w:after="0"/>
              <w:pStyle w:val="Compact"/>
            </w:pPr>
            <w:r>
              <w:rPr>
                <w:sz w:val="20"/>
                <w:szCs w:val="20"/>
              </w:rPr>
              <w:t xml:space="preserve">0.1924</w:t>
            </w:r>
          </w:p>
        </w:tc>
        <w:tc>
          <w:tcPr>
            <w:tcW w:w="0" w:type="auto"/>
          </w:tcPr>
          <w:p>
            <w:pPr>
              <w:spacing w:line="240" w:lineRule="auto" w:before="0" w:after="0"/>
              <w:pStyle w:val="Compact"/>
            </w:pPr>
            <w:r>
              <w:rPr>
                <w:sz w:val="20"/>
                <w:szCs w:val="20"/>
              </w:rPr>
              <w:t xml:space="preserve">[-1.9774, 9.83]</w:t>
            </w:r>
          </w:p>
        </w:tc>
      </w:tr>
      <w:tr>
        <w:tc>
          <w:tcPr>
            <w:tcW w:w="0" w:type="auto"/>
          </w:tcPr>
          <w:p>
            <w:pPr>
              <w:spacing w:line="240" w:lineRule="auto" w:before="0" w:after="0"/>
              <w:pStyle w:val="Compact"/>
            </w:pPr>
            <w:r>
              <w:rPr>
                <w:sz w:val="20"/>
                <w:szCs w:val="20"/>
              </w:rPr>
              <w:t xml:space="preserve">post450</w:t>
            </w:r>
          </w:p>
        </w:tc>
        <w:tc>
          <w:tcPr>
            <w:tcW w:w="0" w:type="auto"/>
          </w:tcPr>
          <w:p>
            <w:pPr>
              <w:spacing w:line="240" w:lineRule="auto" w:before="0" w:after="0"/>
              <w:pStyle w:val="Compact"/>
            </w:pPr>
            <w:r>
              <w:rPr>
                <w:sz w:val="20"/>
                <w:szCs w:val="20"/>
              </w:rPr>
              <w:t xml:space="preserve">12.7914</w:t>
            </w:r>
          </w:p>
        </w:tc>
        <w:tc>
          <w:tcPr>
            <w:tcW w:w="0" w:type="auto"/>
          </w:tcPr>
          <w:p>
            <w:pPr>
              <w:spacing w:line="240" w:lineRule="auto" w:before="0" w:after="0"/>
              <w:pStyle w:val="Compact"/>
            </w:pPr>
            <w:r>
              <w:rPr>
                <w:sz w:val="20"/>
                <w:szCs w:val="20"/>
              </w:rPr>
              <w:t xml:space="preserve">6.2534</w:t>
            </w:r>
          </w:p>
        </w:tc>
        <w:tc>
          <w:tcPr>
            <w:tcW w:w="0" w:type="auto"/>
          </w:tcPr>
          <w:p>
            <w:pPr>
              <w:spacing w:line="240" w:lineRule="auto" w:before="0" w:after="0"/>
              <w:pStyle w:val="Compact"/>
            </w:pPr>
            <w:r>
              <w:rPr>
                <w:sz w:val="20"/>
                <w:szCs w:val="20"/>
              </w:rPr>
              <w:t xml:space="preserve">2.0455</w:t>
            </w:r>
          </w:p>
        </w:tc>
        <w:tc>
          <w:tcPr>
            <w:tcW w:w="0" w:type="auto"/>
          </w:tcPr>
          <w:p>
            <w:pPr>
              <w:spacing w:line="240" w:lineRule="auto" w:before="0" w:after="0"/>
              <w:pStyle w:val="Compact"/>
            </w:pPr>
            <w:r>
              <w:rPr>
                <w:sz w:val="20"/>
                <w:szCs w:val="20"/>
              </w:rPr>
              <w:t xml:space="preserve">0.0408</w:t>
            </w:r>
          </w:p>
        </w:tc>
        <w:tc>
          <w:tcPr>
            <w:tcW w:w="0" w:type="auto"/>
          </w:tcPr>
          <w:p>
            <w:pPr>
              <w:spacing w:line="240" w:lineRule="auto" w:before="0" w:after="0"/>
              <w:pStyle w:val="Compact"/>
            </w:pPr>
            <w:r>
              <w:rPr>
                <w:sz w:val="20"/>
                <w:szCs w:val="20"/>
              </w:rPr>
              <w:t xml:space="preserve">[0.5348, 25.0479]</w:t>
            </w:r>
          </w:p>
        </w:tc>
      </w:tr>
      <w:tr>
        <w:tc>
          <w:tcPr>
            <w:tcW w:w="0" w:type="auto"/>
          </w:tcPr>
          <w:p>
            <w:pPr>
              <w:spacing w:line="240" w:lineRule="auto" w:before="0" w:after="0"/>
              <w:pStyle w:val="Compact"/>
            </w:pPr>
            <w:r>
              <w:rPr>
                <w:sz w:val="20"/>
                <w:szCs w:val="20"/>
              </w:rPr>
              <w:t xml:space="preserve">bridge</w:t>
            </w:r>
          </w:p>
        </w:tc>
        <w:tc>
          <w:tcPr>
            <w:tcW w:w="0" w:type="auto"/>
          </w:tcPr>
          <w:p>
            <w:pPr>
              <w:spacing w:line="240" w:lineRule="auto" w:before="0" w:after="0"/>
              <w:pStyle w:val="Compact"/>
            </w:pPr>
            <w:r>
              <w:rPr>
                <w:sz w:val="20"/>
                <w:szCs w:val="20"/>
              </w:rPr>
              <w:t xml:space="preserve">-3.4446</w:t>
            </w:r>
          </w:p>
        </w:tc>
        <w:tc>
          <w:tcPr>
            <w:tcW w:w="0" w:type="auto"/>
          </w:tcPr>
          <w:p>
            <w:pPr>
              <w:spacing w:line="240" w:lineRule="auto" w:before="0" w:after="0"/>
              <w:pStyle w:val="Compact"/>
            </w:pPr>
            <w:r>
              <w:rPr>
                <w:sz w:val="20"/>
                <w:szCs w:val="20"/>
              </w:rPr>
              <w:t xml:space="preserve">6.0695</w:t>
            </w:r>
          </w:p>
        </w:tc>
        <w:tc>
          <w:tcPr>
            <w:tcW w:w="0" w:type="auto"/>
          </w:tcPr>
          <w:p>
            <w:pPr>
              <w:spacing w:line="240" w:lineRule="auto" w:before="0" w:after="0"/>
              <w:pStyle w:val="Compact"/>
            </w:pPr>
            <w:r>
              <w:rPr>
                <w:sz w:val="20"/>
                <w:szCs w:val="20"/>
              </w:rPr>
              <w:t xml:space="preserve">-0.5675</w:t>
            </w:r>
          </w:p>
        </w:tc>
        <w:tc>
          <w:tcPr>
            <w:tcW w:w="0" w:type="auto"/>
          </w:tcPr>
          <w:p>
            <w:pPr>
              <w:spacing w:line="240" w:lineRule="auto" w:before="0" w:after="0"/>
              <w:pStyle w:val="Compact"/>
            </w:pPr>
            <w:r>
              <w:rPr>
                <w:sz w:val="20"/>
                <w:szCs w:val="20"/>
              </w:rPr>
              <w:t xml:space="preserve">0.5704</w:t>
            </w:r>
          </w:p>
        </w:tc>
        <w:tc>
          <w:tcPr>
            <w:tcW w:w="0" w:type="auto"/>
          </w:tcPr>
          <w:p>
            <w:pPr>
              <w:spacing w:line="240" w:lineRule="auto" w:before="0" w:after="0"/>
              <w:pStyle w:val="Compact"/>
            </w:pPr>
            <w:r>
              <w:rPr>
                <w:sz w:val="20"/>
                <w:szCs w:val="20"/>
              </w:rPr>
              <w:t xml:space="preserve">[-15.3405, 8.4513]</w:t>
            </w:r>
          </w:p>
        </w:tc>
      </w:tr>
      <w:tr>
        <w:tc>
          <w:tcPr>
            <w:tcW w:w="0" w:type="auto"/>
          </w:tcPr>
          <w:p>
            <w:pPr>
              <w:spacing w:line="240" w:lineRule="auto" w:before="0" w:after="0"/>
              <w:pStyle w:val="Compact"/>
            </w:pPr>
            <w:r>
              <w:rPr>
                <w:sz w:val="20"/>
                <w:szCs w:val="20"/>
              </w:rPr>
              <w:t xml:space="preserve">years_active</w:t>
            </w:r>
          </w:p>
        </w:tc>
        <w:tc>
          <w:tcPr>
            <w:tcW w:w="0" w:type="auto"/>
          </w:tcPr>
          <w:p>
            <w:pPr>
              <w:spacing w:line="240" w:lineRule="auto" w:before="0" w:after="0"/>
              <w:pStyle w:val="Compact"/>
            </w:pPr>
            <w:r>
              <w:rPr>
                <w:sz w:val="20"/>
                <w:szCs w:val="20"/>
              </w:rPr>
              <w:t xml:space="preserve">-0.1604</w:t>
            </w:r>
          </w:p>
        </w:tc>
        <w:tc>
          <w:tcPr>
            <w:tcW w:w="0" w:type="auto"/>
          </w:tcPr>
          <w:p>
            <w:pPr>
              <w:spacing w:line="240" w:lineRule="auto" w:before="0" w:after="0"/>
              <w:pStyle w:val="Compact"/>
            </w:pPr>
            <w:r>
              <w:rPr>
                <w:sz w:val="20"/>
                <w:szCs w:val="20"/>
              </w:rPr>
              <w:t xml:space="preserve">0.1082</w:t>
            </w:r>
          </w:p>
        </w:tc>
        <w:tc>
          <w:tcPr>
            <w:tcW w:w="0" w:type="auto"/>
          </w:tcPr>
          <w:p>
            <w:pPr>
              <w:spacing w:line="240" w:lineRule="auto" w:before="0" w:after="0"/>
              <w:pStyle w:val="Compact"/>
            </w:pPr>
            <w:r>
              <w:rPr>
                <w:sz w:val="20"/>
                <w:szCs w:val="20"/>
              </w:rPr>
              <w:t xml:space="preserve">-1.4826</w:t>
            </w:r>
          </w:p>
        </w:tc>
        <w:tc>
          <w:tcPr>
            <w:tcW w:w="0" w:type="auto"/>
          </w:tcPr>
          <w:p>
            <w:pPr>
              <w:spacing w:line="240" w:lineRule="auto" w:before="0" w:after="0"/>
              <w:pStyle w:val="Compact"/>
            </w:pPr>
            <w:r>
              <w:rPr>
                <w:sz w:val="20"/>
                <w:szCs w:val="20"/>
              </w:rPr>
              <w:t xml:space="preserve">0.1382</w:t>
            </w:r>
          </w:p>
        </w:tc>
        <w:tc>
          <w:tcPr>
            <w:tcW w:w="0" w:type="auto"/>
          </w:tcPr>
          <w:p>
            <w:pPr>
              <w:spacing w:line="240" w:lineRule="auto" w:before="0" w:after="0"/>
              <w:pStyle w:val="Compact"/>
            </w:pPr>
            <w:r>
              <w:rPr>
                <w:sz w:val="20"/>
                <w:szCs w:val="20"/>
              </w:rPr>
              <w:t xml:space="preserve">[-0.3725, 0.0516]</w:t>
            </w:r>
          </w:p>
        </w:tc>
      </w:tr>
      <w:tr>
        <w:tc>
          <w:tcPr>
            <w:tcW w:w="0" w:type="auto"/>
          </w:tcPr>
          <w:p>
            <w:pPr>
              <w:spacing w:line="240" w:lineRule="auto" w:before="0" w:after="0"/>
              <w:pStyle w:val="Compact"/>
            </w:pPr>
            <w:r>
              <w:rPr>
                <w:sz w:val="20"/>
                <w:szCs w:val="20"/>
              </w:rPr>
              <w:t xml:space="preserve">large_constellation</w:t>
            </w:r>
          </w:p>
        </w:tc>
        <w:tc>
          <w:tcPr>
            <w:tcW w:w="0" w:type="auto"/>
          </w:tcPr>
          <w:p>
            <w:pPr>
              <w:spacing w:line="240" w:lineRule="auto" w:before="0" w:after="0"/>
              <w:pStyle w:val="Compact"/>
            </w:pPr>
            <w:r>
              <w:rPr>
                <w:sz w:val="20"/>
                <w:szCs w:val="20"/>
              </w:rPr>
              <w:t xml:space="preserve">53.5466</w:t>
            </w:r>
          </w:p>
        </w:tc>
        <w:tc>
          <w:tcPr>
            <w:tcW w:w="0" w:type="auto"/>
          </w:tcPr>
          <w:p>
            <w:pPr>
              <w:spacing w:line="240" w:lineRule="auto" w:before="0" w:after="0"/>
              <w:pStyle w:val="Compact"/>
            </w:pPr>
            <w:r>
              <w:rPr>
                <w:sz w:val="20"/>
                <w:szCs w:val="20"/>
              </w:rPr>
              <w:t xml:space="preserve">16.284</w:t>
            </w:r>
          </w:p>
        </w:tc>
        <w:tc>
          <w:tcPr>
            <w:tcW w:w="0" w:type="auto"/>
          </w:tcPr>
          <w:p>
            <w:pPr>
              <w:spacing w:line="240" w:lineRule="auto" w:before="0" w:after="0"/>
              <w:pStyle w:val="Compact"/>
            </w:pPr>
            <w:r>
              <w:rPr>
                <w:sz w:val="20"/>
                <w:szCs w:val="20"/>
              </w:rPr>
              <w:t xml:space="preserve">3.2883</w:t>
            </w:r>
          </w:p>
        </w:tc>
        <w:tc>
          <w:tcPr>
            <w:tcW w:w="0" w:type="auto"/>
          </w:tcPr>
          <w:p>
            <w:pPr>
              <w:spacing w:line="240" w:lineRule="auto" w:before="0" w:after="0"/>
              <w:pStyle w:val="Compact"/>
            </w:pPr>
            <w:r>
              <w:rPr>
                <w:sz w:val="20"/>
                <w:szCs w:val="20"/>
              </w:rPr>
              <w:t xml:space="preserve">0.001</w:t>
            </w:r>
          </w:p>
        </w:tc>
        <w:tc>
          <w:tcPr>
            <w:tcW w:w="0" w:type="auto"/>
          </w:tcPr>
          <w:p>
            <w:pPr>
              <w:spacing w:line="240" w:lineRule="auto" w:before="0" w:after="0"/>
              <w:pStyle w:val="Compact"/>
            </w:pPr>
            <w:r>
              <w:rPr>
                <w:sz w:val="20"/>
                <w:szCs w:val="20"/>
              </w:rPr>
              <w:t xml:space="preserve">[21.6306, 85.4627]</w:t>
            </w:r>
          </w:p>
        </w:tc>
      </w:tr>
    </w:tbl>
    <w:p>
      <w:pPr>
        <w:pStyle w:val="BodyText"/>
      </w:pPr>
      <w:r>
        <w:t xml:space="preserve">Fit: N = 41 R2 = 0.6298 R2_adj = 0.5887 F = 3.911 F_p = 0.0097</w:t>
      </w:r>
    </w:p>
    <w:bookmarkEnd w:id="82"/>
    <w:bookmarkEnd w:id="83"/>
    <w:bookmarkEnd w:id="84"/>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6" Target="media/rId76.png" /><Relationship Type="http://schemas.openxmlformats.org/officeDocument/2006/relationships/hyperlink" Id="rId72" Target="https://doi.org/10.1016/j.actaastro.2018.08.014" TargetMode="External" /><Relationship Type="http://schemas.openxmlformats.org/officeDocument/2006/relationships/hyperlink" Id="rId69" Target="https://doi.org/10.64861/UCTN1793" TargetMode="External" /></Relationships>
</file>

<file path=word/_rels/footnotes.xml.rels><?xml version="1.0" encoding="UTF-8"?><Relationships xmlns="http://schemas.openxmlformats.org/package/2006/relationships"><Relationship Type="http://schemas.openxmlformats.org/officeDocument/2006/relationships/hyperlink" Id="rId72" Target="https://doi.org/10.1016/j.actaastro.2018.08.014" TargetMode="External" /><Relationship Type="http://schemas.openxmlformats.org/officeDocument/2006/relationships/hyperlink" Id="rId69" Target="https://doi.org/10.64861/UCTN1793"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2026-06-27T00:26:30Z</dcterms:created>
  <dcterms:modified xsi:type="dcterms:W3CDTF">2026-06-27T00:26:30Z</dcterms:modified>
</cp:coreProperties>
</file>

<file path=docProps/custom.xml><?xml version="1.0" encoding="utf-8"?>
<Properties xmlns="http://schemas.openxmlformats.org/officeDocument/2006/custom-properties" xmlns:vt="http://schemas.openxmlformats.org/officeDocument/2006/docPropsVTypes"/>
</file>