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PART 450 TRANSITION DISCONTINUITY: DID CONSOLIDATED LAUNCH LICENSING CHANGE COMMERCIAL LAUNCH CADENCE, TIME TO AUTHORIZATION, AND AUTHORIZATION RELIABILITY?</w:t>
      </w:r>
    </w:p>
    <w:p>
      <w:pPr>
        <w:jc w:val="center"/>
      </w:pPr>
    </w:p>
    <w:p>
      <w:pPr>
        <w:jc w:val="center"/>
      </w:pPr>
      <w:r>
        <w:rPr>
          <w:rFonts w:ascii="Times New Roman" w:hAnsi="Times New Roman"/>
          <w:sz w:val="24"/>
        </w:rPr>
        <w:t>by</w:t>
      </w:r>
    </w:p>
    <w:p>
      <w:pPr>
        <w:jc w:val="center"/>
      </w:pPr>
      <w:r>
        <w:rPr>
          <w:rFonts w:ascii="Times New Roman" w:hAnsi="Times New Roman"/>
          <w:b/>
          <w:sz w:val="28"/>
        </w:rPr>
        <w:t>Dario Nakamura</w:t>
      </w:r>
    </w:p>
    <w:p>
      <w:pPr>
        <w:jc w:val="center"/>
      </w:pPr>
      <w:r>
        <w:rPr>
          <w:rFonts w:ascii="Times New Roman" w:hAnsi="Times New Roman"/>
          <w:sz w:val="24"/>
        </w:rPr>
        <w:t>1B-INF-100</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question-and-why-it-cannot-wait"/>
    <w:p>
      <w:pPr>
        <w:pStyle w:val="Heading2"/>
        <w:spacing w:line="480" w:lineRule="auto"/>
      </w:pPr>
      <w:r>
        <w:t xml:space="preserve">1.1 The Question and Why It Cannot Wait</w:t>
      </w:r>
    </w:p>
    <w:p>
      <w:pPr>
        <w:pStyle w:val="FirstParagraph"/>
        <w:spacing w:line="480" w:lineRule="auto"/>
      </w:pPr>
      <w:r>
        <w:t xml:space="preserve">On 10 December 2020 the Federal Aviation Administration published the final rule that consolidated four legacy parts of Title 14 of the Code of Federal Regulations, namely parts 415, 417, 431, and 435, into a single performance-based regime codified at 14 CFR Part 450, with an effective date of 15 March 2021</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The rule was the most consequential rewrite of United States commercial launch and reentry licensing since the Commercial Space Launch Act regime stabilized in the 1990s. Its drafters framed the consolidation as a streamlining instrument, with a single license capable of authorizing multiple vehicle configurations, multiple trajectories, and, in principle, a portfolio of mission profiles that would otherwise have required serial applications under the legacy parts. Five years on, the question of whether the rule actually delivered the streamlining its drafters promised is not a matter of editorial preference. It is a falsifiable empirical question with public data, and it remains unanswered in the peer-reviewed literature.</w:t>
      </w:r>
    </w:p>
    <w:p>
      <w:pPr>
        <w:pStyle w:val="BodyText"/>
        <w:spacing w:line="480" w:lineRule="auto"/>
        <w:ind w:firstLine="720"/>
      </w:pPr>
      <w:r>
        <w:t xml:space="preserve">The question matters because commercial launch is the binding throughput link in every architecture that the United States civil and national security space communities are now attempting to field. A regulatory regime that raises the realized launch rate of compliant operators expands the feasible set of orbital architectures, lowers the marginal cost of each constellation refresh, and shortens the interval between mission concept and on-orbit demonstration. A regulatory regime that lowers the realized launch rate, or that lengthens the time between application and authorization, has the opposite effect: it tightens the constraint on the architecture, raises the cost of every refresh, and pushes mission concepts beyond budget horizons that decision makers can sustain. The sign of the Part 450 effect is therefore not an academic curiosity. It is a parameter that every downstream program manager, mission planner, and traffic modeler must take a position on, with or without evidence.</w:t>
      </w:r>
    </w:p>
    <w:p>
      <w:pPr>
        <w:pStyle w:val="BodyText"/>
        <w:spacing w:line="480" w:lineRule="auto"/>
        <w:ind w:firstLine="720"/>
      </w:pPr>
      <w:r>
        <w:t xml:space="preserve">The stakes are sharpest for the National Aeronautics and Space Administration and for the Jet Propulsion Laboratory. NASA is the largest single federal customer of United States commercial launch services. Its science directorate purchases launch on a competitive basis from operators whose authorizations are granted under Part 450. Its human exploration architecture depends on the cadence of commercial heavy lift, on the cadence of commercial cargo and crew, and increasingly on the cadence of commercial lunar landers whose primary launch path is also Part 450 authorized. JPL, in turn, manages the deep-space science portfolio that is most sensitive to launch availability windows. A planetary mission that misses its synodic window because of an upstream licensing delay does not slip by weeks. It slips by years. The Part 450 transition therefore enters the JPL recompete environment and the NASA portfolio plan not as a regulatory abstraction but as a calendar risk that conditions which proposals can be credibly costed and which cannot.</w:t>
      </w:r>
    </w:p>
    <w:p>
      <w:pPr>
        <w:pStyle w:val="BodyText"/>
        <w:spacing w:line="480" w:lineRule="auto"/>
        <w:ind w:firstLine="720"/>
      </w:pPr>
      <w:r>
        <w:t xml:space="preserve">The downstream consequence reaches the orbital environment itself. Licensed launch cadence enters every credible space traffic management model as an exogenous flux term that determines the rate at which new resident space objects enter trackable orbits</w:t>
      </w:r>
      <w:r>
        <w:t xml:space="preserve"> </w:t>
      </w:r>
      <w:hyperlink w:anchor="ref-1">
        <w:r>
          <w:rPr>
            <w:rStyle w:val="Hyperlink"/>
          </w:rPr>
          <w:t xml:space="preserve">[1]</w:t>
        </w:r>
      </w:hyperlink>
      <w:r>
        <w:t xml:space="preserve">,</w:t>
      </w:r>
      <w:r>
        <w:t xml:space="preserve"> </w:t>
      </w:r>
      <w:hyperlink w:anchor="ref-10">
        <w:r>
          <w:rPr>
            <w:rStyle w:val="Hyperlink"/>
          </w:rPr>
          <w:t xml:space="preserve">[10]</w:t>
        </w:r>
      </w:hyperlink>
      <w:r>
        <w:t xml:space="preserve">. If Part 450 raised cadence, the conjunction screening pipeline at the 18th Space Defense Squadron, the catalog maintenance burden on optical and radar sensor networks, and the long-horizon debris growth projections that drive policy discussions at the United Nations Committee on the Peaceful Uses of Outer Space all shift in the same direction. If Part 450 suppressed cadence, the same models inherit a quieter near-term flux but a longer horizon over which the commercial launch industry under-invests in adjacent capabilities such as on-orbit servicing, debris remediation, and constellation refresh. The licensing regime is, in this sense, a control variable for the entire near-Earth environment, not merely a procedural waypoint.</w:t>
      </w:r>
    </w:p>
    <w:p>
      <w:pPr>
        <w:pStyle w:val="BodyText"/>
        <w:spacing w:line="480" w:lineRule="auto"/>
        <w:ind w:firstLine="720"/>
      </w:pPr>
      <w:r>
        <w:t xml:space="preserve">A parallel and equally consequential observation is that the question recurs. The whole-of-nation policy literature has repeatedly recommended that the United States consolidate space regulatory authority into a single federal authorizing agency for non-traditional space activities</w:t>
      </w:r>
      <w:r>
        <w:t xml:space="preserve"> </w:t>
      </w:r>
      <w:hyperlink w:anchor="ref-3">
        <w:r>
          <w:rPr>
            <w:rStyle w:val="Hyperlink"/>
          </w:rPr>
          <w:t xml:space="preserve">[3]</w:t>
        </w:r>
      </w:hyperlink>
      <w:r>
        <w:t xml:space="preserve">. That recommendation is now twenty years old in various forms and has been advanced again in the most recent round of strategic recommendations. Whether to act on it depends, in part, on whether the most ambitious recent consolidation, namely Part 450, produced the throughput gain that consolidation advocates have promised. If Part 450 raised cadence and shortened authorization time, the case for the broader consolidation strengthens, and the policy literature acquires a calibrated point estimate to attach to its rhetorical recommendation. If Part 450 lowered cadence or lengthened authorization time, the consolidation literature is forced to confront a counterexample drawn from its own preferred direction of reform, and the lesson shifts from consolidation as a sufficient reform to consolidation as a necessary but insufficient reform that must be paired with a parallel investment in agency adjudication capacity.</w:t>
      </w:r>
    </w:p>
    <w:p>
      <w:pPr>
        <w:pStyle w:val="BodyText"/>
        <w:spacing w:line="480" w:lineRule="auto"/>
        <w:ind w:firstLine="720"/>
      </w:pPr>
      <w:r>
        <w:t xml:space="preserve">The reform debate is therefore not idle. It is the proximate context for the NASA, JPL, and broader civil-space planning environment that the present work is intended to inform. The dissertation supplies the missing quantitative parameter that the debate has so far lacked.</w:t>
      </w:r>
    </w:p>
    <w:bookmarkEnd w:id="61"/>
    <w:bookmarkStart w:id="62" w:name="X58a03d0dc4b3d6f6f908c5870364fccb17c33fa"/>
    <w:p>
      <w:pPr>
        <w:pStyle w:val="Heading2"/>
        <w:spacing w:line="480" w:lineRule="auto"/>
      </w:pPr>
      <w:r>
        <w:t xml:space="preserve">1.2 The Domain Literature on Part 450 and the Method Literature on Structural Breaks Do Not Intersect</w:t>
      </w:r>
    </w:p>
    <w:p>
      <w:pPr>
        <w:pStyle w:val="FirstParagraph"/>
        <w:spacing w:line="480" w:lineRule="auto"/>
      </w:pPr>
      <w:r>
        <w:t xml:space="preserve">The empirical gap that this dissertation closes is not a gap of attention. It is a gap of method. The domain literature on Part 450 and the method literature on regulatory structural breaks have moved on parallel tracks, and the parallel tracks have not yet crossed.</w:t>
      </w:r>
    </w:p>
    <w:p>
      <w:pPr>
        <w:pStyle w:val="BodyText"/>
        <w:spacing w:line="480" w:lineRule="auto"/>
        <w:ind w:firstLine="720"/>
      </w:pPr>
      <w:r>
        <w:t xml:space="preserve">On the domain side, three streams touch the question and none answers it. The space traffic management literature treats Part 450 as institutional context. Reilly, Blackford, and Mueller identify 14 CFR Part 450 as the binding United States constraint on commercial launch licensing and integrate it into a broader analysis of conjunction screening and catalog maintenance, but their focus is the downstream traffic environment rather than the licensing regime itself</w:t>
      </w:r>
      <w:r>
        <w:t xml:space="preserve"> </w:t>
      </w:r>
      <w:hyperlink w:anchor="ref-1">
        <w:r>
          <w:rPr>
            <w:rStyle w:val="Hyperlink"/>
          </w:rPr>
          <w:t xml:space="preserve">[1]</w:t>
        </w:r>
      </w:hyperlink>
      <w:r>
        <w:t xml:space="preserve">,</w:t>
      </w:r>
      <w:r>
        <w:t xml:space="preserve"> </w:t>
      </w:r>
      <w:hyperlink w:anchor="ref-10">
        <w:r>
          <w:rPr>
            <w:rStyle w:val="Hyperlink"/>
          </w:rPr>
          <w:t xml:space="preserve">[10]</w:t>
        </w:r>
      </w:hyperlink>
      <w:r>
        <w:t xml:space="preserve">. Their work specifies the regulatory regime as exogenous and does not estimate a transition discontinuity. The space-economy and whole-of-nation policy literature is normative rather than empirical. The Space Imperative recommends consolidating United States space regulatory authority and naming a single federal authorizing agency, but it does not estimate the effect of any consolidation already enacted, and it cannot, by its own terms, supply the empirical parameter that would discipline its recommendation</w:t>
      </w:r>
      <w:r>
        <w:t xml:space="preserve"> </w:t>
      </w:r>
      <w:hyperlink w:anchor="ref-3">
        <w:r>
          <w:rPr>
            <w:rStyle w:val="Hyperlink"/>
          </w:rPr>
          <w:t xml:space="preserve">[3]</w:t>
        </w:r>
      </w:hyperlink>
      <w:r>
        <w:t xml:space="preserve">. The Acta Astronautica spaceport and suborbital literature, in turn, characterizes FAA Office of Commercial Space Transportation jurisdiction in foreign and comparative spaceport contexts, but does not produce a domestic causal estimate of Part 450’s effect on the population of licensed operations</w:t>
      </w:r>
      <w:r>
        <w:t xml:space="preserve"> </w:t>
      </w:r>
      <w:hyperlink w:anchor="ref-4">
        <w:r>
          <w:rPr>
            <w:rStyle w:val="Hyperlink"/>
          </w:rPr>
          <w:t xml:space="preserve">[4]</w:t>
        </w:r>
      </w:hyperlink>
      <w:r>
        <w:t xml:space="preserve">,</w:t>
      </w:r>
      <w:r>
        <w:t xml:space="preserve"> </w:t>
      </w:r>
      <w:hyperlink w:anchor="ref-21">
        <w:r>
          <w:rPr>
            <w:rStyle w:val="Hyperlink"/>
          </w:rPr>
          <w:t xml:space="preserve">[21]</w:t>
        </w:r>
      </w:hyperlink>
      <w:r>
        <w:t xml:space="preserve">. Each stream, in its own way, treats the Part 450 transition as a fixed parameter that downstream analysis must accept and work around. None of them produces the parameter.</w:t>
      </w:r>
    </w:p>
    <w:p>
      <w:pPr>
        <w:pStyle w:val="BodyText"/>
        <w:spacing w:line="480" w:lineRule="auto"/>
        <w:ind w:firstLine="720"/>
      </w:pPr>
      <w:r>
        <w:t xml:space="preserve">The closest the domain literature has come to addressing the question is the Government Accountability Office’s sequence of oversight reports on FAA commercial space transportation. GAO-23-106021 documented gaps in FAA oversight of the commercial launch industry. GAO-24-106767 specifically examined Part 450 licensing status and the workforce constraints inside the Office of Commercial Space Transportation</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These reports are indispensable as data sources, and the companion analyses to this dissertation draw on them heavily. They are not, however, causal identifications. They report status, document workforce strain, and aggregate stakeholder complaints. They do not estimate a structural break, they do not specify a counterfactual, and they do not bound the inference with a confidence interval. They are the policy community’s accumulated suspicion, and they deserve to be tested by the econometric instruments that exist precisely to test such suspicions.</w:t>
      </w:r>
    </w:p>
    <w:p>
      <w:pPr>
        <w:pStyle w:val="BodyText"/>
        <w:spacing w:line="480" w:lineRule="auto"/>
        <w:ind w:firstLine="720"/>
      </w:pPr>
      <w:r>
        <w:t xml:space="preserve">On the method side, the relevant tools are mature. Interrupted time series, comparative interrupted time series with difference-in-differences augmentation, regression discontinuity in event time, and Cox proportional-hazards models for application duration are all standard instruments in the public-policy and applied-econometrics literature. Their use in regulatory evaluation is decades old. The novelty of the present work is not in the method but in the application: these instruments have not yet been brought to bear on the Part 450 transition. The reasons are partly disciplinary. The space-policy community has not, on the whole, been trained in modern causal inference, and the applied-econometrics community has not, on the whole, taken commercial launch licensing as a worked example. The result is a gap that is bilateral. Each side knows things the other does not, and the question that sits between them has gone unanswered because no single piece of work has yet supplied both halves.</w:t>
      </w:r>
    </w:p>
    <w:p>
      <w:pPr>
        <w:pStyle w:val="BodyText"/>
        <w:spacing w:line="480" w:lineRule="auto"/>
        <w:ind w:firstLine="720"/>
      </w:pPr>
      <w:r>
        <w:t xml:space="preserve">The gap is concrete. Three pre-registered estimands, all directly observable from public data, define it: monthly licensed launch cadence, days from application acceptance to license issuance, and authorization reliability measured as the share of accepted applications proceeding to issuance without a publicly visible sufficiency or completeness extension. None of these three estimands has received a published causal identification under Part 450. The present dissertation supplies all three under a unified design and reports the signed estimates with confidence intervals, robustness checks, and pre-registered sensitivity analyses.</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dissertation makes one falsifiable claim. The claim is decomposed into three pre-registered outcome equations so that the underlying question of whether Part 450 produced a measurable structural break in licensing throughput is operationalized in three independent directions: a flow outcome, a duration outcome, and a reliability outcome.</w:t>
      </w:r>
    </w:p>
    <w:p>
      <w:pPr>
        <w:pStyle w:val="BodyText"/>
        <w:spacing w:line="480" w:lineRule="auto"/>
        <w:ind w:firstLine="720"/>
      </w:pPr>
      <w:r>
        <w:t xml:space="preserve">H0, stated as a single joint null across the three outcomes, is that the transition to Part 450 produced no structural break in (a) monthly licensed launch cadence at the operator level, (b) the days-to-authorization distribution from application acceptance to license issuance, or (c) the authorization reliability rate defined as the share of accepted applications issued without a publicly visible sufficiency or completeness extension. Formally, in the comparative interrupted time series equation for the cadence outcome, the post-treatment level and slope coefficients are jointly indistinguishable from zero at the five-percent level; in the Cox proportional-hazards equation for the duration outcome, the Part 450 indicator carries a hazard ratio statistically indistinguishable from one; and in the binomial equation for the reliability outcome, the Part 450 indicator carries a coefficient statistically indistinguishable from zero.</w:t>
      </w:r>
    </w:p>
    <w:p>
      <w:pPr>
        <w:pStyle w:val="BodyText"/>
        <w:spacing w:line="480" w:lineRule="auto"/>
        <w:ind w:firstLine="720"/>
      </w:pPr>
      <w:r>
        <w:t xml:space="preserve">H1, the alternative, is that the transition to Part 450 produced a structural break in at least one of the three outcomes, signed and bounded by a ninety-five-percent confidence interval, robust to the choice of bandwidth, to the inclusion of operator and vehicle-family fixed effects, and to the specification of the legacy-licensed control series.</w:t>
      </w:r>
    </w:p>
    <w:p>
      <w:pPr>
        <w:pStyle w:val="BodyText"/>
        <w:spacing w:line="480" w:lineRule="auto"/>
        <w:ind w:firstLine="720"/>
      </w:pPr>
      <w:r>
        <w:t xml:space="preserve">The contribution is falsifiable for four reasons. First, the estimands are pre-registered before the analytic panel is assembled, so the inference cannot be retrofitted to a preferred sign. Second, the data are public. The FAA Office of Commercial Space Transportation Annual Compendium and the Quarterly Launch Report series identify every licensed launch by date, operator, vehicle, and license number</w:t>
      </w:r>
      <w:r>
        <w:t xml:space="preserve"> </w:t>
      </w:r>
      <w:hyperlink w:anchor="ref-6">
        <w:r>
          <w:rPr>
            <w:rStyle w:val="Hyperlink"/>
          </w:rPr>
          <w:t xml:space="preserve">[6]</w:t>
        </w:r>
      </w:hyperlink>
      <w:r>
        <w:t xml:space="preserve">. The Federal Register and the FAA active-licenses page together identify application acceptance dates, license issuance dates, license modifications, and sufficiency or completeness extensions</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The GAO oversight series corroborates the workforce and adjudication-capacity covariates</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Every observation in the analytic panel is traceable to a public document. Third, the identification strategy is conventional and well understood: comparative interrupted time series with a difference-in-differences augmentation, supplemented by a regression discontinuity in event time and a Cox proportional-hazards specification for the duration outcome. Fourth, the rejection rule is specified ex ante.</w:t>
      </w:r>
    </w:p>
    <w:p>
      <w:pPr>
        <w:pStyle w:val="BodyText"/>
        <w:spacing w:line="480" w:lineRule="auto"/>
        <w:ind w:firstLine="720"/>
      </w:pPr>
      <w:r>
        <w:t xml:space="preserve">The companion empirical papers that accompany this dissertation already supply preliminary point estimates that the chapters to follow will harden and extend. A panel fixed-effects analysis of operator-year cadence finds a positive and statistically significant post-Part 450 coefficient on the order of an additional dozen FAA-licensed launches per operator-year after conditioning on the Starlink demand shock and operator tenure. A Cox proportional-hazards analysis of application duration finds a hazard ratio for the Part 450 indicator that is well below one, signaling a substantial lengthening of expected time-to-license relative to the legacy regime. The two findings move in opposite directions on the policy register: the consolidated regime is associated with a higher cadence among incumbents who successfully migrate, and with a lower hazard of approval for any given application within the queue. The dissertation will treat that apparent tension as a central interpretive problem rather than as a contradiction to be smoothed over.</w:t>
      </w:r>
    </w:p>
    <w:p>
      <w:pPr>
        <w:pStyle w:val="BodyText"/>
        <w:spacing w:line="480" w:lineRule="auto"/>
        <w:ind w:firstLine="720"/>
      </w:pPr>
      <w:r>
        <w:t xml:space="preserve">The single falsifiable contribution, then, is the joint estimate of the Part 450 transition effect on the three pre-registered outcomes, with the apparent tension between the cadence and duration outcomes adjudicated against the auxiliary reliability outcome and against the workforce and adjudication-capacity covariates supplied by the GAO oversight record.</w:t>
      </w:r>
    </w:p>
    <w:bookmarkEnd w:id="63"/>
    <w:bookmarkStart w:id="64" w:name="X6a6672ca39c992f61f091ed2da3fab1cd801d4a"/>
    <w:p>
      <w:pPr>
        <w:pStyle w:val="Heading2"/>
        <w:spacing w:line="480" w:lineRule="auto"/>
      </w:pPr>
      <w:r>
        <w:t xml:space="preserve">1.4 Scope, Boundary Conditions, and What This Dissertation Does Not Claim</w:t>
      </w:r>
    </w:p>
    <w:p>
      <w:pPr>
        <w:pStyle w:val="FirstParagraph"/>
        <w:spacing w:line="480" w:lineRule="auto"/>
      </w:pPr>
      <w:r>
        <w:t xml:space="preserve">A precise contribution requires a precise boundary. The dissertation analyzes the universe of United States commercial launch and reentry licensing actions under FAA Office of Commercial Space Transportation jurisdiction from January 2010 through the most recent complete quarter at the time of analysis. It does not analyze experimental permits, it does not analyze authorizations under the jurisdiction of the Federal Communications Commission or the National Oceanic and Atmospheric Administration except as cross-validation references, and it does not analyze foreign launch licensing regimes except as components of the synthetic control series specified in the prospectus</w:t>
      </w:r>
      <w:r>
        <w:t xml:space="preserve"> </w:t>
      </w:r>
      <w:hyperlink w:anchor="ref-4">
        <w:r>
          <w:rPr>
            <w:rStyle w:val="Hyperlink"/>
          </w:rPr>
          <w:t xml:space="preserve">[4]</w:t>
        </w:r>
      </w:hyperlink>
      <w:r>
        <w:t xml:space="preserve">. The unit of analysis for the cadence outcome is the operator-month; the unit for the duration and reliability outcomes is the application.</w:t>
      </w:r>
    </w:p>
    <w:p>
      <w:pPr>
        <w:pStyle w:val="BodyText"/>
        <w:spacing w:line="480" w:lineRule="auto"/>
        <w:ind w:firstLine="720"/>
      </w:pPr>
      <w:r>
        <w:t xml:space="preserve">The dissertation does not claim that the Part 450 transition is the only force acting on the United States commercial launch sector over the analytic window. The Starlink large-constellation deployment is the dominant demand shock in the post-period and is explicitly partialled out in the panel specification. The wider commercial space sector growth, the maturation of vehicle reusability, and the entry of new operators are absorbed in operator and vehicle-family fixed effects and in the operator-tenure covariate. The dissertation does not claim that the estimated Part 450 effect is invariant across operator class; the leave-one-operator-out robustness check is pre-registered precisely to bound the sensitivity of the headline estimate to the inclusion of any single operator, including SpaceX.</w:t>
      </w:r>
    </w:p>
    <w:p>
      <w:pPr>
        <w:pStyle w:val="BodyText"/>
        <w:spacing w:line="480" w:lineRule="auto"/>
        <w:ind w:firstLine="720"/>
      </w:pPr>
      <w:r>
        <w:t xml:space="preserve">The dissertation does not claim that consolidation is uniformly desirable as a regulatory policy. The claim is empirical. It estimates the effect of one specific consolidation on three pre-registered outcomes. The translation of that estimate into a policy recommendation for the broader whole-of-nation consolidation question requires a further step that this dissertation will take, but only after the empirical work is complete.</w:t>
      </w:r>
    </w:p>
    <w:bookmarkEnd w:id="64"/>
    <w:bookmarkStart w:id="65" w:name="roadmap"/>
    <w:p>
      <w:pPr>
        <w:pStyle w:val="Heading2"/>
        <w:spacing w:line="480" w:lineRule="auto"/>
      </w:pPr>
      <w:r>
        <w:t xml:space="preserve">1.5 Roadmap</w:t>
      </w:r>
    </w:p>
    <w:p>
      <w:pPr>
        <w:pStyle w:val="FirstParagraph"/>
        <w:spacing w:line="480" w:lineRule="auto"/>
      </w:pPr>
      <w:r>
        <w:t xml:space="preserve">The dissertation proceeds in six further chapters. Chapter 2 reviews the three streams of domain literature, the relevant econometric method literature on structural breaks and duration models, and the GAO oversight record, and articulates the gap that the present work fills. Chapter 3 specifies the identification strategy in full, including the comparative interrupted time series design, the difference-in-differences augmentation, the regression discontinuity in event time, the Cox proportional-hazards specification for the duration outcome, and the binomial specification for the reliability outcome. Chapter 4 documents the construction of the analytic panel from the FAA Office of Commercial Space Transportation primary sources, the Federal Register secondary sources, and the GAO oversight record, with explicit provenance for every observation and a transparent treatment of bridge-window dual-regime applications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Chapter 5 presents the main results for the cadence outcome and the full set of pre-registered robustness checks, including the placebo break tests, the leave-one-operator-out estimates, and the synthetic control constructed from operators outside United States jurisdiction. Chapter 6 presents the main results for the duration and reliability outcomes, including the Cox proportional-hazards estimates by operator class and vehicle reusability and the binomial reliability estimates with workforce-capacity sensitivity analyses. Chapter 7 adjudicates the apparent tension between the cadence and duration findings, draws the implications for NASA portfolio planning, the JPL recompete environment, the downstream space traffic management modeling community</w:t>
      </w:r>
      <w:r>
        <w:t xml:space="preserve"> </w:t>
      </w:r>
      <w:hyperlink w:anchor="ref-1">
        <w:r>
          <w:rPr>
            <w:rStyle w:val="Hyperlink"/>
          </w:rPr>
          <w:t xml:space="preserve">[1]</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 and the recurring whole-of-nation recommendation to consolidate space regulatory authority</w:t>
      </w:r>
      <w:r>
        <w:t xml:space="preserve"> </w:t>
      </w:r>
      <w:hyperlink w:anchor="ref-3">
        <w:r>
          <w:rPr>
            <w:rStyle w:val="Hyperlink"/>
          </w:rPr>
          <w:t xml:space="preserve">[3]</w:t>
        </w:r>
      </w:hyperlink>
      <w:r>
        <w:t xml:space="preserve">, and identifies the next research steps that the dissertation’s data and design make possible.</w:t>
      </w:r>
    </w:p>
    <w:p>
      <w:pPr>
        <w:pStyle w:val="BodyText"/>
        <w:spacing w:line="480" w:lineRule="auto"/>
        <w:ind w:firstLine="720"/>
      </w:pPr>
      <w:r>
        <w:t xml:space="preserve">The work that follows is intended to settle, with public data and a pre-registered design, a question that the policy community has been forced to argue about without evidence for five years. Regardless of the sign of the estimated effect, it aims to leave the field with a parameter it can use.</w:t>
      </w:r>
    </w:p>
    <w:bookmarkEnd w:id="65"/>
    <w:bookmarkEnd w:id="66"/>
    <w:bookmarkStart w:id="84" w:name="chapter-2.-literature-review"/>
    <w:p>
      <w:pPr>
        <w:pStyle w:val="Heading1"/>
        <w:spacing w:line="480" w:lineRule="auto"/>
      </w:pPr>
      <w:r>
        <w:t xml:space="preserve">Chapter 2. Literature Review</w:t>
      </w:r>
    </w:p>
    <w:bookmarkStart w:id="67" w:name="purpose-and-organization"/>
    <w:p>
      <w:pPr>
        <w:pStyle w:val="Heading2"/>
        <w:spacing w:line="480" w:lineRule="auto"/>
      </w:pPr>
      <w:r>
        <w:t xml:space="preserve">2.1 Purpose and Organization</w:t>
      </w:r>
    </w:p>
    <w:p>
      <w:pPr>
        <w:pStyle w:val="FirstParagraph"/>
        <w:spacing w:line="480" w:lineRule="auto"/>
      </w:pPr>
      <w:r>
        <w:t xml:space="preserve">This chapter situates the dissertation’s central empirical question, whether the 2021 consolidation of U.S. commercial launch licensing under 14 CFR Part 450 produced a measurable structural break in cadence, time to authorization, and authorization reliability, within the two scholarly literatures that currently bracket it without joining it. The first is a domain technical literature on commercial launch, space traffic management, spaceport operations, and orbital traffic forecasting that treats licensing as institutional context. The second is a cliometric and econometric methodology literature on regulatory transitions, panel inference, duration analysis, and structural break identification that has been applied across a wide range of policy domains but not yet to U.S. launch licensing. The chapter proceeds by reviewing each literature in turn, then synthesizes the two and identifies the precise gap that the dissertation occupies.</w:t>
      </w:r>
    </w:p>
    <w:p>
      <w:pPr>
        <w:pStyle w:val="BodyText"/>
        <w:spacing w:line="480" w:lineRule="auto"/>
        <w:ind w:firstLine="720"/>
      </w:pPr>
      <w:r>
        <w:t xml:space="preserve">The organizing claim of the chapter is straightforward. The domain literature establishes that Part 450 is a binding institutional variable in the cislunar value chain and that operators experienced transition friction during the dual-regime bridge window, but it does not estimate the rule’s effect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Congressional oversight has produced repeated qualitative warnings about backlog and workforce strain at the Federal Aviation Administration’s Office of Commercial Space Transportation (FAA/AST), but those warnings stop short of a credible causal identification</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methodology literature offers a mature set of tools, including interrupted time series, difference-in-differences, panel fixed-effects, and Cox proportional-hazards estimation, capable of converting the FAA/AST public record into a falsifiable estimate of the rule’s effect. Joining the two literatures is the task of this dissertation, and this chapter establishes that the join has not previously been attempted.</w:t>
      </w:r>
    </w:p>
    <w:bookmarkEnd w:id="67"/>
    <w:bookmarkStart w:id="74" w:name="the-domain-technical-literature"/>
    <w:p>
      <w:pPr>
        <w:pStyle w:val="Heading2"/>
        <w:spacing w:line="480" w:lineRule="auto"/>
      </w:pPr>
      <w:r>
        <w:t xml:space="preserve">2.2 The Domain Technical Literature</w:t>
      </w:r>
    </w:p>
    <w:bookmarkStart w:id="68" w:name="X08ad16f48ee48923af415e521421183e07f05ed"/>
    <w:p>
      <w:pPr>
        <w:pStyle w:val="Heading3"/>
        <w:spacing w:line="480" w:lineRule="auto"/>
      </w:pPr>
      <w:r>
        <w:t xml:space="preserve">2.2.1 Launch Licensing as Institutional Context in the Space Traffic Management Literature</w:t>
      </w:r>
    </w:p>
    <w:p>
      <w:pPr>
        <w:pStyle w:val="FirstParagraph"/>
        <w:spacing w:line="480" w:lineRule="auto"/>
      </w:pPr>
      <w:r>
        <w:t xml:space="preserve">The most direct treatment of Part 450 in the recent peer-reviewed and proceedings literature appears in work on space traffic management (STM). Reilly, Blackford, and Mueller, in their 2023 AMOS paper</w:t>
      </w:r>
      <w:r>
        <w:t xml:space="preserve"> </w:t>
      </w:r>
      <w:r>
        <w:t xml:space="preserve">“Challenges in Space Traffic Management,”</w:t>
      </w:r>
      <w:r>
        <w:t xml:space="preserve"> </w:t>
      </w:r>
      <w:r>
        <w:t xml:space="preserve">identify FAA jurisdiction over commercial launch and reentry under 14 CFR Part 450 as the binding U.S. constraint on the rate at which new objects enter trackable orbits</w:t>
      </w:r>
      <w:r>
        <w:t xml:space="preserve"> </w:t>
      </w:r>
      <w:hyperlink w:anchor="ref-1">
        <w:r>
          <w:rPr>
            <w:rStyle w:val="Hyperlink"/>
          </w:rPr>
          <w:t xml:space="preserve">[1]</w:t>
        </w:r>
      </w:hyperlink>
      <w:r>
        <w:t xml:space="preserve">,</w:t>
      </w:r>
      <w:r>
        <w:t xml:space="preserve"> </w:t>
      </w:r>
      <w:hyperlink w:anchor="ref-10">
        <w:r>
          <w:rPr>
            <w:rStyle w:val="Hyperlink"/>
          </w:rPr>
          <w:t xml:space="preserve">[10]</w:t>
        </w:r>
      </w:hyperlink>
      <w:r>
        <w:t xml:space="preserve">. Their argument is institutional rather than econometric: the consolidated regime conditions the realized flux of resident space objects (RSOs), and any model of orbital traffic that does not absorb the licensing regime as an upstream regulator of cadence will misstate the conjunction-event distribution downstream. The paper treats Part 450 as a parameter to be respected rather than an outcome to be estimated, and its analytical contribution lies in the STM modeling layer rather than in the licensing layer. This is representative of the larger STM literature’s posture, which treats licensing as exogenous institutional context.</w:t>
      </w:r>
    </w:p>
    <w:p>
      <w:pPr>
        <w:pStyle w:val="BodyText"/>
        <w:spacing w:line="480" w:lineRule="auto"/>
        <w:ind w:firstLine="720"/>
      </w:pPr>
      <w:r>
        <w:t xml:space="preserve">The same posture appears in adjacent STM work on launch on demand, where Shockley and Bettinger frame the policy and geopolitical implications of rapid-response launch capabilities without estimating how the underlying licensing regime conditions realized cadence</w:t>
      </w:r>
      <w:r>
        <w:t xml:space="preserve"> </w:t>
      </w:r>
      <w:hyperlink w:anchor="ref-11">
        <w:r>
          <w:rPr>
            <w:rStyle w:val="Hyperlink"/>
          </w:rPr>
          <w:t xml:space="preserve">[11]</w:t>
        </w:r>
      </w:hyperlink>
      <w:r>
        <w:t xml:space="preserve">. Their analysis is policy-oriented and qualitative, drawing on doctrine and force-posture considerations rather than on a quantitative model of regulatory throughput. Burgio and Grant’s earlier work on the Ground-based Electro-Optical Deep Space Surveillance system likewise treats the licensing and authorization environment for new sensors and operations as a procedural backdrop rather than as a measurable input to capability delivery</w:t>
      </w:r>
      <w:r>
        <w:t xml:space="preserve"> </w:t>
      </w:r>
      <w:hyperlink w:anchor="ref-13">
        <w:r>
          <w:rPr>
            <w:rStyle w:val="Hyperlink"/>
          </w:rPr>
          <w:t xml:space="preserve">[13]</w:t>
        </w:r>
      </w:hyperlink>
      <w:r>
        <w:t xml:space="preserve">. Lambert and Kissell’s historical account of the early Air Force laboratories’ satellite characterization work establishes that the U.S. national security space community has long treated commercial-licensing and military-authorization regimes as separate but coupled institutional architectures</w:t>
      </w:r>
      <w:r>
        <w:t xml:space="preserve"> </w:t>
      </w:r>
      <w:hyperlink w:anchor="ref-14">
        <w:r>
          <w:rPr>
            <w:rStyle w:val="Hyperlink"/>
          </w:rPr>
          <w:t xml:space="preserve">[14]</w:t>
        </w:r>
      </w:hyperlink>
      <w:r>
        <w:t xml:space="preserve">, a coupling that the contemporary STM literature inherits without re-examining.</w:t>
      </w:r>
    </w:p>
    <w:p>
      <w:pPr>
        <w:pStyle w:val="BodyText"/>
        <w:spacing w:line="480" w:lineRule="auto"/>
        <w:ind w:firstLine="720"/>
      </w:pPr>
      <w:r>
        <w:t xml:space="preserve">Within the same conference tradition, Simon’s work on passive radio-frequency support for closely spaced objects scenarios takes the cadence at which closely spaced objects appear in geosynchronous orbit as given by upstream commercial activity and treats the licensing layer as a fixed boundary condition</w:t>
      </w:r>
      <w:r>
        <w:t xml:space="preserve"> </w:t>
      </w:r>
      <w:hyperlink w:anchor="ref-16">
        <w:r>
          <w:rPr>
            <w:rStyle w:val="Hyperlink"/>
          </w:rPr>
          <w:t xml:space="preserve">[16]</w:t>
        </w:r>
      </w:hyperlink>
      <w:r>
        <w:t xml:space="preserve">. This is not a defect of the STM literature; it is a division of labor that has so far left the licensing-throughput question unowned. The STM community has correctly identified that licensing matters and has correctly identified Part 450 as the relevant U.S. instrument. It has not asked whether the consolidation associated with that instrument changed the throughput.</w:t>
      </w:r>
    </w:p>
    <w:bookmarkEnd w:id="68"/>
    <w:bookmarkStart w:id="69" w:name="X65b0877e7c58a6043e36504504c6623bcd28d89"/>
    <w:p>
      <w:pPr>
        <w:pStyle w:val="Heading3"/>
        <w:spacing w:line="480" w:lineRule="auto"/>
      </w:pPr>
      <w:r>
        <w:t xml:space="preserve">2.2.2 Launch Cadence Modeling and the Demand Side</w:t>
      </w:r>
    </w:p>
    <w:p>
      <w:pPr>
        <w:pStyle w:val="FirstParagraph"/>
        <w:spacing w:line="480" w:lineRule="auto"/>
      </w:pPr>
      <w:r>
        <w:t xml:space="preserve">A second strand of the domain literature, located primarily in Acta Astronautica, addresses launch cadence directly but from the demand side rather than the regulatory side. Retagne and Colombo build a satellite launch traffic forecast based on global gross domestic product and on the announced deployment profiles of large constellations</w:t>
      </w:r>
      <w:r>
        <w:t xml:space="preserve"> </w:t>
      </w:r>
      <w:hyperlink w:anchor="ref-20">
        <w:r>
          <w:rPr>
            <w:rStyle w:val="Hyperlink"/>
          </w:rPr>
          <w:t xml:space="preserve">[20]</w:t>
        </w:r>
      </w:hyperlink>
      <w:r>
        <w:t xml:space="preserve">. Their model treats macroeconomic growth and constellation deployment as the principal drivers of cadence and does not include a regulatory term. The omission is reasonable for their forecasting purpose, since the model’s horizon is multi-decadal and the regulatory regime is treated as locally stationary, but it leaves a methodological hole: any near-term identification of the cadence effect of a specific rule change requires that the regulatory term be reinstated as a separately identified covariate.</w:t>
      </w:r>
    </w:p>
    <w:p>
      <w:pPr>
        <w:pStyle w:val="BodyText"/>
        <w:spacing w:line="480" w:lineRule="auto"/>
        <w:ind w:firstLine="720"/>
      </w:pPr>
      <w:r>
        <w:t xml:space="preserve">The companion piece by Uludag and Aslan on highly miniaturized spacecraft surveys the femto and atto satellite mission population and emphasizes that the population growth of resident space objects is increasingly driven by classes of mission whose authorization pathway under Part 450 is itself a subject of operational learning</w:t>
      </w:r>
      <w:r>
        <w:t xml:space="preserve"> </w:t>
      </w:r>
      <w:hyperlink w:anchor="ref-2">
        <w:r>
          <w:rPr>
            <w:rStyle w:val="Hyperlink"/>
          </w:rPr>
          <w:t xml:space="preserve">[2]</w:t>
        </w:r>
      </w:hyperlink>
      <w:r>
        <w:t xml:space="preserve">. Their paper treats the licensing regime as an institutional constraint on miniaturized mission throughput and identifies the consolidated rule as the proximate regulator, again without estimating its effect. Roberts and Linares’s survey of International Telecommunication Union space station license applications in the geosynchronous regime</w:t>
      </w:r>
      <w:r>
        <w:t xml:space="preserve"> </w:t>
      </w:r>
      <w:hyperlink w:anchor="ref-12">
        <w:r>
          <w:rPr>
            <w:rStyle w:val="Hyperlink"/>
          </w:rPr>
          <w:t xml:space="preserve">[12]</w:t>
        </w:r>
      </w:hyperlink>
      <w:r>
        <w:t xml:space="preserve"> </w:t>
      </w:r>
      <w:r>
        <w:t xml:space="preserve">performs an analogous mapping for spectrum authorization at the international layer, illustrating that the closest methodological work in the cadence literature treats authorization as a stock variable to be catalogued rather than a flow variable whose rate has changed.</w:t>
      </w:r>
    </w:p>
    <w:p>
      <w:pPr>
        <w:pStyle w:val="BodyText"/>
        <w:spacing w:line="480" w:lineRule="auto"/>
        <w:ind w:firstLine="720"/>
      </w:pPr>
      <w:r>
        <w:t xml:space="preserve">The cadence-modeling literature is therefore complementary to the STM literature in its treatment of Part 450. Where the STM literature treats licensing as binding context, the cadence literature treats licensing as a stationary backdrop against which demand-side drivers operate. Neither is structured to detect a structural break in the licensing throughput itself.</w:t>
      </w:r>
    </w:p>
    <w:bookmarkEnd w:id="69"/>
    <w:bookmarkStart w:id="70" w:name="Xe4463c7d62bff4be7d546fc412826e349ff058c"/>
    <w:p>
      <w:pPr>
        <w:pStyle w:val="Heading3"/>
        <w:spacing w:line="480" w:lineRule="auto"/>
      </w:pPr>
      <w:r>
        <w:t xml:space="preserve">2.2.3 Spaceport, Suborbital, and Jurisdictional Reach</w:t>
      </w:r>
    </w:p>
    <w:p>
      <w:pPr>
        <w:pStyle w:val="FirstParagraph"/>
        <w:spacing w:line="480" w:lineRule="auto"/>
      </w:pPr>
      <w:r>
        <w:t xml:space="preserve">A third strand of the domain literature examines the jurisdictional reach of FAA/AST authority in spaceport and suborbital contexts. Santoro and colleagues’ analysis of spaceport and ground segment requirements for enabling suborbital transportation in Italian territory characterizes the FAA/AST regulatory perimeter as it conditions transnational operations and partner-state spaceport feasibility</w:t>
      </w:r>
      <w:r>
        <w:t xml:space="preserve"> </w:t>
      </w:r>
      <w:hyperlink w:anchor="ref-4">
        <w:r>
          <w:rPr>
            <w:rStyle w:val="Hyperlink"/>
          </w:rPr>
          <w:t xml:space="preserve">[4]</w:t>
        </w:r>
      </w:hyperlink>
      <w:r>
        <w:t xml:space="preserve">. Their treatment is unusually explicit about the boundary between U.S. domestic authorization under the consolidated rule and the partner-state regulatory environment that must be negotiated alongside it. Baiocco and colleagues’ more recent work on sub-orbital activities and airspace and ground support</w:t>
      </w:r>
      <w:r>
        <w:t xml:space="preserve"> </w:t>
      </w:r>
      <w:hyperlink w:anchor="ref-21">
        <w:r>
          <w:rPr>
            <w:rStyle w:val="Hyperlink"/>
          </w:rPr>
          <w:t xml:space="preserve">[21]</w:t>
        </w:r>
      </w:hyperlink>
      <w:r>
        <w:t xml:space="preserve"> </w:t>
      </w:r>
      <w:r>
        <w:t xml:space="preserve">continues this line, treating FAA jurisdiction as one of the constraints that shapes the operational envelope for suborbital systems while not estimating the throughput effect of any particular U.S. rule change.</w:t>
      </w:r>
    </w:p>
    <w:p>
      <w:pPr>
        <w:pStyle w:val="BodyText"/>
        <w:spacing w:line="480" w:lineRule="auto"/>
        <w:ind w:firstLine="720"/>
      </w:pPr>
      <w:r>
        <w:t xml:space="preserve">The jurisdictional-reach literature is the closest the domain literature comes to a comparative regulatory frame. By describing operators that are not subject to Part 450, it implicitly supplies a control population for any future causal analysis of the rule’s effect. This implication is methodological rather than empirical and is unrealized in the published work. The dissertation exploits it in the synthetic-control robustness check pre-registered in the prospectus, which constructs a counterfactual cadence series from operators outside U.S. jurisdiction. The literature supplies the comparative frame; it does not exploit it.</w:t>
      </w:r>
    </w:p>
    <w:bookmarkEnd w:id="70"/>
    <w:bookmarkStart w:id="71" w:name="X86d0cf778642dcbce5eda0697b29a19db95b80d"/>
    <w:p>
      <w:pPr>
        <w:pStyle w:val="Heading3"/>
        <w:spacing w:line="480" w:lineRule="auto"/>
      </w:pPr>
      <w:r>
        <w:t xml:space="preserve">2.2.4 Vehicle-Level and Process-Level Domain Work</w:t>
      </w:r>
    </w:p>
    <w:p>
      <w:pPr>
        <w:pStyle w:val="FirstParagraph"/>
        <w:spacing w:line="480" w:lineRule="auto"/>
      </w:pPr>
      <w:r>
        <w:t xml:space="preserve">A fourth strand of the domain literature operates at the vehicle and process level rather than at the regime level. Dalmarco and colleagues survey the use of additive manufacturing in spacecraft components and document how production-side innovation conditions the operator population that subsequently seeks authorization</w:t>
      </w:r>
      <w:r>
        <w:t xml:space="preserve"> </w:t>
      </w:r>
      <w:hyperlink w:anchor="ref-18">
        <w:r>
          <w:rPr>
            <w:rStyle w:val="Hyperlink"/>
          </w:rPr>
          <w:t xml:space="preserve">[18]</w:t>
        </w:r>
      </w:hyperlink>
      <w:r>
        <w:t xml:space="preserve">. Rajendran and colleagues’ flow-field analysis of a hybrid rocket motor oxidizer feed line</w:t>
      </w:r>
      <w:r>
        <w:t xml:space="preserve"> </w:t>
      </w:r>
      <w:hyperlink w:anchor="ref-23">
        <w:r>
          <w:rPr>
            <w:rStyle w:val="Hyperlink"/>
          </w:rPr>
          <w:t xml:space="preserve">[23]</w:t>
        </w:r>
      </w:hyperlink>
      <w:r>
        <w:t xml:space="preserve">, Escarti-Guillem and colleagues’ acoustic-deflector study</w:t>
      </w:r>
      <w:r>
        <w:t xml:space="preserve"> </w:t>
      </w:r>
      <w:hyperlink w:anchor="ref-22">
        <w:r>
          <w:rPr>
            <w:rStyle w:val="Hyperlink"/>
          </w:rPr>
          <w:t xml:space="preserve">[22]</w:t>
        </w:r>
      </w:hyperlink>
      <w:r>
        <w:t xml:space="preserve">, and Pratnekar and colleagues’ lunar regolith simulant proposal</w:t>
      </w:r>
      <w:r>
        <w:t xml:space="preserve"> </w:t>
      </w:r>
      <w:hyperlink w:anchor="ref-19">
        <w:r>
          <w:rPr>
            <w:rStyle w:val="Hyperlink"/>
          </w:rPr>
          <w:t xml:space="preserve">[19]</w:t>
        </w:r>
      </w:hyperlink>
      <w:r>
        <w:t xml:space="preserve"> </w:t>
      </w:r>
      <w:r>
        <w:t xml:space="preserve">illustrate the depth of the technical literature on vehicle-level engineering and surface-operations engineering. None of these papers addresses licensing, and none should be expected to. They are included here as evidence that the technical domain literature is rich at the vehicle level and sparse at the regulatory level, and that the regulatory layer is consequently the binding scholarly gap rather than the technical layer.</w:t>
      </w:r>
    </w:p>
    <w:p>
      <w:pPr>
        <w:pStyle w:val="BodyText"/>
        <w:spacing w:line="480" w:lineRule="auto"/>
        <w:ind w:firstLine="720"/>
      </w:pPr>
      <w:r>
        <w:t xml:space="preserve">The route-theory and constellation-design literature, exemplified by Razoumny’s work on compound satellite structures for discontinuous Earth coverage</w:t>
      </w:r>
      <w:r>
        <w:t xml:space="preserve"> </w:t>
      </w:r>
      <w:hyperlink w:anchor="ref-24">
        <w:r>
          <w:rPr>
            <w:rStyle w:val="Hyperlink"/>
          </w:rPr>
          <w:t xml:space="preserve">[24]</w:t>
        </w:r>
      </w:hyperlink>
      <w:r>
        <w:t xml:space="preserve">, operates similarly. The constellation literature characterizes the orbital architectures that will demand authorization but does not characterize the authorization process itself.</w:t>
      </w:r>
    </w:p>
    <w:bookmarkEnd w:id="71"/>
    <w:bookmarkStart w:id="72" w:name="X8da55066e2c9b897ffa8129a86720a405623f17"/>
    <w:p>
      <w:pPr>
        <w:pStyle w:val="Heading3"/>
        <w:spacing w:line="480" w:lineRule="auto"/>
      </w:pPr>
      <w:r>
        <w:t xml:space="preserve">2.2.5 Commercial-Policy and Strategic Literature</w:t>
      </w:r>
    </w:p>
    <w:p>
      <w:pPr>
        <w:pStyle w:val="FirstParagraph"/>
        <w:spacing w:line="480" w:lineRule="auto"/>
      </w:pPr>
      <w:r>
        <w:t xml:space="preserve">A fifth strand of domain work, located outside the engineering literature, addresses the commercial and strategic stakes of launch and broadband capacity. Young and Thadani’s CSIS analysis of low-orbit broadband competition argues that U.S. commercial space competitiveness in low Earth orbit depends on regulatory throughput as much as on industrial capacity</w:t>
      </w:r>
      <w:r>
        <w:t xml:space="preserve"> </w:t>
      </w:r>
      <w:hyperlink w:anchor="ref-15">
        <w:r>
          <w:rPr>
            <w:rStyle w:val="Hyperlink"/>
          </w:rPr>
          <w:t xml:space="preserve">[15]</w:t>
        </w:r>
      </w:hyperlink>
      <w:r>
        <w:t xml:space="preserve">. Their treatment is qualitative and policy-directed, and they do not attempt a quantitative estimate of the licensing-regime effect. The whole-of-nation literature represented by the Space Imperative recommendations explicitly calls for reform of the existing space regulatory structure and naming of a single federal authorizing agency</w:t>
      </w:r>
      <w:r>
        <w:t xml:space="preserve"> </w:t>
      </w:r>
      <w:hyperlink w:anchor="ref-3">
        <w:r>
          <w:rPr>
            <w:rStyle w:val="Hyperlink"/>
          </w:rPr>
          <w:t xml:space="preserve">[3]</w:t>
        </w:r>
      </w:hyperlink>
      <w:r>
        <w:t xml:space="preserve">. This recommendation is normative; it presumes that consolidation reduces friction without testing whether the consolidation already enacted in launch licensing has done so. The recommendation thus sets up the empirical question that the dissertation answers.</w:t>
      </w:r>
    </w:p>
    <w:p>
      <w:pPr>
        <w:pStyle w:val="BodyText"/>
        <w:spacing w:line="480" w:lineRule="auto"/>
        <w:ind w:firstLine="720"/>
      </w:pPr>
      <w:r>
        <w:t xml:space="preserve">Steele’s analysis of whether international law can provide a basis for actively removing space debris</w:t>
      </w:r>
      <w:r>
        <w:t xml:space="preserve"> </w:t>
      </w:r>
      <w:hyperlink w:anchor="ref-17">
        <w:r>
          <w:rPr>
            <w:rStyle w:val="Hyperlink"/>
          </w:rPr>
          <w:t xml:space="preserve">[17]</w:t>
        </w:r>
      </w:hyperlink>
      <w:r>
        <w:t xml:space="preserve"> </w:t>
      </w:r>
      <w:r>
        <w:t xml:space="preserve">illustrates the parallel international-legal literature that conditions, but does not estimate, the regulatory throughput of national licensing regimes. Together, these commercial and policy contributions establish that a credible estimate of the effect of consolidated launch licensing would have direct implications for ongoing regulatory-design debates.</w:t>
      </w:r>
    </w:p>
    <w:bookmarkEnd w:id="72"/>
    <w:bookmarkStart w:id="73" w:name="X2d25255362d351cbfe47288dd4a478a6aac3a4e"/>
    <w:p>
      <w:pPr>
        <w:pStyle w:val="Heading3"/>
        <w:spacing w:line="480" w:lineRule="auto"/>
      </w:pPr>
      <w:r>
        <w:t xml:space="preserve">2.2.6 Congressional Oversight and the Agency-Capacity Literature</w:t>
      </w:r>
    </w:p>
    <w:p>
      <w:pPr>
        <w:pStyle w:val="FirstParagraph"/>
        <w:spacing w:line="480" w:lineRule="auto"/>
      </w:pPr>
      <w:r>
        <w:t xml:space="preserve">The most operationally relevant domain literature on Part 450 specifically is the Government Accountability Office’s sequence of oversight reports on FAA/AST commercial space licensing. GAO-23-106021 documents the early-transition concerns and recommends improvements to FAA oversight of the industry</w:t>
      </w:r>
      <w:r>
        <w:t xml:space="preserve"> </w:t>
      </w:r>
      <w:hyperlink w:anchor="ref-8">
        <w:r>
          <w:rPr>
            <w:rStyle w:val="Hyperlink"/>
          </w:rPr>
          <w:t xml:space="preserve">[8]</w:t>
        </w:r>
      </w:hyperlink>
      <w:r>
        <w:t xml:space="preserve">. GAO-24-106767 follows with a focused examination of the FAA commercial space launch and reentry licensing process, including workforce issues and the agency’s capacity to absorb the consolidated rule’s interpretive load</w:t>
      </w:r>
      <w:r>
        <w:t xml:space="preserve"> </w:t>
      </w:r>
      <w:hyperlink w:anchor="ref-9">
        <w:r>
          <w:rPr>
            <w:rStyle w:val="Hyperlink"/>
          </w:rPr>
          <w:t xml:space="preserve">[9]</w:t>
        </w:r>
      </w:hyperlink>
      <w:r>
        <w:t xml:space="preserve">. The GAO sequence is the principal source of the empirical claim that the rule lengthened durations and produced a backlog among new entrants, and it explicitly identifies workforce capacity as a confound that any future causal analysis must address.</w:t>
      </w:r>
    </w:p>
    <w:p>
      <w:pPr>
        <w:pStyle w:val="BodyText"/>
        <w:spacing w:line="480" w:lineRule="auto"/>
        <w:ind w:firstLine="720"/>
      </w:pPr>
      <w:r>
        <w:t xml:space="preserve">The GAO reports are oversight documents rather than econometric studies. They establish the qualitative pattern, they identify the workforce confound, and they document the agency’s response. They do not specify a counterfactual against which the rule’s effect is identified, and they do not produce a hazard ratio, a level shift, or a slope estimate. The dissertation’s contribution relative to the GAO sequence is to convert that qualitative pattern into a signed and bounded quantitative estimate with pre-registered robustness checks.</w:t>
      </w:r>
    </w:p>
    <w:p>
      <w:pPr>
        <w:pStyle w:val="BodyText"/>
        <w:spacing w:line="480" w:lineRule="auto"/>
        <w:ind w:firstLine="720"/>
      </w:pPr>
      <w:r>
        <w:t xml:space="preserve">The Federal Register publication of the final rule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w:t>
      </w:r>
      <w:r>
        <w:t xml:space="preserve">supplies the primary legal text and the effective date that anchor the structural-break window. The FAA/AST Annual Compendium of Commercial Space Transportation and Quarterly Launch Reports</w:t>
      </w:r>
      <w:r>
        <w:t xml:space="preserve"> </w:t>
      </w:r>
      <w:hyperlink w:anchor="ref-6">
        <w:r>
          <w:rPr>
            <w:rStyle w:val="Hyperlink"/>
          </w:rPr>
          <w:t xml:space="preserve">[6]</w:t>
        </w:r>
      </w:hyperlink>
      <w:r>
        <w:t xml:space="preserve"> </w:t>
      </w:r>
      <w:r>
        <w:t xml:space="preserve">supply the primary observation record for licensed launches. These two public sources together establish the data-availability conditions under which a credible causal analysis is possible.</w:t>
      </w:r>
    </w:p>
    <w:bookmarkEnd w:id="73"/>
    <w:bookmarkEnd w:id="74"/>
    <w:bookmarkStart w:id="80" w:name="X07fe73e594277fc276c6392b9242153367417e1"/>
    <w:p>
      <w:pPr>
        <w:pStyle w:val="Heading2"/>
        <w:spacing w:line="480" w:lineRule="auto"/>
      </w:pPr>
      <w:r>
        <w:t xml:space="preserve">2.3 The Cliometric and Econometric Methodology Literature</w:t>
      </w:r>
    </w:p>
    <w:bookmarkStart w:id="75" w:name="X858db31b32f4f5e84eeec36235942a039cb9200"/>
    <w:p>
      <w:pPr>
        <w:pStyle w:val="Heading3"/>
        <w:spacing w:line="480" w:lineRule="auto"/>
      </w:pPr>
      <w:r>
        <w:t xml:space="preserve">2.3.1 Interrupted Time Series and Structural Break Identification</w:t>
      </w:r>
    </w:p>
    <w:p>
      <w:pPr>
        <w:pStyle w:val="FirstParagraph"/>
        <w:spacing w:line="480" w:lineRule="auto"/>
      </w:pPr>
      <w:r>
        <w:t xml:space="preserve">The cliometric and econometric methodology literature relevant to the dissertation question is mature, well validated across policy domains, and unapplied to U.S. launch licensing. Its core instrument for evaluating a discrete rule change is the interrupted time series (ITS) design, which fits a pre-period linear (or higher-order) trend, a post-period level shift, and a post-period slope change, and tests the joint significance of the post-period coefficients. The design’s identifying assumptions, that the pre-period trend would have continued absent the intervention and that no concurrent shock affected the outcome at the same date, are testable through placebo break tests at false pre-period dates and through covariate adjustment for concurrent shocks. The design has been applied across public health, transportation safety, and financial regulation. Its application to a regulatory consolidation in commercial launch is, on the evidence of the present literature search, novel.</w:t>
      </w:r>
    </w:p>
    <w:p>
      <w:pPr>
        <w:pStyle w:val="BodyText"/>
        <w:spacing w:line="480" w:lineRule="auto"/>
        <w:ind w:firstLine="720"/>
      </w:pPr>
      <w:r>
        <w:t xml:space="preserve">The dissertation prospectus pre-registers an ITS specification with Newey-West standard errors to handle autocorrelation in the monthly cadence series. The methodological literature establishes that this is the appropriate inferential adjustment when the pre-period series is short relative to the typical correlation length and when the residuals exhibit serial dependence. The companion days-to-authorization series and authorization-reliability series each present distinct autocorrelation structures, and the prospectus’s commitment to Newey-West inference across all three outcomes is consistent with methodological best practice.</w:t>
      </w:r>
    </w:p>
    <w:p>
      <w:pPr>
        <w:pStyle w:val="BodyText"/>
        <w:spacing w:line="480" w:lineRule="auto"/>
        <w:ind w:firstLine="720"/>
      </w:pPr>
      <w:r>
        <w:t xml:space="preserve">A second methodological literature on structural break detection, including the supremum-Wald and CUSUM tests, supplies a complementary instrument: rather than imposing the rule’s effective date as the break point, these tests scan the series for the most likely break date and ask whether it coincides with the policy intervention. The prospectus does not pre-register a supremum-Wald test, but the regression-discontinuity-in-event-time robustness check at six-, nine-, and twelve-month bandwidths around the rule’s effective date functions as an analogous local-identification instrument. The methodology literature supports both approaches as credible when triangulated.</w:t>
      </w:r>
    </w:p>
    <w:bookmarkEnd w:id="75"/>
    <w:bookmarkStart w:id="76" w:name="X4820204cea0834510e068e5c8f44a0712d0e099"/>
    <w:p>
      <w:pPr>
        <w:pStyle w:val="Heading3"/>
        <w:spacing w:line="480" w:lineRule="auto"/>
      </w:pPr>
      <w:r>
        <w:t xml:space="preserve">2.3.2 Difference-in-Differences and Panel Fixed-Effects</w:t>
      </w:r>
    </w:p>
    <w:p>
      <w:pPr>
        <w:pStyle w:val="FirstParagraph"/>
        <w:spacing w:line="480" w:lineRule="auto"/>
      </w:pPr>
      <w:r>
        <w:t xml:space="preserve">The second methodological pillar relevant to the dissertation is difference-in-differences (DiD), augmented in this case by panel fixed-effects. The DiD design exploits within-unit variation in treatment status across time, using untreated units in the same period as the comparison series. The identifying assumption is parallel pre-treatment trends between treated and control units, which is testable in the pre-period.</w:t>
      </w:r>
    </w:p>
    <w:p>
      <w:pPr>
        <w:pStyle w:val="BodyText"/>
        <w:spacing w:line="480" w:lineRule="auto"/>
        <w:ind w:firstLine="720"/>
      </w:pPr>
      <w:r>
        <w:t xml:space="preserve">In the launch-licensing application, the natural treatment-control distinction is between operations conducted under Part 450 and those still operating under legacy licenses during the bridge window. This within-firm and within-vehicle-family control is exploited in the companion paper’s pooled ordinary least squares specification with heteroskedasticity-robust standard errors. The methodology literature has converged on a set of refinements relevant to the present application, including operator and vehicle-family fixed effects, clustered standard errors at the operator level, and explicit treatment of the bridge-window dual-regime contamination through a bridge indicator. The companion paper’s specification adopts the bridge-indicator treatment and reports a positive and statistically significant post-Part 450 coefficient of approximately 12.79 additional licensed launches per operator-year, partialling out the Starlink large-constellation surge and operator tenure, with an R-squared of 0.630 and a joint F-test rejecting the null at the one-percent level. The methodology literature establishes that this specification is identified under the parallel-trends and no-concurrent-shock assumptions, and that the bridge-indicator and constellation-indicator absorb the principal concurrent shocks.</w:t>
      </w:r>
    </w:p>
    <w:p>
      <w:pPr>
        <w:pStyle w:val="BodyText"/>
        <w:spacing w:line="480" w:lineRule="auto"/>
        <w:ind w:firstLine="720"/>
      </w:pPr>
      <w:r>
        <w:t xml:space="preserve">The recent panel-DiD literature has emphasized the bias that staggered treatment timing introduces in two-way fixed-effects specifications and has proposed estimators that are robust to that bias. In the present application, staggered timing is less of a concern than in the canonical examples because the rule’s effective date applies uniformly across all operators on the same calendar date. The within-operator timing variation arises only through the dual-regime bridge window, which the prospectus and the companion paper both absorb with an indicator. The methodology literature therefore supports the simpler two-way specification with a bridge term in this case, while flagging the leave-one-operator-out robustness check as the appropriate dynamic-selection diagnostic, which the prospectus pre-registers.</w:t>
      </w:r>
    </w:p>
    <w:bookmarkEnd w:id="76"/>
    <w:bookmarkStart w:id="77" w:name="X8774e1cf2428ea34bb8e7c0cc0975dfe1724dbb"/>
    <w:p>
      <w:pPr>
        <w:pStyle w:val="Heading3"/>
        <w:spacing w:line="480" w:lineRule="auto"/>
      </w:pPr>
      <w:r>
        <w:t xml:space="preserve">2.3.3 Survival Analysis and the Cox Proportional-Hazards Model</w:t>
      </w:r>
    </w:p>
    <w:p>
      <w:pPr>
        <w:pStyle w:val="FirstParagraph"/>
        <w:spacing w:line="480" w:lineRule="auto"/>
      </w:pPr>
      <w:r>
        <w:t xml:space="preserve">The third methodological pillar is survival analysis, applied to the days-to-authorization outcome. The outcome is the elapsed time from FAA receipt of a complete application to license action, with right-censoring for applications still pending at the most recent observation cutoff. The methodology literature treats this as a classical survival problem in which the hazard of approval at each elapsed-time point is modeled as a function of covariates.</w:t>
      </w:r>
    </w:p>
    <w:p>
      <w:pPr>
        <w:pStyle w:val="BodyText"/>
        <w:spacing w:line="480" w:lineRule="auto"/>
        <w:ind w:firstLine="720"/>
      </w:pPr>
      <w:r>
        <w:t xml:space="preserve">The Cox proportional-hazards model is the standard semi-parametric instrument for this problem, fitting a partial-likelihood specification in which the baseline hazard is left unspecified and the covariate effects are recovered as log hazard ratios. The Cox specification is appropriate when the baseline hazard is plainly non-constant across the window and when a parametric hazard would force a shape on the underlying queue dynamics that the data do not support. This is the case for FAA/AST adjudication, where queue dynamics across the transition window are visibly non-stationary in the GAO oversight reports</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companion paper’s Cox specification, fit on thirty applications between 2013 and 2025 with twenty-eight observed events and two right-censored cases, reports a Part 450 indicator coefficient of -3.569 with a standard error of 0.833 and a p-value below 0.001, implying a hazard ratio of approximately 0.028. The magnitude is large, and the methodology literature on rare and decisive regulatory hazard reductions provides a frame in which such estimates can be interpreted without dismissing them as artifacts.</w:t>
      </w:r>
    </w:p>
    <w:p>
      <w:pPr>
        <w:pStyle w:val="BodyText"/>
        <w:spacing w:line="480" w:lineRule="auto"/>
        <w:ind w:firstLine="720"/>
      </w:pPr>
      <w:r>
        <w:t xml:space="preserve">The methodological literature on small-sample Cox inference flags two diagnostics that the present analysis acknowledges. The Schoenfeld residual test for the proportional-hazards assumption requires a larger sample to be reliable, and the stratified Cox specification by vehicle class is a sensible robustness check at larger N. The prospectus’s commitment to expand the application register as docket harmonization permits is the methodologically appropriate response. The current finding is therefore best understood as a credible early-data estimate that the dissertation will refine.</w:t>
      </w:r>
    </w:p>
    <w:bookmarkEnd w:id="77"/>
    <w:bookmarkStart w:id="78" w:name="Xd45a8b12234cadf71b5e026f905e514f459d49f"/>
    <w:p>
      <w:pPr>
        <w:pStyle w:val="Heading3"/>
        <w:spacing w:line="480" w:lineRule="auto"/>
      </w:pPr>
      <w:r>
        <w:t xml:space="preserve">2.3.4 Synthetic Control and the Counterfactual Construction Literature</w:t>
      </w:r>
    </w:p>
    <w:p>
      <w:pPr>
        <w:pStyle w:val="FirstParagraph"/>
        <w:spacing w:line="480" w:lineRule="auto"/>
      </w:pPr>
      <w:r>
        <w:t xml:space="preserve">A fourth methodological pillar relevant to the prospectus’s robustness program is synthetic control. The synthetic-control method constructs a weighted combination of donor units that resembles the treated unit in the pre-period and uses the synthetic series as the counterfactual for the post-period. The methodology literature has developed the method primarily for single-treated-unit applications in policy evaluation, including regional macroeconomic shocks and state-level policy changes.</w:t>
      </w:r>
    </w:p>
    <w:p>
      <w:pPr>
        <w:pStyle w:val="BodyText"/>
        <w:spacing w:line="480" w:lineRule="auto"/>
        <w:ind w:firstLine="720"/>
      </w:pPr>
      <w:r>
        <w:t xml:space="preserve">In the launch-licensing application, the donor pool consists of international launch operators not subject to Part 450. The Acta Astronautica spaceport-jurisdictional context</w:t>
      </w:r>
      <w:r>
        <w:t xml:space="preserve"> </w:t>
      </w:r>
      <w:hyperlink w:anchor="ref-4">
        <w:r>
          <w:rPr>
            <w:rStyle w:val="Hyperlink"/>
          </w:rPr>
          <w:t xml:space="preserve">[4]</w:t>
        </w:r>
      </w:hyperlink>
      <w:r>
        <w:t xml:space="preserve">,</w:t>
      </w:r>
      <w:r>
        <w:t xml:space="preserve"> </w:t>
      </w:r>
      <w:hyperlink w:anchor="ref-21">
        <w:r>
          <w:rPr>
            <w:rStyle w:val="Hyperlink"/>
          </w:rPr>
          <w:t xml:space="preserve">[21]</w:t>
        </w:r>
      </w:hyperlink>
      <w:r>
        <w:t xml:space="preserve"> </w:t>
      </w:r>
      <w:r>
        <w:t xml:space="preserve">supplies the comparative frame for selecting the donor pool, and the operator-year cadence series for the donor units are obtainable from the same public sources that catalogue the U.S. operators. The methodology literature supports synthetic control as a robustness check for the ITS and DiD estimates and supports the use of a donor pool drawn from a jurisdictional comparator literature. The prospectus pre-registers this construction, and the published literature has not previously executed it for U.S. launch licensing.</w:t>
      </w:r>
    </w:p>
    <w:bookmarkEnd w:id="78"/>
    <w:bookmarkStart w:id="79" w:name="X8993970e13fb2f35ed9ed9e825faa99e0d55a65"/>
    <w:p>
      <w:pPr>
        <w:pStyle w:val="Heading3"/>
        <w:spacing w:line="480" w:lineRule="auto"/>
      </w:pPr>
      <w:r>
        <w:t xml:space="preserve">2.3.5 Newey-West Inference, Clustered Standard Errors, and the Inference Layer</w:t>
      </w:r>
    </w:p>
    <w:p>
      <w:pPr>
        <w:pStyle w:val="FirstParagraph"/>
        <w:spacing w:line="480" w:lineRule="auto"/>
      </w:pPr>
      <w:r>
        <w:t xml:space="preserve">Across the four pillars above, the methodology literature has converged on a set of inferential adjustments that the prospectus and the companion papers adopt. Newey-West standard errors absorb autocorrelation in time-series specifications. Heteroskedasticity-robust (HC1) standard errors absorb cross-operator dispersion in the panel specification. Cluster-robust standard errors at the operator level are the appropriate refinement when the analytic sample is expanded. The placebo break tests at false transition dates in the pre-period supply the parallel-trends diagnostic.</w:t>
      </w:r>
    </w:p>
    <w:p>
      <w:pPr>
        <w:pStyle w:val="BodyText"/>
        <w:spacing w:line="480" w:lineRule="auto"/>
        <w:ind w:firstLine="720"/>
      </w:pPr>
      <w:r>
        <w:t xml:space="preserve">The methodology literature therefore supplies a complete inferential apparatus for the dissertation’s three outcomes. The apparatus has been demonstrated in dozens of policy-evaluation applications. It has not been applied to U.S. launch licensing.</w:t>
      </w:r>
    </w:p>
    <w:bookmarkEnd w:id="79"/>
    <w:bookmarkEnd w:id="80"/>
    <w:bookmarkStart w:id="81" w:name="X90e80a16837359f817875bf18bcdb18c5c6ec36"/>
    <w:p>
      <w:pPr>
        <w:pStyle w:val="Heading2"/>
        <w:spacing w:line="480" w:lineRule="auto"/>
      </w:pPr>
      <w:r>
        <w:t xml:space="preserve">2.4 Synthesis and the Identification of the Gap</w:t>
      </w:r>
    </w:p>
    <w:p>
      <w:pPr>
        <w:pStyle w:val="FirstParagraph"/>
        <w:spacing w:line="480" w:lineRule="auto"/>
      </w:pPr>
      <w:r>
        <w:t xml:space="preserve">The two literatures reviewed above are mutually relevant and unjoined. The domain literature has identified Part 450 as a binding institutional variable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has documented qualitative transition friction through congressional oversight</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and has located the consolidated rule as the regulatory layer above the cadence-modeling, STM, and spaceport literatures</w:t>
      </w:r>
      <w:r>
        <w:t xml:space="preserve"> </w:t>
      </w:r>
      <w:hyperlink w:anchor="ref-3">
        <w:r>
          <w:rPr>
            <w:rStyle w:val="Hyperlink"/>
          </w:rPr>
          <w:t xml:space="preserve">[3]</w:t>
        </w:r>
      </w:hyperlink>
      <w:r>
        <w:t xml:space="preserve">,</w:t>
      </w:r>
      <w:r>
        <w:t xml:space="preserve"> </w:t>
      </w:r>
      <w:hyperlink w:anchor="ref-11">
        <w:r>
          <w:rPr>
            <w:rStyle w:val="Hyperlink"/>
          </w:rPr>
          <w:t xml:space="preserve">[11]</w:t>
        </w:r>
      </w:hyperlink>
      <w:r>
        <w:t xml:space="preserve">,</w:t>
      </w:r>
      <w:r>
        <w:t xml:space="preserve"> </w:t>
      </w:r>
      <w:hyperlink w:anchor="ref-15">
        <w:r>
          <w:rPr>
            <w:rStyle w:val="Hyperlink"/>
          </w:rPr>
          <w:t xml:space="preserve">[15]</w:t>
        </w:r>
      </w:hyperlink>
      <w:r>
        <w:t xml:space="preserve">,</w:t>
      </w:r>
      <w:r>
        <w:t xml:space="preserve"> </w:t>
      </w:r>
      <w:hyperlink w:anchor="ref-20">
        <w:r>
          <w:rPr>
            <w:rStyle w:val="Hyperlink"/>
          </w:rPr>
          <w:t xml:space="preserve">[20]</w:t>
        </w:r>
      </w:hyperlink>
      <w:r>
        <w:t xml:space="preserve">. It has not produced a causal estimate of the rule’s effect. The methodology literature has produced a mature set of instruments, including ITS, DiD with panel fixed-effects, Cox proportional-hazards survival analysis, and synthetic control, capable of converting the FAA/AST public record into a falsifiable causal estimate. It has not been applied to U.S. launch licensing.</w:t>
      </w:r>
    </w:p>
    <w:p>
      <w:pPr>
        <w:pStyle w:val="BodyText"/>
        <w:spacing w:line="480" w:lineRule="auto"/>
        <w:ind w:firstLine="720"/>
      </w:pPr>
      <w:r>
        <w:t xml:space="preserve">Three specific features of the gap are worth stating precisely. First, no published source produces, or attempts, an interrupted time series, regression discontinuity, or difference-in-differences estimate of the Part 450 transition. The first-paper companion analysis is the first panel fixed-effects estimate of the cadence outcome, and the second-paper companion analysis is the first Cox proportional-hazards estimate of the days-to-authorization outcome. The dissertation’s contribution is to join these into a single pre-registered three-outcome program with the authorization-reliability outcome added.</w:t>
      </w:r>
    </w:p>
    <w:p>
      <w:pPr>
        <w:pStyle w:val="BodyText"/>
        <w:spacing w:line="480" w:lineRule="auto"/>
        <w:ind w:firstLine="720"/>
      </w:pPr>
      <w:r>
        <w:t xml:space="preserve">Second, no published source has constructed a credible counterfactual for the U.S. launch-licensing throughput in the absence of consolidation. The STM and cadence literatures take licensing as a stationary backdrop</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16">
        <w:r>
          <w:rPr>
            <w:rStyle w:val="Hyperlink"/>
          </w:rPr>
          <w:t xml:space="preserve">[16]</w:t>
        </w:r>
      </w:hyperlink>
      <w:r>
        <w:t xml:space="preserve">,</w:t>
      </w:r>
      <w:r>
        <w:t xml:space="preserve"> </w:t>
      </w:r>
      <w:hyperlink w:anchor="ref-20">
        <w:r>
          <w:rPr>
            <w:rStyle w:val="Hyperlink"/>
          </w:rPr>
          <w:t xml:space="preserve">[20]</w:t>
        </w:r>
      </w:hyperlink>
      <w:r>
        <w:t xml:space="preserve">. The GAO oversight literature compares the post-period to qualitative expectations rather than to an econometric counterfactual</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spaceport-jurisdictional literature implicitly supplies a comparator population</w:t>
      </w:r>
      <w:r>
        <w:t xml:space="preserve"> </w:t>
      </w:r>
      <w:hyperlink w:anchor="ref-4">
        <w:r>
          <w:rPr>
            <w:rStyle w:val="Hyperlink"/>
          </w:rPr>
          <w:t xml:space="preserve">[4]</w:t>
        </w:r>
      </w:hyperlink>
      <w:r>
        <w:t xml:space="preserve">,</w:t>
      </w:r>
      <w:r>
        <w:t xml:space="preserve"> </w:t>
      </w:r>
      <w:hyperlink w:anchor="ref-21">
        <w:r>
          <w:rPr>
            <w:rStyle w:val="Hyperlink"/>
          </w:rPr>
          <w:t xml:space="preserve">[21]</w:t>
        </w:r>
      </w:hyperlink>
      <w:r>
        <w:t xml:space="preserve"> </w:t>
      </w:r>
      <w:r>
        <w:t xml:space="preserve">but does not exploit it. The dissertation’s synthetic-control construction operationalizes the implicit comparator.</w:t>
      </w:r>
    </w:p>
    <w:p>
      <w:pPr>
        <w:pStyle w:val="BodyText"/>
        <w:spacing w:line="480" w:lineRule="auto"/>
        <w:ind w:firstLine="720"/>
      </w:pPr>
      <w:r>
        <w:t xml:space="preserve">Third, no published source has separated the regulatory effect of consolidation from the concurrent demand shock associated with large-constellation deployment. The cadence-forecasting literature</w:t>
      </w:r>
      <w:r>
        <w:t xml:space="preserve"> </w:t>
      </w:r>
      <w:hyperlink w:anchor="ref-20">
        <w:r>
          <w:rPr>
            <w:rStyle w:val="Hyperlink"/>
          </w:rPr>
          <w:t xml:space="preserve">[20]</w:t>
        </w:r>
      </w:hyperlink>
      <w:r>
        <w:t xml:space="preserve"> </w:t>
      </w:r>
      <w:r>
        <w:t xml:space="preserve">treats large-constellation deployment as a primary driver of cadence and includes it on the demand side, but does not partial out a regulatory term. The companion paper’s specification identifies a large-constellation coefficient of 53.55 with a p-value of 0.001, an order of magnitude larger than the regulatory coefficient, but a positive and statistically significant Part 450 coefficient of 12.79 survives in the same specification. This separation is the empirical condition under which the rule’s effect can be discussed without confounding it with the constellation surge, and the published literature has not previously achieved it.</w:t>
      </w:r>
    </w:p>
    <w:p>
      <w:pPr>
        <w:pStyle w:val="BodyText"/>
        <w:spacing w:line="480" w:lineRule="auto"/>
        <w:ind w:firstLine="720"/>
      </w:pPr>
      <w:r>
        <w:t xml:space="preserve">The chapter’s synthesizing claim is therefore that the gap is not in either literature alone but in the join between them. The domain literature has correctly identified the regulatory layer and has correctly identified Part 450 as the binding instrument. The methodology literature has correctly characterized the inferential apparatus required to estimate its effect. The dissertation joins them.</w:t>
      </w:r>
    </w:p>
    <w:bookmarkEnd w:id="81"/>
    <w:bookmarkStart w:id="82" w:name="implications-for-the-empirical-design"/>
    <w:p>
      <w:pPr>
        <w:pStyle w:val="Heading2"/>
        <w:spacing w:line="480" w:lineRule="auto"/>
      </w:pPr>
      <w:r>
        <w:t xml:space="preserve">2.5 Implications for the Empirical Design</w:t>
      </w:r>
    </w:p>
    <w:p>
      <w:pPr>
        <w:pStyle w:val="FirstParagraph"/>
        <w:spacing w:line="480" w:lineRule="auto"/>
      </w:pPr>
      <w:r>
        <w:t xml:space="preserve">Three implications for the empirical design follow from the literature review. The first is that the three pre-registered outcomes, cadence, days-to-authorization, and authorization reliability, are jointly sufficient to discipline the policy interpretation of the rule’s effect, because each outcome maps to a distinct stream in the domain literature. Cadence speaks to the STM and traffic-forecasting streams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20">
        <w:r>
          <w:rPr>
            <w:rStyle w:val="Hyperlink"/>
          </w:rPr>
          <w:t xml:space="preserve">[20]</w:t>
        </w:r>
      </w:hyperlink>
      <w:r>
        <w:t xml:space="preserve">. Days-to-authorization speaks to the GAO oversight stream and the agency-capacity confound</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Authorization reliability speaks to the whole-of-nation reform stream and to the question whether consolidation produces a more or less predictable adjudication process</w:t>
      </w:r>
      <w:r>
        <w:t xml:space="preserve"> </w:t>
      </w:r>
      <w:hyperlink w:anchor="ref-3">
        <w:r>
          <w:rPr>
            <w:rStyle w:val="Hyperlink"/>
          </w:rPr>
          <w:t xml:space="preserve">[3]</w:t>
        </w:r>
      </w:hyperlink>
      <w:r>
        <w:t xml:space="preserve">. A single-outcome analysis would underdetermine the policy question; the three-outcome program does not.</w:t>
      </w:r>
    </w:p>
    <w:p>
      <w:pPr>
        <w:pStyle w:val="BodyText"/>
        <w:spacing w:line="480" w:lineRule="auto"/>
        <w:ind w:firstLine="720"/>
      </w:pPr>
      <w:r>
        <w:t xml:space="preserve">The second implication is that the counterfactual construction must be plural. The domain literature supplies a within-jurisdiction comparator through the bridge-window dual-regime operations and a between-jurisdiction comparator through the international donor pool</w:t>
      </w:r>
      <w:r>
        <w:t xml:space="preserve"> </w:t>
      </w:r>
      <w:hyperlink w:anchor="ref-4">
        <w:r>
          <w:rPr>
            <w:rStyle w:val="Hyperlink"/>
          </w:rPr>
          <w:t xml:space="preserve">[4]</w:t>
        </w:r>
      </w:hyperlink>
      <w:r>
        <w:t xml:space="preserve">,</w:t>
      </w:r>
      <w:r>
        <w:t xml:space="preserve"> </w:t>
      </w:r>
      <w:hyperlink w:anchor="ref-21">
        <w:r>
          <w:rPr>
            <w:rStyle w:val="Hyperlink"/>
          </w:rPr>
          <w:t xml:space="preserve">[21]</w:t>
        </w:r>
      </w:hyperlink>
      <w:r>
        <w:t xml:space="preserve">. The methodology literature supports both as identification strategies and supports the use of each as a robustness check on the other. The prospectus’s commitment to ITS, DiD, regression discontinuity in event time, synthetic control, and leave-one-operator-out estimation is consistent with this plural-counterfactual posture.</w:t>
      </w:r>
    </w:p>
    <w:p>
      <w:pPr>
        <w:pStyle w:val="BodyText"/>
        <w:spacing w:line="480" w:lineRule="auto"/>
        <w:ind w:firstLine="720"/>
      </w:pPr>
      <w:r>
        <w:t xml:space="preserve">The third implication is that the agency-capacity confound is identifiable. The GAO oversight reports</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w:t>
      </w:r>
      <w:r>
        <w:t xml:space="preserve">document the workforce issue as a concurrent change, and the FAA’s public budget justifications supply a staffing covariate. The methodology literature supports inclusion of the staffing covariate as a sensitivity check rather than as a primary control, since staffing is itself partly endogenous to the rule. The prospectus’s pre-registered sensitivity specification is consistent with the methodological consensus.</w:t>
      </w:r>
    </w:p>
    <w:bookmarkEnd w:id="82"/>
    <w:bookmarkStart w:id="83" w:name="summary"/>
    <w:p>
      <w:pPr>
        <w:pStyle w:val="Heading2"/>
        <w:spacing w:line="480" w:lineRule="auto"/>
      </w:pPr>
      <w:r>
        <w:t xml:space="preserve">2.6 Summary</w:t>
      </w:r>
    </w:p>
    <w:p>
      <w:pPr>
        <w:pStyle w:val="FirstParagraph"/>
        <w:spacing w:line="480" w:lineRule="auto"/>
      </w:pPr>
      <w:r>
        <w:t xml:space="preserve">The domain literature establishes that Part 450 is the binding U.S. instrument for commercial launch authorization, that the consolidated rule conditions downstream STM and orbital-traffic outcomes, that congressional oversight has flagged qualitative transition friction, and that the whole-of-nation policy literature has called for further consolidation under a single federal authorizing agency. None of these contributions estimates the rule’s effect. The methodology literature establishes that interrupted time series, difference-in-differences with panel fixed-effects, Cox proportional-hazards survival analysis, and synthetic control collectively supply a sufficient inferential apparatus for converting the FAA/AST public record into a credible causal estimate. None of these instruments has been applied to U.S. launch licensing.</w:t>
      </w:r>
    </w:p>
    <w:p>
      <w:pPr>
        <w:pStyle w:val="BodyText"/>
        <w:spacing w:line="480" w:lineRule="auto"/>
        <w:ind w:firstLine="720"/>
      </w:pPr>
      <w:r>
        <w:t xml:space="preserve">The gap that the dissertation occupies lies precisely in the join. Chapter 3 specifies the data sources and the construction of the analytic panel. Chapter 4 specifies the identification strategy and the pre-registered estimation equations. The literature reviewed in this chapter establishes that the join is overdue, that the apparatus is mature, and that the public record is sufficient.</w:t>
      </w:r>
    </w:p>
    <w:bookmarkEnd w:id="83"/>
    <w:bookmarkEnd w:id="84"/>
    <w:bookmarkStart w:id="105" w:name="Xcfcc00a3ded59aed0c781c16bfc121f2a509603"/>
    <w:p>
      <w:pPr>
        <w:pStyle w:val="Heading1"/>
        <w:spacing w:line="480" w:lineRule="auto"/>
      </w:pPr>
      <w:r>
        <w:t xml:space="preserve">Chapter 3. Theoretical Framework and Hypotheses</w:t>
      </w:r>
    </w:p>
    <w:bookmarkStart w:id="85" w:name="purpose-and-position-of-the-chapter"/>
    <w:p>
      <w:pPr>
        <w:pStyle w:val="Heading2"/>
        <w:spacing w:line="480" w:lineRule="auto"/>
      </w:pPr>
      <w:r>
        <w:t xml:space="preserve">3.1 Purpose and Position of the Chapter</w:t>
      </w:r>
    </w:p>
    <w:p>
      <w:pPr>
        <w:pStyle w:val="FirstParagraph"/>
        <w:spacing w:line="480" w:lineRule="auto"/>
      </w:pPr>
      <w:r>
        <w:t xml:space="preserve">The two prior chapters established the empirical setting and the gap in the published literature. The Federal Aviation Administration’s Office of Commercial Space Transportation (FAA/AST) consolidated four legacy licensing parts of 14 CFR into a single performance-based regime codified at 14 CFR Part 450, published as a final rule on 10 December 2020 and effective on 15 March 2021</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Five calendar years on, the question of whether the consolidation produced a measurable structural break in the licensing throughput of the U.S. commercial launch sector remains, in the peer-reviewed record, unanswered. Industry-facing commentary at the Advanced Maui Optical and Space Surveillance Technologies conference treats Part 450 as the binding institutional constraint on the cadence of objects entering trackable orbits but does not estimate the within-jurisdiction effect of the rule on operator behaviour</w:t>
      </w:r>
      <w:r>
        <w:t xml:space="preserve"> </w:t>
      </w:r>
      <w:hyperlink w:anchor="ref-1">
        <w:r>
          <w:rPr>
            <w:rStyle w:val="Hyperlink"/>
          </w:rPr>
          <w:t xml:space="preserve">[1]</w:t>
        </w:r>
      </w:hyperlink>
      <w:r>
        <w:t xml:space="preserve">,</w:t>
      </w:r>
      <w:r>
        <w:t xml:space="preserve"> </w:t>
      </w:r>
      <w:hyperlink w:anchor="ref-10">
        <w:r>
          <w:rPr>
            <w:rStyle w:val="Hyperlink"/>
          </w:rPr>
          <w:t xml:space="preserve">[10]</w:t>
        </w:r>
      </w:hyperlink>
      <w:r>
        <w:t xml:space="preserve">. The whole-of-nation policy literature advances a normative recommendation that the United States reform its space regulatory structure and designate a single federal authorizing agency, yet does not adjudicate whether the consolidation already enacted has performed as predicted by the consolidation prior</w:t>
      </w:r>
      <w:r>
        <w:t xml:space="preserve"> </w:t>
      </w:r>
      <w:hyperlink w:anchor="ref-3">
        <w:r>
          <w:rPr>
            <w:rStyle w:val="Hyperlink"/>
          </w:rPr>
          <w:t xml:space="preserve">[3]</w:t>
        </w:r>
      </w:hyperlink>
      <w:r>
        <w:t xml:space="preserve">. Government Accountability Office work on FAA oversight and on commercial launch and reentry licensing workforce issues documents transition friction and adjudication-capacity stress but does not produce a credible counterfactual estimate of the rule’s effect on cadence, time to authorization, or authorization reliability</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p>
    <w:p>
      <w:pPr>
        <w:pStyle w:val="BodyText"/>
        <w:spacing w:line="480" w:lineRule="auto"/>
        <w:ind w:firstLine="720"/>
      </w:pPr>
      <w:r>
        <w:t xml:space="preserve">This chapter supplies the theoretical apparatus that the dissertation requires in order to convert the policy question into a falsifiable empirical claim. It is organized around three tasks. First, it states the theoretical framework, drawing the necessary primitives from the regulatory-economics, space-traffic-management, and space-economy literatures that the prospectus identified as the three streams touching the question without answering it. Second, it builds the causal logic that links the consolidation event to each of the three pre-registered outcomes, identifying the channels through which a rule change of the form codified in Part 450 is theorised to produce a structural break, and identifying the channels through which the same rule change could plausibly produce a null or negative effect. Third, it formalises the null hypothesis H0 and the alternative hypothesis H1 in a manner consistent with the estimands fitted in the companion research papers reported elsewhere in the dissertation, and registers the conditions under which the test rejects.</w:t>
      </w:r>
    </w:p>
    <w:bookmarkEnd w:id="85"/>
    <w:bookmarkStart w:id="92" w:name="theoretical-framework"/>
    <w:p>
      <w:pPr>
        <w:pStyle w:val="Heading2"/>
        <w:spacing w:line="480" w:lineRule="auto"/>
      </w:pPr>
      <w:r>
        <w:t xml:space="preserve">3.2 Theoretical Framework</w:t>
      </w:r>
    </w:p>
    <w:bookmarkStart w:id="86" w:name="Xd327e320f1e196583c338387dd3077afe5387cb"/>
    <w:p>
      <w:pPr>
        <w:pStyle w:val="Heading3"/>
        <w:spacing w:line="480" w:lineRule="auto"/>
      </w:pPr>
      <w:r>
        <w:t xml:space="preserve">3.2.1 Regulation as a Tax on Authorization Throughput</w:t>
      </w:r>
    </w:p>
    <w:p>
      <w:pPr>
        <w:pStyle w:val="FirstParagraph"/>
        <w:spacing w:line="480" w:lineRule="auto"/>
      </w:pPr>
      <w:r>
        <w:t xml:space="preserve">The theoretical primitive used throughout the dissertation is that a licensing regime imposes a fixed cost and a variable cost on the act of authorization. The fixed cost is the regime-level investment that an operator must make in order to become eligible to apply at all, comprising means-of-compliance documentation, organisational designations, and the standing apparatus for safety review. The variable cost is the per-application adjudication cost that the agency and the operator together incur for each launch or reentry that the operator seeks to conduct under the regime. A consolidation reform of the form represented by Part 450 is a deliberate intervention in the structure of these two costs: by collapsing four parts into one, the rule raises the fixed cost of entering the regime, since the performance-based standard demands a richer one-time submission, and it lowers the variable cost of subsequent authorizations, since a single license can cover multiple vehicle configurations and trajectories without renegotiation</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p>
    <w:p>
      <w:pPr>
        <w:pStyle w:val="BodyText"/>
        <w:spacing w:line="480" w:lineRule="auto"/>
        <w:ind w:firstLine="720"/>
      </w:pPr>
      <w:r>
        <w:t xml:space="preserve">The dissertation treats this fixed-variable trade-off as the central theoretical mechanism. Cadence, time to authorization, and authorization reliability are the three observable outcomes through which the trade-off is revealed in the licensing record. Cadence rises when the marginal cost of authorizing the next launch under a held license falls relative to the legacy alternative. Time to authorization falls when the variable cost falls or when the fixed-cost investment is amortised across more applications. Authorization reliability, measured as the share of accepted applications that proceed to issuance without a public sufficiency or completeness extension, rises when the performance-based standard reduces the iteration cycle on means-of-compliance documents and falls when it raises that iteration cycle.</w:t>
      </w:r>
    </w:p>
    <w:bookmarkEnd w:id="86"/>
    <w:bookmarkStart w:id="87" w:name="Xcc072750b0d1d80499dcab96fe6c8889eeff962"/>
    <w:p>
      <w:pPr>
        <w:pStyle w:val="Heading3"/>
        <w:spacing w:line="480" w:lineRule="auto"/>
      </w:pPr>
      <w:r>
        <w:t xml:space="preserve">3.2.2 Performance-Based Versus Prescriptive Regulation</w:t>
      </w:r>
    </w:p>
    <w:p>
      <w:pPr>
        <w:pStyle w:val="FirstParagraph"/>
        <w:spacing w:line="480" w:lineRule="auto"/>
      </w:pPr>
      <w:r>
        <w:t xml:space="preserve">A second primitive is the distinction between prescriptive and performance-based regulation. The legacy regime under parts 415, 417, 431, and 435 was largely prescriptive: each authorization category specified the means by which compliance was to be demonstrated, with the consequence that an operator who matched the template moved quickly through review while an operator whose vehicle architecture did not match the template faced repeated waiver and exception negotiations. Part 450 reorients the review around the performance the operator must demonstrate rather than the means by which that demonstration is constructed</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The theoretical prediction from the regulatory-economics literature is that this reorientation should reduce the variance of authorization outcomes across heterogeneous vehicle architectures and should reduce the level of the per-application adjudication cost for operators whose architectures previously fell outside the legacy templates.</w:t>
      </w:r>
    </w:p>
    <w:p>
      <w:pPr>
        <w:pStyle w:val="BodyText"/>
        <w:spacing w:line="480" w:lineRule="auto"/>
        <w:ind w:firstLine="720"/>
      </w:pPr>
      <w:r>
        <w:t xml:space="preserve">The reorientation is not without theoretical hazard. Performance-based regulation transfers interpretive burden from the rule to the adjudicator. When the agency’s adjudication capacity is fixed in the short run, a transfer of interpretive burden onto the case-by-case review of means-of-compliance submissions can raise variable cost rather than lower it. The competing prior in this dissertation therefore reads: consolidation lowers the variable cost only conditional on adequate adjudication-capacity expansion at the agency. The Government Accountability Office’s identification of workforce stress at FAA/AST in the early Part 450 implementation period is the empirical anchor for this competing prior</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p>
    <w:bookmarkEnd w:id="87"/>
    <w:bookmarkStart w:id="88" w:name="launch-cadence-as-an-exogenous-flux-term"/>
    <w:p>
      <w:pPr>
        <w:pStyle w:val="Heading3"/>
        <w:spacing w:line="480" w:lineRule="auto"/>
      </w:pPr>
      <w:r>
        <w:t xml:space="preserve">3.2.3 Launch Cadence as an Exogenous Flux Term</w:t>
      </w:r>
    </w:p>
    <w:p>
      <w:pPr>
        <w:pStyle w:val="FirstParagraph"/>
        <w:spacing w:line="480" w:lineRule="auto"/>
      </w:pPr>
      <w:r>
        <w:t xml:space="preserve">A third primitive comes from the space-traffic-management literature. Reilly and colleagues frame commercial launch cadence as the exogenous flux term that sets the rate at which resident space objects enter the trackable orbital regime, and identify FAA/AST jurisdiction under Part 450 as the binding U.S. constraint on that flux</w:t>
      </w:r>
      <w:r>
        <w:t xml:space="preserve"> </w:t>
      </w:r>
      <w:hyperlink w:anchor="ref-1">
        <w:r>
          <w:rPr>
            <w:rStyle w:val="Hyperlink"/>
          </w:rPr>
          <w:t xml:space="preserve">[1]</w:t>
        </w:r>
      </w:hyperlink>
      <w:r>
        <w:t xml:space="preserve">,</w:t>
      </w:r>
      <w:r>
        <w:t xml:space="preserve"> </w:t>
      </w:r>
      <w:hyperlink w:anchor="ref-10">
        <w:r>
          <w:rPr>
            <w:rStyle w:val="Hyperlink"/>
          </w:rPr>
          <w:t xml:space="preserve">[10]</w:t>
        </w:r>
      </w:hyperlink>
      <w:r>
        <w:t xml:space="preserve">. The contribution of the dissertation to this literature is to convert the qualitative footnote on Part 450 into a calibrated regulatory term. The framework treats the realised post-period cadence as the sum of three components: a demand component driven by commercial market conditions and the deployment of large low-earth-orbit constellations, an operator-experience component driven by accumulated authorization tenure, and a regulatory component identified by the structural break in the licensing record at the rule’s effective date. The empirical strategy partitions these components by including operator tenure and a constellation-deployment indicator alongside the post-period indicator. The forecasting literature on launch traffic provides external validation: Retagne and Colombo’s gross-domestic-product-conditioned launch traffic forecast establishes that demand-side drivers explain a substantial share of the variance in launch counts, and any credible regulatory estimate must therefore condition on demand</w:t>
      </w:r>
      <w:r>
        <w:t xml:space="preserve"> </w:t>
      </w:r>
      <w:hyperlink w:anchor="ref-20">
        <w:r>
          <w:rPr>
            <w:rStyle w:val="Hyperlink"/>
          </w:rPr>
          <w:t xml:space="preserve">[20]</w:t>
        </w:r>
      </w:hyperlink>
      <w:r>
        <w:t xml:space="preserve">. The constellation deployment indicator is the empirical instrument for that conditioning, since SpaceX’s Starlink campaign is the single largest concurrent demand shock in the post-period.</w:t>
      </w:r>
    </w:p>
    <w:bookmarkEnd w:id="88"/>
    <w:bookmarkStart w:id="89" w:name="operators-as-strategic-migrators"/>
    <w:p>
      <w:pPr>
        <w:pStyle w:val="Heading3"/>
        <w:spacing w:line="480" w:lineRule="auto"/>
      </w:pPr>
      <w:r>
        <w:t xml:space="preserve">3.2.4 Operators as Strategic Migrators</w:t>
      </w:r>
    </w:p>
    <w:p>
      <w:pPr>
        <w:pStyle w:val="FirstParagraph"/>
        <w:spacing w:line="480" w:lineRule="auto"/>
      </w:pPr>
      <w:r>
        <w:t xml:space="preserve">A fourth primitive concerns operator behaviour during the bridge window. Between the effective date of Part 450 in March 2021 and the legacy sunset, both regimes were simultaneously available to operators who held legacy licenses. The framework treats the operator’s choice of when to migrate as an endogenous selection problem: operators with rich documentation portfolios and recent authorization tenure could migrate quickly, while operators whose vehicle architectures or business models did not yet justify the fixed-cost investment could rationally postpone migration. This endogeneity is the principal threat to the identification of the rule’s effect on the three outcomes. The framework addresses it through three design choices that the empirical chapters operationalise: a bridge-window indicator that absorbs the dual-regime selection contamination, operator fixed effects that absorb time-invariant heterogeneity, and a leave-one-operator-out robustness check that diagnoses dependence on any single migrator. The shockley-and-bettinger framing of launch-on-demand capabilities as a strategic asset reinforces the interpretation that operators treat licensing posture as a strategic variable rather than a passive constraint, which is consistent with the endogenous-migration assumption built into the framework</w:t>
      </w:r>
      <w:r>
        <w:t xml:space="preserve"> </w:t>
      </w:r>
      <w:hyperlink w:anchor="ref-11">
        <w:r>
          <w:rPr>
            <w:rStyle w:val="Hyperlink"/>
          </w:rPr>
          <w:t xml:space="preserve">[11]</w:t>
        </w:r>
      </w:hyperlink>
      <w:r>
        <w:t xml:space="preserve">.</w:t>
      </w:r>
    </w:p>
    <w:bookmarkEnd w:id="89"/>
    <w:bookmarkStart w:id="90" w:name="economies-of-scale-and-operator-tenure"/>
    <w:p>
      <w:pPr>
        <w:pStyle w:val="Heading3"/>
        <w:spacing w:line="480" w:lineRule="auto"/>
      </w:pPr>
      <w:r>
        <w:t xml:space="preserve">3.2.5 Economies of Scale and Operator Tenure</w:t>
      </w:r>
    </w:p>
    <w:p>
      <w:pPr>
        <w:pStyle w:val="FirstParagraph"/>
        <w:spacing w:line="480" w:lineRule="auto"/>
      </w:pPr>
      <w:r>
        <w:t xml:space="preserve">A fifth primitive is drawn from the space-economy literature on launch economies of scale. Operators accumulate per-vehicle and per-trajectory knowledge across authorizations, and the marginal cost of a subsequent license under any regime falls with operator tenure. The framework treats this tenure effect as a confound that must be partialled out before the regulatory effect can be identified. The whole-of-nation policy literature emphasises scale economies in commercial space production and operations as a separate force from regulatory friction</w:t>
      </w:r>
      <w:r>
        <w:t xml:space="preserve"> </w:t>
      </w:r>
      <w:hyperlink w:anchor="ref-3">
        <w:r>
          <w:rPr>
            <w:rStyle w:val="Hyperlink"/>
          </w:rPr>
          <w:t xml:space="preserve">[3]</w:t>
        </w:r>
      </w:hyperlink>
      <w:r>
        <w:t xml:space="preserve">. A regulatory estimate that did not condition on tenure would therefore confound the effect of the rule with the effect of operator experience accumulating across the same window. The empirical specification accordingly includes years since first FAA license as a continuous covariate.</w:t>
      </w:r>
    </w:p>
    <w:bookmarkEnd w:id="90"/>
    <w:bookmarkStart w:id="91" w:name="X40e14e638083b49d5c0d94c3ba06e9b8af26dd1"/>
    <w:p>
      <w:pPr>
        <w:pStyle w:val="Heading3"/>
        <w:spacing w:line="480" w:lineRule="auto"/>
      </w:pPr>
      <w:r>
        <w:t xml:space="preserve">3.2.6 Synthesis: A Causal Diagram for the Part 450 Transition</w:t>
      </w:r>
    </w:p>
    <w:p>
      <w:pPr>
        <w:pStyle w:val="FirstParagraph"/>
        <w:spacing w:line="480" w:lineRule="auto"/>
      </w:pPr>
      <w:r>
        <w:t xml:space="preserve">The framework can be summarised as a five-node causal diagram. The treatment node is the effective date of 14 CFR Part 450, registered as the discontinuity at 15 March 2021</w:t>
      </w:r>
      <w:r>
        <w:t xml:space="preserve"> </w:t>
      </w:r>
      <w:hyperlink w:anchor="ref-5">
        <w:r>
          <w:rPr>
            <w:rStyle w:val="Hyperlink"/>
          </w:rPr>
          <w:t xml:space="preserve">[5]</w:t>
        </w:r>
      </w:hyperlink>
      <w:r>
        <w:t xml:space="preserve">. The intermediary nodes are the fixed-cost investment in regime entry, the variable cost of subsequent authorizations, and the adjudication-capacity stress at FAA/AST. The outcome nodes are monthly licensed launch cadence, days to authorization, and authorization reliability. Three confounding paths must be blocked. The demand path, running through commercial market growth and the constellation deployment, is blocked by the large-constellation indicator and by the synthetic-control comparison drawn from launch-cadence series outside U.S. jurisdiction</w:t>
      </w:r>
      <w:r>
        <w:t xml:space="preserve"> </w:t>
      </w:r>
      <w:hyperlink w:anchor="ref-4">
        <w:r>
          <w:rPr>
            <w:rStyle w:val="Hyperlink"/>
          </w:rPr>
          <w:t xml:space="preserve">[4]</w:t>
        </w:r>
      </w:hyperlink>
      <w:r>
        <w:t xml:space="preserve">,</w:t>
      </w:r>
      <w:r>
        <w:t xml:space="preserve"> </w:t>
      </w:r>
      <w:hyperlink w:anchor="ref-21">
        <w:r>
          <w:rPr>
            <w:rStyle w:val="Hyperlink"/>
          </w:rPr>
          <w:t xml:space="preserve">[21]</w:t>
        </w:r>
      </w:hyperlink>
      <w:r>
        <w:t xml:space="preserve">. The tenure path, running through accumulated operator experience, is blocked by the years-active covariate. The selection path, running through endogenous bridge-window migration, is blocked by the bridge indicator and by operator fixed effects. The remaining path from the rule’s effective date through the fixed-variable trade-off to the outcomes is the path that the dissertation seeks to identify.</w:t>
      </w:r>
    </w:p>
    <w:bookmarkEnd w:id="91"/>
    <w:bookmarkEnd w:id="92"/>
    <w:bookmarkStart w:id="97" w:name="Xbb39e32395d1ba732015b97ceb4df4bde0d756b"/>
    <w:p>
      <w:pPr>
        <w:pStyle w:val="Heading2"/>
        <w:spacing w:line="480" w:lineRule="auto"/>
      </w:pPr>
      <w:r>
        <w:t xml:space="preserve">3.3 Causal Logic Linking the Rule to the Three Outcomes</w:t>
      </w:r>
    </w:p>
    <w:p>
      <w:pPr>
        <w:pStyle w:val="FirstParagraph"/>
        <w:spacing w:line="480" w:lineRule="auto"/>
      </w:pPr>
      <w:r>
        <w:t xml:space="preserve">The framework above can be operationalised as three theoretical predictions, one for each pre-registered outcome.</w:t>
      </w:r>
    </w:p>
    <w:bookmarkStart w:id="93" w:name="cadence"/>
    <w:p>
      <w:pPr>
        <w:pStyle w:val="Heading3"/>
        <w:spacing w:line="480" w:lineRule="auto"/>
      </w:pPr>
      <w:r>
        <w:t xml:space="preserve">3.3.1 Cadence</w:t>
      </w:r>
    </w:p>
    <w:p>
      <w:pPr>
        <w:pStyle w:val="FirstParagraph"/>
        <w:spacing w:line="480" w:lineRule="auto"/>
      </w:pPr>
      <w:r>
        <w:t xml:space="preserve">The theoretical prediction for cadence is that the consolidation lowers the marginal authorization cost faced by an operator who has already incurred the fixed cost of Part 450 entry, and that the lower marginal cost manifests as a higher realised number of FAA-licensed launches per operator per period in the post-bridge period. The strength of the prediction is conditioned on three observations. First, the consolidation must in fact lower the variable cost of authorising the next launch, which depends on whether the performance-based standard is implemented in practice as a single multi-mission license rather than as a per-mission negotiation under a performance-based veneer</w:t>
      </w:r>
      <w:r>
        <w:t xml:space="preserve"> </w:t>
      </w:r>
      <w:hyperlink w:anchor="ref-5">
        <w:r>
          <w:rPr>
            <w:rStyle w:val="Hyperlink"/>
          </w:rPr>
          <w:t xml:space="preserve">[5]</w:t>
        </w:r>
      </w:hyperlink>
      <w:r>
        <w:t xml:space="preserve">. Second, the FAA/AST adjudication capacity must be adequate to deliver the variable-cost saving rather than absorbing it into queueing delay</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Third, the operator must value the marginal launch at or above the marginal cost, which is the demand-side condition that the constellation indicator partials out.</w:t>
      </w:r>
    </w:p>
    <w:p>
      <w:pPr>
        <w:pStyle w:val="BodyText"/>
        <w:spacing w:line="480" w:lineRule="auto"/>
        <w:ind w:firstLine="720"/>
      </w:pPr>
      <w:r>
        <w:t xml:space="preserve">The companion panel-fixed-effects analysis fits an operator-year regression of licensed launch counts on a post-Part 450 indicator, a bridge-year indicator, operator experience, and a constellation indicator, and reports a post-Part 450 coefficient of 12.79 launches per operator-year with a five-percent-level p-value, after partialling out a Starlink coefficient an order of magnitude larger. That result is consistent with the consolidation-lowers-friction prior. The theoretical framework does not by itself privilege this result over the null; the rejection follows from the empirical estimation.</w:t>
      </w:r>
    </w:p>
    <w:bookmarkEnd w:id="93"/>
    <w:bookmarkStart w:id="94" w:name="days-to-authorization"/>
    <w:p>
      <w:pPr>
        <w:pStyle w:val="Heading3"/>
        <w:spacing w:line="480" w:lineRule="auto"/>
      </w:pPr>
      <w:r>
        <w:t xml:space="preserve">3.3.2 Days to Authorization</w:t>
      </w:r>
    </w:p>
    <w:p>
      <w:pPr>
        <w:pStyle w:val="FirstParagraph"/>
        <w:spacing w:line="480" w:lineRule="auto"/>
      </w:pPr>
      <w:r>
        <w:t xml:space="preserve">The theoretical prediction for days to authorization is that the consolidation reduces the median elapsed time from application acceptance to license issuance for operators who have already incurred the fixed-cost investment, by collapsing the multi-application path that a single launch campaign would previously have followed under parts 415, 417, 431, or 435 into a single performance-based path. The prediction is again conditional on the agency’s adjudication capacity. If the agency’s reviewer hours scale less than proportionally with the depth of performance-based submissions, the variable cost saving on the operator side is offset by a queueing delay on the agency side, and the median days-to-authorization can rise rather than fall. The Government Accountability Office’s documentation of workforce issues at FAA/AST during the implementation window is the most direct empirical reading available on whether the adjudication-capacity condition was met</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framework accordingly registers a sharper conditional prediction for this outcome than for cadence: a negative coefficient on the post-period indicator only when adjudication capacity is held constant or expanded, and a positive or null coefficient when capacity is binding.</w:t>
      </w:r>
    </w:p>
    <w:bookmarkEnd w:id="94"/>
    <w:bookmarkStart w:id="95" w:name="authorization-reliability"/>
    <w:p>
      <w:pPr>
        <w:pStyle w:val="Heading3"/>
        <w:spacing w:line="480" w:lineRule="auto"/>
      </w:pPr>
      <w:r>
        <w:t xml:space="preserve">3.3.3 Authorization Reliability</w:t>
      </w:r>
    </w:p>
    <w:p>
      <w:pPr>
        <w:pStyle w:val="FirstParagraph"/>
        <w:spacing w:line="480" w:lineRule="auto"/>
      </w:pPr>
      <w:r>
        <w:t xml:space="preserve">The theoretical prediction for authorization reliability, measured as the share of accepted applications that proceed to issuance without a public sufficiency or completeness extension, is that the performance-based standard reduces the iteration cycle on means-of-compliance documents for operators whose vehicle architectures previously fell outside the legacy templates and increases it for operators whose architectures matched the legacy templates and who must now restate compliance against a more abstract standard. The framework therefore predicts a heterogeneous treatment effect across operators, with the sign of the average effect depending on the composition of the operator panel. The published GAO record on Part 450 transition friction reports that some operators experienced extensive iteration during the bridge window, consistent with the heterogeneous prediction</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synthesis prediction is that authorization reliability is the outcome on which the consolidation’s effect is least determinate ex ante, and on which the empirical estimate carries the highest theoretical interest.</w:t>
      </w:r>
    </w:p>
    <w:bookmarkEnd w:id="95"/>
    <w:bookmarkStart w:id="96" w:name="the-joint-logic"/>
    <w:p>
      <w:pPr>
        <w:pStyle w:val="Heading3"/>
        <w:spacing w:line="480" w:lineRule="auto"/>
      </w:pPr>
      <w:r>
        <w:t xml:space="preserve">3.3.4 The Joint Logic</w:t>
      </w:r>
    </w:p>
    <w:p>
      <w:pPr>
        <w:pStyle w:val="FirstParagraph"/>
        <w:spacing w:line="480" w:lineRule="auto"/>
      </w:pPr>
      <w:r>
        <w:t xml:space="preserve">The three outcomes are not independent. A consolidation that lowers the marginal authorization cost should raise cadence, lower days to authorization, and raise authorization reliability when the adjudication-capacity condition is met. A consolidation that raises the iteration cycle through means-of-compliance review should lower cadence, raise days to authorization, and lower authorization reliability. The joint test across the three outcomes is therefore more informative than any single test. A finding of a positive cadence break combined with a positive days-to-authorization break and a negative reliability break would be diagnostic of a regime in which operators are absorbing the variable-cost saving while the agency is reabsorbing it as queueing delay. A finding of a positive cadence break with a negative days-to-authorization break and a positive reliability break would be diagnostic of a successful consolidation in steady state. The framework treats the joint pattern across the three outcomes as the policy-relevant test, and the formal hypotheses below are stated jointly.</w:t>
      </w:r>
    </w:p>
    <w:bookmarkEnd w:id="96"/>
    <w:bookmarkEnd w:id="97"/>
    <w:bookmarkStart w:id="103" w:name="formal-hypotheses"/>
    <w:p>
      <w:pPr>
        <w:pStyle w:val="Heading2"/>
        <w:spacing w:line="480" w:lineRule="auto"/>
      </w:pPr>
      <w:r>
        <w:t xml:space="preserve">3.4 Formal Hypotheses</w:t>
      </w:r>
    </w:p>
    <w:p>
      <w:pPr>
        <w:pStyle w:val="FirstParagraph"/>
        <w:spacing w:line="480" w:lineRule="auto"/>
      </w:pPr>
      <w:r>
        <w:t xml:space="preserve">The dissertation makes one falsifiable claim, decomposed into three pre-registered outcome equations.</w:t>
      </w:r>
    </w:p>
    <w:bookmarkStart w:id="98" w:name="notation"/>
    <w:p>
      <w:pPr>
        <w:pStyle w:val="Heading3"/>
        <w:spacing w:line="480" w:lineRule="auto"/>
      </w:pPr>
      <w:r>
        <w:t xml:space="preserve">3.4.1 Notation</w:t>
      </w:r>
    </w:p>
    <w:p>
      <w:pPr>
        <w:pStyle w:val="FirstParagraph"/>
        <w:spacing w:line="480" w:lineRule="auto"/>
      </w:pPr>
      <w:r>
        <w:t xml:space="preserve">Let</w:t>
      </w:r>
      <w:r>
        <w:t xml:space="preserve"> </w:t>
      </w:r>
      <m:oMath>
        <m:sSub>
          <m:e>
            <m:r>
              <m:t>Y</m:t>
            </m:r>
          </m:e>
          <m:sub>
            <m:r>
              <m:t>c</m:t>
            </m:r>
            <m:r>
              <m:rPr>
                <m:sty m:val="p"/>
              </m:rPr>
              <m:t>,</m:t>
            </m:r>
            <m:r>
              <m:t>t</m:t>
            </m:r>
          </m:sub>
        </m:sSub>
      </m:oMath>
      <w:r>
        <w:t xml:space="preserve"> </w:t>
      </w:r>
      <w:r>
        <w:t xml:space="preserve">denote monthly licensed launch cadence in operator-month</w:t>
      </w:r>
      <w:r>
        <w:t xml:space="preserve"> </w:t>
      </w:r>
      <m:oMath>
        <m:r>
          <m:t>t</m:t>
        </m:r>
      </m:oMath>
      <w:r>
        <w:t xml:space="preserve">, let</w:t>
      </w:r>
      <w:r>
        <w:t xml:space="preserve"> </w:t>
      </w:r>
      <m:oMath>
        <m:sSub>
          <m:e>
            <m:r>
              <m:t>Y</m:t>
            </m:r>
          </m:e>
          <m:sub>
            <m:r>
              <m:t>d</m:t>
            </m:r>
            <m:r>
              <m:rPr>
                <m:sty m:val="p"/>
              </m:rPr>
              <m:t>,</m:t>
            </m:r>
            <m:r>
              <m:t>i</m:t>
            </m:r>
          </m:sub>
        </m:sSub>
      </m:oMath>
      <w:r>
        <w:t xml:space="preserve"> </w:t>
      </w:r>
      <w:r>
        <w:t xml:space="preserve">denote days from application acceptance to license issuance for application</w:t>
      </w:r>
      <w:r>
        <w:t xml:space="preserve"> </w:t>
      </w:r>
      <m:oMath>
        <m:r>
          <m:t>i</m:t>
        </m:r>
      </m:oMath>
      <w:r>
        <w:t xml:space="preserve">, and let</w:t>
      </w:r>
      <w:r>
        <w:t xml:space="preserve"> </w:t>
      </w:r>
      <m:oMath>
        <m:sSub>
          <m:e>
            <m:r>
              <m:t>Y</m:t>
            </m:r>
          </m:e>
          <m:sub>
            <m:r>
              <m:t>r</m:t>
            </m:r>
            <m:r>
              <m:rPr>
                <m:sty m:val="p"/>
              </m:rPr>
              <m:t>,</m:t>
            </m:r>
            <m:r>
              <m:t>i</m:t>
            </m:r>
          </m:sub>
        </m:sSub>
      </m:oMath>
      <w:r>
        <w:t xml:space="preserve"> </w:t>
      </w:r>
      <w:r>
        <w:t xml:space="preserve">denote the binary indicator that application</w:t>
      </w:r>
      <w:r>
        <w:t xml:space="preserve"> </w:t>
      </w:r>
      <m:oMath>
        <m:r>
          <m:t>i</m:t>
        </m:r>
      </m:oMath>
      <w:r>
        <w:t xml:space="preserve"> </w:t>
      </w:r>
      <w:r>
        <w:t xml:space="preserve">proceeded to issuance without a public sufficiency or completeness extension. Let</w:t>
      </w:r>
      <w:r>
        <w:t xml:space="preserve"> </w:t>
      </w:r>
      <m:oMath>
        <m:sSub>
          <m:e>
            <m:r>
              <m:t>D</m:t>
            </m:r>
          </m:e>
          <m:sub>
            <m:r>
              <m:t>t</m:t>
            </m:r>
          </m:sub>
        </m:sSub>
      </m:oMath>
      <w:r>
        <w:t xml:space="preserve"> </w:t>
      </w:r>
      <w:r>
        <w:t xml:space="preserve">be the post-Part 450 indicator switching from zero to one at the close of the bridge window. Let</w:t>
      </w:r>
      <w:r>
        <w:t xml:space="preserve"> </w:t>
      </w:r>
      <m:oMath>
        <m:sSub>
          <m:e>
            <m:r>
              <m:t>B</m:t>
            </m:r>
          </m:e>
          <m:sub>
            <m:r>
              <m:t>t</m:t>
            </m:r>
          </m:sub>
        </m:sSub>
      </m:oMath>
      <w:r>
        <w:t xml:space="preserve"> </w:t>
      </w:r>
      <w:r>
        <w:t xml:space="preserve">be the bridge-window indicator, switching from zero to one on 15 March 2021 and from one to zero at the legacy sunset. Let</w:t>
      </w:r>
      <w:r>
        <w:t xml:space="preserve"> </w:t>
      </w:r>
      <m:oMath>
        <m:sSub>
          <m:e>
            <m:r>
              <m:t>X</m:t>
            </m:r>
          </m:e>
          <m:sub>
            <m:r>
              <m:t>c</m:t>
            </m:r>
            <m:r>
              <m:rPr>
                <m:sty m:val="p"/>
              </m:rPr>
              <m:t>,</m:t>
            </m:r>
            <m:r>
              <m:t>t</m:t>
            </m:r>
          </m:sub>
        </m:sSub>
      </m:oMath>
      <w:r>
        <w:t xml:space="preserve">,</w:t>
      </w:r>
      <w:r>
        <w:t xml:space="preserve"> </w:t>
      </w:r>
      <m:oMath>
        <m:sSub>
          <m:e>
            <m:r>
              <m:t>X</m:t>
            </m:r>
          </m:e>
          <m:sub>
            <m:r>
              <m:t>d</m:t>
            </m:r>
            <m:r>
              <m:rPr>
                <m:sty m:val="p"/>
              </m:rPr>
              <m:t>,</m:t>
            </m:r>
            <m:r>
              <m:t>i</m:t>
            </m:r>
          </m:sub>
        </m:sSub>
      </m:oMath>
      <w:r>
        <w:t xml:space="preserve">, and</w:t>
      </w:r>
      <w:r>
        <w:t xml:space="preserve"> </w:t>
      </w:r>
      <m:oMath>
        <m:sSub>
          <m:e>
            <m:r>
              <m:t>X</m:t>
            </m:r>
          </m:e>
          <m:sub>
            <m:r>
              <m:t>r</m:t>
            </m:r>
            <m:r>
              <m:rPr>
                <m:sty m:val="p"/>
              </m:rPr>
              <m:t>,</m:t>
            </m:r>
            <m:r>
              <m:t>i</m:t>
            </m:r>
          </m:sub>
        </m:sSub>
      </m:oMath>
      <w:r>
        <w:t xml:space="preserve"> </w:t>
      </w:r>
      <w:r>
        <w:t xml:space="preserve">denote the conditioning vectors comprising the linear time trend, the operator and vehicle-family fixed effects, the constellation-deployment indicator, the operator-tenure covariate, and the adjudication-capacity covariate. Let</w:t>
      </w:r>
      <w:r>
        <w:t xml:space="preserve"> </w:t>
      </w:r>
      <m:oMath>
        <m:sSub>
          <m:e>
            <m:r>
              <m:t>β</m:t>
            </m:r>
          </m:e>
          <m:sub>
            <m:r>
              <m:t>c</m:t>
            </m:r>
          </m:sub>
        </m:sSub>
      </m:oMath>
      <w:r>
        <w:t xml:space="preserve">,</w:t>
      </w:r>
      <w:r>
        <w:t xml:space="preserve"> </w:t>
      </w:r>
      <m:oMath>
        <m:sSub>
          <m:e>
            <m:r>
              <m:t>β</m:t>
            </m:r>
          </m:e>
          <m:sub>
            <m:r>
              <m:t>d</m:t>
            </m:r>
          </m:sub>
        </m:sSub>
      </m:oMath>
      <w:r>
        <w:t xml:space="preserve">, and</w:t>
      </w:r>
      <w:r>
        <w:t xml:space="preserve"> </w:t>
      </w:r>
      <m:oMath>
        <m:sSub>
          <m:e>
            <m:r>
              <m:t>β</m:t>
            </m:r>
          </m:e>
          <m:sub>
            <m:r>
              <m:t>r</m:t>
            </m:r>
          </m:sub>
        </m:sSub>
      </m:oMath>
      <w:r>
        <w:t xml:space="preserve"> </w:t>
      </w:r>
      <w:r>
        <w:t xml:space="preserve">denote the coefficients on the post-Part 450 indicator in the cadence, days-to-authorization, and reliability equations respectively, and let</w:t>
      </w:r>
      <w:r>
        <w:t xml:space="preserve"> </w:t>
      </w:r>
      <m:oMath>
        <m:sSub>
          <m:e>
            <m:r>
              <m:t>γ</m:t>
            </m:r>
          </m:e>
          <m:sub>
            <m:r>
              <m:t>c</m:t>
            </m:r>
          </m:sub>
        </m:sSub>
      </m:oMath>
      <w:r>
        <w:t xml:space="preserve">,</w:t>
      </w:r>
      <w:r>
        <w:t xml:space="preserve"> </w:t>
      </w:r>
      <m:oMath>
        <m:sSub>
          <m:e>
            <m:r>
              <m:t>γ</m:t>
            </m:r>
          </m:e>
          <m:sub>
            <m:r>
              <m:t>d</m:t>
            </m:r>
          </m:sub>
        </m:sSub>
      </m:oMath>
      <w:r>
        <w:t xml:space="preserve">, and</w:t>
      </w:r>
      <w:r>
        <w:t xml:space="preserve"> </w:t>
      </w:r>
      <m:oMath>
        <m:sSub>
          <m:e>
            <m:r>
              <m:t>γ</m:t>
            </m:r>
          </m:e>
          <m:sub>
            <m:r>
              <m:t>r</m:t>
            </m:r>
          </m:sub>
        </m:sSub>
      </m:oMath>
      <w:r>
        <w:t xml:space="preserve"> </w:t>
      </w:r>
      <w:r>
        <w:t xml:space="preserve">denote the slope-change coefficients on the post-period time trend in the same three equations.</w:t>
      </w:r>
    </w:p>
    <w:bookmarkEnd w:id="98"/>
    <w:bookmarkStart w:id="99" w:name="null-hypothesis-h0"/>
    <w:p>
      <w:pPr>
        <w:pStyle w:val="Heading3"/>
        <w:spacing w:line="480" w:lineRule="auto"/>
      </w:pPr>
      <w:r>
        <w:t xml:space="preserve">3.4.2 Null Hypothesis H0</w:t>
      </w:r>
    </w:p>
    <w:p>
      <w:pPr>
        <w:pStyle w:val="FirstParagraph"/>
        <w:spacing w:line="480" w:lineRule="auto"/>
      </w:pPr>
      <w:r>
        <w:t xml:space="preserve">H0. The transition to 14 CFR Part 450, identified by the post-period indicator</w:t>
      </w:r>
      <w:r>
        <w:t xml:space="preserve"> </w:t>
      </w:r>
      <m:oMath>
        <m:sSub>
          <m:e>
            <m:r>
              <m:t>D</m:t>
            </m:r>
          </m:e>
          <m:sub>
            <m:r>
              <m:t>t</m:t>
            </m:r>
          </m:sub>
        </m:sSub>
      </m:oMath>
      <w:r>
        <w:t xml:space="preserve"> </w:t>
      </w:r>
      <w:r>
        <w:t xml:space="preserve">and the post-period slope change, produced no structural break in any of the three pre-registered outcomes. Formally,</w:t>
      </w:r>
    </w:p>
    <w:p>
      <w:pPr>
        <w:pStyle w:val="BodyText"/>
        <w:spacing w:line="480" w:lineRule="auto"/>
        <w:ind w:firstLine="720"/>
      </w:pPr>
      <m:oMathPara>
        <m:oMathParaPr>
          <m:jc m:val="center"/>
        </m:oMathParaPr>
        <m:oMath>
          <m:sSub>
            <m:e>
              <m:r>
                <m:t>H</m:t>
              </m:r>
            </m:e>
            <m:sub>
              <m:r>
                <m:t>0</m:t>
              </m:r>
            </m:sub>
          </m:sSub>
          <m:r>
            <m:rPr>
              <m:sty m:val="p"/>
            </m:rPr>
            <m:t>:</m:t>
          </m:r>
          <m:sSub>
            <m:e>
              <m:r>
                <m:t>β</m:t>
              </m:r>
            </m:e>
            <m:sub>
              <m:r>
                <m:t>c</m:t>
              </m:r>
            </m:sub>
          </m:sSub>
          <m:r>
            <m:rPr>
              <m:sty m:val="p"/>
            </m:rPr>
            <m:t>=</m:t>
          </m:r>
          <m:r>
            <m:t>0</m:t>
          </m:r>
          <m:r>
            <m:t> </m:t>
          </m:r>
          <m:r>
            <m:rPr>
              <m:sty m:val="p"/>
            </m:rPr>
            <m:t>∧</m:t>
          </m:r>
          <m:r>
            <m:t> </m:t>
          </m:r>
          <m:sSub>
            <m:e>
              <m:r>
                <m:t>γ</m:t>
              </m:r>
            </m:e>
            <m:sub>
              <m:r>
                <m:t>c</m:t>
              </m:r>
            </m:sub>
          </m:sSub>
          <m:r>
            <m:rPr>
              <m:sty m:val="p"/>
            </m:rPr>
            <m:t>=</m:t>
          </m:r>
          <m:r>
            <m:t>0</m:t>
          </m:r>
          <m:r>
            <m:t> </m:t>
          </m:r>
          <m:r>
            <m:rPr>
              <m:sty m:val="p"/>
            </m:rPr>
            <m:t>∧</m:t>
          </m:r>
          <m:r>
            <m:t> </m:t>
          </m:r>
          <m:sSub>
            <m:e>
              <m:r>
                <m:t>β</m:t>
              </m:r>
            </m:e>
            <m:sub>
              <m:r>
                <m:t>d</m:t>
              </m:r>
            </m:sub>
          </m:sSub>
          <m:r>
            <m:rPr>
              <m:sty m:val="p"/>
            </m:rPr>
            <m:t>=</m:t>
          </m:r>
          <m:r>
            <m:t>0</m:t>
          </m:r>
          <m:r>
            <m:t> </m:t>
          </m:r>
          <m:r>
            <m:rPr>
              <m:sty m:val="p"/>
            </m:rPr>
            <m:t>∧</m:t>
          </m:r>
          <m:r>
            <m:t> </m:t>
          </m:r>
          <m:sSub>
            <m:e>
              <m:r>
                <m:t>γ</m:t>
              </m:r>
            </m:e>
            <m:sub>
              <m:r>
                <m:t>d</m:t>
              </m:r>
            </m:sub>
          </m:sSub>
          <m:r>
            <m:rPr>
              <m:sty m:val="p"/>
            </m:rPr>
            <m:t>=</m:t>
          </m:r>
          <m:r>
            <m:t>0</m:t>
          </m:r>
          <m:r>
            <m:t> </m:t>
          </m:r>
          <m:r>
            <m:rPr>
              <m:sty m:val="p"/>
            </m:rPr>
            <m:t>∧</m:t>
          </m:r>
          <m:r>
            <m:t> </m:t>
          </m:r>
          <m:sSub>
            <m:e>
              <m:r>
                <m:t>β</m:t>
              </m:r>
            </m:e>
            <m:sub>
              <m:r>
                <m:t>r</m:t>
              </m:r>
            </m:sub>
          </m:sSub>
          <m:r>
            <m:rPr>
              <m:sty m:val="p"/>
            </m:rPr>
            <m:t>=</m:t>
          </m:r>
          <m:r>
            <m:t>0</m:t>
          </m:r>
          <m:r>
            <m:t> </m:t>
          </m:r>
          <m:r>
            <m:rPr>
              <m:sty m:val="p"/>
            </m:rPr>
            <m:t>∧</m:t>
          </m:r>
          <m:r>
            <m:t> </m:t>
          </m:r>
          <m:sSub>
            <m:e>
              <m:r>
                <m:t>γ</m:t>
              </m:r>
            </m:e>
            <m:sub>
              <m:r>
                <m:t>r</m:t>
              </m:r>
            </m:sub>
          </m:sSub>
          <m:r>
            <m:rPr>
              <m:sty m:val="p"/>
            </m:rPr>
            <m:t>=</m:t>
          </m:r>
          <m:r>
            <m:t>0</m:t>
          </m:r>
        </m:oMath>
      </m:oMathPara>
    </w:p>
    <w:p>
      <w:pPr>
        <w:pStyle w:val="FirstParagraph"/>
        <w:spacing w:line="480" w:lineRule="auto"/>
      </w:pPr>
      <w:r>
        <w:t xml:space="preserve">evaluated jointly under the interrupted time series equations fitted on the U.S. operator-month and operator-application panels with Newey-West standard errors. The null is the hypothesis that the consolidation reform, after partialling out the demand component captured by the large-constellation indicator, the tenure component captured by years since first FAA license, the bridge-window selection captured by</w:t>
      </w:r>
      <w:r>
        <w:t xml:space="preserve"> </w:t>
      </w:r>
      <m:oMath>
        <m:sSub>
          <m:e>
            <m:r>
              <m:t>B</m:t>
            </m:r>
          </m:e>
          <m:sub>
            <m:r>
              <m:t>t</m:t>
            </m:r>
          </m:sub>
        </m:sSub>
      </m:oMath>
      <w:r>
        <w:t xml:space="preserve">, and the adjudication-capacity component captured by the FAA/AST staffing covariate, leaves the trajectory of licensed launch throughput indistinguishable from the trajectory that would have been observed under the legacy regime.</w:t>
      </w:r>
    </w:p>
    <w:bookmarkEnd w:id="99"/>
    <w:bookmarkStart w:id="100" w:name="alternative-hypothesis-h1"/>
    <w:p>
      <w:pPr>
        <w:pStyle w:val="Heading3"/>
        <w:spacing w:line="480" w:lineRule="auto"/>
      </w:pPr>
      <w:r>
        <w:t xml:space="preserve">3.4.3 Alternative Hypothesis H1</w:t>
      </w:r>
    </w:p>
    <w:p>
      <w:pPr>
        <w:pStyle w:val="FirstParagraph"/>
        <w:spacing w:line="480" w:lineRule="auto"/>
      </w:pPr>
      <w:r>
        <w:t xml:space="preserve">H1. The transition to 14 CFR Part 450 produced a structural break in at least one of the three pre-registered outcomes, signed and bounded by a ninety-five percent confidence interval, that is robust to the choice of bandwidth in the regression-discontinuity-in-event-time specification, robust to the inclusion of operator and vehicle-family fixed effects, robust to the specification of the legacy-licensed control series, and robust to the leave-one-operator-out diagnostic. Formally,</w:t>
      </w:r>
    </w:p>
    <w:p>
      <w:pPr>
        <w:pStyle w:val="BodyText"/>
        <w:spacing w:line="480" w:lineRule="auto"/>
        <w:ind w:firstLine="720"/>
      </w:pPr>
      <m:oMathPara>
        <m:oMathParaPr>
          <m:jc m:val="center"/>
        </m:oMathParaPr>
        <m:oMath>
          <m:sSub>
            <m:e>
              <m:r>
                <m:t>H</m:t>
              </m:r>
            </m:e>
            <m:sub>
              <m:r>
                <m:t>1</m:t>
              </m:r>
            </m:sub>
          </m:sSub>
          <m:r>
            <m:rPr>
              <m:sty m:val="p"/>
            </m:rPr>
            <m:t>:</m:t>
          </m:r>
          <m:sSub>
            <m:e>
              <m:r>
                <m:t>β</m:t>
              </m:r>
            </m:e>
            <m:sub>
              <m:r>
                <m:t>c</m:t>
              </m:r>
            </m:sub>
          </m:sSub>
          <m:r>
            <m:rPr>
              <m:sty m:val="p"/>
            </m:rPr>
            <m:t>≠</m:t>
          </m:r>
          <m:r>
            <m:t>0</m:t>
          </m:r>
          <m:r>
            <m:t> </m:t>
          </m:r>
          <m:r>
            <m:rPr>
              <m:sty m:val="p"/>
            </m:rPr>
            <m:t>∨</m:t>
          </m:r>
          <m:r>
            <m:t> </m:t>
          </m:r>
          <m:sSub>
            <m:e>
              <m:r>
                <m:t>γ</m:t>
              </m:r>
            </m:e>
            <m:sub>
              <m:r>
                <m:t>c</m:t>
              </m:r>
            </m:sub>
          </m:sSub>
          <m:r>
            <m:rPr>
              <m:sty m:val="p"/>
            </m:rPr>
            <m:t>≠</m:t>
          </m:r>
          <m:r>
            <m:t>0</m:t>
          </m:r>
          <m:r>
            <m:t> </m:t>
          </m:r>
          <m:r>
            <m:rPr>
              <m:sty m:val="p"/>
            </m:rPr>
            <m:t>∨</m:t>
          </m:r>
          <m:r>
            <m:t> </m:t>
          </m:r>
          <m:sSub>
            <m:e>
              <m:r>
                <m:t>β</m:t>
              </m:r>
            </m:e>
            <m:sub>
              <m:r>
                <m:t>d</m:t>
              </m:r>
            </m:sub>
          </m:sSub>
          <m:r>
            <m:rPr>
              <m:sty m:val="p"/>
            </m:rPr>
            <m:t>≠</m:t>
          </m:r>
          <m:r>
            <m:t>0</m:t>
          </m:r>
          <m:r>
            <m:t> </m:t>
          </m:r>
          <m:r>
            <m:rPr>
              <m:sty m:val="p"/>
            </m:rPr>
            <m:t>∨</m:t>
          </m:r>
          <m:r>
            <m:t> </m:t>
          </m:r>
          <m:sSub>
            <m:e>
              <m:r>
                <m:t>γ</m:t>
              </m:r>
            </m:e>
            <m:sub>
              <m:r>
                <m:t>d</m:t>
              </m:r>
            </m:sub>
          </m:sSub>
          <m:r>
            <m:rPr>
              <m:sty m:val="p"/>
            </m:rPr>
            <m:t>≠</m:t>
          </m:r>
          <m:r>
            <m:t>0</m:t>
          </m:r>
          <m:r>
            <m:t> </m:t>
          </m:r>
          <m:r>
            <m:rPr>
              <m:sty m:val="p"/>
            </m:rPr>
            <m:t>∨</m:t>
          </m:r>
          <m:r>
            <m:t> </m:t>
          </m:r>
          <m:sSub>
            <m:e>
              <m:r>
                <m:t>β</m:t>
              </m:r>
            </m:e>
            <m:sub>
              <m:r>
                <m:t>r</m:t>
              </m:r>
            </m:sub>
          </m:sSub>
          <m:r>
            <m:rPr>
              <m:sty m:val="p"/>
            </m:rPr>
            <m:t>≠</m:t>
          </m:r>
          <m:r>
            <m:t>0</m:t>
          </m:r>
          <m:r>
            <m:t> </m:t>
          </m:r>
          <m:r>
            <m:rPr>
              <m:sty m:val="p"/>
            </m:rPr>
            <m:t>∨</m:t>
          </m:r>
          <m:r>
            <m:t> </m:t>
          </m:r>
          <m:sSub>
            <m:e>
              <m:r>
                <m:t>γ</m:t>
              </m:r>
            </m:e>
            <m:sub>
              <m:r>
                <m:t>r</m:t>
              </m:r>
            </m:sub>
          </m:sSub>
          <m:r>
            <m:rPr>
              <m:sty m:val="p"/>
            </m:rPr>
            <m:t>≠</m:t>
          </m:r>
          <m:r>
            <m:t>0</m:t>
          </m:r>
        </m:oMath>
      </m:oMathPara>
    </w:p>
    <w:p>
      <w:pPr>
        <w:pStyle w:val="FirstParagraph"/>
        <w:spacing w:line="480" w:lineRule="auto"/>
      </w:pPr>
      <w:r>
        <w:t xml:space="preserve">evaluated jointly under the same equations and with the same standard-error treatment as H0. H1 is rejected when no coefficient differs from zero at the five-percent level under the full battery of robustness checks. H0 is rejected when at least one coefficient differs from zero at the five-percent level and survives the robustness battery.</w:t>
      </w:r>
    </w:p>
    <w:bookmarkEnd w:id="100"/>
    <w:bookmarkStart w:id="101" w:name="X5b7e4542103c7c73f4e88f233d5de4c992adbbc"/>
    <w:p>
      <w:pPr>
        <w:pStyle w:val="Heading3"/>
        <w:spacing w:line="480" w:lineRule="auto"/>
      </w:pPr>
      <w:r>
        <w:t xml:space="preserve">3.4.4 Decision Rule and Identification Conditions</w:t>
      </w:r>
    </w:p>
    <w:p>
      <w:pPr>
        <w:pStyle w:val="FirstParagraph"/>
        <w:spacing w:line="480" w:lineRule="auto"/>
      </w:pPr>
      <w:r>
        <w:t xml:space="preserve">The decision rule is pre-registered and is the same across the three outcomes. A coefficient is taken to support rejection of H0 only when four conditions are met. First, the point estimate must differ from zero at the five-percent level under Newey-West standard errors with a lag length chosen by the Newey-West automatic rule. Second, the same coefficient must remain significant at the five-percent level under at least two of the three pre-registered bandwidth choices in the regression-discontinuity-in-event-time specification, with bandwidths of six, nine, and twelve months around the rule’s effective date. Third, the coefficient must remain signed in the same direction under operator and vehicle-family fixed effects in the difference-in-differences augmentation, with the legacy-licensed operator-months during the bridge window serving as the control panel. Fourth, the coefficient must survive the leave-one-operator-out robustness check, in the sense that the sign and the rejection of the zero null must hold after dropping the highest-mass operator from the panel, identified ex ante from the cadence distribution as SpaceX.</w:t>
      </w:r>
    </w:p>
    <w:p>
      <w:pPr>
        <w:pStyle w:val="BodyText"/>
        <w:spacing w:line="480" w:lineRule="auto"/>
        <w:ind w:firstLine="720"/>
      </w:pPr>
      <w:r>
        <w:t xml:space="preserve">A placebo test at false transition dates in the pre-period is registered as a falsification check. The framework predicts no structural break at any pre-period date, and a placebo rejection at any such date would invalidate the parallel-trends identifying assumption and require the framework’s prediction at the true effective date to be discounted accordingly.</w:t>
      </w:r>
    </w:p>
    <w:bookmarkEnd w:id="101"/>
    <w:bookmarkStart w:id="102" w:name="boundary-of-the-claim"/>
    <w:p>
      <w:pPr>
        <w:pStyle w:val="Heading3"/>
        <w:spacing w:line="480" w:lineRule="auto"/>
      </w:pPr>
      <w:r>
        <w:t xml:space="preserve">3.4.5 Boundary of the Claim</w:t>
      </w:r>
    </w:p>
    <w:p>
      <w:pPr>
        <w:pStyle w:val="FirstParagraph"/>
        <w:spacing w:line="480" w:lineRule="auto"/>
      </w:pPr>
      <w:r>
        <w:t xml:space="preserve">The dissertation does not claim that any rejection of H0 identifies a universal effect of regulatory consolidation. The claim is bounded to the U.S. commercial launch sector under FAA/AST jurisdiction over the window 2010 through the most recent complete quarter, and to the three pre-registered outcomes. Extension of the claim to other sectors or other jurisdictions is left to future work and is not implied by any rejection within the bounded panel. The contribution is the structural-break estimate within the bounded panel, with its sign, its magnitude, and its confidence interval, and the joint pattern across the three outcomes that disciplines the policy interpretation</w:t>
      </w:r>
      <w:r>
        <w:t xml:space="preserve"> </w:t>
      </w:r>
      <w:hyperlink w:anchor="ref-3">
        <w:r>
          <w:rPr>
            <w:rStyle w:val="Hyperlink"/>
          </w:rPr>
          <w:t xml:space="preserve">[3]</w:t>
        </w:r>
      </w:hyperlink>
      <w:r>
        <w:t xml:space="preserve">.</w:t>
      </w:r>
    </w:p>
    <w:bookmarkEnd w:id="102"/>
    <w:bookmarkEnd w:id="103"/>
    <w:bookmarkStart w:id="104" w:name="X48d6cbcb221bb20fde6fa67a100a5ee2ddf1310"/>
    <w:p>
      <w:pPr>
        <w:pStyle w:val="Heading2"/>
        <w:spacing w:line="480" w:lineRule="auto"/>
      </w:pPr>
      <w:r>
        <w:t xml:space="preserve">3.5 Position Relative to the Prior Literature</w:t>
      </w:r>
    </w:p>
    <w:p>
      <w:pPr>
        <w:pStyle w:val="FirstParagraph"/>
        <w:spacing w:line="480" w:lineRule="auto"/>
      </w:pPr>
      <w:r>
        <w:t xml:space="preserve">The framework adjudicates the gap identified in the prospectus by registering a falsifiable prediction at the intersection of the three literature streams that touched the question without answering it. The space-traffic-management stream is given a calibrated regulatory flux term where it previously had a qualitative footnote on Part 450</w:t>
      </w:r>
      <w:r>
        <w:t xml:space="preserve"> </w:t>
      </w:r>
      <w:hyperlink w:anchor="ref-1">
        <w:r>
          <w:rPr>
            <w:rStyle w:val="Hyperlink"/>
          </w:rPr>
          <w:t xml:space="preserve">[1]</w:t>
        </w:r>
      </w:hyperlink>
      <w:r>
        <w:t xml:space="preserve">,</w:t>
      </w:r>
      <w:r>
        <w:t xml:space="preserve"> </w:t>
      </w:r>
      <w:hyperlink w:anchor="ref-10">
        <w:r>
          <w:rPr>
            <w:rStyle w:val="Hyperlink"/>
          </w:rPr>
          <w:t xml:space="preserve">[10]</w:t>
        </w:r>
      </w:hyperlink>
      <w:r>
        <w:t xml:space="preserve">. The space-economy stream is given an early-data test of the prior that consolidation lowers friction on cadence, against the competing prior that performance-based review reintroduces friction through means-of-compliance iteration</w:t>
      </w:r>
      <w:r>
        <w:t xml:space="preserve"> </w:t>
      </w:r>
      <w:hyperlink w:anchor="ref-3">
        <w:r>
          <w:rPr>
            <w:rStyle w:val="Hyperlink"/>
          </w:rPr>
          <w:t xml:space="preserve">[3]</w:t>
        </w:r>
      </w:hyperlink>
      <w:r>
        <w:t xml:space="preserve">. The spaceport feasibility stream is given a within-jurisdiction estimate against which its jurisdictional reach characterisation can be benchmarked</w:t>
      </w:r>
      <w:r>
        <w:t xml:space="preserve"> </w:t>
      </w:r>
      <w:hyperlink w:anchor="ref-4">
        <w:r>
          <w:rPr>
            <w:rStyle w:val="Hyperlink"/>
          </w:rPr>
          <w:t xml:space="preserve">[4]</w:t>
        </w:r>
      </w:hyperlink>
      <w:r>
        <w:t xml:space="preserve">,</w:t>
      </w:r>
      <w:r>
        <w:t xml:space="preserve"> </w:t>
      </w:r>
      <w:hyperlink w:anchor="ref-21">
        <w:r>
          <w:rPr>
            <w:rStyle w:val="Hyperlink"/>
          </w:rPr>
          <w:t xml:space="preserve">[21]</w:t>
        </w:r>
      </w:hyperlink>
      <w:r>
        <w:t xml:space="preserve">. The GAO oversight stream is given a counterfactual estimate to set against its descriptive findings on workforce stress and transition friction</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forecasting literature is given a regulatory term that can enter alongside the gross-domestic-product-conditioned demand term as a co-equal driver of post-period cadence</w:t>
      </w:r>
      <w:r>
        <w:t xml:space="preserve"> </w:t>
      </w:r>
      <w:hyperlink w:anchor="ref-20">
        <w:r>
          <w:rPr>
            <w:rStyle w:val="Hyperlink"/>
          </w:rPr>
          <w:t xml:space="preserve">[20]</w:t>
        </w:r>
      </w:hyperlink>
      <w:r>
        <w:t xml:space="preserve">.</w:t>
      </w:r>
    </w:p>
    <w:p>
      <w:pPr>
        <w:pStyle w:val="BodyText"/>
        <w:spacing w:line="480" w:lineRule="auto"/>
        <w:ind w:firstLine="720"/>
      </w:pPr>
      <w:r>
        <w:t xml:space="preserve">The single empirical claim that the dissertation makes, decomposed into the three outcome equations and tested under the joint hypothesis structure above, is therefore the bridge between a settled descriptive characterisation of Part 450 as institutional context and an estimated effect of Part 450 as a treatment whose sign and magnitude can inform the recurring whole-of-nation recommendation that the United States consolidate its space regulatory structure under a single federal authorizing agency</w:t>
      </w:r>
      <w:r>
        <w:t xml:space="preserve"> </w:t>
      </w:r>
      <w:hyperlink w:anchor="ref-3">
        <w:r>
          <w:rPr>
            <w:rStyle w:val="Hyperlink"/>
          </w:rPr>
          <w:t xml:space="preserve">[3]</w:t>
        </w:r>
      </w:hyperlink>
      <w:r>
        <w:t xml:space="preserve">. The chapters that follow operationalise the framework, fit the equations, and report the signed estimates against the pre-registered decision rule.</w:t>
      </w:r>
    </w:p>
    <w:bookmarkEnd w:id="104"/>
    <w:bookmarkEnd w:id="105"/>
    <w:bookmarkStart w:id="114" w:name="chapter-4.-data-and-measurement"/>
    <w:p>
      <w:pPr>
        <w:pStyle w:val="Heading1"/>
        <w:spacing w:line="480" w:lineRule="auto"/>
      </w:pPr>
      <w:r>
        <w:t xml:space="preserve">Chapter 4. Data and Measurement</w:t>
      </w:r>
    </w:p>
    <w:bookmarkStart w:id="106" w:name="purpose-and-scope-of-the-chapter"/>
    <w:p>
      <w:pPr>
        <w:pStyle w:val="Heading2"/>
        <w:spacing w:line="480" w:lineRule="auto"/>
      </w:pPr>
      <w:r>
        <w:t xml:space="preserve">4.1 Purpose and Scope of the Chapter</w:t>
      </w:r>
    </w:p>
    <w:p>
      <w:pPr>
        <w:pStyle w:val="FirstParagraph"/>
        <w:spacing w:line="480" w:lineRule="auto"/>
      </w:pPr>
      <w:r>
        <w:t xml:space="preserve">This chapter documents the data foundation on which the empirical claims of the dissertation rest. Two complementary analyses underlie the central question of whether the consolidated 14 CFR Part 450 regime produced a measurable structural break in U.S. commercial launch licensing outcomes</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The first analysis estimates an operator-year panel of FAA-licensed launch cadence between 2010 and 2024. The second analysis estimates an application-level Cox proportional-hazards model of days from a complete application to license action between 2013 and 2025. Each analysis draws from a distinct cut of the same underlying public record, organized at a distinct unit of analysis, and constructed under a distinct measurement protocol. This chapter describes both, traces each datum to a primary source, and explains how the analytic variables map onto entries in those sources. The treatment is intentionally granular: a Part 450 evaluation that survives doctoral scrutiny requires that every observation in the analytic panels be reproducible from public documents without recourse to operator-proprietary information.</w:t>
      </w:r>
    </w:p>
    <w:p>
      <w:pPr>
        <w:pStyle w:val="BodyText"/>
        <w:spacing w:line="480" w:lineRule="auto"/>
        <w:ind w:firstLine="720"/>
      </w:pPr>
      <w:r>
        <w:t xml:space="preserve">The chapter is organized as follows. Section 4.2 names the authoritative sources and explains why no proprietary or fee-gated source is required. Section 4.3 specifies the unit of analysis in each of the two papers and defends the choice. Section 4.4 documents construction of the cadence panel, variable by variable. Section 4.5 documents construction of the duration panel, variable by variable. Section 4.6 describes the cross-validation procedure that reconciles the two panels and explains how a single license number is followed across documents. Section 4.7 catalogues measurement risks and the explicit mitigations adopted to bound each risk. Section 4.8 reports descriptive statistics that prepare the reader for the inferential chapters that follow.</w:t>
      </w:r>
    </w:p>
    <w:bookmarkEnd w:id="106"/>
    <w:bookmarkStart w:id="107" w:name="authoritative-sources"/>
    <w:p>
      <w:pPr>
        <w:pStyle w:val="Heading2"/>
        <w:spacing w:line="480" w:lineRule="auto"/>
      </w:pPr>
      <w:r>
        <w:t xml:space="preserve">4.2 Authoritative Sources</w:t>
      </w:r>
    </w:p>
    <w:p>
      <w:pPr>
        <w:pStyle w:val="FirstParagraph"/>
        <w:spacing w:line="480" w:lineRule="auto"/>
      </w:pPr>
      <w:r>
        <w:t xml:space="preserve">The empirical work draws on five families of public sources. The first family is the rulemaking record itself. The final rule, published as 85 FR 79566 on 10 December 2020 and effective on 15 March 2021, defines the regulatory event whose effect the dissertation seeks to identify</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The rulemaking record carries no measurement data on launch outcomes, but it defines the date on which legacy parts 415, 417, 431, and 435 were superseded by the consolidated Part 450 regime, and it defines the bridge window during which both regimes were available to applicants. Without that date, neither the cadence panel nor the duration panel can be assigned its treatment status, and the structural break has no operational definition.</w:t>
      </w:r>
    </w:p>
    <w:p>
      <w:pPr>
        <w:pStyle w:val="BodyText"/>
        <w:spacing w:line="480" w:lineRule="auto"/>
        <w:ind w:firstLine="720"/>
      </w:pPr>
      <w:r>
        <w:t xml:space="preserve">The second family is the FAA Office of Commercial Space Transportation publications stream, accessible through the FAA/AST publications page</w:t>
      </w:r>
      <w:r>
        <w:t xml:space="preserve"> </w:t>
      </w:r>
      <w:hyperlink w:anchor="ref-6">
        <w:r>
          <w:rPr>
            <w:rStyle w:val="Hyperlink"/>
          </w:rPr>
          <w:t xml:space="preserve">[6]</w:t>
        </w:r>
      </w:hyperlink>
      <w:r>
        <w:t xml:space="preserve">. Two serial publications matter. The Annual Compendium of Commercial Space Transportation, issued each year from 2011 through 2021, lists every FAA-licensed commercial launch and reentry conducted in the preceding calendar year, the operator of record, the vehicle, the spaceport, the mission description, and the license number under which the operation was authorized. The Quarterly Launch Report, issued thereafter from 2021 through 2024, performs the same function on a quarterly cadence and adds forward-looking schedule information that the analysis does not use. Both serials are public, downloadable, and have been preserved by the FAA on the AST publications page; both were used as the primary count source for the cadence panel in Paper 1</w:t>
      </w:r>
      <w:r>
        <w:t xml:space="preserve"> </w:t>
      </w:r>
      <w:hyperlink w:anchor="ref-6">
        <w:r>
          <w:rPr>
            <w:rStyle w:val="Hyperlink"/>
          </w:rPr>
          <w:t xml:space="preserve">[6]</w:t>
        </w:r>
      </w:hyperlink>
      <w:r>
        <w:t xml:space="preserve">. The quarterly serial is also the primary source for license action dates that enter the duration panel in Paper 2 alongside the GAO oversight reports.</w:t>
      </w:r>
    </w:p>
    <w:p>
      <w:pPr>
        <w:pStyle w:val="BodyText"/>
        <w:spacing w:line="480" w:lineRule="auto"/>
        <w:ind w:firstLine="720"/>
      </w:pPr>
      <w:r>
        <w:t xml:space="preserve">The third family is the U.S. Government Accountability Office oversight literature on FAA commercial space licensing. Three reports are central: GAO-23-106021 on FAA oversight of the commercial space industry</w:t>
      </w:r>
      <w:r>
        <w:t xml:space="preserve"> </w:t>
      </w:r>
      <w:hyperlink w:anchor="ref-8">
        <w:r>
          <w:rPr>
            <w:rStyle w:val="Hyperlink"/>
          </w:rPr>
          <w:t xml:space="preserve">[8]</w:t>
        </w:r>
      </w:hyperlink>
      <w:r>
        <w:t xml:space="preserve">, GAO-24-106767 on the status of FAA commercial space launch and reentry licensing and on workforce issues</w:t>
      </w:r>
      <w:r>
        <w:t xml:space="preserve"> </w:t>
      </w:r>
      <w:hyperlink w:anchor="ref-9">
        <w:r>
          <w:rPr>
            <w:rStyle w:val="Hyperlink"/>
          </w:rPr>
          <w:t xml:space="preserve">[9]</w:t>
        </w:r>
      </w:hyperlink>
      <w:r>
        <w:t xml:space="preserve">, and a 2025 follow-up update referenced in Paper 2. The GAO reports are not the originating source of license action dates, but they perform an essential function for this dissertation. They tabulate, by year and by license number, the elapsed time from receipt of a complete application to license action for the cohort of applications that the FAA processed under the legacy regime, under the bridge window, and under Part 450. Because the GAO obtained these tabulations directly from the FAA AST docket and audited them, they provide the most reliable single source on application durations available to a researcher without privileged access to the docket.</w:t>
      </w:r>
    </w:p>
    <w:p>
      <w:pPr>
        <w:pStyle w:val="BodyText"/>
        <w:spacing w:line="480" w:lineRule="auto"/>
        <w:ind w:firstLine="720"/>
      </w:pPr>
      <w:r>
        <w:t xml:space="preserve">The fourth family is the Federal Register itself, which carries the notices of license issuance, the notices of license modification, and any public notices of sufficiency or completeness extensions. The Federal Register is the durable public archive against which a license number recorded in the FAA serials or in a GAO table can be confirmed. Each license action in the analytic panel is required to be traceable to a Federal Register notice as a condition of inclusion.</w:t>
      </w:r>
    </w:p>
    <w:p>
      <w:pPr>
        <w:pStyle w:val="BodyText"/>
        <w:spacing w:line="480" w:lineRule="auto"/>
        <w:ind w:firstLine="720"/>
      </w:pPr>
      <w:r>
        <w:t xml:space="preserve">The fifth family is the U.S. Space Force 18th Space Defense Squadron general catalog, used in this dissertation in a strictly auxiliary role to confirm that a licensed launch corresponds to an object actually delivered to orbit. The 18th SDS catalog is not used to construct any variable in the analytic panels; it is used only to identify cases in which a license was issued but the launch was not subsequently flown, and to flag those cases for separate treatment in the descriptive statistics. The 18th SDS confirmation step is a defensive cross-check rather than a primary measurement.</w:t>
      </w:r>
    </w:p>
    <w:p>
      <w:pPr>
        <w:pStyle w:val="BodyText"/>
        <w:spacing w:line="480" w:lineRule="auto"/>
        <w:ind w:firstLine="720"/>
      </w:pPr>
      <w:r>
        <w:t xml:space="preserve">No proprietary subscription source is required. No fee-gated commercial launch tracker is required. The full provenance chain runs through public FAA serials</w:t>
      </w:r>
      <w:r>
        <w:t xml:space="preserve"> </w:t>
      </w:r>
      <w:hyperlink w:anchor="ref-6">
        <w:r>
          <w:rPr>
            <w:rStyle w:val="Hyperlink"/>
          </w:rPr>
          <w:t xml:space="preserve">[6]</w:t>
        </w:r>
      </w:hyperlink>
      <w:r>
        <w:t xml:space="preserve">, the Federal Register</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GAO oversight reports</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and the 18th SDS catalog. This is a deliberate design constraint: a reform-evaluation finding on launch licensing must be reproducible from the public record by another investigator, without privileged docket access, in order to inform the recurring whole-of-nation recommendation that the United States consolidate space authorization under a single federal agency</w:t>
      </w:r>
      <w:r>
        <w:t xml:space="preserve"> </w:t>
      </w:r>
      <w:hyperlink w:anchor="ref-3">
        <w:r>
          <w:rPr>
            <w:rStyle w:val="Hyperlink"/>
          </w:rPr>
          <w:t xml:space="preserve">[3]</w:t>
        </w:r>
      </w:hyperlink>
      <w:r>
        <w:t xml:space="preserve">.</w:t>
      </w:r>
    </w:p>
    <w:bookmarkEnd w:id="107"/>
    <w:bookmarkStart w:id="108" w:name="unit-of-analysis"/>
    <w:p>
      <w:pPr>
        <w:pStyle w:val="Heading2"/>
        <w:spacing w:line="480" w:lineRule="auto"/>
      </w:pPr>
      <w:r>
        <w:t xml:space="preserve">4.3 Unit of Analysis</w:t>
      </w:r>
    </w:p>
    <w:p>
      <w:pPr>
        <w:pStyle w:val="FirstParagraph"/>
        <w:spacing w:line="480" w:lineRule="auto"/>
      </w:pPr>
      <w:r>
        <w:t xml:space="preserve">The two papers operate at different units of analysis, by design.</w:t>
      </w:r>
    </w:p>
    <w:p>
      <w:pPr>
        <w:pStyle w:val="BodyText"/>
        <w:spacing w:line="480" w:lineRule="auto"/>
        <w:ind w:firstLine="720"/>
      </w:pPr>
      <w:r>
        <w:t xml:space="preserve">Paper 1 is constructed at the operator-year. A row in the analytic panel is a tuple of operator identity and calendar year, with the count of FAA-licensed launches in that year as the dependent variable. Operator-years in which the operator held an active FAA launch license but conducted no launches are included with a zero count, because exclusion of zero-launch operator-years would induce selection on the dependent variable and bias the estimated post-Part 450 cadence coefficient toward operators who were already flying. The cadence panel covers calendar years 2010 through 2024 and the six U.S. operators that held FAA launch authority at any point in that window: SpaceX, United Launch Alliance, Rocket Lab USA, Northrop Grumman, Blue Origin, and Virgin Galactic. Forty-one operator-year observations enter the estimating sample. The operator-year is the natural unit because the regulatory treatment, Part 450, applies to the regime under which a license is held rather than to any single launch; aggregating to the operator-year preserves the within-operator variation in cadence that the difference-in-differences augmentation exploits while keeping the treatment well-defined at the row level.</w:t>
      </w:r>
    </w:p>
    <w:p>
      <w:pPr>
        <w:pStyle w:val="BodyText"/>
        <w:spacing w:line="480" w:lineRule="auto"/>
        <w:ind w:firstLine="720"/>
      </w:pPr>
      <w:r>
        <w:t xml:space="preserve">Paper 2 is constructed at the application. A row in the analytic panel is a single FAA launch or reentry license application, with the elapsed time from receipt of a complete application to license action as the duration variable and an indicator for whether the application proceeded to license issuance. The sample comprises thirty applications between 2013 and 2025. The application-level construction is required because the Cox proportional-hazards model estimates the instantaneous hazard of approval as a function of application-level covariates, including the regime under which the application was filed, the operator size class, and the reusability of the candidate vehicle. Two applications are right-censored at the cutoff of the most recent GAO oversight report; they enter the partial likelihood through the censoring indicator but do not contribute event time.</w:t>
      </w:r>
    </w:p>
    <w:p>
      <w:pPr>
        <w:pStyle w:val="BodyText"/>
        <w:spacing w:line="480" w:lineRule="auto"/>
        <w:ind w:firstLine="720"/>
      </w:pPr>
      <w:r>
        <w:t xml:space="preserve">Neither unit of analysis is incidental. The cadence question concerns realized throughput across the population of authorized operators; the duration question concerns the time the regulator takes to act on an application. The two units capture different facets of the same regulatory event, and the falsifiable contribution of the dissertation requires that both be estimated with appropriate identification.</w:t>
      </w:r>
    </w:p>
    <w:bookmarkEnd w:id="108"/>
    <w:bookmarkStart w:id="109" w:name="X291a85ef247cb509bf8fc15b217e681675d98bf"/>
    <w:p>
      <w:pPr>
        <w:pStyle w:val="Heading2"/>
        <w:spacing w:line="480" w:lineRule="auto"/>
      </w:pPr>
      <w:r>
        <w:t xml:space="preserve">4.4 Construction of the Cadence Panel (Paper 1)</w:t>
      </w:r>
    </w:p>
    <w:p>
      <w:pPr>
        <w:pStyle w:val="FirstParagraph"/>
        <w:spacing w:line="480" w:lineRule="auto"/>
      </w:pPr>
      <w:r>
        <w:t xml:space="preserve">The cadence panel was constructed in five steps from the FAA AST serials and the Federal Register.</w:t>
      </w:r>
    </w:p>
    <w:p>
      <w:pPr>
        <w:pStyle w:val="BodyText"/>
        <w:spacing w:line="480" w:lineRule="auto"/>
        <w:ind w:firstLine="720"/>
      </w:pPr>
      <w:r>
        <w:t xml:space="preserve">The operator list was extracted from the FAA Active Licenses register, which enumerates every operator that has held an FAA launch or reentry license. Six operators were retained on the criterion that the operator held an active license at any point between 2010 and 2024. Operators whose authorization had lapsed before 2010 were excluded as outside the analytic window. Operators whose only authorizations were for amateur or experimental permits were excluded because the regulatory event under study is the consolidated commercial license, not the experimental permit regime.</w:t>
      </w:r>
    </w:p>
    <w:p>
      <w:pPr>
        <w:pStyle w:val="BodyText"/>
        <w:spacing w:line="480" w:lineRule="auto"/>
        <w:ind w:firstLine="720"/>
      </w:pPr>
      <w:r>
        <w:t xml:space="preserve">The annual count variable, the dependent variable in Paper 1, was constructed by tabulating, for each operator and each calendar year, the number of FAA-licensed launches recorded in the Annual Compendium for years 2010 through 2020 and in the Quarterly Launch Reports for years 2021 through 2024</w:t>
      </w:r>
      <w:r>
        <w:t xml:space="preserve"> </w:t>
      </w:r>
      <w:hyperlink w:anchor="ref-6">
        <w:r>
          <w:rPr>
            <w:rStyle w:val="Hyperlink"/>
          </w:rPr>
          <w:t xml:space="preserve">[6]</w:t>
        </w:r>
      </w:hyperlink>
      <w:r>
        <w:t xml:space="preserve">. A launch was attributed to a calendar year on the basis of the launch date recorded in the serial, not the application date or the license issuance date. The choice of launch date as the count anchor matches the policy quantity of interest, which is realized cadence under the regime, not the issuance schedule.</w:t>
      </w:r>
    </w:p>
    <w:p>
      <w:pPr>
        <w:pStyle w:val="BodyText"/>
        <w:spacing w:line="480" w:lineRule="auto"/>
        <w:ind w:firstLine="720"/>
      </w:pPr>
      <w:r>
        <w:t xml:space="preserve">The post-Part 450 indicator was coded one for operator-years from 2022 onward and zero otherwise. The bridge-year indicator was coded one for 2021, the calendar year of the rule’s effective date, and zero otherwise. The choice to hold 2021 out as a bridge year rather than as treated reflects the dual-regime selection problem: during 2021, operators could elect to remain on a legacy license or migrate to Part 450, and including 2021 in the treated period would mix a selection effect with the regime effect. The bridge indicator absorbs this contamination so that the post-Part 450 coefficient identifies the steady-state effect of the consolidated regime.</w:t>
      </w:r>
    </w:p>
    <w:p>
      <w:pPr>
        <w:pStyle w:val="BodyText"/>
        <w:spacing w:line="480" w:lineRule="auto"/>
        <w:ind w:firstLine="720"/>
      </w:pPr>
      <w:r>
        <w:t xml:space="preserve">The operator tenure variable was constructed as the number of calendar years between the year of the operator’s first FAA launch license and the year of the observation. First-license year was extracted from the FAA Active Licenses register and confirmed against the Federal Register notice of license issuance. Tenure enters the regression as a continuous covariate to absorb the experience-driven component of operator throughput.</w:t>
      </w:r>
    </w:p>
    <w:p>
      <w:pPr>
        <w:pStyle w:val="BodyText"/>
        <w:spacing w:line="480" w:lineRule="auto"/>
        <w:ind w:firstLine="720"/>
      </w:pPr>
      <w:r>
        <w:t xml:space="preserve">The large-constellation indicator was coded one for operator-years in which the operator was actively deploying a large low Earth orbit communications constellation and zero otherwise. The indicator is binary by construction. In practice, the indicator is non-zero only for SpaceX after the start of operational Starlink deployment, identified from SpaceX press kits and the corresponding FAA mission descriptions in the Quarterly Launch Reports</w:t>
      </w:r>
      <w:r>
        <w:t xml:space="preserve"> </w:t>
      </w:r>
      <w:hyperlink w:anchor="ref-6">
        <w:r>
          <w:rPr>
            <w:rStyle w:val="Hyperlink"/>
          </w:rPr>
          <w:t xml:space="preserve">[6]</w:t>
        </w:r>
      </w:hyperlink>
      <w:r>
        <w:t xml:space="preserve">. The constellation indicator is the conditioning variable that allows the Part 450 coefficient to be interpreted as a regulatory effect net of the dominant demand shock in the post-period, which the literature on launch traffic forecasting under constellation deployment plans treats as the principal driver of post-2021 cadence growth</w:t>
      </w:r>
      <w:r>
        <w:t xml:space="preserve"> </w:t>
      </w:r>
      <w:hyperlink w:anchor="ref-20">
        <w:r>
          <w:rPr>
            <w:rStyle w:val="Hyperlink"/>
          </w:rPr>
          <w:t xml:space="preserve">[20]</w:t>
        </w:r>
      </w:hyperlink>
      <w:r>
        <w:t xml:space="preserve">.</w:t>
      </w:r>
    </w:p>
    <w:p>
      <w:pPr>
        <w:pStyle w:val="BodyText"/>
        <w:spacing w:line="480" w:lineRule="auto"/>
        <w:ind w:firstLine="720"/>
      </w:pPr>
      <w:r>
        <w:t xml:space="preserve">Every row of the analytic dataset carries a</w:t>
      </w:r>
      <w:r>
        <w:t xml:space="preserve"> </w:t>
      </w:r>
      <w:r>
        <w:rPr>
          <w:rStyle w:val="VerbatimChar"/>
        </w:rPr>
        <w:t xml:space="preserve">source</w:t>
      </w:r>
      <w:r>
        <w:t xml:space="preserve"> </w:t>
      </w:r>
      <w:r>
        <w:t xml:space="preserve">column that records the publication chain by which the row was constructed. The source column is not used in estimation; it exists as the audit trail.</w:t>
      </w:r>
    </w:p>
    <w:bookmarkEnd w:id="109"/>
    <w:bookmarkStart w:id="110" w:name="X184eddb28d14c1f68cb5c6d9245f63269805e5f"/>
    <w:p>
      <w:pPr>
        <w:pStyle w:val="Heading2"/>
        <w:spacing w:line="480" w:lineRule="auto"/>
      </w:pPr>
      <w:r>
        <w:t xml:space="preserve">4.5 Construction of the Duration Panel (Paper 2)</w:t>
      </w:r>
    </w:p>
    <w:p>
      <w:pPr>
        <w:pStyle w:val="FirstParagraph"/>
        <w:spacing w:line="480" w:lineRule="auto"/>
      </w:pPr>
      <w:r>
        <w:t xml:space="preserve">The duration panel was constructed in four steps from the FAA AST serials, the GAO oversight reports, and the Federal Register.</w:t>
      </w:r>
    </w:p>
    <w:p>
      <w:pPr>
        <w:pStyle w:val="BodyText"/>
        <w:spacing w:line="480" w:lineRule="auto"/>
        <w:ind w:firstLine="720"/>
      </w:pPr>
      <w:r>
        <w:t xml:space="preserve">The application list was assembled from the docket tabulations in GAO-23-106021, GAO-24-106767, and the 2025 GAO follow-up</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GAO tabulations enumerate, by license number, the applications received and acted upon by FAA AST in each fiscal year of the oversight cohort. Thirty applications were retained on the criterion that the application either reached a license action between 2013 and the report cutoff or was pending at the cutoff. Applications for experimental permits were excluded for the same reason given in Section 4.4. Applications for license modifications rather than initial licenses were excluded because the regulatory event under study concerns the initial authorization decision; modifications are a separate regulatory action with their own statutory clock.</w:t>
      </w:r>
    </w:p>
    <w:p>
      <w:pPr>
        <w:pStyle w:val="BodyText"/>
        <w:spacing w:line="480" w:lineRule="auto"/>
        <w:ind w:firstLine="720"/>
      </w:pPr>
      <w:r>
        <w:t xml:space="preserve">The duration variable, the dependent variable in Paper 2, was constructed as the number of calendar days between FAA receipt of a complete application and FAA license action. Receipt of a complete application was coded from the docket entry recorded in the GAO tabulations, which the GAO obtained directly from FAA AST docket records. Where the GAO tabulation reported a date range rather than a single date, the receipt date used was the date on which the FAA acceptance letter was issued, consistent with the pre-registered measurement protocol in the dissertation prospectus. License action was coded as the date of license issuance recorded in the Federal Register. Where a license was denied or withdrawn rather than issued, the action date was the date of the corresponding Federal Register notice; in the present sample no such cases occur.</w:t>
      </w:r>
    </w:p>
    <w:p>
      <w:pPr>
        <w:pStyle w:val="BodyText"/>
        <w:spacing w:line="480" w:lineRule="auto"/>
        <w:ind w:firstLine="720"/>
      </w:pPr>
      <w:r>
        <w:t xml:space="preserve">The event indicator was coded one if the application proceeded to license action by the cutoff of the most recent GAO oversight report and zero if the application remained pending at the cutoff. Two observations are right-censored. The censoring date is the report cutoff, not the date of last observation on the application, because the GAO reports define the public window beyond which docket status cannot be confirmed without privileged access. Right-censoring at the report cutoff is the conservative choice and is consistent with the partial-likelihood construction of the Cox model.</w:t>
      </w:r>
    </w:p>
    <w:p>
      <w:pPr>
        <w:pStyle w:val="BodyText"/>
        <w:spacing w:line="480" w:lineRule="auto"/>
        <w:ind w:firstLine="720"/>
      </w:pPr>
      <w:r>
        <w:t xml:space="preserve">Three covariates enter the duration model. The Part 450 indicator was coded one if the application was filed under the consolidated regime and zero if it was filed under the legacy parts. The coding rule used the application receipt date relative to the rule’s effective date, with the bridge-window applications coded according to the regime named on the FAA acceptance letter; this is the only place in either panel where the regime is determined by the regulator’s own designation rather than by calendar date alone. The small-provider indicator was coded one for operators that had flown fewer than five FAA-licensed launches in the preceding five-year window and zero otherwise; the threshold matches the cohort definition used in GAO-24-106767</w:t>
      </w:r>
      <w:r>
        <w:t xml:space="preserve"> </w:t>
      </w:r>
      <w:hyperlink w:anchor="ref-9">
        <w:r>
          <w:rPr>
            <w:rStyle w:val="Hyperlink"/>
          </w:rPr>
          <w:t xml:space="preserve">[9]</w:t>
        </w:r>
      </w:hyperlink>
      <w:r>
        <w:t xml:space="preserve">. The reusability indicator was coded one for candidate vehicles whose first stage was designed for recovery and reflight and zero otherwise, with the coding drawn from the vehicle description in the FAA Quarterly Launch Report mission entry for the application’s candidate vehicle</w:t>
      </w:r>
      <w:r>
        <w:t xml:space="preserve"> </w:t>
      </w:r>
      <w:hyperlink w:anchor="ref-6">
        <w:r>
          <w:rPr>
            <w:rStyle w:val="Hyperlink"/>
          </w:rPr>
          <w:t xml:space="preserve">[6]</w:t>
        </w:r>
      </w:hyperlink>
      <w:r>
        <w:t xml:space="preserve">.</w:t>
      </w:r>
    </w:p>
    <w:p>
      <w:pPr>
        <w:pStyle w:val="BodyText"/>
        <w:spacing w:line="480" w:lineRule="auto"/>
        <w:ind w:firstLine="720"/>
      </w:pPr>
      <w:r>
        <w:t xml:space="preserve">Two pending-application durations were marked illustrative in the working file because the docket entry was open at the report cutoff. These observations contribute only the censoring indicator to the partial likelihood; they do not contribute event time. The illustrative marking is preserved in the analytic dataset as an audit flag and is reported transparently in the descriptive statistics.</w:t>
      </w:r>
    </w:p>
    <w:bookmarkEnd w:id="110"/>
    <w:bookmarkStart w:id="111" w:name="reconciliation-between-the-two-panels"/>
    <w:p>
      <w:pPr>
        <w:pStyle w:val="Heading2"/>
        <w:spacing w:line="480" w:lineRule="auto"/>
      </w:pPr>
      <w:r>
        <w:t xml:space="preserve">4.6 Reconciliation Between the Two Panels</w:t>
      </w:r>
    </w:p>
    <w:p>
      <w:pPr>
        <w:pStyle w:val="FirstParagraph"/>
        <w:spacing w:line="480" w:lineRule="auto"/>
      </w:pPr>
      <w:r>
        <w:t xml:space="preserve">A single license number appears in both panels by construction: the application that yields a license issuance in the duration panel becomes the authorization under which subsequent launches enter the cadence panel. The reconciliation procedure walks each license number through three documents in sequence. The application appearance is confirmed against the GAO oversight tabulation</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issuance date is confirmed against the Federal Register notice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The subsequent launch operations under the license are confirmed against the FAA Annual Compendium or Quarterly Launch Report entry that lists each operation by license number</w:t>
      </w:r>
      <w:r>
        <w:t xml:space="preserve"> </w:t>
      </w:r>
      <w:hyperlink w:anchor="ref-6">
        <w:r>
          <w:rPr>
            <w:rStyle w:val="Hyperlink"/>
          </w:rPr>
          <w:t xml:space="preserve">[6]</w:t>
        </w:r>
      </w:hyperlink>
      <w:r>
        <w:t xml:space="preserve">. Where a license number appears in the cadence panel but cannot be traced to a Federal Register issuance notice, the row is dropped and the omission is logged. No such omissions occurred in the present sample.</w:t>
      </w:r>
    </w:p>
    <w:bookmarkEnd w:id="111"/>
    <w:bookmarkStart w:id="112" w:name="threats-to-measurement-validity"/>
    <w:p>
      <w:pPr>
        <w:pStyle w:val="Heading2"/>
        <w:spacing w:line="480" w:lineRule="auto"/>
      </w:pPr>
      <w:r>
        <w:t xml:space="preserve">4.7 Threats to Measurement Validity</w:t>
      </w:r>
    </w:p>
    <w:p>
      <w:pPr>
        <w:pStyle w:val="FirstParagraph"/>
        <w:spacing w:line="480" w:lineRule="auto"/>
      </w:pPr>
      <w:r>
        <w:t xml:space="preserve">Five measurement risks warrant explicit treatment.</w:t>
      </w:r>
    </w:p>
    <w:p>
      <w:pPr>
        <w:pStyle w:val="BodyText"/>
        <w:spacing w:line="480" w:lineRule="auto"/>
        <w:ind w:firstLine="720"/>
      </w:pPr>
      <w:r>
        <w:t xml:space="preserve">The first is the dual-regime ambiguity in 2021. During the bridge year, an operator could conduct one launch under a legacy license and a subsequent launch under a Part 450 license. The cadence panel handles this ambiguity by holding 2021 out as a bridge year with its own indicator. The duration panel handles it by coding the regime from the FAA acceptance letter for each application individually rather than from the calendar date of receipt alone.</w:t>
      </w:r>
    </w:p>
    <w:p>
      <w:pPr>
        <w:pStyle w:val="BodyText"/>
        <w:spacing w:line="480" w:lineRule="auto"/>
        <w:ind w:firstLine="720"/>
      </w:pPr>
      <w:r>
        <w:t xml:space="preserve">The second is the definition of application acceptance. Days-to-authorization is sensitive to whether the clock starts at first docketed correspondence or at the date of the FAA acceptance letter. The pre-registered choice uses the acceptance letter, which is the formal regulatory event that begins the FAA review clock. A robustness check using first docketed correspondence is held in reserve.</w:t>
      </w:r>
    </w:p>
    <w:p>
      <w:pPr>
        <w:pStyle w:val="BodyText"/>
        <w:spacing w:line="480" w:lineRule="auto"/>
        <w:ind w:firstLine="720"/>
      </w:pPr>
      <w:r>
        <w:t xml:space="preserve">The third is the public visibility of sufficiency and completeness extensions. The pre-registered authorization-reliability outcome uses extensions visible in the Federal Register. Extensions handled by internal correspondence not posted in the Federal Register are not visible in the public record without privileged docket access. The dissertation does not claim to observe such extensions and treats unobserved extensions as a known measurement floor on authorization reliability.</w:t>
      </w:r>
    </w:p>
    <w:p>
      <w:pPr>
        <w:pStyle w:val="BodyText"/>
        <w:spacing w:line="480" w:lineRule="auto"/>
        <w:ind w:firstLine="720"/>
      </w:pPr>
      <w:r>
        <w:t xml:space="preserve">The fourth is operator identity drift across mergers, restructurings, and license transfers. The cadence panel treats each operator as a single identity across the analytic window. Where an operator changed legal name without a substantive transfer of the underlying program, the rows are combined under the persistent operator identity. The FAA Active Licenses register records the underlying entity continuity that the analytic panel honors.</w:t>
      </w:r>
    </w:p>
    <w:p>
      <w:pPr>
        <w:pStyle w:val="BodyText"/>
        <w:spacing w:line="480" w:lineRule="auto"/>
        <w:ind w:firstLine="720"/>
      </w:pPr>
      <w:r>
        <w:t xml:space="preserve">The fifth is the use of supplementary fields, principally the spaceport and the candidate vehicle, when these are required to disambiguate a license number across two GAO tabulations that report the same application twice with different cohort assignments. The reconciliation procedure resolves such cases by triangulating against the Federal Register notice, which is the durable record. No row in the analytic panel survives without a Federal Register confirmation.</w:t>
      </w:r>
    </w:p>
    <w:p>
      <w:pPr>
        <w:pStyle w:val="BodyText"/>
        <w:spacing w:line="480" w:lineRule="auto"/>
        <w:ind w:firstLine="720"/>
      </w:pPr>
      <w:r>
        <w:t xml:space="preserve">The dissertation work does not invoke proprietary data on individual missions or on operator finances, and does not draw on the broader Acta Astronautica literature on launch traffic forecasting, on suborbital regimes, or on miniaturized spacecraft as primary sources for any analytic variable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 Those works enter the dissertation as theoretical context and as reference points for the post-period demand environment rather than as data sources.</w:t>
      </w:r>
    </w:p>
    <w:bookmarkEnd w:id="112"/>
    <w:bookmarkStart w:id="113" w:name="descriptive-statistics"/>
    <w:p>
      <w:pPr>
        <w:pStyle w:val="Heading2"/>
        <w:spacing w:line="480" w:lineRule="auto"/>
      </w:pPr>
      <w:r>
        <w:t xml:space="preserve">4.8 Descriptive Statistics</w:t>
      </w:r>
    </w:p>
    <w:p>
      <w:pPr>
        <w:pStyle w:val="FirstParagraph"/>
        <w:spacing w:line="480" w:lineRule="auto"/>
      </w:pPr>
      <w:r>
        <w:t xml:space="preserve">The cadence panel contains forty-one operator-year observations across six operators and fifteen calendar years. The cross-operator dispersion in annual licensed launches is wide, with the post-period SpaceX operator-years carrying the upper tail of the distribution and several operator-years carrying zero counts. The within-operator panel for SpaceX is unbalanced toward the post-period, reflecting the operator’s rising cadence after 2021. The within-operator panels for United Launch Alliance and Rocket Lab USA are more balanced across the pre- and post-period. Northrop Grumman, Blue Origin, and Virgin Galactic contribute smaller numbers of operator-years and lower cadence levels, with their post-period mass concentrated in distinct vehicle families.</w:t>
      </w:r>
    </w:p>
    <w:p>
      <w:pPr>
        <w:pStyle w:val="BodyText"/>
        <w:spacing w:line="480" w:lineRule="auto"/>
        <w:ind w:firstLine="720"/>
      </w:pPr>
      <w:r>
        <w:t xml:space="preserve">The duration panel contains thirty applications between 2013 and 2025, with twenty-eight observed license actions and two right-censored cases. The pre-Part 450 cohort of applications carries shorter durations on average than the post-Part 450 cohort, a pattern that the Cox model interprets as a sharp reduction in the instantaneous hazard of approval under the consolidated regime. The small-provider cohort and the reusable-vehicle cohort are sufficiently distributed across the regime indicator to permit identification of their hazard ratios net of the Part 450 effect.</w:t>
      </w:r>
    </w:p>
    <w:p>
      <w:pPr>
        <w:pStyle w:val="BodyText"/>
        <w:spacing w:line="480" w:lineRule="auto"/>
        <w:ind w:firstLine="720"/>
      </w:pPr>
      <w:r>
        <w:t xml:space="preserve">The combination of these two panels supports the pre-registered estimation plan. The cadence panel identifies the regulatory effect on realized throughput at the operator-year level under a specification that explicitly partials out the dominant constellation-deployment demand shock. The duration panel identifies the regulatory effect on the FAA’s queue dynamics at the application level under a hazard specification that does not impose a parametric shape on the regulator’s processing time. The two panels are reconciled at the license number, anchored to the Federal Register, and audited against the GAO oversight reports. The empirical chapters that follow rely on this measurement architecture without additional construction beyond the variables documented here.</w:t>
      </w:r>
    </w:p>
    <w:bookmarkEnd w:id="113"/>
    <w:bookmarkEnd w:id="114"/>
    <w:bookmarkStart w:id="128" w:name="chapter-5.-methods-and-identification"/>
    <w:p>
      <w:pPr>
        <w:pStyle w:val="Heading1"/>
        <w:spacing w:line="480" w:lineRule="auto"/>
      </w:pPr>
      <w:r>
        <w:t xml:space="preserve">Chapter 5. Methods and Identification</w:t>
      </w:r>
    </w:p>
    <w:bookmarkStart w:id="115" w:name="overview-of-the-identification-problem"/>
    <w:p>
      <w:pPr>
        <w:pStyle w:val="Heading2"/>
        <w:spacing w:line="480" w:lineRule="auto"/>
      </w:pPr>
      <w:r>
        <w:t xml:space="preserve">5.1 Overview of the Identification Problem</w:t>
      </w:r>
    </w:p>
    <w:p>
      <w:pPr>
        <w:pStyle w:val="FirstParagraph"/>
        <w:spacing w:line="480" w:lineRule="auto"/>
      </w:pPr>
      <w:r>
        <w:t xml:space="preserve">The empirical question this dissertation poses is whether the consolidation of four legacy launch and reentry licensing parts of 14 CFR into 14 CFR Part 450, finalized on 10 December 2020 and effective 15 March 2021</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produced a measurable structural break in three pre-registered outcomes: monthly licensed launch cadence, days from application acceptance to license issuance, and authorization reliability measured as the share of accepted applications proceeding to issuance without a public sufficiency or completeness extension. The identification problem is not the absence of variation. Variation across operators, vehicles, application years, and regulatory regimes is abundant in the FAA AST record</w:t>
      </w:r>
      <w:r>
        <w:t xml:space="preserve"> </w:t>
      </w:r>
      <w:hyperlink w:anchor="ref-6">
        <w:r>
          <w:rPr>
            <w:rStyle w:val="Hyperlink"/>
          </w:rPr>
          <w:t xml:space="preserve">[6]</w:t>
        </w:r>
      </w:hyperlink>
      <w:r>
        <w:t xml:space="preserve">. The problem is that the variation Part 450 introduces is entangled with two concurrent shocks of comparable magnitude: a demand shock driven by large low-Earth-orbit constellation deployment, and a workforce and adjudication-capacity shock at the regulator that the Government Accountability Office documented in three sequential oversight reports</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Any method that fails to partial these concurrent shocks from the regime indicator is not credibly identifying the Part 450 effect; it is identifying a confounded composite.</w:t>
      </w:r>
    </w:p>
    <w:p>
      <w:pPr>
        <w:pStyle w:val="BodyText"/>
        <w:spacing w:line="480" w:lineRule="auto"/>
        <w:ind w:firstLine="720"/>
      </w:pPr>
      <w:r>
        <w:t xml:space="preserve">This chapter develops the estimator stack and the identification strategy that the two empirical papers reported in Chapters 3 and 4 instantiate. Section 5.2 sets out the three estimators in their formal generality: the interrupted time series specification, the panel fixed-effects specification, and the Cox proportional-hazards survival specification. Section 5.3 develops the comparative interrupted time series and difference-in-differences augmentations that anchor causal identification. Section 5.4 enumerates the threats to validity, and for each one specifies the pre-registered mitigation, the residual concern, and the empirical test that places a bound on the residual concern. Section 5.5 reconciles the three estimators into a single inferential package and states the conditions under which the package would falsify the consolidated-regime-lowers-friction hypothesis. The chapter does not present results; results are reported in Chapters 6 and 7.</w:t>
      </w:r>
    </w:p>
    <w:bookmarkEnd w:id="115"/>
    <w:bookmarkStart w:id="119" w:name="the-three-estimators"/>
    <w:p>
      <w:pPr>
        <w:pStyle w:val="Heading2"/>
        <w:spacing w:line="480" w:lineRule="auto"/>
      </w:pPr>
      <w:r>
        <w:t xml:space="preserve">5.2 The Three Estimators</w:t>
      </w:r>
    </w:p>
    <w:p>
      <w:pPr>
        <w:pStyle w:val="FirstParagraph"/>
        <w:spacing w:line="480" w:lineRule="auto"/>
      </w:pPr>
      <w:r>
        <w:t xml:space="preserve">The dissertation uses three estimators because no single estimator is adequate to the three pre-registered outcomes. Cadence is a count outcome observed in operator-time, suited to a panel regression. Days-to-authorization is a duration outcome with right-censoring, suited to a hazard model. Authorization reliability is a proportion outcome that aggregates application-level events, suited to interrupted time series. The three estimators are deliberately heterogeneous so that no shared parametric assumption is permitted to drive the result across all three outcomes simultaneously.</w:t>
      </w:r>
    </w:p>
    <w:bookmarkStart w:id="116" w:name="X60b6162f0e6aeb122af6d7d38b8e245aa2c160f"/>
    <w:p>
      <w:pPr>
        <w:pStyle w:val="Heading3"/>
        <w:spacing w:line="480" w:lineRule="auto"/>
      </w:pPr>
      <w:r>
        <w:t xml:space="preserve">5.2.1 The Interrupted Time Series Specification</w:t>
      </w:r>
    </w:p>
    <w:p>
      <w:pPr>
        <w:pStyle w:val="FirstParagraph"/>
        <w:spacing w:line="480" w:lineRule="auto"/>
      </w:pPr>
      <w:r>
        <w:t xml:space="preserve">The interrupted time series, ITS, specification for outcome y at time t takes the canonical Wagner-Newhouse form</w:t>
      </w:r>
    </w:p>
    <w:p>
      <w:pPr>
        <w:pStyle w:val="BodyText"/>
        <w:spacing w:line="480" w:lineRule="auto"/>
        <w:ind w:firstLine="720"/>
      </w:pPr>
      <w:r>
        <w:t xml:space="preserve">y_t = beta_0 + beta_1 t + beta_2 D_t + beta_3 (t - t_star) D_t + beta_4 B_t + epsilon_t</w:t>
      </w:r>
    </w:p>
    <w:p>
      <w:pPr>
        <w:pStyle w:val="BodyText"/>
        <w:spacing w:line="480" w:lineRule="auto"/>
        <w:ind w:firstLine="720"/>
      </w:pPr>
      <w:r>
        <w:t xml:space="preserve">where t indexes the time unit, D_t is an indicator equal to one for periods after the close of the bridge window, t_star is the first post-bridge period, B_t is the bridge-window indicator coding 2021 calendar periods during which both regimes were available to applicants, and epsilon_t is the disturbance. The coefficient beta_2 estimates the level shift attributable to the consolidated regime in steady state, and beta_3 estimates the slope shift in the post-period trend. The bridge-window indicator B_t isolates the dual-regime transition from the steady-state post-period, an econometric necessity because the bridge window is by construction a period in which selection into the new regime is operator-driven and therefore non-random.</w:t>
      </w:r>
    </w:p>
    <w:p>
      <w:pPr>
        <w:pStyle w:val="BodyText"/>
        <w:spacing w:line="480" w:lineRule="auto"/>
        <w:ind w:firstLine="720"/>
      </w:pPr>
      <w:r>
        <w:t xml:space="preserve">Two practical refinements apply. First, the disturbance epsilon_t is autocorrelated in a series with the temporal density of monthly licensing actions. Newey-West heteroskedasticity- and autocorrelation-consistent standard errors with a lag length chosen by the Newey-West rule of thumb at floor(4 (T/100)^(2/9)) are reported alongside ordinary least squares standard errors, and inference is conducted on the more conservative set. Second, the ITS specification is fragile to a single false break date and to choice of bandwidth. Three pre-registered bandwidths of six, nine, and twelve months around the effective date discipline the level estimate, and a placebo break at the midpoint of the pre-period is reported as a falsification check.</w:t>
      </w:r>
    </w:p>
    <w:bookmarkEnd w:id="116"/>
    <w:bookmarkStart w:id="117" w:name="the-panel-fixed-effects-specification"/>
    <w:p>
      <w:pPr>
        <w:pStyle w:val="Heading3"/>
        <w:spacing w:line="480" w:lineRule="auto"/>
      </w:pPr>
      <w:r>
        <w:t xml:space="preserve">5.2.2 The Panel Fixed-Effects Specification</w:t>
      </w:r>
    </w:p>
    <w:p>
      <w:pPr>
        <w:pStyle w:val="FirstParagraph"/>
        <w:spacing w:line="480" w:lineRule="auto"/>
      </w:pPr>
      <w:r>
        <w:t xml:space="preserve">The operator-year panel specification for the cadence outcome takes the form</w:t>
      </w:r>
    </w:p>
    <w:p>
      <w:pPr>
        <w:pStyle w:val="BodyText"/>
        <w:spacing w:line="480" w:lineRule="auto"/>
        <w:ind w:firstLine="720"/>
      </w:pPr>
      <w:r>
        <w:t xml:space="preserve">L_{it} = gamma_0 + gamma_1 P_t + gamma_2 B_t + gamma_3 X_{it} + gamma_4 S_{it} + alpha_i + lambda_t + u_{it}</w:t>
      </w:r>
    </w:p>
    <w:p>
      <w:pPr>
        <w:pStyle w:val="BodyText"/>
        <w:spacing w:line="480" w:lineRule="auto"/>
        <w:ind w:firstLine="720"/>
      </w:pPr>
      <w:r>
        <w:t xml:space="preserve">where L_{it} is FAA-licensed launches by operator i in year t, P_t is the post-Part 450 indicator coding 2022 onward after the close of the bridge window, B_t is the bridge-year indicator coding 2021, X_{it} is operator tenure measured in years since first FAA license issuance, S_{it} is the large-constellation deployment indicator coding operator-years in which the operator was actively deploying a large LEO communications constellation, alpha_i is an operator fixed effect, lambda_t is a year fixed effect, and u_{it} is a disturbance term clustered at the operator level. The estimand of interest is gamma_1.</w:t>
      </w:r>
    </w:p>
    <w:p>
      <w:pPr>
        <w:pStyle w:val="BodyText"/>
        <w:spacing w:line="480" w:lineRule="auto"/>
        <w:ind w:firstLine="720"/>
      </w:pPr>
      <w:r>
        <w:t xml:space="preserve">The Chapter 3 reporting paper estimates a restricted form of this specification with pooled ordinary least squares and HC1 robust standard errors, omitting the two-way fixed effects because the forty-one operator-year sample cannot support the full degree-of-freedom cost of saturated fixed effects. The dissertation reports the full two-way fixed-effects estimate alongside the restricted estimate, with the restricted estimate as the primary reported magnitude for headline purposes and the two-way estimate as a robustness check that bounds the operator-and-year confound. A leave-one-operator-out estimate addresses the residual concern that the SpaceX post-period mass mechanically drives gamma_1; the leave-one-out estimate is interpreted as the operator-class-robust counterpart to the restricted estimate.</w:t>
      </w:r>
    </w:p>
    <w:bookmarkEnd w:id="117"/>
    <w:bookmarkStart w:id="118" w:name="Xa6b8b482cae6c1116587308b697cbcc29455c78"/>
    <w:p>
      <w:pPr>
        <w:pStyle w:val="Heading3"/>
        <w:spacing w:line="480" w:lineRule="auto"/>
      </w:pPr>
      <w:r>
        <w:t xml:space="preserve">5.2.3 The Cox Proportional-Hazards Specification</w:t>
      </w:r>
    </w:p>
    <w:p>
      <w:pPr>
        <w:pStyle w:val="FirstParagraph"/>
        <w:spacing w:line="480" w:lineRule="auto"/>
      </w:pPr>
      <w:r>
        <w:t xml:space="preserve">The duration outcome is the elapsed calendar days from FAA receipt of a complete application to license action</w:t>
      </w:r>
      <w:r>
        <w:t xml:space="preserve"> </w:t>
      </w:r>
      <w:hyperlink w:anchor="ref-6">
        <w:r>
          <w:rPr>
            <w:rStyle w:val="Hyperlink"/>
          </w:rPr>
          <w:t xml:space="preserve">[6]</w:t>
        </w:r>
      </w:hyperlink>
      <w:r>
        <w:t xml:space="preserve">. The hazard at duration tau is modeled as</w:t>
      </w:r>
    </w:p>
    <w:p>
      <w:pPr>
        <w:pStyle w:val="BodyText"/>
        <w:spacing w:line="480" w:lineRule="auto"/>
        <w:ind w:firstLine="720"/>
      </w:pPr>
      <w:r>
        <w:t xml:space="preserve">h(tau | Z_{ij}) = h_0(tau) exp(delta_1 P_{ij} + delta_2 M_{ij} + delta_3 R_{ij})</w:t>
      </w:r>
    </w:p>
    <w:p>
      <w:pPr>
        <w:pStyle w:val="BodyText"/>
        <w:spacing w:line="480" w:lineRule="auto"/>
        <w:ind w:firstLine="720"/>
      </w:pPr>
      <w:r>
        <w:t xml:space="preserve">where h_0(tau) is an unspecified baseline hazard, P_{ij} is the Part 450 indicator for application j by operator i, M_{ij} is a small-or-emerging-provider indicator, R_{ij} is a reusable-vehicle indicator, and the hazard ratio of interest is exp(delta_1). Right-censoring at the GAO-25 report cutoff is incorporated through the censoring indicator and contributes no event time to the partial likelihood</w:t>
      </w:r>
      <w:r>
        <w:t xml:space="preserve"> </w:t>
      </w:r>
      <w:hyperlink w:anchor="ref-9">
        <w:r>
          <w:rPr>
            <w:rStyle w:val="Hyperlink"/>
          </w:rPr>
          <w:t xml:space="preserve">[9]</w:t>
        </w:r>
      </w:hyperlink>
      <w:r>
        <w:t xml:space="preserve">. The Breslow tie-handling rule is used by default. The Cox specification is appropriate because the regulator’s queue dynamics generate a non-monotonic baseline hazard that any parametric duration model would mis-specify</w:t>
      </w:r>
      <w:r>
        <w:t xml:space="preserve"> </w:t>
      </w:r>
      <w:hyperlink w:anchor="ref-10">
        <w:r>
          <w:rPr>
            <w:rStyle w:val="Hyperlink"/>
          </w:rPr>
          <w:t xml:space="preserve">[10]</w:t>
        </w:r>
      </w:hyperlink>
      <w:r>
        <w:t xml:space="preserve">.</w:t>
      </w:r>
    </w:p>
    <w:p>
      <w:pPr>
        <w:pStyle w:val="BodyText"/>
        <w:spacing w:line="480" w:lineRule="auto"/>
        <w:ind w:firstLine="720"/>
      </w:pPr>
      <w:r>
        <w:t xml:space="preserve">The proportional-hazards assumption is testable by Schoenfeld residuals. At the present analytic sample size the residual test has low power, and the dissertation accordingly reports a stratified Cox specification by vehicle class as the principal robustness check rather than a residual-based test of proportionality.</w:t>
      </w:r>
    </w:p>
    <w:bookmarkEnd w:id="118"/>
    <w:bookmarkEnd w:id="119"/>
    <w:bookmarkStart w:id="120" w:name="identification-strategy"/>
    <w:p>
      <w:pPr>
        <w:pStyle w:val="Heading2"/>
        <w:spacing w:line="480" w:lineRule="auto"/>
      </w:pPr>
      <w:r>
        <w:t xml:space="preserve">5.3 Identification Strategy</w:t>
      </w:r>
    </w:p>
    <w:p>
      <w:pPr>
        <w:pStyle w:val="FirstParagraph"/>
        <w:spacing w:line="480" w:lineRule="auto"/>
      </w:pPr>
      <w:r>
        <w:t xml:space="preserve">The three estimators are bound together by a single identification strategy: a comparative interrupted time series with a difference-in-differences augmentation. The comparative ITS treats Part 450 as the intervention, the bridge window as a contaminated period that is held out by indicator, and the pre-period plus the steady-state post-period as the contrast pair. The DiD augmentation exploits within-operator and within-vehicle-family variation, using applications still operating under legacy licenses during the bridge window as the control panel.</w:t>
      </w:r>
    </w:p>
    <w:p>
      <w:pPr>
        <w:pStyle w:val="BodyText"/>
        <w:spacing w:line="480" w:lineRule="auto"/>
        <w:ind w:firstLine="720"/>
      </w:pPr>
      <w:r>
        <w:t xml:space="preserve">The identifying assumption is parallel trends in the pre-period. Stated in the panel notation, the assumption is that, in the absence of Part 450, the conditional expectation of the outcome would have evolved along the same time path for treated operators and for the within-firm legacy-licensed control applications. Parallel trends is not provable; it is testable. Two pre-registered tests apply. First, a placebo break test re-estimates the level and slope coefficients at a counterfactual transition date placed at the midpoint of the pre-period. A null placebo result is consistent with parallel pre-trends; a significant placebo result voids the comparative ITS identification claim and the affected outcome is reported as descriptive only. Second, an event-time plot around the true effective date, restricted to operators with at least three pre-period and three post-period observations, displays whether the discontinuity is concentrated at t_star or smeared across the bridge window.</w:t>
      </w:r>
    </w:p>
    <w:p>
      <w:pPr>
        <w:pStyle w:val="BodyText"/>
        <w:spacing w:line="480" w:lineRule="auto"/>
        <w:ind w:firstLine="720"/>
      </w:pPr>
      <w:r>
        <w:t xml:space="preserve">The DiD augmentation rests on the additional assumption that the bridge-window control applications are themselves not affected by Part 450 except through the migration decision. This is not innocuous. An operator that delayed migration to the consolidated regime may have done so for reasons correlated with the cadence and duration outcomes. The dissertation addresses this through the leave-one-operator-out robustness check and through a sensitivity bound that re-estimates gamma_1 dropping the bridge-window observations entirely. Where the leave-one-out estimate and the bridge-dropped estimate fall within the confidence interval of the headline estimate, the DiD identification claim survives the residual selection concern; where they do not, the affected estimand is reported with the bound widened accordingly.</w:t>
      </w:r>
    </w:p>
    <w:p>
      <w:pPr>
        <w:pStyle w:val="BodyText"/>
        <w:spacing w:line="480" w:lineRule="auto"/>
        <w:ind w:firstLine="720"/>
      </w:pPr>
      <w:r>
        <w:t xml:space="preserve">A third identification supplement is a regression discontinuity in event time around the 15 March 2021 effective date, with bandwidths of six, nine, and twelve months. The RDD reading is not the dissertation’s headline; it is a triangulation. The reading is that, conditional on the bandwidths, the outcomes show a discontinuity at the effective date that cannot be plausibly attributed to the bridge-window indicator or to seasonality. The RDD is preferred to a sharp ITS reading on philosophical grounds because the effective date is a known, exogenous, calendar-pinned event and the rule’s coverage is sharp at that date for newly accepted applications. Where the RDD point estimate sign agrees with the ITS level coefficient sign across all three bandwidths, the structural-break inference is treated as triangulated.</w:t>
      </w:r>
    </w:p>
    <w:bookmarkEnd w:id="120"/>
    <w:bookmarkStart w:id="126" w:name="threats-to-validity"/>
    <w:p>
      <w:pPr>
        <w:pStyle w:val="Heading2"/>
        <w:spacing w:line="480" w:lineRule="auto"/>
      </w:pPr>
      <w:r>
        <w:t xml:space="preserve">5.4 Threats to Validity</w:t>
      </w:r>
    </w:p>
    <w:p>
      <w:pPr>
        <w:pStyle w:val="FirstParagraph"/>
        <w:spacing w:line="480" w:lineRule="auto"/>
      </w:pPr>
      <w:r>
        <w:t xml:space="preserve">Four threats are first-order, and a further three are second-order. Each is enumerated below with its pre-registered mitigation and the empirical bound the dissertation places on the residual concern. The structure follows Shadish, Cook, and Campbell’s enumeration of validity threats and adapts each threat to the specific regulatory and demand environment in which Part 450 was promulgated.</w:t>
      </w:r>
    </w:p>
    <w:bookmarkStart w:id="121" w:name="selection-into-part-450"/>
    <w:p>
      <w:pPr>
        <w:pStyle w:val="Heading3"/>
        <w:spacing w:line="480" w:lineRule="auto"/>
      </w:pPr>
      <w:r>
        <w:t xml:space="preserve">5.4.1 Selection into Part 450</w:t>
      </w:r>
    </w:p>
    <w:p>
      <w:pPr>
        <w:pStyle w:val="FirstParagraph"/>
        <w:spacing w:line="480" w:lineRule="auto"/>
      </w:pPr>
      <w:r>
        <w:t xml:space="preserve">Operators chose when to migrate from a legacy license to a Part 450 license during the bridge window, and the choice was not random. Sophisticated operators with strong regulatory affairs functions may have migrated faster, biasing the post-period sample toward operators with high underlying cadence. The DiD design with operator fixed effects absorbs time-invariant operator heterogeneity, and the bridge-window indicator absorbs the dual-regime contamination. The residual concern is dynamic selection by sophistication, which is addressed by the leave-one-operator-out robustness check and by a sensitivity bound that re-estimates the headline coefficient excluding the operator with the earliest migration date. The two robustness estimates jointly bound the dynamic-selection bias; where they bracket the headline estimate the dynamic-selection concern is dismissed at the bound, and where they do not the bound is reported as the operative confidence interval.</w:t>
      </w:r>
    </w:p>
    <w:bookmarkEnd w:id="121"/>
    <w:bookmarkStart w:id="122" w:name="concurrent-demand-shock"/>
    <w:p>
      <w:pPr>
        <w:pStyle w:val="Heading3"/>
        <w:spacing w:line="480" w:lineRule="auto"/>
      </w:pPr>
      <w:r>
        <w:t xml:space="preserve">5.4.2 Concurrent Demand Shock</w:t>
      </w:r>
    </w:p>
    <w:p>
      <w:pPr>
        <w:pStyle w:val="FirstParagraph"/>
        <w:spacing w:line="480" w:lineRule="auto"/>
      </w:pPr>
      <w:r>
        <w:t xml:space="preserve">The commercial launch sector grew sharply in the post-period for reasons unrelated to licensing, principally large constellation deployments. Failure to partial the constellation shock would inflate the post-Part 450 coefficient by an amount equal to the constellation contribution to operator-year cadence. The panel specification absorbs the shock through the explicit S_{it} indicator, identified from SpaceX Starlink launch press kits and the corresponding FAA mission descriptions</w:t>
      </w:r>
      <w:r>
        <w:t xml:space="preserve"> </w:t>
      </w:r>
      <w:hyperlink w:anchor="ref-6">
        <w:r>
          <w:rPr>
            <w:rStyle w:val="Hyperlink"/>
          </w:rPr>
          <w:t xml:space="preserve">[6]</w:t>
        </w:r>
      </w:hyperlink>
      <w:r>
        <w:t xml:space="preserve">. The cadence reporting paper estimates the constellation coefficient at approximately 53.6 additional launches per operator-year, an order of magnitude larger than the regulatory coefficient, which demonstrates that the two effects are co-present and separately identified within the specification. A synthetic control constructed from international launch cadence series for operators not subject to Part 450, drawn from the Acta Astronautica spaceport-jurisdictional context</w:t>
      </w:r>
      <w:r>
        <w:t xml:space="preserve"> </w:t>
      </w:r>
      <w:hyperlink w:anchor="ref-4">
        <w:r>
          <w:rPr>
            <w:rStyle w:val="Hyperlink"/>
          </w:rPr>
          <w:t xml:space="preserve">[4]</w:t>
        </w:r>
      </w:hyperlink>
      <w:r>
        <w:t xml:space="preserve"> </w:t>
      </w:r>
      <w:r>
        <w:t xml:space="preserve">and from the suborbital-and-airspace literature</w:t>
      </w:r>
      <w:r>
        <w:t xml:space="preserve"> </w:t>
      </w:r>
      <w:hyperlink w:anchor="ref-21">
        <w:r>
          <w:rPr>
            <w:rStyle w:val="Hyperlink"/>
          </w:rPr>
          <w:t xml:space="preserve">[21]</w:t>
        </w:r>
      </w:hyperlink>
      <w:r>
        <w:t xml:space="preserve">, provides an out-of-sample check on the within-operator partialling. Where the synthetic control’s pre-period trajectory tracks the U.S. pre-period trajectory and diverges at the effective date, the demand-shock confound is bounded by the divergence magnitude.</w:t>
      </w:r>
    </w:p>
    <w:bookmarkEnd w:id="122"/>
    <w:bookmarkStart w:id="123" w:name="adjudication-capacity-confound"/>
    <w:p>
      <w:pPr>
        <w:pStyle w:val="Heading3"/>
        <w:spacing w:line="480" w:lineRule="auto"/>
      </w:pPr>
      <w:r>
        <w:t xml:space="preserve">5.4.3 Adjudication-Capacity Confound</w:t>
      </w:r>
    </w:p>
    <w:p>
      <w:pPr>
        <w:pStyle w:val="FirstParagraph"/>
        <w:spacing w:line="480" w:lineRule="auto"/>
      </w:pPr>
      <w:r>
        <w:t xml:space="preserve">If FAA AST adjudication staffing changed at or near the rule’s effective date, the estimated effect mixes the rule and the staffing change. The Government Accountability Office documented exactly such a workforce strain in GAO-23-106021 and GAO-24-106767</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mitigation is to collect FAA AST staffing data from public budget justifications and to include a staffing covariate as a sensitivity check on the cadence and duration regressions. The residual concern is that staffing and rule-change are themselves co-determined: Congress increased AST appropriations in the post-period in part because the new regime imposed new adjudication demands. Where the staffing covariate enters the panel with a coefficient whose sign opposes the post-Part 450 coefficient, the regulatory coefficient is interpreted as a net effect that combines the rule’s friction-reducing pathway with the adjudication-capacity offset. The dissertation reports both the gross and the net coefficient and is explicit about which is being interpreted in each subsection of Chapter 7.</w:t>
      </w:r>
    </w:p>
    <w:bookmarkEnd w:id="123"/>
    <w:bookmarkStart w:id="124" w:name="outcome-measurement"/>
    <w:p>
      <w:pPr>
        <w:pStyle w:val="Heading3"/>
        <w:spacing w:line="480" w:lineRule="auto"/>
      </w:pPr>
      <w:r>
        <w:t xml:space="preserve">5.4.4 Outcome Measurement</w:t>
      </w:r>
    </w:p>
    <w:p>
      <w:pPr>
        <w:pStyle w:val="FirstParagraph"/>
        <w:spacing w:line="480" w:lineRule="auto"/>
      </w:pPr>
      <w:r>
        <w:t xml:space="preserve">Days-to-authorization is sensitive to the definition of application acceptance. The pre-registered definition uses the FAA’s published acceptance letter date; a robustness check uses the first docketed correspondence date. The two definitions differ in expectation by a window measured in weeks, not days, and the Cox hazard ratio is recomputed under each definition. Where the hazard ratios under the two definitions fall within each other’s confidence intervals the headline duration estimate is reported as definition-robust; where they do not the definitional sensitivity is reported as a residual bound. Authorization reliability is sensitive to the public visibility of sufficiency extensions; the pre-registered definition uses extensions visible in the Federal Register</w:t>
      </w:r>
      <w:r>
        <w:t xml:space="preserve"> </w:t>
      </w:r>
      <w:hyperlink w:anchor="ref-7">
        <w:r>
          <w:rPr>
            <w:rStyle w:val="Hyperlink"/>
          </w:rPr>
          <w:t xml:space="preserve">[7]</w:t>
        </w:r>
      </w:hyperlink>
      <w:r>
        <w:t xml:space="preserve">, and a robustness check uses FOIA-obtainable internal correspondence where it is available. The dissertation reports the reliability proportion under both definitions and treats divergence between them as a measurement-noise bound rather than as evidence of substantive change.</w:t>
      </w:r>
    </w:p>
    <w:bookmarkEnd w:id="124"/>
    <w:bookmarkStart w:id="125" w:name="second-order-threats"/>
    <w:p>
      <w:pPr>
        <w:pStyle w:val="Heading3"/>
        <w:spacing w:line="480" w:lineRule="auto"/>
      </w:pPr>
      <w:r>
        <w:t xml:space="preserve">5.4.5 Second-Order Threats</w:t>
      </w:r>
    </w:p>
    <w:p>
      <w:pPr>
        <w:pStyle w:val="FirstParagraph"/>
        <w:spacing w:line="480" w:lineRule="auto"/>
      </w:pPr>
      <w:r>
        <w:t xml:space="preserve">Three further threats receive briefer treatment because each is dispatched by a single robustness specification. Reusable-vehicle reuse is a confound for the cadence outcome because a reusable booster generates more licensed launches per authorization. The reusability indicator R_{ij} enters the Cox specification explicitly, and a reusable-or-not interaction is reported for the panel cadence estimate. Geopolitical demand effects, including launch-on-demand pressure documented in the policy literature</w:t>
      </w:r>
      <w:r>
        <w:t xml:space="preserve"> </w:t>
      </w:r>
      <w:hyperlink w:anchor="ref-11">
        <w:r>
          <w:rPr>
            <w:rStyle w:val="Hyperlink"/>
          </w:rPr>
          <w:t xml:space="preserve">[11]</w:t>
        </w:r>
      </w:hyperlink>
      <w:r>
        <w:t xml:space="preserve">, are absorbed by the year fixed effect lambda_t in the saturated panel specification and reported as a year-by-year coefficient pattern. The GEO-application channel documented by Roberts and Linares</w:t>
      </w:r>
      <w:r>
        <w:t xml:space="preserve"> </w:t>
      </w:r>
      <w:hyperlink w:anchor="ref-12">
        <w:r>
          <w:rPr>
            <w:rStyle w:val="Hyperlink"/>
          </w:rPr>
          <w:t xml:space="preserve">[12]</w:t>
        </w:r>
      </w:hyperlink>
      <w:r>
        <w:t xml:space="preserve">, which captures ITU-side congestion in geosynchronous orbital regime application volume, is not a within-FAA channel and is excluded from the analytic sample; the exclusion is noted so that future work can extend the comparative design to ITU-coordinated authorization.</w:t>
      </w:r>
    </w:p>
    <w:bookmarkEnd w:id="125"/>
    <w:bookmarkEnd w:id="126"/>
    <w:bookmarkStart w:id="127" w:name="X467873988f5aae25bc8ffad0bdc9be0576a00ea"/>
    <w:p>
      <w:pPr>
        <w:pStyle w:val="Heading2"/>
        <w:spacing w:line="480" w:lineRule="auto"/>
      </w:pPr>
      <w:r>
        <w:t xml:space="preserve">5.5 Reconciling the Estimators into a Single Inferential Package</w:t>
      </w:r>
    </w:p>
    <w:p>
      <w:pPr>
        <w:pStyle w:val="FirstParagraph"/>
        <w:spacing w:line="480" w:lineRule="auto"/>
      </w:pPr>
      <w:r>
        <w:t xml:space="preserve">The three estimators are not interchangeable readings of the same data. They are deliberately oriented at three different outcomes and three different statistical objects: a count, a duration, and a proportion. The dissertation reads them in a triangulated rather than a pooled fashion. The triangulation rule is this. The structural-break inference is treated as supported when the panel cadence coefficient gamma_1 is positive and significant at the five-percent level under the headline specification and is robust to the leave-one-operator-out check, the Cox hazard ratio exp(delta_1) is below one and significant at the same level under the headline specification and is robust to the alternative acceptance-date definition, and the interrupted time series level coefficient beta_2 for the authorization reliability outcome is signed consistently with the duration finding and survives the placebo break test. Where two of the three outcomes support the structural-break inference but the third does not, the dissertation reports a qualified inference and attributes the divergence to outcome-specific measurement noise, capacity-staffing offset, or selection into the bridge window, depending on which residual concern the failing estimator’s robustness checks implicate.</w:t>
      </w:r>
    </w:p>
    <w:p>
      <w:pPr>
        <w:pStyle w:val="BodyText"/>
        <w:spacing w:line="480" w:lineRule="auto"/>
        <w:ind w:firstLine="720"/>
      </w:pPr>
      <w:r>
        <w:t xml:space="preserve">The package is falsifiable in a specific sense. The package fails if the panel cadence coefficient is not significantly different from zero at the five-percent level and the leave-one-operator-out estimate places its confidence interval astride zero, the Cox hazard ratio is not significantly below one and is sensitive to the acceptance-date definition, and the ITS placebo break at the pre-period midpoint produces a level shift of comparable magnitude to the true-date level shift. The three-way conjunction of these conditions is the pre-registered failure criterion for H1 and the corresponding acceptance criterion for H0. The criterion is conservative by design. A single estimator’s failure is treated as an outcome-specific qualification rather than as a refutation of the dissertation’s headline claim, because the three outcomes are theoretically distinct margins of the regulatory adjustment and because the literature predicts heterogeneous response across the three margins</w:t>
      </w:r>
      <w:r>
        <w:t xml:space="preserve"> </w:t>
      </w:r>
      <w:hyperlink w:anchor="ref-3">
        <w:r>
          <w:rPr>
            <w:rStyle w:val="Hyperlink"/>
          </w:rPr>
          <w:t xml:space="preserve">[3]</w:t>
        </w:r>
      </w:hyperlink>
      <w:r>
        <w:t xml:space="preserve">.</w:t>
      </w:r>
    </w:p>
    <w:p>
      <w:pPr>
        <w:pStyle w:val="BodyText"/>
        <w:spacing w:line="480" w:lineRule="auto"/>
        <w:ind w:firstLine="720"/>
      </w:pPr>
      <w:r>
        <w:t xml:space="preserve">Two final considerations bound the inferential package. First, the analytic samples reported in Chapters 3 and 4 are modest. The panel cadence sample of forty-one operator-years and the Cox duration sample of thirty applications are sufficient to detect the order-of-magnitude effects the two empirical papers report, but they are not sufficient to discriminate small differences in the post-period slope or in the small-provider subgroup’s hazard. Chapter 8 returns to this point as a research-program agenda rather than as a within-dissertation limitation. Second, the inferential package is calibrated to the United States licensing regime. The international comparison drawn from the spaceport literature</w:t>
      </w:r>
      <w:r>
        <w:t xml:space="preserve"> </w:t>
      </w:r>
      <w:hyperlink w:anchor="ref-4">
        <w:r>
          <w:rPr>
            <w:rStyle w:val="Hyperlink"/>
          </w:rPr>
          <w:t xml:space="preserve">[4]</w:t>
        </w:r>
      </w:hyperlink>
      <w:r>
        <w:t xml:space="preserve">,</w:t>
      </w:r>
      <w:r>
        <w:t xml:space="preserve"> </w:t>
      </w:r>
      <w:hyperlink w:anchor="ref-21">
        <w:r>
          <w:rPr>
            <w:rStyle w:val="Hyperlink"/>
          </w:rPr>
          <w:t xml:space="preserve">[21]</w:t>
        </w:r>
      </w:hyperlink>
      <w:r>
        <w:t xml:space="preserve"> </w:t>
      </w:r>
      <w:r>
        <w:t xml:space="preserve">serves as a falsification baseline rather than as a portable estimate; the Part 450 effect is by construction a within-U.S.-jurisdiction estimand and should not be read as a generalizable consolidation effect across regulatory cultures.</w:t>
      </w:r>
    </w:p>
    <w:p>
      <w:pPr>
        <w:pStyle w:val="BodyText"/>
        <w:spacing w:line="480" w:lineRule="auto"/>
        <w:ind w:firstLine="720"/>
      </w:pPr>
      <w:r>
        <w:t xml:space="preserve">The chapter has set out the estimator stack, the identification strategy, the threats to validity and their bounded mitigations, and the rule by which the three estimators are triangulated into a single inferential package. Chapter 6 instantiates the panel cadence estimator on the FAA AST operator-year record</w:t>
      </w:r>
      <w:r>
        <w:t xml:space="preserve"> </w:t>
      </w:r>
      <w:hyperlink w:anchor="ref-6">
        <w:r>
          <w:rPr>
            <w:rStyle w:val="Hyperlink"/>
          </w:rPr>
          <w:t xml:space="preserve">[6]</w:t>
        </w:r>
      </w:hyperlink>
      <w:r>
        <w:t xml:space="preserve"> </w:t>
      </w:r>
      <w:r>
        <w:t xml:space="preserve">and reports the headline gamma_1 and its robustness profile. Chapter 7 instantiates the Cox duration estimator on the FAA application record</w:t>
      </w:r>
      <w:r>
        <w:t xml:space="preserve"> </w:t>
      </w:r>
      <w:hyperlink w:anchor="ref-6">
        <w:r>
          <w:rPr>
            <w:rStyle w:val="Hyperlink"/>
          </w:rPr>
          <w:t xml:space="preserve">[6]</w:t>
        </w:r>
      </w:hyperlink>
      <w:r>
        <w:t xml:space="preserve"> </w:t>
      </w:r>
      <w:r>
        <w:t xml:space="preserve">augmented by the three sequential GAO oversight reports</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w:t>
      </w:r>
      <w:r>
        <w:t xml:space="preserve">and reports the headline hazard ratio and the small-provider subgroup analysis. Chapter 8 integrates the two readings, returns to the structural-break inference under the triangulation rule developed in section 5.5, and situates the result within the recurring whole-of-nation recommendation that the United States consolidate its space regulatory structure under a single authorizing agency</w:t>
      </w:r>
      <w:r>
        <w:t xml:space="preserve"> </w:t>
      </w:r>
      <w:hyperlink w:anchor="ref-3">
        <w:r>
          <w:rPr>
            <w:rStyle w:val="Hyperlink"/>
          </w:rPr>
          <w:t xml:space="preserve">[3]</w:t>
        </w:r>
      </w:hyperlink>
      <w:r>
        <w:t xml:space="preserve">.</w:t>
      </w:r>
    </w:p>
    <w:bookmarkEnd w:id="127"/>
    <w:bookmarkEnd w:id="128"/>
    <w:bookmarkStart w:id="143" w:name="chapter-6.-results"/>
    <w:p>
      <w:pPr>
        <w:pStyle w:val="Heading1"/>
        <w:spacing w:line="480" w:lineRule="auto"/>
      </w:pPr>
      <w:r>
        <w:t xml:space="preserve">Chapter 6. Results</w:t>
      </w:r>
    </w:p>
    <w:p>
      <w:pPr>
        <w:pStyle w:val="FirstParagraph"/>
        <w:spacing w:line="480" w:lineRule="auto"/>
      </w:pPr>
      <w:r>
        <w:t xml:space="preserve">This chapter presents the estimated effects of the 14 CFR Part 450 transition on two of the three pre-registered outcomes in the prospectus: operator-year licensed launch cadence and time from application receipt to license action. The cadence outcome is estimated by a pooled ordinary least squares panel regression with HC1 standard errors on an operator-year panel covering 2010 through 2024. The duration outcome is estimated by a Cox proportional-hazards model on the universe of license applications drawn from FAA Office of Commercial Space Transportation quarterly reports and three sequential Government Accountability Office oversight reports</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chapter reports each coefficient, its standard error, its p-value, and the implied effect size, and it interprets what each parameter signals about the consolidated regime in its steady state. The accompanying tables, regression diagnostics, and figures are reproduced in Appendix A and are not duplicated here. The discussion focuses on what the estimator output, taken on its own terms, can and cannot support.</w:t>
      </w:r>
    </w:p>
    <w:bookmarkStart w:id="135" w:name="X1d7efd24701a0654e9a7aa50297a44b1796c745"/>
    <w:p>
      <w:pPr>
        <w:pStyle w:val="Heading2"/>
        <w:spacing w:line="480" w:lineRule="auto"/>
      </w:pPr>
      <w:r>
        <w:t xml:space="preserve">6.1 The Cadence Equation: Pooled OLS Panel Estimate</w:t>
      </w:r>
    </w:p>
    <w:p>
      <w:pPr>
        <w:pStyle w:val="FirstParagraph"/>
        <w:spacing w:line="480" w:lineRule="auto"/>
      </w:pPr>
      <w:r>
        <w:t xml:space="preserve">The cadence equation is fit on forty-one operator-year observations covering the U.S. operators that held FAA-licensed launch authority at any point between 2010 and 2024. The dependent variable is the count of FAA-licensed launches in the operator-year. The regressors are an intercept, a post-Part 450 level indicator that switches on in calendar year 2022 and after, a bridge-year indicator that codes calendar year 2021, a continuous operator-tenure variable measured as years since the operator first held an FAA launch license, and a large-constellation indicator that codes operator-years in which the operator was actively deploying a large low-Earth-orbit communications constellation. Standard errors are HC1 heteroskedasticity-robust.</w:t>
      </w:r>
    </w:p>
    <w:p>
      <w:pPr>
        <w:pStyle w:val="BodyText"/>
        <w:spacing w:line="480" w:lineRule="auto"/>
        <w:ind w:firstLine="720"/>
      </w:pPr>
      <w:r>
        <w:t xml:space="preserve">The overall fit of the specification is substantial. The model explains 62.98 percent of the operator-year variance in licensed launch counts, with an R-squared of 0.6298 and an adjusted R-squared of 0.5887. The adjustment for degrees of freedom leaves the fit comfortably above sixty percent of explained variance, which is appropriate for a panel of forty-one observations and four regressors plus an intercept. The joint F statistic is 3.911 with an F-test p-value of 0.00975. The null hypothesis that the four slope coefficients are jointly zero is therefore rejected at the one-percent level. The regressors collectively carry signal about the operator-year cadence distribution, and the rejection of the joint null is a precondition for any individual-coefficient interpretation that follows.</w:t>
      </w:r>
    </w:p>
    <w:bookmarkStart w:id="129" w:name="the-post-part-450-coefficient"/>
    <w:p>
      <w:pPr>
        <w:pStyle w:val="Heading3"/>
        <w:spacing w:line="480" w:lineRule="auto"/>
      </w:pPr>
      <w:r>
        <w:t xml:space="preserve">6.1.1 The post-Part 450 Coefficient</w:t>
      </w:r>
    </w:p>
    <w:p>
      <w:pPr>
        <w:pStyle w:val="FirstParagraph"/>
        <w:spacing w:line="480" w:lineRule="auto"/>
      </w:pPr>
      <w:r>
        <w:t xml:space="preserve">The coefficient on the post-Part 450 indicator is 12.7914 with an HC1 standard error of 6.2534 and a p-value of 0.0408. The point estimate has the sign predicted by H1 in the companion paper: the consolidated regime is associated with a positive level shift in licensed launch counts at the operator-year, holding tenure, the bridge year, and the constellation surge constant. The magnitude is economically meaningful. After partialling out the Starlink deployment, the typical operator in the post-period launches roughly thirteen more FAA-licensed missions per year than the same operator would have launched under the legacy regime, evaluated at the pre-period baseline. The p-value of 0.0408 places the estimate inside the conventional five-percent rejection region but outside the one-percent region, so the rejection of the null is meaningful but not overwhelming. The HC1 standard error of 6.25 is roughly half the point estimate, which is consistent with a small panel that contains substantial cross-operator dispersion in launch intensity.</w:t>
      </w:r>
    </w:p>
    <w:p>
      <w:pPr>
        <w:pStyle w:val="BodyText"/>
        <w:spacing w:line="480" w:lineRule="auto"/>
        <w:ind w:firstLine="720"/>
      </w:pPr>
      <w:r>
        <w:t xml:space="preserve">The implied 95 percent confidence interval, formed by adding and subtracting 1.96 standard errors from the point estimate, runs from approximately 0.53 to 25.05 additional operator-year launches. The lower bound sits just above zero, which is what would be expected from a one-sided p-value of roughly 0.02. The economic implication is that the post-Part 450 cadence premium, while signed and significant, is estimated with enough uncertainty that the policy literature should treat the central value as an anchor rather than a precise point. The signal is that the consolidated regime is associated with a positive cadence shift in the data; the precision of that signal is modest and motivates the leave-one-operator-out robustness check pre-registered in the prospectus and discussed in Chapter 7.</w:t>
      </w:r>
    </w:p>
    <w:bookmarkEnd w:id="129"/>
    <w:bookmarkStart w:id="130" w:name="the-bridge-year-coefficient"/>
    <w:p>
      <w:pPr>
        <w:pStyle w:val="Heading3"/>
        <w:spacing w:line="480" w:lineRule="auto"/>
      </w:pPr>
      <w:r>
        <w:t xml:space="preserve">6.1.2 The Bridge-Year Coefficient</w:t>
      </w:r>
    </w:p>
    <w:p>
      <w:pPr>
        <w:pStyle w:val="FirstParagraph"/>
        <w:spacing w:line="480" w:lineRule="auto"/>
      </w:pPr>
      <w:r>
        <w:t xml:space="preserve">The coefficient on the bridge-year indicator is -3.4446 with an HC1 standard error of 6.0695 and a p-value of 0.5704. The point estimate is negative, which is directionally consistent with industry commentary that the dual-regime year of 2021 carried higher transaction cost on applicants and the regulator alike. The estimate is, however, statistically indistinguishable from zero by a wide margin. The standard error of 6.07 exceeds the absolute value of the point estimate by nearly a factor of two, and the implied confidence interval comfortably brackets zero on both sides. The substantive reading is that the cadence anomaly attributed in some accounts to the dual-regime bridge window is not detectable in the operator-year panel once the post-period indicator and the constellation surge are conditioned out. The bridge year does not contribute identifying information that competes with the post-period level shift, and the post-Part 450 coefficient is therefore not driven by the contrast between the bridge year and the post-period.</w:t>
      </w:r>
    </w:p>
    <w:p>
      <w:pPr>
        <w:pStyle w:val="BodyText"/>
        <w:spacing w:line="480" w:lineRule="auto"/>
        <w:ind w:firstLine="720"/>
      </w:pPr>
      <w:r>
        <w:t xml:space="preserve">This is an analytically important null result. The companion paper’s identification strategy depends on the bridge year functioning as a dual-regime absorber that prevents the post-period coefficient from being contaminated by transition-year selection into Part 450. The fact that the bridge indicator is large in standard error but small in absolute coefficient implies that the operator-year mass of 2021 looks much like the legacy baseline rather than like the post-period or like a distinct transition pattern. The post-Part 450 coefficient therefore identifies the level shift after the bridge window closed and migration was substantially complete, which is the parameter of policy interest.</w:t>
      </w:r>
    </w:p>
    <w:bookmarkEnd w:id="130"/>
    <w:bookmarkStart w:id="131" w:name="the-operator-tenure-coefficient"/>
    <w:p>
      <w:pPr>
        <w:pStyle w:val="Heading3"/>
        <w:spacing w:line="480" w:lineRule="auto"/>
      </w:pPr>
      <w:r>
        <w:t xml:space="preserve">6.1.3 The Operator-Tenure Coefficient</w:t>
      </w:r>
    </w:p>
    <w:p>
      <w:pPr>
        <w:pStyle w:val="FirstParagraph"/>
        <w:spacing w:line="480" w:lineRule="auto"/>
      </w:pPr>
      <w:r>
        <w:t xml:space="preserve">The coefficient on years since the operator first held an FAA launch license is -0.1604 with an HC1 standard error of 0.1082 and a p-value of 0.1382. The point estimate is negative and small in magnitude: each additional year of operator tenure is associated with roughly one-sixth of a fewer licensed launch per operator-year, holding the regime and constellation variables constant. The estimate is not statistically distinguishable from zero at the five-percent level, with a p-value of 0.14 placing it in the range where the null cannot be rejected. The economic interpretation is that there is no robust tenure premium or tenure penalty in licensed launch intensity once the post-period indicator and the constellation indicator are present. Operator experience absorbs only a modest amount of additional variance beyond what those two regulatory and demand variables already absorb.</w:t>
      </w:r>
    </w:p>
    <w:p>
      <w:pPr>
        <w:pStyle w:val="BodyText"/>
        <w:spacing w:line="480" w:lineRule="auto"/>
        <w:ind w:firstLine="720"/>
      </w:pPr>
      <w:r>
        <w:t xml:space="preserve">The negative sign deserves a brief substantive comment. Were tenure functioning as a proxy for incumbency advantage in regulatory negotiation, the expected sign would be positive: an incumbent operator should, on the prior, find authorization easier and therefore convert authorizations into launches more readily. The negative point estimate, although insignificant, runs in the opposite direction. The panel is dominated by SpaceX in the post-period, and SpaceX is not the longest-tenured operator in the dataset relative to United Launch Alliance. The negative tenure coefficient is therefore consistent with a composition effect in which newer entrants who reached the post-period under Part 450 launched at higher rates than longer-tenured incumbents who did not aggressively expand cadence after consolidation. The coefficient is not significant, and this interpretation is offered as a description of the sign rather than a tested hypothesis.</w:t>
      </w:r>
    </w:p>
    <w:bookmarkEnd w:id="131"/>
    <w:bookmarkStart w:id="132" w:name="the-large-constellation-coefficient"/>
    <w:p>
      <w:pPr>
        <w:pStyle w:val="Heading3"/>
        <w:spacing w:line="480" w:lineRule="auto"/>
      </w:pPr>
      <w:r>
        <w:t xml:space="preserve">6.1.4 The Large-Constellation Coefficient</w:t>
      </w:r>
    </w:p>
    <w:p>
      <w:pPr>
        <w:pStyle w:val="FirstParagraph"/>
        <w:spacing w:line="480" w:lineRule="auto"/>
      </w:pPr>
      <w:r>
        <w:t xml:space="preserve">The coefficient on the large-constellation indicator is 53.5466 with an HC1 standard error of 16.284 and a p-value of 0.0010. This is the dominant signal in the operator-year panel. The point estimate indicates that an operator-year coded as actively deploying a large LEO communications constellation is associated with roughly fifty-four additional FAA-licensed launches compared to an otherwise comparable operator-year, holding the regime and tenure variables constant. The magnitude is an order of magnitude larger than the post-Part 450 coefficient. The HC1 standard error of 16.28 is large in absolute terms but small relative to the point estimate, and the p-value of 0.001 rejects the null of no constellation effect at the one-percent level.</w:t>
      </w:r>
    </w:p>
    <w:p>
      <w:pPr>
        <w:pStyle w:val="BodyText"/>
        <w:spacing w:line="480" w:lineRule="auto"/>
        <w:ind w:firstLine="720"/>
      </w:pPr>
      <w:r>
        <w:t xml:space="preserve">The interpretive significance of this coefficient is twofold. First, the constellation indicator absorbs the Starlink demand shock that would otherwise contaminate the post-period level. The post-Part 450 coefficient of 12.79 is the estimated cadence shift after the dominant demand shock is partialled out. Without the constellation indicator, a naive post-period coefficient would conflate the regulatory level shift with the constellation-deployment level shift, and the identified estimand would not isolate the Part 450 effect. Second, the constellation coefficient is the calibrated regulatory flux term that the space traffic management literature has lacked. Reilly and colleagues treat launch licensing as an institutional variable in their conjunction modeling</w:t>
      </w:r>
      <w:r>
        <w:t xml:space="preserve"> </w:t>
      </w:r>
      <w:hyperlink w:anchor="ref-10">
        <w:r>
          <w:rPr>
            <w:rStyle w:val="Hyperlink"/>
          </w:rPr>
          <w:t xml:space="preserve">[10]</w:t>
        </w:r>
      </w:hyperlink>
      <w:r>
        <w:t xml:space="preserve">, and the magnitude reported here supplies a numerical anchor for the constellation component of that flux. Together the regulatory and constellation coefficients carry the bulk of the explained variance in the cadence panel, with the constellation contribution dominating in mass and the regulatory contribution adding a separately identified and statistically significant marginal shift.</w:t>
      </w:r>
    </w:p>
    <w:bookmarkEnd w:id="132"/>
    <w:bookmarkStart w:id="133" w:name="the-intercept"/>
    <w:p>
      <w:pPr>
        <w:pStyle w:val="Heading3"/>
        <w:spacing w:line="480" w:lineRule="auto"/>
      </w:pPr>
      <w:r>
        <w:t xml:space="preserve">6.1.5 The Intercept</w:t>
      </w:r>
    </w:p>
    <w:p>
      <w:pPr>
        <w:pStyle w:val="FirstParagraph"/>
        <w:spacing w:line="480" w:lineRule="auto"/>
      </w:pPr>
      <w:r>
        <w:t xml:space="preserve">The intercept is 3.9263 with an HC1 standard error of 3.0122 and a p-value of 0.1924. The intercept corresponds to the expected operator-year launch count for an operator with zero years of tenure, in a non-bridge non-post-period year, that is not actively deploying a large constellation. The point estimate of approximately four annual licensed launches is broadly consistent with the legacy-period baseline for a typical mid-tier operator, and the p-value of 0.19 indicates that the intercept is not distinguishable from zero with high confidence in this small panel. The substantive content of the intercept is limited because the regressors are not centered, and the null hypothesis that the conditional mean at the reference category is zero is not theoretically interesting in the cadence equation. The intercept is reported for completeness and is consistent with a low-baseline pre-period operator-year mass.</w:t>
      </w:r>
    </w:p>
    <w:bookmarkEnd w:id="133"/>
    <w:bookmarkStart w:id="134" w:name="X069c29d2195dda6f570ed1360dedfc08fb4f387"/>
    <w:p>
      <w:pPr>
        <w:pStyle w:val="Heading3"/>
        <w:spacing w:line="480" w:lineRule="auto"/>
      </w:pPr>
      <w:r>
        <w:t xml:space="preserve">6.1.6 What the Cadence Equation Supports and Does Not Support</w:t>
      </w:r>
    </w:p>
    <w:p>
      <w:pPr>
        <w:pStyle w:val="FirstParagraph"/>
        <w:spacing w:line="480" w:lineRule="auto"/>
      </w:pPr>
      <w:r>
        <w:t xml:space="preserve">The pooled OLS panel estimate supports the H1 prediction in the companion paper. After partialling out operator tenure, the bridge year, and the Starlink constellation surge, the post-Part 450 indicator carries a coefficient of 12.79 with a p-value of 0.04, signed positively and significant at the five-percent level. The consolidated regime is, in the operator-year panel, associated with a positive cadence shift on the order of a dozen additional FAA-licensed launches per operator-year in the post-period. The result survives the inclusion of the dominant constellation control, which is the principal threat to identification on the demand side. The bridge year does not exhibit a separable cadence anomaly. Operator tenure does not robustly add or subtract cadence beyond what the regime and demand indicators capture.</w:t>
      </w:r>
    </w:p>
    <w:p>
      <w:pPr>
        <w:pStyle w:val="BodyText"/>
        <w:spacing w:line="480" w:lineRule="auto"/>
        <w:ind w:firstLine="720"/>
      </w:pPr>
      <w:r>
        <w:t xml:space="preserve">The cadence equation does not, on its own, identify the mechanism by which the regulatory consolidation translates into additional licensed launches. The estimator output is consistent with a steady-state friction reduction in which a single performance-based license covers multiple vehicle configurations and trajectories, raising the throughput of any given operator that has completed migration. It is also consistent with a composition effect in which operators who migrated earliest and most aggressively were also those most willing to launch at high cadence for reasons unrelated to the rule. The cadence equation cannot distinguish between these mechanisms. What it identifies is the reduced-form post-Part 450 level shift, conditioned on the principal demand and tenure covariates, with the magnitude and uncertainty reported above. The mechanism question is addressed in Chapter 7 through the leave-one-operator-out robustness check and in the duration analysis presented next.</w:t>
      </w:r>
    </w:p>
    <w:bookmarkEnd w:id="134"/>
    <w:bookmarkEnd w:id="135"/>
    <w:bookmarkStart w:id="140" w:name="X223c7f86a236267184dad2f8363d69f86f50be1"/>
    <w:p>
      <w:pPr>
        <w:pStyle w:val="Heading2"/>
        <w:spacing w:line="480" w:lineRule="auto"/>
      </w:pPr>
      <w:r>
        <w:t xml:space="preserve">6.2 The Duration Equation: Cox Proportional-Hazards Estimate</w:t>
      </w:r>
    </w:p>
    <w:p>
      <w:pPr>
        <w:pStyle w:val="FirstParagraph"/>
        <w:spacing w:line="480" w:lineRule="auto"/>
      </w:pPr>
      <w:r>
        <w:t xml:space="preserve">The duration equation is fit on thirty FAA launch or reentry license applications spanning 2013 through 2025. The duration variable is calendar days from FAA receipt of a complete application to license action. Twenty-eight applications experienced the event of issuance and are coded as observed events. Two applications were still pending at the cutoff of the most recent GAO oversight report and enter the partial likelihood only through the censoring indicator</w:t>
      </w:r>
      <w:r>
        <w:t xml:space="preserve"> </w:t>
      </w:r>
      <w:hyperlink w:anchor="ref-9">
        <w:r>
          <w:rPr>
            <w:rStyle w:val="Hyperlink"/>
          </w:rPr>
          <w:t xml:space="preserve">[9]</w:t>
        </w:r>
      </w:hyperlink>
      <w:r>
        <w:t xml:space="preserve">. The model is a Cox proportional-hazards specification fit with the statsmodels PHReg implementation and the Breslow tie-handling default. The three covariates are an indicator for the consolidated Part 450 regime, an indicator for small or emerging providers, and an indicator for reusable vehicles. Coefficients are reported on the log-hazard scale; hazard ratios in this discussion are the exponentiated coefficients.</w:t>
      </w:r>
    </w:p>
    <w:p>
      <w:pPr>
        <w:pStyle w:val="BodyText"/>
        <w:spacing w:line="480" w:lineRule="auto"/>
        <w:ind w:firstLine="720"/>
      </w:pPr>
      <w:r>
        <w:t xml:space="preserve">The PHReg output reports thirty observations and twenty-eight events. The model converges and produces stable standard errors on all three covariates. The Cox specification does not produce an R-squared by construction, and the relevant goodness-of-fit summary is the partial log-likelihood and the individual covariate z-statistics. The covariate p-values reported below are computed from the Wald z statistics on the estimated coefficients.</w:t>
      </w:r>
    </w:p>
    <w:bookmarkStart w:id="136" w:name="the-post-part-450-indicator"/>
    <w:p>
      <w:pPr>
        <w:pStyle w:val="Heading3"/>
        <w:spacing w:line="480" w:lineRule="auto"/>
      </w:pPr>
      <w:r>
        <w:t xml:space="preserve">6.2.1 The post-Part 450 Indicator</w:t>
      </w:r>
    </w:p>
    <w:p>
      <w:pPr>
        <w:pStyle w:val="FirstParagraph"/>
        <w:spacing w:line="480" w:lineRule="auto"/>
      </w:pPr>
      <w:r>
        <w:t xml:space="preserve">The coefficient on the post-Part 450 indicator is -3.569 with a standard error of 0.8334 and a p-value below 0.0001. On the log-hazard scale, this is a large negative shift. Exponentiating yields a hazard ratio of approximately exp(-3.569) = 0.0283. Holding small-provider status and vehicle reusability constant, an application filed under the consolidated Part 450 regime faces roughly 2.8 percent of the instantaneous hazard of license action that an otherwise comparable application would have faced under the legacy parts. Inverted, this implies that the legacy hazard is approximately 35 times larger than the post-Part 450 hazard at any given point in the queue. The standard error of 0.8334 is well below the absolute value of the coefficient, and the Wald p-value is rounded to zero at four decimal places, which corresponds to a tail probability several orders of magnitude smaller than 0.001.</w:t>
      </w:r>
    </w:p>
    <w:p>
      <w:pPr>
        <w:pStyle w:val="BodyText"/>
        <w:spacing w:line="480" w:lineRule="auto"/>
        <w:ind w:firstLine="720"/>
      </w:pPr>
      <w:r>
        <w:t xml:space="preserve">The implied 95 percent confidence interval on the log-hazard coefficient runs from approximately -5.20 to -1.94. Exponentiating the bounds yields a hazard-ratio confidence interval from roughly 0.0055 to 0.1437. Even at the optimistic upper bound of the interval, the post-Part 450 application faces less than fifteen percent of the legacy hazard, and the interpretation of a substantial slowdown survives the upper bound. The lower bound is consistent with an even more severe slowdown. The point estimate is therefore signaling a regime-wide hazard reduction of striking magnitude, with confidence intervals that do not approach the null even at the wide end.</w:t>
      </w:r>
    </w:p>
    <w:p>
      <w:pPr>
        <w:pStyle w:val="BodyText"/>
        <w:spacing w:line="480" w:lineRule="auto"/>
        <w:ind w:firstLine="720"/>
      </w:pPr>
      <w:r>
        <w:t xml:space="preserve">Substantively, a hazard ratio of approximately 0.028 implies that the expected time to license action under Part 450 is roughly an order of magnitude longer than the expected time under the legacy parts, conditional on the other covariates. This estimator output is consistent with the GAO finding that the consolidated regime is generating longer durations and a backlog among new entrants</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magnitude exceeds what an ordinary regulatory-learning story would predict and is consistent with the description of a system-wide capacity bottleneck rather than a transient interpretive friction. The duration result therefore stands in apparent tension with the cadence result and is examined further in section 6.3.</w:t>
      </w:r>
    </w:p>
    <w:bookmarkEnd w:id="136"/>
    <w:bookmarkStart w:id="137" w:name="the-small-provider-indicator"/>
    <w:p>
      <w:pPr>
        <w:pStyle w:val="Heading3"/>
        <w:spacing w:line="480" w:lineRule="auto"/>
      </w:pPr>
      <w:r>
        <w:t xml:space="preserve">6.2.2 The Small-Provider Indicator</w:t>
      </w:r>
    </w:p>
    <w:p>
      <w:pPr>
        <w:pStyle w:val="FirstParagraph"/>
        <w:spacing w:line="480" w:lineRule="auto"/>
      </w:pPr>
      <w:r>
        <w:t xml:space="preserve">The coefficient on the small-provider indicator is 0.3637 with a standard error of 0.5524 and a p-value of 0.5103. The point estimate corresponds to a hazard ratio of approximately exp(0.3637) = 1.4387. Holding the regime indicator and reusability constant, small or emerging providers face a roughly 44 percent higher instantaneous hazard of license action than larger incumbents, which would imply shorter expected durations for small providers. The estimate is not statistically distinguishable from zero. The standard error of 0.5524 exceeds the absolute value of the coefficient, the p-value is 0.51, and the implied 95 percent confidence interval on the hazard ratio runs from approximately 0.49 to 4.24, comfortably bracketing one on both sides.</w:t>
      </w:r>
    </w:p>
    <w:p>
      <w:pPr>
        <w:pStyle w:val="BodyText"/>
        <w:spacing w:line="480" w:lineRule="auto"/>
        <w:ind w:firstLine="720"/>
      </w:pPr>
      <w:r>
        <w:t xml:space="preserve">The substantive reading is that the H2 prediction of an additional hazard penalty borne by small providers is not supported in this sample. Once the regime indicator is in the model, operator scale does not survive as a separable conditioning factor on duration. The positive sign on the small-provider coefficient is the opposite of what H2 predicts, but the sign is uninformative at this level of precision. The estimator output supports the substantive claim made in the companion paper: the duration burden is borne by the regime itself rather than disproportionately by small firms within it. This is policy-relevant because it shifts the diagnosis away from a small-firm vulnerability narrative toward a system-wide adjudication capacity narrative.</w:t>
      </w:r>
    </w:p>
    <w:bookmarkEnd w:id="137"/>
    <w:bookmarkStart w:id="138" w:name="the-reusable-vehicle-indicator"/>
    <w:p>
      <w:pPr>
        <w:pStyle w:val="Heading3"/>
        <w:spacing w:line="480" w:lineRule="auto"/>
      </w:pPr>
      <w:r>
        <w:t xml:space="preserve">6.2.3 The Reusable-Vehicle Indicator</w:t>
      </w:r>
    </w:p>
    <w:p>
      <w:pPr>
        <w:pStyle w:val="FirstParagraph"/>
        <w:spacing w:line="480" w:lineRule="auto"/>
      </w:pPr>
      <w:r>
        <w:t xml:space="preserve">The coefficient on the reusable-vehicle indicator is 0.0612 with a standard error of 0.4885 and a p-value of 0.9002. The point estimate corresponds to a hazard ratio of approximately exp(0.0612) = 1.0631, very close to one. Holding the regime and small-provider indicators constant, reusable-vehicle applications face roughly the same hazard of license action as expendable-vehicle applications, with a small and statistically indistinguishable positive shift. The standard error of 0.4885 is many times larger than the absolute value of the coefficient, and the p-value of 0.90 places the estimate squarely inside the failure-to-reject region.</w:t>
      </w:r>
    </w:p>
    <w:p>
      <w:pPr>
        <w:pStyle w:val="BodyText"/>
        <w:spacing w:line="480" w:lineRule="auto"/>
        <w:ind w:firstLine="720"/>
      </w:pPr>
      <w:r>
        <w:t xml:space="preserve">The economic implication is that vehicle reusability does not condition the duration distribution once the regime is accounted for. This is consistent with the prior that the FAA AST adjudication burden in the post-period is largely driven by rule-interpretation work that applies across vehicle classes rather than by class-specific environmental or means-of-compliance review. The reusable-vehicle null is informative because the absence of a differential hazard reinforces the system-wide interpretation of the post-Part 450 slowdown. If reusable-vehicle applications had displayed a separable hazard penalty, the policy story would point to vehicle-class differentiation; the null points back to regime-wide capacity.</w:t>
      </w:r>
    </w:p>
    <w:bookmarkEnd w:id="138"/>
    <w:bookmarkStart w:id="139" w:name="X130a197e55e628b048416dd50061794d52a13e8"/>
    <w:p>
      <w:pPr>
        <w:pStyle w:val="Heading3"/>
        <w:spacing w:line="480" w:lineRule="auto"/>
      </w:pPr>
      <w:r>
        <w:t xml:space="preserve">6.2.4 What the Duration Equation Supports and Does Not Support</w:t>
      </w:r>
    </w:p>
    <w:p>
      <w:pPr>
        <w:pStyle w:val="FirstParagraph"/>
        <w:spacing w:line="480" w:lineRule="auto"/>
      </w:pPr>
      <w:r>
        <w:t xml:space="preserve">The Cox proportional-hazards estimate supports the H1 prediction in the companion paper at very high statistical confidence. The Part 450 indicator carries a log-hazard coefficient of -3.569 with a standard error of 0.8334 and a p-value below 0.0001, corresponding to a hazard ratio of roughly 0.028 and an expected duration roughly an order of magnitude longer than the legacy regime. Neither small-provider status nor reusability survives as a separable conditioning factor at the five-percent level. The duration burden therefore appears to be a property of the regime itself rather than of identifiable subpopulations within it.</w:t>
      </w:r>
    </w:p>
    <w:p>
      <w:pPr>
        <w:pStyle w:val="BodyText"/>
        <w:spacing w:line="480" w:lineRule="auto"/>
        <w:ind w:firstLine="720"/>
      </w:pPr>
      <w:r>
        <w:t xml:space="preserve">The duration equation does not, on its own, identify the mechanism for the hazard reduction. The estimator output is consistent with rule-interpretation overhead during a transition window, with adjudication-capacity shortfalls at FAA AST, or with applicant-side delays in producing means-of-compliance documents under the performance-based regime. The Cox specification is silent on which of these mechanisms is dominant. The thirty-observation sample also limits the inferential strength of the negative findings on the small-provider and reusable-vehicle indicators. A null at N equal to thirty cannot be interpreted as a strong rejection of the corresponding hypotheses; the appropriate reading is that the data do not currently support those secondary hypotheses. The two right-censored observations contribute no event time to the partial likelihood and therefore do not influence the coefficient estimates beyond risk-set membership.</w:t>
      </w:r>
    </w:p>
    <w:bookmarkEnd w:id="139"/>
    <w:bookmarkEnd w:id="140"/>
    <w:bookmarkStart w:id="141" w:name="Xcac61b6a66562e8a8696ce412c9342073f9429d"/>
    <w:p>
      <w:pPr>
        <w:pStyle w:val="Heading2"/>
        <w:spacing w:line="480" w:lineRule="auto"/>
      </w:pPr>
      <w:r>
        <w:t xml:space="preserve">6.3 Reconciling the Cadence and Duration Estimates</w:t>
      </w:r>
    </w:p>
    <w:p>
      <w:pPr>
        <w:pStyle w:val="FirstParagraph"/>
        <w:spacing w:line="480" w:lineRule="auto"/>
      </w:pPr>
      <w:r>
        <w:t xml:space="preserve">The two equations point in opposite directions for the headline policy question. The cadence equation finds that operator-year licensed launch counts rose by an estimated twelve to thirteen launches in the post-Part 450 period, holding the constellation surge constant, with a p-value of 0.04. The duration equation finds that the instantaneous hazard of license action under Part 450 is roughly 2.8 percent of the legacy hazard, with a p-value below 0.0001. Read at face value, the consolidated regime is associated with substantially more licensed launches per operator-year and substantially longer durations per application. The two facts can coexist analytically but they impose a constraint on the mechanism story that is worth making explicit.</w:t>
      </w:r>
    </w:p>
    <w:p>
      <w:pPr>
        <w:pStyle w:val="BodyText"/>
        <w:spacing w:line="480" w:lineRule="auto"/>
        <w:ind w:firstLine="720"/>
      </w:pPr>
      <w:r>
        <w:t xml:space="preserve">The constraint is that the unit of analysis differs across the two equations. The cadence equation is fit on operator-years and counts authorized launches, while the duration equation is fit on individual applications and measures days from receipt to action. A single Part 450 license can cover multiple vehicle configurations and trajectories, so an operator that completes one Part 450 application can subsequently authorize multiple distinct launches against that single approved license. The cadence regression captures the throughput of authorized launches and is consistent with the consolidated regime expanding the scope of any single approval. The duration regression captures the time cost of obtaining an approval and is consistent with the consolidated regime extending the per-application interaction with the regulator. The two estimates are therefore not contradictory; they measure complementary margins of the regulatory regime, and the post-period picture is one in which fewer, slower, broader licenses translate into higher operator-year launch counts.</w:t>
      </w:r>
    </w:p>
    <w:p>
      <w:pPr>
        <w:pStyle w:val="BodyText"/>
        <w:spacing w:line="480" w:lineRule="auto"/>
        <w:ind w:firstLine="720"/>
      </w:pPr>
      <w:r>
        <w:t xml:space="preserve">This reading is consistent with the GAO oversight findings on workforce strain at FAA AST</w:t>
      </w:r>
      <w:r>
        <w:t xml:space="preserve"> </w:t>
      </w:r>
      <w:hyperlink w:anchor="ref-9">
        <w:r>
          <w:rPr>
            <w:rStyle w:val="Hyperlink"/>
          </w:rPr>
          <w:t xml:space="preserve">[9]</w:t>
        </w:r>
      </w:hyperlink>
      <w:r>
        <w:t xml:space="preserve"> </w:t>
      </w:r>
      <w:r>
        <w:t xml:space="preserve">and with the AMOS and STM literature’s treatment of launch licensing as a binding institutional variable</w:t>
      </w:r>
      <w:r>
        <w:t xml:space="preserve"> </w:t>
      </w:r>
      <w:hyperlink w:anchor="ref-10">
        <w:r>
          <w:rPr>
            <w:rStyle w:val="Hyperlink"/>
          </w:rPr>
          <w:t xml:space="preserve">[10]</w:t>
        </w:r>
      </w:hyperlink>
      <w:r>
        <w:t xml:space="preserve">. It is also consistent with the space-economy literature’s prior on consolidation and scale economies</w:t>
      </w:r>
      <w:r>
        <w:t xml:space="preserve"> </w:t>
      </w:r>
      <w:hyperlink w:anchor="ref-3">
        <w:r>
          <w:rPr>
            <w:rStyle w:val="Hyperlink"/>
          </w:rPr>
          <w:t xml:space="preserve">[3]</w:t>
        </w:r>
      </w:hyperlink>
      <w:r>
        <w:t xml:space="preserve">. The reconciliation is therefore that the dissertation’s reduced-form picture of Part 450, taken across both papers, supports the consolidated regime as expanding per-license scope while imposing per-application duration cost. The net effect on operator-year cadence is positive in the panel data; the net effect on application duration is negative for the applicant. Both estimands are pre-registered, both are identified within their respective specifications, and both are subject to the limitations discussed below and addressed in Chapter 7.</w:t>
      </w:r>
    </w:p>
    <w:bookmarkEnd w:id="141"/>
    <w:bookmarkStart w:id="142" w:name="X09775a09ffbd93b85a0b575cee4bc7562c2eecb"/>
    <w:p>
      <w:pPr>
        <w:pStyle w:val="Heading2"/>
        <w:spacing w:line="480" w:lineRule="auto"/>
      </w:pPr>
      <w:r>
        <w:t xml:space="preserve">6.4 Magnitudes, Precision, and Robustness Within the Estimates</w:t>
      </w:r>
    </w:p>
    <w:p>
      <w:pPr>
        <w:pStyle w:val="FirstParagraph"/>
        <w:spacing w:line="480" w:lineRule="auto"/>
      </w:pPr>
      <w:r>
        <w:t xml:space="preserve">Three points about precision deserve emphasis before the chapter closes. First, the cadence equation rests on forty-one operator-year observations, and the post-Part 450 coefficient of 12.79 with a standard error of 6.25 is identified primarily by the contrast between SpaceX in the post-period and the rest of the panel. The point estimate is significant at the five-percent level but not at the one-percent level, and the confidence interval is wide enough that the leave-one-operator-out robustness check pre-registered in the prospectus is essential to the final policy reading. The constellation coefficient of 53.55 with a standard error of 16.28 dominates the explained variance and absorbs the Starlink shock; the post-Part 450 coefficient is the marginal regulatory shift after that absorption.</w:t>
      </w:r>
    </w:p>
    <w:p>
      <w:pPr>
        <w:pStyle w:val="BodyText"/>
        <w:spacing w:line="480" w:lineRule="auto"/>
        <w:ind w:firstLine="720"/>
      </w:pPr>
      <w:r>
        <w:t xml:space="preserve">Second, the duration equation rests on thirty applications and the Part 450 coefficient is estimated with a standard error of 0.8334, which is small relative to the point estimate of -3.569 but is not so small that the upper end of the confidence interval brings the hazard ratio close to unity. Even at the optimistic upper bound near 0.14, the consolidated regime is associated with a substantial slowdown. The negative findings on the small-provider and reusable-vehicle indicators are bounded by the sample size and should be read as a failure to detect rather than as a strong null.</w:t>
      </w:r>
    </w:p>
    <w:p>
      <w:pPr>
        <w:pStyle w:val="BodyText"/>
        <w:spacing w:line="480" w:lineRule="auto"/>
        <w:ind w:firstLine="720"/>
      </w:pPr>
      <w:r>
        <w:t xml:space="preserve">Third, the joint pattern across both equations does more than either equation does alone. The cadence equation rejects the joint null at one percent and rejects the post-Part 450 null at five percent. The duration equation rejects the post-Part 450 null at well under one tenth of one percent. Read together, the regime indicator is statistically separable from the demand and operator covariates in both estimands, and the reconciliation in section 6.3 describes how the two effects can coexist analytically. The headline of Chapter 6 is therefore that the Part 450 transition discontinuity is real and quantifiable on both the cadence and the duration margin, with a positive level shift in operator-year launches of roughly twelve to thirteen units and a hazard-ratio reduction to approximately three percent of the legacy baseline at the application level. The third pre-registered outcome, authorization reliability, and the robustness checks specified in section 4 of the prospectus are taken up in Chapter 7.</w:t>
      </w:r>
    </w:p>
    <w:bookmarkEnd w:id="142"/>
    <w:bookmarkEnd w:id="143"/>
    <w:bookmarkStart w:id="150" w:name="X21322cb5e29cbf4eb576afddcad42f86ace4e0d"/>
    <w:p>
      <w:pPr>
        <w:pStyle w:val="Heading1"/>
        <w:spacing w:line="480" w:lineRule="auto"/>
      </w:pPr>
      <w:r>
        <w:t xml:space="preserve">Chapter 7. Discussion and Governance Implications</w:t>
      </w:r>
    </w:p>
    <w:bookmarkStart w:id="144" w:name="synthesis-of-the-two-estimate-result"/>
    <w:p>
      <w:pPr>
        <w:pStyle w:val="Heading2"/>
        <w:spacing w:line="480" w:lineRule="auto"/>
      </w:pPr>
      <w:r>
        <w:t xml:space="preserve">7.1 Synthesis of the Two-Estimate Result</w:t>
      </w:r>
    </w:p>
    <w:p>
      <w:pPr>
        <w:pStyle w:val="FirstParagraph"/>
        <w:spacing w:line="480" w:lineRule="auto"/>
      </w:pPr>
      <w:r>
        <w:t xml:space="preserve">The dissertation’s empirical core resolves into a single, deliberately uncomfortable finding. The consolidated 14 CFR Part 450 regime, codified in the December 2020 final rule and made effective in March 2021</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is associated with a positive structural break in operator-year licensed launch cadence and, simultaneously, a sharply negative structural break in the instantaneous hazard of license issuance per application. The cadence panel reported in Paper 1 places the post-rule level shift at roughly twelve to thirteen additional FAA-licensed launches per operator-year once the bridge year and the Starlink large-constellation indicator are partialled out. The Cox proportional-hazards analysis reported in Paper 2 estimates a hazard ratio near 0.028 on the Part 450 indicator, indicating that an otherwise comparable application filed under the consolidated regime faces roughly a thirty-five-fold reduction in the instantaneous hazard of approval at any given queue position. These two estimates are not contradictory; they describe two different margins. The cadence margin runs through operators who had already migrated under license modifications and who were therefore exercising authorizations granted before the queue lengthened. The duration margin runs through the population of pending applications, where the consolidated rule’s performance-based architecture, the agency’s parallel absorption of novel vehicle architectures, and the workforce constraints documented by the Government Accountability Office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w:t>
      </w:r>
      <w:r>
        <w:t xml:space="preserve">together compressed throughput at the adjudication boundary.</w:t>
      </w:r>
    </w:p>
    <w:p>
      <w:pPr>
        <w:pStyle w:val="BodyText"/>
        <w:spacing w:line="480" w:lineRule="auto"/>
        <w:ind w:firstLine="720"/>
      </w:pPr>
      <w:r>
        <w:t xml:space="preserve">The governance interpretation that follows from this two-margin pattern is that Part 450 did not produce a single, monotone effect on the U.S. commercial launch ecosystem. It produced a divergence. Authorized operators in the steady-state post-period are flying more often. Applications in the queue are moving more slowly. Industry commentary at AMOS that flagged transition friction</w:t>
      </w:r>
      <w:r>
        <w:t xml:space="preserve"> </w:t>
      </w:r>
      <w:hyperlink w:anchor="ref-1">
        <w:r>
          <w:rPr>
            <w:rStyle w:val="Hyperlink"/>
          </w:rPr>
          <w:t xml:space="preserve">[1]</w:t>
        </w:r>
      </w:hyperlink>
      <w:r>
        <w:t xml:space="preserve">,</w:t>
      </w:r>
      <w:r>
        <w:t xml:space="preserve"> </w:t>
      </w:r>
      <w:hyperlink w:anchor="ref-10">
        <w:r>
          <w:rPr>
            <w:rStyle w:val="Hyperlink"/>
          </w:rPr>
          <w:t xml:space="preserve">[10]</w:t>
        </w:r>
      </w:hyperlink>
      <w:r>
        <w:t xml:space="preserve"> </w:t>
      </w:r>
      <w:r>
        <w:t xml:space="preserve">is corroborated on the duration side and qualified, but not refuted, on the cadence side. The recurring whole-of-nation recommendation that the United States reform its space regulatory structure and name a single federal authorizing agency</w:t>
      </w:r>
      <w:r>
        <w:t xml:space="preserve"> </w:t>
      </w:r>
      <w:hyperlink w:anchor="ref-3">
        <w:r>
          <w:rPr>
            <w:rStyle w:val="Hyperlink"/>
          </w:rPr>
          <w:t xml:space="preserve">[3]</w:t>
        </w:r>
      </w:hyperlink>
      <w:r>
        <w:t xml:space="preserve"> </w:t>
      </w:r>
      <w:r>
        <w:t xml:space="preserve">receives partial empirical support from the cadence estimate and a partial empirical warning from the duration estimate. Consolidation, the joint result implies, is necessary but not sufficient. The agency that receives a consolidated authorizing rule must also receive the adjudication capacity required to operate it.</w:t>
      </w:r>
    </w:p>
    <w:bookmarkEnd w:id="144"/>
    <w:bookmarkStart w:id="145" w:name="implications-for-nasa-program-management"/>
    <w:p>
      <w:pPr>
        <w:pStyle w:val="Heading2"/>
        <w:spacing w:line="480" w:lineRule="auto"/>
      </w:pPr>
      <w:r>
        <w:t xml:space="preserve">7.2 Implications for NASA Program Management</w:t>
      </w:r>
    </w:p>
    <w:p>
      <w:pPr>
        <w:pStyle w:val="FirstParagraph"/>
        <w:spacing w:line="480" w:lineRule="auto"/>
      </w:pPr>
      <w:r>
        <w:t xml:space="preserve">NASA does not license launches. The Federal Aviation Administration’s Office of Commercial Space Transportation does. The relevance of the Part 450 transition to NASA program management therefore runs through three transmission channels, each of which the two-estimate result conditions in a specific way.</w:t>
      </w:r>
    </w:p>
    <w:p>
      <w:pPr>
        <w:pStyle w:val="BodyText"/>
        <w:spacing w:line="480" w:lineRule="auto"/>
        <w:ind w:firstLine="720"/>
      </w:pPr>
      <w:r>
        <w:t xml:space="preserve">The first channel is launch services acquisition. The NASA Launch Services Program procures launch on commercial vehicles whose operators must hold a current FAA authorization for the mission profile in question. The Part 450 duration estimate implies that schedule risk on a launch services contract is now disproportionately concentrated at the licensing boundary rather than at the production or pad-availability boundaries that dominated NASA scheduling risk under the legacy regime. A program office that builds a launch readiness schedule on the assumption that licensing is a near-deterministic step of weeks to a few months is operating on a pre-rule prior that the present data reject. The corollary is that NASA acquisition documentation, including statements of work, mission readiness reviews, and launch availability commitments, should explicitly model regulatory duration as a stochastic input with a heavier right tail than the legacy regime supported. The cadence estimate further implies that the population of available operators per launch window is rising in the steady state, which partially offsets the duration risk by enlarging the procurement substitution set when a primary provider’s authorization slips.</w:t>
      </w:r>
    </w:p>
    <w:p>
      <w:pPr>
        <w:pStyle w:val="BodyText"/>
        <w:spacing w:line="480" w:lineRule="auto"/>
        <w:ind w:firstLine="720"/>
      </w:pPr>
      <w:r>
        <w:t xml:space="preserve">The second channel is rideshare and small-spacecraft mission integration. NASA’s small-spacecraft and CubeSat manifests, including the missions that have driven the agency’s interest in the femto and atto satellite class examined in the Acta Astronautica miniaturization survey</w:t>
      </w:r>
      <w:r>
        <w:t xml:space="preserve"> </w:t>
      </w:r>
      <w:hyperlink w:anchor="ref-2">
        <w:r>
          <w:rPr>
            <w:rStyle w:val="Hyperlink"/>
          </w:rPr>
          <w:t xml:space="preserve">[2]</w:t>
        </w:r>
      </w:hyperlink>
      <w:r>
        <w:t xml:space="preserve">, depend on the commercial cadence of the rideshare vehicles to which they are manifested. The cadence estimate implies that the post-rule supply of rideshare opportunities is structurally higher than the pre-rule baseline. The forecast literature that ties launch demand to constellation deployment and macroeconomic growth</w:t>
      </w:r>
      <w:r>
        <w:t xml:space="preserve"> </w:t>
      </w:r>
      <w:hyperlink w:anchor="ref-20">
        <w:r>
          <w:rPr>
            <w:rStyle w:val="Hyperlink"/>
          </w:rPr>
          <w:t xml:space="preserve">[20]</w:t>
        </w:r>
      </w:hyperlink>
      <w:r>
        <w:t xml:space="preserve"> </w:t>
      </w:r>
      <w:r>
        <w:t xml:space="preserve">provides a complementary upper bound on the trajectory, but the supply-side discipline that Part 450 imposes determines whether that demand can be served on schedule. A NASA mission directorate planning a constellation-class smallsat campaign over the next decade has a stronger empirical basis for assuming that domestic rideshare supply will keep pace with demand, while a single-mission integrator with a fixed launch window has a weaker basis for assuming that any one operator’s license modification will close on time.</w:t>
      </w:r>
    </w:p>
    <w:p>
      <w:pPr>
        <w:pStyle w:val="BodyText"/>
        <w:spacing w:line="480" w:lineRule="auto"/>
        <w:ind w:firstLine="720"/>
      </w:pPr>
      <w:r>
        <w:t xml:space="preserve">The third channel is the policy environment that surrounds NASA’s own role as a customer, regulator-adjacent stakeholder, and stewards of orbital traffic. The space traffic management literature at AMOS treats commercial launch licensing as a binding institutional variable that conditions the flux of objects entering trackable orbits</w:t>
      </w:r>
      <w:r>
        <w:t xml:space="preserve"> </w:t>
      </w:r>
      <w:hyperlink w:anchor="ref-1">
        <w:r>
          <w:rPr>
            <w:rStyle w:val="Hyperlink"/>
          </w:rPr>
          <w:t xml:space="preserve">[1]</w:t>
        </w:r>
      </w:hyperlink>
      <w:r>
        <w:t xml:space="preserve">,</w:t>
      </w:r>
      <w:r>
        <w:t xml:space="preserve"> </w:t>
      </w:r>
      <w:hyperlink w:anchor="ref-10">
        <w:r>
          <w:rPr>
            <w:rStyle w:val="Hyperlink"/>
          </w:rPr>
          <w:t xml:space="preserve">[10]</w:t>
        </w:r>
      </w:hyperlink>
      <w:r>
        <w:t xml:space="preserve">. The cadence estimate gives NASA’s space situational awareness and orbital debris program offices a calibrated regulatory flux term that they can substitute for the qualitative footnote that has historically appeared in their analyses. The duration estimate, by contrast, signals that any short-run forecast that assumes a smooth post-rule licensing pipeline will be biased toward an over-optimistic flux. The combination is a more accurate input to NASA’s conjunction assessment, debris remediation</w:t>
      </w:r>
      <w:r>
        <w:t xml:space="preserve"> </w:t>
      </w:r>
      <w:hyperlink w:anchor="ref-17">
        <w:r>
          <w:rPr>
            <w:rStyle w:val="Hyperlink"/>
          </w:rPr>
          <w:t xml:space="preserve">[17]</w:t>
        </w:r>
      </w:hyperlink>
      <w:r>
        <w:t xml:space="preserve">, and long-term sustainability modeling, and it is a stronger empirical foundation for NASA’s contributions to interagency policy on launch-on-demand and surge responsiveness</w:t>
      </w:r>
      <w:r>
        <w:t xml:space="preserve"> </w:t>
      </w:r>
      <w:hyperlink w:anchor="ref-11">
        <w:r>
          <w:rPr>
            <w:rStyle w:val="Hyperlink"/>
          </w:rPr>
          <w:t xml:space="preserve">[11]</w:t>
        </w:r>
      </w:hyperlink>
      <w:r>
        <w:t xml:space="preserve">.</w:t>
      </w:r>
    </w:p>
    <w:p>
      <w:pPr>
        <w:pStyle w:val="BodyText"/>
        <w:spacing w:line="480" w:lineRule="auto"/>
        <w:ind w:firstLine="720"/>
      </w:pPr>
      <w:r>
        <w:t xml:space="preserve">A fourth and more diffuse channel concerns NASA’s role in human spaceflight commercialization. The commercial crew and commercial low Earth orbit destinations programs rest on the assumption that a small number of certified providers can sustain a launch tempo adequate to the agency’s crew rotation and cargo logistics needs. The cadence estimate is reassuring on that point in the steady state. The duration estimate raises a specific concern about the addition of new providers, vehicles, or mission profiles to the certified pool, because the rate at which new authorizations enter the population is governed by the same Part 450 queue that the Cox model estimates. NASA program managers responsible for human spaceflight commercialization should treat the addition of any new certified configuration as a multi-year regulatory undertaking and should not assume that a future surge in commercial demand can be absorbed by adding capacity at the margin.</w:t>
      </w:r>
    </w:p>
    <w:bookmarkEnd w:id="145"/>
    <w:bookmarkStart w:id="146" w:name="implications-for-jpl-decision-making"/>
    <w:p>
      <w:pPr>
        <w:pStyle w:val="Heading2"/>
        <w:spacing w:line="480" w:lineRule="auto"/>
      </w:pPr>
      <w:r>
        <w:t xml:space="preserve">7.3 Implications for JPL Decision-Making</w:t>
      </w:r>
    </w:p>
    <w:p>
      <w:pPr>
        <w:pStyle w:val="FirstParagraph"/>
        <w:spacing w:line="480" w:lineRule="auto"/>
      </w:pPr>
      <w:r>
        <w:t xml:space="preserve">The Jet Propulsion Laboratory operates as a federally funded research and development center whose flight projects rely almost exclusively on commercially licensed launch vehicles, with a small remaining tail of government-provided launchers for the largest planetary missions. The Part 450 transition has three implications for JPL decision-making that are sharper than the more diffuse implications for NASA at large.</w:t>
      </w:r>
    </w:p>
    <w:p>
      <w:pPr>
        <w:pStyle w:val="BodyText"/>
        <w:spacing w:line="480" w:lineRule="auto"/>
        <w:ind w:firstLine="720"/>
      </w:pPr>
      <w:r>
        <w:t xml:space="preserve">The first concerns mission concept formulation. JPL flight projects routinely span eight to fifteen years from concept formulation to launch. The launch vehicle is selected, with a class allocation, early in formulation and is refined as the design matures. The duration estimate implies that a vehicle class allocation made on the assumption of a legacy-licensing throughput will, on average, place an unrealistic constraint on the launch readiness date. JPL’s project formulation guidance, including the cost and schedule estimating relationships used in mission concept reviews, should be updated to reflect a regulatory contribution to launch risk that is, in expectation, larger than the contribution observed under the legacy regime. The implication is not that any specific mission concept is infeasible. The implication is that the schedule margin allocated to the launch segment of any new mission concept should be recalibrated upward and that mission proposers should justify their assumed regulatory duration explicitly rather than treat it as a hidden constant.</w:t>
      </w:r>
    </w:p>
    <w:p>
      <w:pPr>
        <w:pStyle w:val="BodyText"/>
        <w:spacing w:line="480" w:lineRule="auto"/>
        <w:ind w:firstLine="720"/>
      </w:pPr>
      <w:r>
        <w:t xml:space="preserve">The second concerns the relationship between JPL and the small set of launch providers on which JPL planetary and astrophysics missions depend. The cadence estimate suggests that the population of commercial operators in the steady-state post-period is more active, which lowers the probability that any single operator’s loss of availability is mission-ending for a JPL launch. The duration estimate, however, suggests that the addition of a new vehicle configuration to a launch service contract, or a license modification to accommodate a JPL-specific trajectory, is now a slower process than the pre-rule baseline. JPL project offices that historically treated license modifications as low-risk schedule items should treat them as moderate-risk items with a non-trivial right tail. The corollary is that mission designers should prefer reference trajectories that fall within the unmodified mission profile of an existing Part 450 authorization wherever scientifically defensible, and should restrict trajectory-specific license modifications to those scientifically essential.</w:t>
      </w:r>
    </w:p>
    <w:p>
      <w:pPr>
        <w:pStyle w:val="BodyText"/>
        <w:spacing w:line="480" w:lineRule="auto"/>
        <w:ind w:firstLine="720"/>
      </w:pPr>
      <w:r>
        <w:t xml:space="preserve">The third concerns JPL’s institutional posture toward the commercial launch market. JPL has historically been a sophisticated, low-volume customer that negotiates from a position of technical depth rather than schedule leverage. The two-margin result implies that the relative bargaining power of sophisticated customers shifts in opposite directions on the two margins: rising cadence weakens the customer’s leverage to demand priority on a specific manifest, while lengthening duration strengthens the customer’s interest in early commitment and price stability across regulatory uncertainty. JPL contracting decisions that span the rule’s steady-state period should reflect both shifts rather than only the one that the legacy regime made salient.</w:t>
      </w:r>
    </w:p>
    <w:p>
      <w:pPr>
        <w:pStyle w:val="BodyText"/>
        <w:spacing w:line="480" w:lineRule="auto"/>
        <w:ind w:firstLine="720"/>
      </w:pPr>
      <w:r>
        <w:t xml:space="preserve">A fourth implication for JPL is institutional rather than project-specific. The laboratory’s mission architecture community has invested heavily in the use of additive manufacturing and other emerging fabrication technologies for spacecraft components</w:t>
      </w:r>
      <w:r>
        <w:t xml:space="preserve"> </w:t>
      </w:r>
      <w:hyperlink w:anchor="ref-18">
        <w:r>
          <w:rPr>
            <w:rStyle w:val="Hyperlink"/>
          </w:rPr>
          <w:t xml:space="preserve">[18]</w:t>
        </w:r>
      </w:hyperlink>
      <w:r>
        <w:t xml:space="preserve">, and in the qualification of new propulsion architectures</w:t>
      </w:r>
      <w:r>
        <w:t xml:space="preserve"> </w:t>
      </w:r>
      <w:hyperlink w:anchor="ref-23">
        <w:r>
          <w:rPr>
            <w:rStyle w:val="Hyperlink"/>
          </w:rPr>
          <w:t xml:space="preserve">[23]</w:t>
        </w:r>
      </w:hyperlink>
      <w:r>
        <w:t xml:space="preserve">. These technology bets are de-risked, at the system level, by the assumption that the launch segment is a stable input. The Part 450 duration estimate suggests that the launch segment is, at least in the present transition window, a less stable input than it was. JPL’s technology investment portfolio should accordingly weight, slightly more heavily than it has, the technology readiness work that reduces dependence on the most schedule-constrained launch profiles, including the development of mission concepts that can manifest on a wider range of vehicle classes.</w:t>
      </w:r>
    </w:p>
    <w:bookmarkEnd w:id="146"/>
    <w:bookmarkStart w:id="147" w:name="limitations"/>
    <w:p>
      <w:pPr>
        <w:pStyle w:val="Heading2"/>
        <w:spacing w:line="480" w:lineRule="auto"/>
      </w:pPr>
      <w:r>
        <w:t xml:space="preserve">7.4 Limitations</w:t>
      </w:r>
    </w:p>
    <w:p>
      <w:pPr>
        <w:pStyle w:val="FirstParagraph"/>
        <w:spacing w:line="480" w:lineRule="auto"/>
      </w:pPr>
      <w:r>
        <w:t xml:space="preserve">Six limitations bound the inferences offered above. Each is internal to the empirical design rather than to the rule itself, and each is candidly described in the contributing papers.</w:t>
      </w:r>
    </w:p>
    <w:p>
      <w:pPr>
        <w:pStyle w:val="BodyText"/>
        <w:spacing w:line="480" w:lineRule="auto"/>
        <w:ind w:firstLine="720"/>
      </w:pPr>
      <w:r>
        <w:t xml:space="preserve">First, the cadence panel is forty-one operator-year observations distributed across six operators. The estimate is sensitive to the inclusion of SpaceX, which dominates the post-period mass. The pre-registered leave-one-operator-out robustness check is the appropriate next step and has not yet been performed at the time of writing. A leave-one-operator-out estimate that strips the SpaceX rows would test whether the cadence break is a regime-wide effect or a SpaceX-specific effect that the post-rule indicator is mechanically absorbing.</w:t>
      </w:r>
    </w:p>
    <w:p>
      <w:pPr>
        <w:pStyle w:val="BodyText"/>
        <w:spacing w:line="480" w:lineRule="auto"/>
        <w:ind w:firstLine="720"/>
      </w:pPr>
      <w:r>
        <w:t xml:space="preserve">Second, the duration analysis is thirty applications. The hazard ratio estimate is precise within that sample, but the Cox proportional-hazards assumption was not formally tested with Schoenfeld residuals because the sample is small. A stratified Cox specification by vehicle class, fit on the expanded sample that the FAA AST docket will eventually permit, is the appropriate next step. Two pending-application durations are illustrative and contribute only through the censoring indicator, which is the conservative choice within the present sample.</w:t>
      </w:r>
    </w:p>
    <w:p>
      <w:pPr>
        <w:pStyle w:val="BodyText"/>
        <w:spacing w:line="480" w:lineRule="auto"/>
        <w:ind w:firstLine="720"/>
      </w:pPr>
      <w:r>
        <w:t xml:space="preserve">Third, the bridge-year indicator in the cadence panel is binary and does not capture within-year heterogeneity in operator migration timing. A months-since-effective-date specification would refine the bridge contribution and could plausibly shift the post-period coefficient by a small magnitude in either direction. The present estimate should therefore be read as the average effect across a coarse calendar partition rather than as the precise effect at any particular operator’s migration date.</w:t>
      </w:r>
    </w:p>
    <w:p>
      <w:pPr>
        <w:pStyle w:val="BodyText"/>
        <w:spacing w:line="480" w:lineRule="auto"/>
        <w:ind w:firstLine="720"/>
      </w:pPr>
      <w:r>
        <w:t xml:space="preserve">Fourth, the analysis does not separately identify the adjudication-capacity confound that the prospectus flagged. If FAA AST staffing changed at or near the rule’s effective date, the estimated duration effect mixes the rule and the staffing change. The prospectus’s pre-registered mitigation is a staffing covariate drawn from public budget justifications and from the GAO oversight reports</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mitigation is feasible in the docket but has not been carried out in the present chapter. The Cox estimate should therefore be read as an upper bound on the rule-only component of the duration penalty, with the residual share attributable to the joint rule-and-capacity effect.</w:t>
      </w:r>
    </w:p>
    <w:p>
      <w:pPr>
        <w:pStyle w:val="BodyText"/>
        <w:spacing w:line="480" w:lineRule="auto"/>
        <w:ind w:firstLine="720"/>
      </w:pPr>
      <w:r>
        <w:t xml:space="preserve">Fifth, both estimates are domestic. The synthetic-control specification using international launch cadence series outside U.S. jurisdiction, drawn from spaceport-feasibility characterizations of FAA AST jurisdictional reach</w:t>
      </w:r>
      <w:r>
        <w:t xml:space="preserve"> </w:t>
      </w:r>
      <w:hyperlink w:anchor="ref-4">
        <w:r>
          <w:rPr>
            <w:rStyle w:val="Hyperlink"/>
          </w:rPr>
          <w:t xml:space="preserve">[4]</w:t>
        </w:r>
      </w:hyperlink>
      <w:r>
        <w:t xml:space="preserve"> </w:t>
      </w:r>
      <w:r>
        <w:t xml:space="preserve">and from the sub-orbital activity literature</w:t>
      </w:r>
      <w:r>
        <w:t xml:space="preserve"> </w:t>
      </w:r>
      <w:hyperlink w:anchor="ref-21">
        <w:r>
          <w:rPr>
            <w:rStyle w:val="Hyperlink"/>
          </w:rPr>
          <w:t xml:space="preserve">[21]</w:t>
        </w:r>
      </w:hyperlink>
      <w:r>
        <w:t xml:space="preserve">, is pre-registered as a robustness check and has not yet been executed. The international synthetic-control test would discipline the demand-shock interpretation by absorbing any common component of post-2021 commercial launch growth that is not U.S. specific.</w:t>
      </w:r>
    </w:p>
    <w:p>
      <w:pPr>
        <w:pStyle w:val="BodyText"/>
        <w:spacing w:line="480" w:lineRule="auto"/>
        <w:ind w:firstLine="720"/>
      </w:pPr>
      <w:r>
        <w:t xml:space="preserve">Sixth, the outcome measurement is sensitive to operational definitions that the dissertation has fixed but that policy interpreters may not share. Days-to-authorization is defined from the FAA’s published acceptance letter date. Authorization reliability is defined from extensions visible in the Federal Register. Operational definitions that count from first docketed correspondence, or that count extensions visible only in FOIA-obtainable internal correspondence, would shift the duration distribution to the right and could shift the structural-break point estimate. The pre-registered robustness checks contemplate these alternative definitions but have not been executed within the contributing papers.</w:t>
      </w:r>
    </w:p>
    <w:bookmarkEnd w:id="147"/>
    <w:bookmarkStart w:id="148" w:name="future-research"/>
    <w:p>
      <w:pPr>
        <w:pStyle w:val="Heading2"/>
        <w:spacing w:line="480" w:lineRule="auto"/>
      </w:pPr>
      <w:r>
        <w:t xml:space="preserve">7.5 Future Research</w:t>
      </w:r>
    </w:p>
    <w:p>
      <w:pPr>
        <w:pStyle w:val="FirstParagraph"/>
        <w:spacing w:line="480" w:lineRule="auto"/>
      </w:pPr>
      <w:r>
        <w:t xml:space="preserve">Five research directions follow directly from the two-margin result and from the limitations described above. Each is feasible with public data and each addresses a specific governance question that the present estimates open without closing.</w:t>
      </w:r>
    </w:p>
    <w:p>
      <w:pPr>
        <w:pStyle w:val="BodyText"/>
        <w:spacing w:line="480" w:lineRule="auto"/>
        <w:ind w:firstLine="720"/>
      </w:pPr>
      <w:r>
        <w:t xml:space="preserve">The first is the leave-one-operator-out cadence analysis and the stratified Cox duration analysis on the expanded FAA AST docket sample. These are the two analyses that the contributing papers explicitly defer. They are the highest-priority next steps because they are the analyses that determine whether the headline estimates survive a more demanding identification standard.</w:t>
      </w:r>
    </w:p>
    <w:p>
      <w:pPr>
        <w:pStyle w:val="BodyText"/>
        <w:spacing w:line="480" w:lineRule="auto"/>
        <w:ind w:firstLine="720"/>
      </w:pPr>
      <w:r>
        <w:t xml:space="preserve">The second is the construction and execution of the international synthetic-control specification. The synthetic-control donor pool would include commercial launch operations outside U.S. jurisdiction, drawn from the spaceport and sub-orbital literature that characterizes non-U.S. authorizing regimes</w:t>
      </w:r>
      <w:r>
        <w:t xml:space="preserve"> </w:t>
      </w:r>
      <w:hyperlink w:anchor="ref-4">
        <w:r>
          <w:rPr>
            <w:rStyle w:val="Hyperlink"/>
          </w:rPr>
          <w:t xml:space="preserve">[4]</w:t>
        </w:r>
      </w:hyperlink>
      <w:r>
        <w:t xml:space="preserve">,</w:t>
      </w:r>
      <w:r>
        <w:t xml:space="preserve"> </w:t>
      </w:r>
      <w:hyperlink w:anchor="ref-21">
        <w:r>
          <w:rPr>
            <w:rStyle w:val="Hyperlink"/>
          </w:rPr>
          <w:t xml:space="preserve">[21]</w:t>
        </w:r>
      </w:hyperlink>
      <w:r>
        <w:t xml:space="preserve">. The donor pool would also include the European, Japanese, and Indian operators whose trajectories enter the global launch demand forecast literature</w:t>
      </w:r>
      <w:r>
        <w:t xml:space="preserve"> </w:t>
      </w:r>
      <w:hyperlink w:anchor="ref-20">
        <w:r>
          <w:rPr>
            <w:rStyle w:val="Hyperlink"/>
          </w:rPr>
          <w:t xml:space="preserve">[20]</w:t>
        </w:r>
      </w:hyperlink>
      <w:r>
        <w:t xml:space="preserve">. A pre-period match on launch cadence and a post-period divergence in U.S. cadence relative to the synthetic counterfactual would offer a strong second test of the Part 450 cadence effect.</w:t>
      </w:r>
    </w:p>
    <w:p>
      <w:pPr>
        <w:pStyle w:val="BodyText"/>
        <w:spacing w:line="480" w:lineRule="auto"/>
        <w:ind w:firstLine="720"/>
      </w:pPr>
      <w:r>
        <w:t xml:space="preserve">The third is the joint estimation of the cadence and duration outcomes within a unified system that admits the operator-year cadence panel and the application-level duration panel as co-determined. The two outcomes share the underlying queue dynamics that the consolidated rule altered, and a joint estimator would, in principle, allow the cadence and duration coefficients to be identified off the same population of pending authorizations rather than off two analytically separated samples. The estimator would be a two-equation system with a shared regulatory regime indicator and a shared staffing covariate, and would directly address the adjudication-capacity confound.</w:t>
      </w:r>
    </w:p>
    <w:p>
      <w:pPr>
        <w:pStyle w:val="BodyText"/>
        <w:spacing w:line="480" w:lineRule="auto"/>
        <w:ind w:firstLine="720"/>
      </w:pPr>
      <w:r>
        <w:t xml:space="preserve">The fourth is the extension of the Part 450 analysis to the downstream space traffic management and orbital sustainability literature. The cadence estimate is, as noted, a calibrated regulatory flux term that can enter conjunction-assessment models, debris remediation legal analyses</w:t>
      </w:r>
      <w:r>
        <w:t xml:space="preserve"> </w:t>
      </w:r>
      <w:hyperlink w:anchor="ref-17">
        <w:r>
          <w:rPr>
            <w:rStyle w:val="Hyperlink"/>
          </w:rPr>
          <w:t xml:space="preserve">[17]</w:t>
        </w:r>
      </w:hyperlink>
      <w:r>
        <w:t xml:space="preserve">, and the broader STM literature at AMOS</w:t>
      </w:r>
      <w:r>
        <w:t xml:space="preserve"> </w:t>
      </w:r>
      <w:hyperlink w:anchor="ref-1">
        <w:r>
          <w:rPr>
            <w:rStyle w:val="Hyperlink"/>
          </w:rPr>
          <w:t xml:space="preserve">[1]</w:t>
        </w:r>
      </w:hyperlink>
      <w:r>
        <w:t xml:space="preserve">,</w:t>
      </w:r>
      <w:r>
        <w:t xml:space="preserve"> </w:t>
      </w:r>
      <w:hyperlink w:anchor="ref-10">
        <w:r>
          <w:rPr>
            <w:rStyle w:val="Hyperlink"/>
          </w:rPr>
          <w:t xml:space="preserve">[10]</w:t>
        </w:r>
      </w:hyperlink>
      <w:r>
        <w:t xml:space="preserve">. The forecast literature on satellite launch traffic</w:t>
      </w:r>
      <w:r>
        <w:t xml:space="preserve"> </w:t>
      </w:r>
      <w:hyperlink w:anchor="ref-20">
        <w:r>
          <w:rPr>
            <w:rStyle w:val="Hyperlink"/>
          </w:rPr>
          <w:t xml:space="preserve">[20]</w:t>
        </w:r>
      </w:hyperlink>
      <w:r>
        <w:t xml:space="preserve"> </w:t>
      </w:r>
      <w:r>
        <w:t xml:space="preserve">and the GEO ITU filing literature</w:t>
      </w:r>
      <w:r>
        <w:t xml:space="preserve"> </w:t>
      </w:r>
      <w:hyperlink w:anchor="ref-12">
        <w:r>
          <w:rPr>
            <w:rStyle w:val="Hyperlink"/>
          </w:rPr>
          <w:t xml:space="preserve">[12]</w:t>
        </w:r>
      </w:hyperlink>
      <w:r>
        <w:t xml:space="preserve"> </w:t>
      </w:r>
      <w:r>
        <w:t xml:space="preserve">both depend on assumptions about authorization throughput that the present estimates can refine. The research direction is therefore the systematic substitution of the qualitative footnote on launch licensing in those literatures with a quantitative regulatory term whose sign, magnitude, and uncertainty are now empirically grounded.</w:t>
      </w:r>
    </w:p>
    <w:p>
      <w:pPr>
        <w:pStyle w:val="BodyText"/>
        <w:spacing w:line="480" w:lineRule="auto"/>
        <w:ind w:firstLine="720"/>
      </w:pPr>
      <w:r>
        <w:t xml:space="preserve">The fifth is the comparative analysis of the Part 450 transition against analogous consolidations in adjacent regulatory domains. The whole-of-nation literature</w:t>
      </w:r>
      <w:r>
        <w:t xml:space="preserve"> </w:t>
      </w:r>
      <w:hyperlink w:anchor="ref-3">
        <w:r>
          <w:rPr>
            <w:rStyle w:val="Hyperlink"/>
          </w:rPr>
          <w:t xml:space="preserve">[3]</w:t>
        </w:r>
      </w:hyperlink>
      <w:r>
        <w:t xml:space="preserve"> </w:t>
      </w:r>
      <w:r>
        <w:t xml:space="preserve">advances the broader recommendation that the United States name a single federal authorizing agency for non-traditional space activities. A research program that examined the consolidation of regulatory authority in adjacent infrastructure sectors and compared the throughput, duration, and capacity transitions in those sectors to the Part 450 transition would discipline the policy generalization of the present finding. The hazard estimate from the Cox model is large enough that the generalization carries non-trivial risk if it is made without comparative empirical support.</w:t>
      </w:r>
    </w:p>
    <w:p>
      <w:pPr>
        <w:pStyle w:val="BodyText"/>
        <w:spacing w:line="480" w:lineRule="auto"/>
        <w:ind w:firstLine="720"/>
      </w:pPr>
      <w:r>
        <w:t xml:space="preserve">Two minor research directions also deserve mention. The first is the within-firm analysis of license modifications versus new license issuances, which would separate the marginal regulatory burden of trajectory and vehicle additions from the burden of de novo authorization. The hybrid rocket motor literature</w:t>
      </w:r>
      <w:r>
        <w:t xml:space="preserve"> </w:t>
      </w:r>
      <w:hyperlink w:anchor="ref-23">
        <w:r>
          <w:rPr>
            <w:rStyle w:val="Hyperlink"/>
          </w:rPr>
          <w:t xml:space="preserve">[23]</w:t>
        </w:r>
      </w:hyperlink>
      <w:r>
        <w:t xml:space="preserve"> </w:t>
      </w:r>
      <w:r>
        <w:t xml:space="preserve">and the deflector-noise launch-pad literature</w:t>
      </w:r>
      <w:r>
        <w:t xml:space="preserve"> </w:t>
      </w:r>
      <w:hyperlink w:anchor="ref-22">
        <w:r>
          <w:rPr>
            <w:rStyle w:val="Hyperlink"/>
          </w:rPr>
          <w:t xml:space="preserve">[22]</w:t>
        </w:r>
      </w:hyperlink>
      <w:r>
        <w:t xml:space="preserve"> </w:t>
      </w:r>
      <w:r>
        <w:t xml:space="preserve">provide examples of technical novelties whose regulatory absorption time can be estimated within the proposed modification-versus-issuance partition. The second is the examination of the lunar exploration launch demand that the lunar regolith simulant and surface operations literature implies</w:t>
      </w:r>
      <w:r>
        <w:t xml:space="preserve"> </w:t>
      </w:r>
      <w:hyperlink w:anchor="ref-19">
        <w:r>
          <w:rPr>
            <w:rStyle w:val="Hyperlink"/>
          </w:rPr>
          <w:t xml:space="preserve">[19]</w:t>
        </w:r>
      </w:hyperlink>
      <w:r>
        <w:t xml:space="preserve">, because the post-rule licensing pipeline will determine whether the surface-operations cadence that scientific lunar architectures presuppose is achievable in the time horizon those architectures assume.</w:t>
      </w:r>
    </w:p>
    <w:bookmarkEnd w:id="148"/>
    <w:bookmarkStart w:id="149" w:name="concluding-remarks"/>
    <w:p>
      <w:pPr>
        <w:pStyle w:val="Heading2"/>
        <w:spacing w:line="480" w:lineRule="auto"/>
      </w:pPr>
      <w:r>
        <w:t xml:space="preserve">7.6 Concluding Remarks</w:t>
      </w:r>
    </w:p>
    <w:p>
      <w:pPr>
        <w:pStyle w:val="FirstParagraph"/>
        <w:spacing w:line="480" w:lineRule="auto"/>
      </w:pPr>
      <w:r>
        <w:t xml:space="preserve">The dissertation set out to test, with a credible identification strategy, whether the consolidated 14 CFR Part 450 regime produced a structural break in three pre-registered licensing outcomes. The cadence and duration results converge on a single substantive claim. The rule produced a structural break in both directions: more launches per authorized operator-year in the steady state, and fewer applications cleared per unit of queue time at the adjudication boundary. The implication for NASA program management is that the licensing segment of the launch readiness schedule has become a heavier, not a lighter, source of schedule risk, even though the cadence of the commercial fleet has risen. The implication for JPL decision-making is that mission concept formulation should treat regulatory duration as a stochastic input with a wider right tail than the legacy regime supported, while preserving the cadence-based assumption that the steady-state availability of vehicles is improving. The implication for the recurring whole-of-nation recommendation</w:t>
      </w:r>
      <w:r>
        <w:t xml:space="preserve"> </w:t>
      </w:r>
      <w:hyperlink w:anchor="ref-3">
        <w:r>
          <w:rPr>
            <w:rStyle w:val="Hyperlink"/>
          </w:rPr>
          <w:t xml:space="preserve">[3]</w:t>
        </w:r>
      </w:hyperlink>
      <w:r>
        <w:t xml:space="preserve"> </w:t>
      </w:r>
      <w:r>
        <w:t xml:space="preserve">is that the policy lesson of Part 450 is not whether to consolidate authorizing authority into a single rule or a single agency. The policy lesson is that consolidation without a parallel investment in adjudication capacity will produce exactly the two-margin pattern that the present estimates identify. The reform is necessary. The capacity is not optional.</w:t>
      </w:r>
    </w:p>
    <w:p>
      <w:pPr>
        <w:pStyle w:val="BodyText"/>
        <w:spacing w:line="480" w:lineRule="auto"/>
        <w:ind w:firstLine="720"/>
      </w:pPr>
      <w:r>
        <w:t xml:space="preserve">The dissertation’s three pre-registered limitations remain operative and condition the strength of these implications. The leave-one-operator-out cadence test, the stratified Cox duration test, and the international synthetic-control specification are the three robustness exercises whose outcomes will determine whether the present claims survive at the standard expected of a final defense. The author commits to executing all three as the priority research program of the post-prospectus period, and to reporting their results, including any reversal of the present sign or magnitude on either margin, with the same provenance discipline that the dissertation has applied to the analyses already in hand.</w:t>
      </w:r>
    </w:p>
    <w:bookmarkEnd w:id="149"/>
    <w:bookmarkEnd w:id="150"/>
    <w:bookmarkStart w:id="191" w:name="chapter-8.-conclusion"/>
    <w:p>
      <w:pPr>
        <w:pStyle w:val="Heading1"/>
        <w:spacing w:line="480" w:lineRule="auto"/>
      </w:pPr>
      <w:r>
        <w:t xml:space="preserve">Chapter 8. Conclusion</w:t>
      </w:r>
    </w:p>
    <w:bookmarkStart w:id="151" w:name="the-question-restated"/>
    <w:p>
      <w:pPr>
        <w:pStyle w:val="Heading2"/>
        <w:spacing w:line="480" w:lineRule="auto"/>
      </w:pPr>
      <w:r>
        <w:t xml:space="preserve">8.1 The Question Restated</w:t>
      </w:r>
    </w:p>
    <w:p>
      <w:pPr>
        <w:pStyle w:val="FirstParagraph"/>
        <w:spacing w:line="480" w:lineRule="auto"/>
      </w:pPr>
      <w:r>
        <w:t xml:space="preserve">This dissertation asked whether the Federal Aviation Administration’s consolidated launch and reentry licensing regime, codified at 14 CFR Part 450 and made effective on 15 March 2021</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produced a measurable structural break in three pre-registered outcomes: monthly licensed launch cadence, days from application acceptance to license issuance, and authorization reliability over the population of U.S. commercial launch operators. The reform’s stated objective was to streamline authorization and to permit a single license to cover multiple vehicle configurations and trajectories, with the expectation that throughput would rise alongside the commercial launch rate. Five years after the effective date, neither the industry commentary captured in the AMOS literature</w:t>
      </w:r>
      <w:r>
        <w:t xml:space="preserve"> </w:t>
      </w:r>
      <w:hyperlink w:anchor="ref-1">
        <w:r>
          <w:rPr>
            <w:rStyle w:val="Hyperlink"/>
          </w:rPr>
          <w:t xml:space="preserve">[1]</w:t>
        </w:r>
      </w:hyperlink>
      <w:r>
        <w:t xml:space="preserve">,</w:t>
      </w:r>
      <w:r>
        <w:t xml:space="preserve"> </w:t>
      </w:r>
      <w:hyperlink w:anchor="ref-10">
        <w:r>
          <w:rPr>
            <w:rStyle w:val="Hyperlink"/>
          </w:rPr>
          <w:t xml:space="preserve">[10]</w:t>
        </w:r>
      </w:hyperlink>
      <w:r>
        <w:t xml:space="preserve"> </w:t>
      </w:r>
      <w:r>
        <w:t xml:space="preserve">nor the normative whole-of-nation policy stream</w:t>
      </w:r>
      <w:r>
        <w:t xml:space="preserve"> </w:t>
      </w:r>
      <w:hyperlink w:anchor="ref-3">
        <w:r>
          <w:rPr>
            <w:rStyle w:val="Hyperlink"/>
          </w:rPr>
          <w:t xml:space="preserve">[3]</w:t>
        </w:r>
      </w:hyperlink>
      <w:r>
        <w:t xml:space="preserve"> </w:t>
      </w:r>
      <w:r>
        <w:t xml:space="preserve">had supplied a credible causal estimate of the rule’s effect on the licensed population. The empirical question, plainly stated, was whether consolidation lowered friction, raised friction, or did neither once the principal demand shock of large-constellation deployment was held constant. The dissertation was designed to answer that question with a falsifiable estimand, a pre-registered identification window, and a documentary chain of provenance traceable to public FAA, Federal Register, and Government Accountability Office records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p>
    <w:bookmarkEnd w:id="151"/>
    <w:bookmarkStart w:id="152" w:name="synthesis-of-the-argument"/>
    <w:p>
      <w:pPr>
        <w:pStyle w:val="Heading2"/>
        <w:spacing w:line="480" w:lineRule="auto"/>
      </w:pPr>
      <w:r>
        <w:t xml:space="preserve">8.2 Synthesis of the Argument</w:t>
      </w:r>
    </w:p>
    <w:p>
      <w:pPr>
        <w:pStyle w:val="FirstParagraph"/>
        <w:spacing w:line="480" w:lineRule="auto"/>
      </w:pPr>
      <w:r>
        <w:t xml:space="preserve">The argument advanced across the preceding chapters proceeds in three movements, each carrying a distinct identification strategy and each disciplining the interpretation of the others.</w:t>
      </w:r>
    </w:p>
    <w:p>
      <w:pPr>
        <w:pStyle w:val="BodyText"/>
        <w:spacing w:line="480" w:lineRule="auto"/>
        <w:ind w:firstLine="720"/>
      </w:pPr>
      <w:r>
        <w:t xml:space="preserve">The first movement, developed in the panel cadence analysis, fit a pooled ordinary least squares regression of operator-year FAA-licensed launch counts on a post-Part 450 indicator, a bridge-year indicator, operator tenure, and a large-constellation deployment indicator over an operator-year panel covering 2010 through 2024. The coefficient on the post-Part 450 indicator was 12.79 launches per operator-year with a p-value of 0.041, signed in the direction predicted by the consolidation-lowers-friction prior advanced in the space-economy literature</w:t>
      </w:r>
      <w:r>
        <w:t xml:space="preserve"> </w:t>
      </w:r>
      <w:hyperlink w:anchor="ref-3">
        <w:r>
          <w:rPr>
            <w:rStyle w:val="Hyperlink"/>
          </w:rPr>
          <w:t xml:space="preserve">[3]</w:t>
        </w:r>
      </w:hyperlink>
      <w:r>
        <w:t xml:space="preserve">. The large-constellation indicator carried a coefficient of 53.55 with a p-value of 0.001, identifying the SpaceX Starlink deployment as the dominant force in the post-period cadence distribution. The regulatory and constellation effects were co-present and separately identified within the specification. The headline of the first movement was therefore that, after partialling out the principal demand shock and operator tenure, the post-Part 450 regime is associated with roughly an additional dozen FAA-licensed launches per operator-year, a quantity that downstream orbital traffic and conjunction models can now use as a calibrated regulatory flux term rather than a qualitative footnote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The second movement, developed in the application-duration analysis, fit a Cox proportional-hazards model of time from FAA receipt of a complete application to license action over thirty applications between 2013 and 2025, drawn from FAA AST quarterly launch reports, FAA AST annual compendia, and three sequential GAO oversight reports</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Part 450 indicator carried a coefficient of minus 3.569 with a standard error of 0.833 and a p-value below 0.001, implying a hazard ratio of approximately 0.028. Holding operator scale and reusability constant, an application filed under Part 450 faces roughly a thirty-five-fold lower instantaneous hazard of approval at any given point in the queue than an otherwise comparable application filed under the legacy parts. The small-provider and reusable-vehicle covariates did not survive as conditioning factors, indicating that the duration penalty is borne by the regime itself rather than by particular firm classes within it. The headline of the second movement was therefore that the Part 450 transition discontinuity in licensing duration is real, regime-wide, and currently unattributable to operator size or vehicle reusability.</w:t>
      </w:r>
    </w:p>
    <w:p>
      <w:pPr>
        <w:pStyle w:val="BodyText"/>
        <w:spacing w:line="480" w:lineRule="auto"/>
        <w:ind w:firstLine="720"/>
      </w:pPr>
      <w:r>
        <w:t xml:space="preserve">The two movements, taken together, would appear at first reading to point in opposite directions. The cadence panel reports a positive post-Part 450 coefficient; the duration model reports a sharply negative post-Part 450 hazard. The apparent tension dissolves once the unit of analysis and the conditioning structure are made explicit, and that dissolution constitutes the synthesis the dissertation offers.</w:t>
      </w:r>
    </w:p>
    <w:p>
      <w:pPr>
        <w:pStyle w:val="BodyText"/>
        <w:spacing w:line="480" w:lineRule="auto"/>
        <w:ind w:firstLine="720"/>
      </w:pPr>
      <w:r>
        <w:t xml:space="preserve">Cadence is a count over realized launches in an operator-year. Duration is the elapsed wall-clock time of a single application as it transits the agency. The two outcomes interact only through the pipeline that connects an authorization to a flight. A licensee that secured its initial Part 450 license slowly can still execute many flights under that license, because a single Part 450 authorization covers multiple vehicle configurations and trajectories</w:t>
      </w:r>
      <w:r>
        <w:t xml:space="preserve"> </w:t>
      </w:r>
      <w:hyperlink w:anchor="ref-5">
        <w:r>
          <w:rPr>
            <w:rStyle w:val="Hyperlink"/>
          </w:rPr>
          <w:t xml:space="preserve">[5]</w:t>
        </w:r>
      </w:hyperlink>
      <w:r>
        <w:t xml:space="preserve">. The consolidation feature of the rule, in other words, decouples licensing throughput at the agency from launch throughput at the pad over the medium run. Within an operator-year, the dominant licensee in the post-period sample, SpaceX, was operating under Part 450 authorizations that had already cleared the agency queue, and the large-constellation deployment indicator absorbs the deployment cadence under those authorizations. New entrants, by contrast, are sitting in the duration distribution that the Cox model identifies, where the GAO oversight stream documents the workforce and rule-interpretation bottlenecks that prolong time-to-license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p>
    <w:p>
      <w:pPr>
        <w:pStyle w:val="BodyText"/>
        <w:spacing w:line="480" w:lineRule="auto"/>
        <w:ind w:firstLine="720"/>
      </w:pPr>
      <w:r>
        <w:t xml:space="preserve">The synthesis the dissertation advances is therefore that Part 450 produced a bifurcated structural break. On the incumbent side, where the once-cleared license can be amortized across many flights, the rule is associated with rising operator-year cadence after the Starlink demand component is partialled out. On the entrant side, where the licensing event itself is the binding constraint, the rule is associated with a sharply reduced hazard of approval at any given point in the queue. The two findings are not contradictory; they are the two faces of the same regulatory architecture. Consolidation succeeded as advertised for those already inside the regime and underperformed as advertised for those attempting to enter it. The result is a regime that scales well for present incumbents and poorly for prospective entrants.</w:t>
      </w:r>
    </w:p>
    <w:bookmarkEnd w:id="152"/>
    <w:bookmarkStart w:id="153" w:name="contribution-to-knowledge"/>
    <w:p>
      <w:pPr>
        <w:pStyle w:val="Heading2"/>
        <w:spacing w:line="480" w:lineRule="auto"/>
      </w:pPr>
      <w:r>
        <w:t xml:space="preserve">8.3 Contribution to Knowledge</w:t>
      </w:r>
    </w:p>
    <w:p>
      <w:pPr>
        <w:pStyle w:val="FirstParagraph"/>
        <w:spacing w:line="480" w:lineRule="auto"/>
      </w:pPr>
      <w:r>
        <w:t xml:space="preserve">The dissertation makes four contributions to the published literature.</w:t>
      </w:r>
    </w:p>
    <w:p>
      <w:pPr>
        <w:pStyle w:val="BodyText"/>
        <w:spacing w:line="480" w:lineRule="auto"/>
        <w:ind w:firstLine="720"/>
      </w:pPr>
      <w:r>
        <w:t xml:space="preserve">First, it supplies the first peer-reviewed quantitative identification of the Part 450 transition’s effect on the licensed population of U.S. commercial launches. The AMOS and STM literature has correctly treated Part 450 as a binding institutional variable that conditions the flux of objects entering trackable orbits</w:t>
      </w:r>
      <w:r>
        <w:t xml:space="preserve"> </w:t>
      </w:r>
      <w:hyperlink w:anchor="ref-1">
        <w:r>
          <w:rPr>
            <w:rStyle w:val="Hyperlink"/>
          </w:rPr>
          <w:t xml:space="preserve">[1]</w:t>
        </w:r>
      </w:hyperlink>
      <w:r>
        <w:t xml:space="preserve">,</w:t>
      </w:r>
      <w:r>
        <w:t xml:space="preserve"> </w:t>
      </w:r>
      <w:hyperlink w:anchor="ref-10">
        <w:r>
          <w:rPr>
            <w:rStyle w:val="Hyperlink"/>
          </w:rPr>
          <w:t xml:space="preserve">[10]</w:t>
        </w:r>
      </w:hyperlink>
      <w:r>
        <w:t xml:space="preserve">, but it has done so qualitatively. The cadence estimate and the duration estimate together convert that qualitative anchor into two calibrated coefficients, with uncertainty, that downstream space traffic management and launch-traffic-forecast models can now ingest as exogenous regulatory inputs. The satellite-launch traffic forecasting work that ties global GDP and constellation plans to launch demand</w:t>
      </w:r>
      <w:r>
        <w:t xml:space="preserve"> </w:t>
      </w:r>
      <w:hyperlink w:anchor="ref-20">
        <w:r>
          <w:rPr>
            <w:rStyle w:val="Hyperlink"/>
          </w:rPr>
          <w:t xml:space="preserve">[20]</w:t>
        </w:r>
      </w:hyperlink>
      <w:r>
        <w:t xml:space="preserve"> </w:t>
      </w:r>
      <w:r>
        <w:t xml:space="preserve">now has an empirical handle on the regulatory transmission term that intervenes between latent demand and realized cadence.</w:t>
      </w:r>
    </w:p>
    <w:p>
      <w:pPr>
        <w:pStyle w:val="BodyText"/>
        <w:spacing w:line="480" w:lineRule="auto"/>
        <w:ind w:firstLine="720"/>
      </w:pPr>
      <w:r>
        <w:t xml:space="preserve">Second, the dissertation isolates the regulatory component of the post-period cadence rise from the constellation-deployment component within a single specification. The large-constellation indicator absorbs the SpaceX Starlink surge that any naive pre-versus-post comparison would otherwise misattribute to the rule. This conditioning matters because the policy debate over consolidated regulation has been conducted, in the AMOS commentary and in the space-economy stream, without an instrument that separates the two forces. The dissertation supplies that instrument.</w:t>
      </w:r>
    </w:p>
    <w:p>
      <w:pPr>
        <w:pStyle w:val="BodyText"/>
        <w:spacing w:line="480" w:lineRule="auto"/>
        <w:ind w:firstLine="720"/>
      </w:pPr>
      <w:r>
        <w:t xml:space="preserve">Third, the dissertation locates the burden of the transition. The Cox model’s null result on the small-provider covariate is, on the published record, the first quantitative test of the widely repeated claim that Part 450 disproportionately harms new entrants. The data, within the limits of the thirty-application sample, do not support a firm-class story. They support a system-wide capacity story consistent with the GAO oversight findings on workforce and rule interpretation</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policy implication is that remediation should be addressed to the agency’s adjudication capacity rather than to a small-operator carve-out, and that any future consolidation undertaken at the federal level should be paired with a prospective workforce plan that anticipates the rule-interpretation cost on both sides of the desk.</w:t>
      </w:r>
    </w:p>
    <w:p>
      <w:pPr>
        <w:pStyle w:val="BodyText"/>
        <w:spacing w:line="480" w:lineRule="auto"/>
        <w:ind w:firstLine="720"/>
      </w:pPr>
      <w:r>
        <w:t xml:space="preserve">Fourth, the dissertation contributes to the recurring whole-of-nation argument that the United States should reform its space regulatory structure and name a single federal authorizing agency for non-traditional space activities</w:t>
      </w:r>
      <w:r>
        <w:t xml:space="preserve"> </w:t>
      </w:r>
      <w:hyperlink w:anchor="ref-3">
        <w:r>
          <w:rPr>
            <w:rStyle w:val="Hyperlink"/>
          </w:rPr>
          <w:t xml:space="preserve">[3]</w:t>
        </w:r>
      </w:hyperlink>
      <w:r>
        <w:t xml:space="preserve">. The empirical case for that recommendation has rested, in the space-economy literature, on a theoretical prior that consolidation lowers friction. The cadence finding offers an early-data signal that this prior survives a specification that explicitly partials out the principal demand shock. The duration finding qualifies the prior: consolidation lowers friction in the steady state for those who have already secured an authorization, while it raises wall-clock cost during the application phase under the workforce and learning conditions observed at FAA AST between 2021 and 2025</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Any successor consolidation should therefore be designed with the explicit recognition that performance-based review reintroduces transition cost into the application queue even as it removes friction from the licensed population’s operations.</w:t>
      </w:r>
    </w:p>
    <w:bookmarkEnd w:id="153"/>
    <w:bookmarkStart w:id="154" w:name="limits-the-reader-should-carry-forward"/>
    <w:p>
      <w:pPr>
        <w:pStyle w:val="Heading2"/>
        <w:spacing w:line="480" w:lineRule="auto"/>
      </w:pPr>
      <w:r>
        <w:t xml:space="preserve">8.4 Limits the Reader Should Carry Forward</w:t>
      </w:r>
    </w:p>
    <w:p>
      <w:pPr>
        <w:pStyle w:val="FirstParagraph"/>
        <w:spacing w:line="480" w:lineRule="auto"/>
      </w:pPr>
      <w:r>
        <w:t xml:space="preserve">The dissertation makes four claims and should be read with four caveats.</w:t>
      </w:r>
    </w:p>
    <w:p>
      <w:pPr>
        <w:pStyle w:val="BodyText"/>
        <w:spacing w:line="480" w:lineRule="auto"/>
        <w:ind w:firstLine="720"/>
      </w:pPr>
      <w:r>
        <w:t xml:space="preserve">The operator-year panel is forty-one observations. The cadence result is sensitive to the inclusion of SpaceX, which dominates the post-period mass. The leave-one-operator-out robustness check pre-registered in the prospectus is the appropriate next step, and a future revision that re-fits the panel with operator and year fixed effects on an expanded register will discipline the point estimate further.</w:t>
      </w:r>
    </w:p>
    <w:p>
      <w:pPr>
        <w:pStyle w:val="BodyText"/>
        <w:spacing w:line="480" w:lineRule="auto"/>
        <w:ind w:firstLine="720"/>
      </w:pPr>
      <w:r>
        <w:t xml:space="preserve">The duration sample is thirty applications. The Cox proportional-hazards assumption was not formally tested with Schoenfeld residuals at this sample size, and two pending small-provider applications contributed only censoring information. A stratified Cox specification by vehicle class, fit on the full FAA AST license register once the docket harmonizes legacy and Part 450 numbering, will refine the hazard ratio.</w:t>
      </w:r>
    </w:p>
    <w:p>
      <w:pPr>
        <w:pStyle w:val="BodyText"/>
        <w:spacing w:line="480" w:lineRule="auto"/>
        <w:ind w:firstLine="720"/>
      </w:pPr>
      <w:r>
        <w:t xml:space="preserve">The bridge-year indicator in the cadence panel and the binary Part 450 indicator in the duration model are coarse instruments. A months-since-effective-date specification, paired with operator-level migration timing drawn from individual license dockets, will capture the within-firm heterogeneity that the present coarse coding cannot reach. The authorization-reliability outcome pre-registered in the prospectus, defined as the share of accepted applications issued without a public sufficiency or completeness extension, remains a third pre-registered outcome to be reported in subsequent work</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p>
    <w:p>
      <w:pPr>
        <w:pStyle w:val="BodyText"/>
        <w:spacing w:line="480" w:lineRule="auto"/>
        <w:ind w:firstLine="720"/>
      </w:pPr>
      <w:r>
        <w:t xml:space="preserve">The identification rests on FAA, Federal Register, and GAO records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provenance chain is public and reproducible, and no observation in the analytic panel depends on proprietary or illustrative data, with the narrow exception of the two pending small-provider duration values declared illustrative in the application-duration chapter. The reader should weight the conclusions by the size of the samples on which they rest, not by the strength of the language in which they are stated.</w:t>
      </w:r>
    </w:p>
    <w:bookmarkEnd w:id="154"/>
    <w:bookmarkStart w:id="155" w:name="closing-statement"/>
    <w:p>
      <w:pPr>
        <w:pStyle w:val="Heading2"/>
        <w:spacing w:line="480" w:lineRule="auto"/>
      </w:pPr>
      <w:r>
        <w:t xml:space="preserve">8.5 Closing Statement</w:t>
      </w:r>
    </w:p>
    <w:p>
      <w:pPr>
        <w:pStyle w:val="FirstParagraph"/>
        <w:spacing w:line="480" w:lineRule="auto"/>
      </w:pPr>
      <w:r>
        <w:t xml:space="preserve">The dissertation began with a simple, falsifiable question and ends with a precise, partial answer. The transition to 14 CFR Part 450 did change U.S. commercial launch licensing, but not in the unitary direction that either its advocates or its critics asserted. After conditioning on operator tenure, the bridge year, and the SpaceX Starlink deployment, the consolidated regime is associated with roughly a dozen additional FAA-licensed launches per operator-year in the post-period. After conditioning on operator scale and vehicle reusability, the same regime is associated with a thirty-five-fold reduction in the instantaneous hazard of license approval relative to the legacy parts. The two findings cohere once the unit of analysis is made explicit. Part 450 produced a regime that scales well for those operating under already-issued authorizations and scales poorly for those still in the application queue, with the burden distributed across the agency’s adjudication capacity rather than concentrated on any one firm class.</w:t>
      </w:r>
    </w:p>
    <w:p>
      <w:pPr>
        <w:pStyle w:val="BodyText"/>
        <w:spacing w:line="480" w:lineRule="auto"/>
        <w:ind w:firstLine="720"/>
      </w:pPr>
      <w:r>
        <w:t xml:space="preserve">The policy implication is constructive rather than negative. Performance-based consolidation is not a failed instrument; it is an incomplete one when deployed without a parallel investment in agency adjudication capacity. The recurring whole-of-nation recommendation that the United States name a single federal authorizing agency for non-traditional space activities</w:t>
      </w:r>
      <w:r>
        <w:t xml:space="preserve"> </w:t>
      </w:r>
      <w:hyperlink w:anchor="ref-3">
        <w:r>
          <w:rPr>
            <w:rStyle w:val="Hyperlink"/>
          </w:rPr>
          <w:t xml:space="preserve">[3]</w:t>
        </w:r>
      </w:hyperlink>
      <w:r>
        <w:t xml:space="preserve"> </w:t>
      </w:r>
      <w:r>
        <w:t xml:space="preserve">gains, from the cadence finding, an early-data signal that consolidation in a single authorizing rule is associated with rising commercial cadence. It gains, from the duration finding, a binding constraint: any successor consolidation must be designed and resourced so that the application queue does not become the bottleneck that the licensed population’s flight rate then escapes only by operator scale. The empirical record that this dissertation establishes is a starting point, not a verdict. The Part 450 transition discontinuity is real, it is signed, and it is bounded. Whether the next consolidation absorbs the lesson is the question the next decade of U.S. commercial space policy will answer, and the framework offered here is the instrument by which that answer can be tested.</w:t>
      </w:r>
    </w:p>
    <w:bookmarkEnd w:id="155"/>
    <w:bookmarkStart w:id="190" w:name="references"/>
    <w:p>
      <w:pPr>
        <w:pStyle w:val="Heading2"/>
        <w:spacing w:line="480" w:lineRule="auto"/>
      </w:pPr>
      <w:r>
        <w:t xml:space="preserve">References</w:t>
      </w:r>
    </w:p>
    <w:p>
      <w:pPr>
        <w:pStyle w:val="FirstParagraph"/>
        <w:spacing w:line="480" w:lineRule="auto"/>
      </w:pPr>
      <w:bookmarkStart w:id="156" w:name="ref-1"/>
      <w:bookmarkEnd w:id="156"/>
      <w:r>
        <w:t xml:space="preserve">1. J. Reilly, M. Blackford, and J. Mueller,</w:t>
      </w:r>
      <w:r>
        <w:t xml:space="preserve"> </w:t>
      </w:r>
      <w:r>
        <w:t xml:space="preserve">“Challenges in Space Traffic Management,”</w:t>
      </w:r>
      <w:r>
        <w:t xml:space="preserve"> </w:t>
      </w:r>
      <w:r>
        <w:t xml:space="preserve">in Proc. Advanced Maui Optical and Space Surveillance Technologies (AMOS) Conference, 2023. doi:</w:t>
      </w:r>
      <w:r>
        <w:t xml:space="preserve"> </w:t>
      </w:r>
      <w:hyperlink r:id="rId157">
        <w:r>
          <w:rPr>
            <w:rStyle w:val="Hyperlink"/>
          </w:rPr>
          <w:t xml:space="preserve">10.64861/UCTN1793</w:t>
        </w:r>
      </w:hyperlink>
      <w:r>
        <w:t xml:space="preserve">. Available: https://amostech.space/year/2023/challenges-in-space-traffic-management/</w:t>
      </w:r>
    </w:p>
    <w:p>
      <w:pPr>
        <w:pStyle w:val="BodyText"/>
        <w:spacing w:line="480" w:lineRule="auto"/>
        <w:ind w:firstLine="720"/>
      </w:pPr>
      <w:bookmarkStart w:id="158" w:name="ref-2"/>
      <w:bookmarkEnd w:id="158"/>
      <w:r>
        <w:t xml:space="preserve">2. M. S. Uludag and A. R. Aslan,</w:t>
      </w:r>
      <w:r>
        <w:t xml:space="preserve"> </w:t>
      </w:r>
      <w:r>
        <w:t xml:space="preserve">“Highly-miniaturized spacecraft</w:t>
      </w:r>
      <w:r>
        <w:t xml:space="preserve"> </w:t>
      </w:r>
      <w:r>
        <w:t xml:space="preserve">‘PlanarSat’</w:t>
      </w:r>
      <w:r>
        <w:t xml:space="preserve">: Evaluating prospects and challenges through a survey of femto and atto satellite missions,”</w:t>
      </w:r>
      <w:r>
        <w:t xml:space="preserve"> </w:t>
      </w:r>
      <w:r>
        <w:t xml:space="preserve">Acta Astronautica, vol. 236, 2025. doi:</w:t>
      </w:r>
      <w:r>
        <w:t xml:space="preserve"> </w:t>
      </w:r>
      <w:hyperlink r:id="rId159">
        <w:r>
          <w:rPr>
            <w:rStyle w:val="Hyperlink"/>
          </w:rPr>
          <w:t xml:space="preserve">10.1016/j.actaastro.2025.05.018</w:t>
        </w:r>
      </w:hyperlink>
      <w:r>
        <w:t xml:space="preserve">.</w:t>
      </w:r>
    </w:p>
    <w:p>
      <w:pPr>
        <w:pStyle w:val="BodyText"/>
        <w:spacing w:line="480" w:lineRule="auto"/>
        <w:ind w:firstLine="720"/>
      </w:pPr>
      <w:bookmarkStart w:id="160" w:name="ref-3"/>
      <w:bookmarkEnd w:id="160"/>
      <w:r>
        <w:t xml:space="preserve">3.</w:t>
      </w:r>
      <w:r>
        <w:t xml:space="preserve"> </w:t>
      </w:r>
      <w:r>
        <w:t xml:space="preserve">“The Space Imperative (Whole-of-Nation),”</w:t>
      </w:r>
      <w:r>
        <w:t xml:space="preserve"> </w:t>
      </w:r>
      <w:r>
        <w:t xml:space="preserve">Space Economy Papers corpus, source key SD14, recommendation #2 on reforming the existing space regulatory structure and naming a single federal authorizing agency.</w:t>
      </w:r>
    </w:p>
    <w:p>
      <w:pPr>
        <w:pStyle w:val="BodyText"/>
        <w:spacing w:line="480" w:lineRule="auto"/>
        <w:ind w:firstLine="720"/>
      </w:pPr>
      <w:bookmarkStart w:id="161" w:name="ref-4"/>
      <w:bookmarkEnd w:id="161"/>
      <w:r>
        <w:t xml:space="preserve">4. F. Santoro, A. Del Bianco, N. Viola, R. Fusaro, V. Albino, M. Binetti, and P. Marzioli,</w:t>
      </w:r>
      <w:r>
        <w:t xml:space="preserve"> </w:t>
      </w:r>
      <w:r>
        <w:t xml:space="preserve">“Spaceport and Ground Segment assessment for enabling operations of suborbital transportation systems in the Italian territory,”</w:t>
      </w:r>
      <w:r>
        <w:t xml:space="preserve"> </w:t>
      </w:r>
      <w:r>
        <w:t xml:space="preserve">Acta Astronautica, vol. 152, 2018. doi:</w:t>
      </w:r>
      <w:r>
        <w:t xml:space="preserve"> </w:t>
      </w:r>
      <w:hyperlink r:id="rId162">
        <w:r>
          <w:rPr>
            <w:rStyle w:val="Hyperlink"/>
          </w:rPr>
          <w:t xml:space="preserve">10.1016/j.actaastro.2018.08.014</w:t>
        </w:r>
      </w:hyperlink>
      <w:r>
        <w:t xml:space="preserve">.</w:t>
      </w:r>
    </w:p>
    <w:p>
      <w:pPr>
        <w:pStyle w:val="BodyText"/>
        <w:spacing w:line="480" w:lineRule="auto"/>
        <w:ind w:firstLine="720"/>
      </w:pPr>
      <w:bookmarkStart w:id="163" w:name="ref-5"/>
      <w:bookmarkEnd w:id="163"/>
      <w:r>
        <w:t xml:space="preserve">5. Federal Aviation Administration,</w:t>
      </w:r>
      <w:r>
        <w:t xml:space="preserve"> </w:t>
      </w:r>
      <w:r>
        <w:t xml:space="preserve">“Streamlined Launch and Reentry License Requirements,”</w:t>
      </w:r>
      <w:r>
        <w:t xml:space="preserve"> </w:t>
      </w:r>
      <w:r>
        <w:t xml:space="preserve">Final Rule, 14 CFR Part 450, Federal Register, vol. 85, no. 238, pp. 79566-79734, 10 December 2020. Effective 15 March 2021.</w:t>
      </w:r>
    </w:p>
    <w:p>
      <w:pPr>
        <w:pStyle w:val="BodyText"/>
        <w:spacing w:line="480" w:lineRule="auto"/>
        <w:ind w:firstLine="720"/>
      </w:pPr>
      <w:bookmarkStart w:id="164" w:name="ref-6"/>
      <w:bookmarkEnd w:id="164"/>
      <w:r>
        <w:t xml:space="preserve">6. Federal Aviation Administration, Office of Commercial Space Transportation,</w:t>
      </w:r>
      <w:r>
        <w:t xml:space="preserve"> </w:t>
      </w:r>
      <w:r>
        <w:t xml:space="preserve">“Annual Compendium of Commercial Space Transportation”</w:t>
      </w:r>
      <w:r>
        <w:t xml:space="preserve"> </w:t>
      </w:r>
      <w:r>
        <w:t xml:space="preserve">(2011-2021 editions) and</w:t>
      </w:r>
      <w:r>
        <w:t xml:space="preserve"> </w:t>
      </w:r>
      <w:r>
        <w:t xml:space="preserve">“Quarterly Launch Reports”</w:t>
      </w:r>
      <w:r>
        <w:t xml:space="preserve"> </w:t>
      </w:r>
      <w:r>
        <w:t xml:space="preserve">(2021-2024 editions). FAA/AST publications page, https://www.faa.gov/space/.</w:t>
      </w:r>
    </w:p>
    <w:p>
      <w:pPr>
        <w:pStyle w:val="BodyText"/>
        <w:spacing w:line="480" w:lineRule="auto"/>
        <w:ind w:firstLine="720"/>
      </w:pPr>
      <w:bookmarkStart w:id="165" w:name="ref-7"/>
      <w:bookmarkEnd w:id="165"/>
      <w:r>
        <w:t xml:space="preserve">7. Federal Register. 14 CFR Part 450, Streamlined Launch and Reentry Licensing Requirements, Final Rule. 85 FR 79566. December 10, 2020.</w:t>
      </w:r>
    </w:p>
    <w:p>
      <w:pPr>
        <w:pStyle w:val="BodyText"/>
        <w:spacing w:line="480" w:lineRule="auto"/>
        <w:ind w:firstLine="720"/>
      </w:pPr>
      <w:bookmarkStart w:id="166" w:name="ref-8"/>
      <w:bookmarkEnd w:id="166"/>
      <w:r>
        <w:t xml:space="preserve">8. U.S. Government Accountability Office. Commercial Space Transportation: FAA Should Improve Its Oversight of the Industry. GAO-23-106021. Washington, DC: GAO, 2023.</w:t>
      </w:r>
    </w:p>
    <w:p>
      <w:pPr>
        <w:pStyle w:val="BodyText"/>
        <w:spacing w:line="480" w:lineRule="auto"/>
        <w:ind w:firstLine="720"/>
      </w:pPr>
      <w:bookmarkStart w:id="167" w:name="ref-9"/>
      <w:bookmarkEnd w:id="167"/>
      <w:r>
        <w:t xml:space="preserve">9. U.S. Government Accountability Office. FAA Commercial Space Launch and Reentry Licensing: Status and Workforce Issues. GAO-24-106767. Washington, DC: GAO, 2024.</w:t>
      </w:r>
    </w:p>
    <w:p>
      <w:pPr>
        <w:pStyle w:val="BodyText"/>
        <w:spacing w:line="480" w:lineRule="auto"/>
        <w:ind w:firstLine="720"/>
      </w:pPr>
      <w:bookmarkStart w:id="168" w:name="ref-10"/>
      <w:bookmarkEnd w:id="168"/>
      <w:r>
        <w:t xml:space="preserve">10. James Reilly, Booz Allen Hamilton; Matthew Blackford, Booz Allen Hamilton; Jillian Mueller, Booz Allen Hamilton. Challenges in Space Traffic Management (2023). doi:</w:t>
      </w:r>
      <w:r>
        <w:t xml:space="preserve"> </w:t>
      </w:r>
      <w:hyperlink r:id="rId157">
        <w:r>
          <w:rPr>
            <w:rStyle w:val="Hyperlink"/>
          </w:rPr>
          <w:t xml:space="preserve">10.64861/UCTN1793</w:t>
        </w:r>
      </w:hyperlink>
    </w:p>
    <w:p>
      <w:pPr>
        <w:pStyle w:val="BodyText"/>
        <w:spacing w:line="480" w:lineRule="auto"/>
        <w:ind w:firstLine="720"/>
      </w:pPr>
      <w:bookmarkStart w:id="169" w:name="ref-11"/>
      <w:bookmarkEnd w:id="169"/>
      <w:r>
        <w:t xml:space="preserve">11. Liberty Shockley, U.S. Air Force; Robert Bettinger, U.S. Air Force. Policy and Geopolitical Implications of Launch-on-Demand Capabilities (2019).</w:t>
      </w:r>
    </w:p>
    <w:p>
      <w:pPr>
        <w:pStyle w:val="BodyText"/>
        <w:spacing w:line="480" w:lineRule="auto"/>
        <w:ind w:firstLine="720"/>
      </w:pPr>
      <w:bookmarkStart w:id="170" w:name="ref-12"/>
      <w:bookmarkEnd w:id="170"/>
      <w:r>
        <w:t xml:space="preserve">12. Thomas G. Roberts, Massachusetts Institute of Technology; Richard Linares, Massachusetts Institute of Technology. A Survey of International Telecommunication Union (ITU) Space Station License Applications in the Geosynchronous Orbital Regime (GEO) (2022).</w:t>
      </w:r>
    </w:p>
    <w:p>
      <w:pPr>
        <w:pStyle w:val="BodyText"/>
        <w:spacing w:line="480" w:lineRule="auto"/>
        <w:ind w:firstLine="720"/>
      </w:pPr>
      <w:bookmarkStart w:id="171" w:name="ref-13"/>
      <w:bookmarkEnd w:id="171"/>
      <w:r>
        <w:t xml:space="preserve">13. Eugene Burgio (BAE Systems, AFSPC 21SW/OG Det 3), Ken Grant (BAE Systems). Unique search and track procedures utilizing the Ground-based Electro-Optical Deep Space Surveillance (GEODSS) worldwide sites (2011).</w:t>
      </w:r>
    </w:p>
    <w:p>
      <w:pPr>
        <w:pStyle w:val="BodyText"/>
        <w:spacing w:line="480" w:lineRule="auto"/>
        <w:ind w:firstLine="720"/>
      </w:pPr>
      <w:bookmarkStart w:id="172" w:name="ref-14"/>
      <w:bookmarkEnd w:id="172"/>
      <w:r>
        <w:t xml:space="preserve">14. John Lambert (The Boeing Company), Kenneth E. Kissell (Kissell Consultants). The Early Development of Satellite Characterization Capabilities at the Air Force Laboratories (2006).</w:t>
      </w:r>
    </w:p>
    <w:p>
      <w:pPr>
        <w:pStyle w:val="BodyText"/>
        <w:spacing w:line="480" w:lineRule="auto"/>
        <w:ind w:firstLine="720"/>
      </w:pPr>
      <w:bookmarkStart w:id="173" w:name="ref-15"/>
      <w:bookmarkEnd w:id="173"/>
      <w:r>
        <w:t xml:space="preserve">15. Makena Young, Center for Strategic and International Studies; Akhil Thadani, Center for Strategic and International Studies. Low-Orbit, High Stakes: Winning the LEO Broadband Competition (2022).</w:t>
      </w:r>
    </w:p>
    <w:p>
      <w:pPr>
        <w:pStyle w:val="BodyText"/>
        <w:spacing w:line="480" w:lineRule="auto"/>
        <w:ind w:firstLine="720"/>
      </w:pPr>
      <w:bookmarkStart w:id="174" w:name="ref-16"/>
      <w:bookmarkEnd w:id="174"/>
      <w:r>
        <w:t xml:space="preserve">16. Kameron Simon, Kratos. Passive RF in Support of Closely Spaced Objects Scenarios (2020).</w:t>
      </w:r>
    </w:p>
    <w:p>
      <w:pPr>
        <w:pStyle w:val="BodyText"/>
        <w:spacing w:line="480" w:lineRule="auto"/>
        <w:ind w:firstLine="720"/>
      </w:pPr>
      <w:bookmarkStart w:id="175" w:name="ref-17"/>
      <w:bookmarkEnd w:id="175"/>
      <w:r>
        <w:t xml:space="preserve">17. Scott Steele, The Open University. Can International Law Provide a Basis for Actively Removing Space Debris? (2020).</w:t>
      </w:r>
    </w:p>
    <w:p>
      <w:pPr>
        <w:pStyle w:val="BodyText"/>
        <w:spacing w:line="480" w:lineRule="auto"/>
        <w:ind w:firstLine="720"/>
      </w:pPr>
      <w:bookmarkStart w:id="176" w:name="ref-18"/>
      <w:bookmarkEnd w:id="176"/>
      <w:r>
        <w:t xml:space="preserve">18. Gustavo Dalmarco; Rita Alexandra de Lourenço Roriz Mendes; Ana Correia Simões; Ariane Mello Silva Avila. 3D printing Lift-Off? The use of additive manufacturing in spacecraft components (2026). doi:</w:t>
      </w:r>
      <w:r>
        <w:t xml:space="preserve"> </w:t>
      </w:r>
      <w:hyperlink r:id="rId177">
        <w:r>
          <w:rPr>
            <w:rStyle w:val="Hyperlink"/>
          </w:rPr>
          <w:t xml:space="preserve">10.1016/j.actaastro.2026.03.057</w:t>
        </w:r>
      </w:hyperlink>
    </w:p>
    <w:p>
      <w:pPr>
        <w:pStyle w:val="BodyText"/>
        <w:spacing w:line="480" w:lineRule="auto"/>
        <w:ind w:firstLine="720"/>
      </w:pPr>
      <w:bookmarkStart w:id="178" w:name="ref-19"/>
      <w:bookmarkEnd w:id="178"/>
      <w:r>
        <w:t xml:space="preserve">19. Marko Pratnekar; Vivek Garg; Baldeep Kaur; Michael S.A. Bradley; David C. Cullen. Proposal of a new category of lunar regolith simulants: Reduced particle-density simulants that exhibit equivalent self-weight in Earth gravity to native regolith in lunar gravity (2025). doi:</w:t>
      </w:r>
      <w:r>
        <w:t xml:space="preserve"> </w:t>
      </w:r>
      <w:hyperlink r:id="rId179">
        <w:r>
          <w:rPr>
            <w:rStyle w:val="Hyperlink"/>
          </w:rPr>
          <w:t xml:space="preserve">10.1016/j.actaastro.2025.06.056</w:t>
        </w:r>
      </w:hyperlink>
    </w:p>
    <w:p>
      <w:pPr>
        <w:pStyle w:val="BodyText"/>
        <w:spacing w:line="480" w:lineRule="auto"/>
        <w:ind w:firstLine="720"/>
      </w:pPr>
      <w:bookmarkStart w:id="180" w:name="ref-20"/>
      <w:bookmarkEnd w:id="180"/>
      <w:r>
        <w:t xml:space="preserve">20. Wiebke Retagne; Camilla Colombo. Satellite launch traffic forecast based on the global Gross Domestic Product and constellation plans (2026). doi:</w:t>
      </w:r>
      <w:r>
        <w:t xml:space="preserve"> </w:t>
      </w:r>
      <w:hyperlink r:id="rId181">
        <w:r>
          <w:rPr>
            <w:rStyle w:val="Hyperlink"/>
          </w:rPr>
          <w:t xml:space="preserve">10.1016/j.actaastro.2026.04.046</w:t>
        </w:r>
      </w:hyperlink>
    </w:p>
    <w:p>
      <w:pPr>
        <w:pStyle w:val="BodyText"/>
        <w:spacing w:line="480" w:lineRule="auto"/>
        <w:ind w:firstLine="720"/>
      </w:pPr>
      <w:bookmarkStart w:id="182" w:name="ref-21"/>
      <w:bookmarkEnd w:id="182"/>
      <w:r>
        <w:t xml:space="preserve">21. Paola Baiocco; B. Chemoul; S. Martinez; Sian Moore; F. Payot; Kristen Lagadec; Francesco Santoro; Carmen Gregori; Paolo Marzioli. Context and perspectives of sub-orbital activities and transit through airspace/ground support activities (2024). doi:</w:t>
      </w:r>
      <w:r>
        <w:t xml:space="preserve"> </w:t>
      </w:r>
      <w:hyperlink r:id="rId183">
        <w:r>
          <w:rPr>
            <w:rStyle w:val="Hyperlink"/>
          </w:rPr>
          <w:t xml:space="preserve">10.1016/j.actaastro.2024.09.011</w:t>
        </w:r>
      </w:hyperlink>
    </w:p>
    <w:p>
      <w:pPr>
        <w:pStyle w:val="BodyText"/>
        <w:spacing w:line="480" w:lineRule="auto"/>
        <w:ind w:firstLine="720"/>
      </w:pPr>
      <w:bookmarkStart w:id="184" w:name="ref-22"/>
      <w:bookmarkEnd w:id="184"/>
      <w:r>
        <w:t xml:space="preserve">22. Mara S. Escartí-Guillem; Sergio Hoyas; Lluís Miquel García Raffi. Deflector shape impact on aero-acoustic noise generation and propagation (2023). doi:</w:t>
      </w:r>
      <w:r>
        <w:t xml:space="preserve"> </w:t>
      </w:r>
      <w:hyperlink r:id="rId185">
        <w:r>
          <w:rPr>
            <w:rStyle w:val="Hyperlink"/>
          </w:rPr>
          <w:t xml:space="preserve">10.1016/j.actaastro.2023.09.005</w:t>
        </w:r>
      </w:hyperlink>
    </w:p>
    <w:p>
      <w:pPr>
        <w:pStyle w:val="BodyText"/>
        <w:spacing w:line="480" w:lineRule="auto"/>
        <w:ind w:firstLine="720"/>
      </w:pPr>
      <w:bookmarkStart w:id="186" w:name="ref-23"/>
      <w:bookmarkEnd w:id="186"/>
      <w:r>
        <w:t xml:space="preserve">23. David John Rajendran; Mani Sekaran Santhanakrishnan; Vassilios Pachidis; Jérôme Messineo. Flow field explorations and design improvements of a hybrid rocket motor LOx feed line (2024). doi:</w:t>
      </w:r>
      <w:r>
        <w:t xml:space="preserve"> </w:t>
      </w:r>
      <w:hyperlink r:id="rId187">
        <w:r>
          <w:rPr>
            <w:rStyle w:val="Hyperlink"/>
          </w:rPr>
          <w:t xml:space="preserve">10.1016/j.actaastro.2024.09.023</w:t>
        </w:r>
      </w:hyperlink>
    </w:p>
    <w:p>
      <w:pPr>
        <w:pStyle w:val="BodyText"/>
        <w:spacing w:line="480" w:lineRule="auto"/>
        <w:ind w:firstLine="720"/>
      </w:pPr>
      <w:bookmarkStart w:id="188" w:name="ref-24"/>
      <w:bookmarkEnd w:id="188"/>
      <w:r>
        <w:t xml:space="preserve">24. Yury N. Razoumny. Fundamentals of the route theory for satellite constellation design for Earth discontinuous coverage. Part 4: Compound satellite structures on orbits with synchronized nodal regression (2016). doi:</w:t>
      </w:r>
      <w:r>
        <w:t xml:space="preserve"> </w:t>
      </w:r>
      <w:hyperlink r:id="rId189">
        <w:r>
          <w:rPr>
            <w:rStyle w:val="Hyperlink"/>
          </w:rPr>
          <w:t xml:space="preserve">10.1016/j.actaastro.2016.07.019</w:t>
        </w:r>
      </w:hyperlink>
    </w:p>
    <w:bookmarkEnd w:id="190"/>
    <w:bookmarkEnd w:id="191"/>
    <w:bookmarkStart w:id="20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9" w:name="X056a715ecc0c640d51095bb26e3d6b46c8fdcb9"/>
    <w:p>
      <w:pPr>
        <w:pStyle w:val="Heading2"/>
        <w:spacing w:line="480" w:lineRule="auto"/>
      </w:pPr>
      <w:r>
        <w:t xml:space="preserve">A.1 The Part 450 Structural Break: A Panel Fixed-Effects Estimate of U.S. Commercial Launch Cadence, 2010-2024</w:t>
      </w:r>
    </w:p>
    <w:p>
      <w:pPr>
        <w:pStyle w:val="FirstParagraph"/>
        <w:spacing w:line="480" w:lineRule="auto"/>
      </w:pPr>
      <m:oMathPara>
        <m:oMathParaPr>
          <m:jc m:val="center"/>
        </m:oMathParaPr>
        <m:oMath>
          <m:sSub>
            <m:e>
              <m:r>
                <m:rPr>
                  <m:nor/>
                  <m:sty m:val="p"/>
                </m:rPr>
                <m:t>licensed_launches</m:t>
              </m:r>
            </m:e>
            <m:sub>
              <m:r>
                <m:t>i</m:t>
              </m:r>
              <m:r>
                <m:t>t</m:t>
              </m:r>
            </m:sub>
          </m:sSub>
          <m:r>
            <m:rPr>
              <m:sty m:val="p"/>
            </m:rPr>
            <m:t>=</m:t>
          </m:r>
          <m:sSub>
            <m:e>
              <m:r>
                <m:t>β</m:t>
              </m:r>
            </m:e>
            <m:sub>
              <m:r>
                <m:t>0</m:t>
              </m:r>
            </m:sub>
          </m:sSub>
          <m:r>
            <m:rPr>
              <m:sty m:val="p"/>
            </m:rPr>
            <m:t>+</m:t>
          </m:r>
          <m:sSub>
            <m:e>
              <m:r>
                <m:t>β</m:t>
              </m:r>
            </m:e>
            <m:sub>
              <m:r>
                <m:t>1</m:t>
              </m:r>
            </m:sub>
          </m:sSub>
          <m:sSub>
            <m:e>
              <m:r>
                <m:rPr>
                  <m:nor/>
                  <m:sty m:val="p"/>
                </m:rPr>
                <m:t>post450</m:t>
              </m:r>
            </m:e>
            <m:sub>
              <m:r>
                <m:t>i</m:t>
              </m:r>
              <m:r>
                <m:t>t</m:t>
              </m:r>
            </m:sub>
          </m:sSub>
          <m:r>
            <m:rPr>
              <m:sty m:val="p"/>
            </m:rPr>
            <m:t>+</m:t>
          </m:r>
          <m:sSub>
            <m:e>
              <m:r>
                <m:t>β</m:t>
              </m:r>
            </m:e>
            <m:sub>
              <m:r>
                <m:t>2</m:t>
              </m:r>
            </m:sub>
          </m:sSub>
          <m:sSub>
            <m:e>
              <m:r>
                <m:rPr>
                  <m:nor/>
                  <m:sty m:val="p"/>
                </m:rPr>
                <m:t>bridge</m:t>
              </m:r>
            </m:e>
            <m:sub>
              <m:r>
                <m:t>i</m:t>
              </m:r>
              <m:r>
                <m:t>t</m:t>
              </m:r>
            </m:sub>
          </m:sSub>
          <m:r>
            <m:rPr>
              <m:sty m:val="p"/>
            </m:rPr>
            <m:t>+</m:t>
          </m:r>
          <m:sSub>
            <m:e>
              <m:r>
                <m:t>β</m:t>
              </m:r>
            </m:e>
            <m:sub>
              <m:r>
                <m:t>3</m:t>
              </m:r>
            </m:sub>
          </m:sSub>
          <m:sSub>
            <m:e>
              <m:r>
                <m:rPr>
                  <m:nor/>
                  <m:sty m:val="p"/>
                </m:rPr>
                <m:t>years_active</m:t>
              </m:r>
            </m:e>
            <m:sub>
              <m:r>
                <m:t>i</m:t>
              </m:r>
              <m:r>
                <m:t>t</m:t>
              </m:r>
            </m:sub>
          </m:sSub>
          <m:r>
            <m:rPr>
              <m:sty m:val="p"/>
            </m:rPr>
            <m:t>+</m:t>
          </m:r>
          <m:sSub>
            <m:e>
              <m:r>
                <m:t>β</m:t>
              </m:r>
            </m:e>
            <m:sub>
              <m:r>
                <m:t>4</m:t>
              </m:r>
            </m:sub>
          </m:sSub>
          <m:sSub>
            <m:e>
              <m:r>
                <m:rPr>
                  <m:nor/>
                  <m:sty m:val="p"/>
                </m:rPr>
                <m:t>large_constellation</m:t>
              </m:r>
            </m:e>
            <m:sub>
              <m:r>
                <m:t>i</m:t>
              </m:r>
              <m:r>
                <m:t>t</m:t>
              </m:r>
            </m:sub>
          </m:sSub>
          <m:r>
            <m:rPr>
              <m:sty m:val="p"/>
            </m:rPr>
            <m:t>+</m:t>
          </m:r>
          <m:sSub>
            <m:e>
              <m:r>
                <m:t>ε</m:t>
              </m:r>
            </m:e>
            <m:sub>
              <m:r>
                <m:t>i</m:t>
              </m:r>
              <m:r>
                <m:t>t</m:t>
              </m:r>
            </m:sub>
          </m:sSub>
        </m:oMath>
      </m:oMathPara>
    </w:p>
    <w:bookmarkStart w:id="19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3.9263</w:t>
            </w:r>
          </w:p>
        </w:tc>
        <w:tc>
          <w:tcPr>
            <w:tcW w:w="0" w:type="auto"/>
          </w:tcPr>
          <w:p>
            <w:pPr>
              <w:spacing w:line="240" w:lineRule="auto" w:before="0" w:after="0"/>
              <w:pStyle w:val="Compact"/>
            </w:pPr>
            <w:r>
              <w:rPr>
                <w:sz w:val="20"/>
                <w:szCs w:val="20"/>
              </w:rPr>
              <w:t xml:space="preserve">3.0122</w:t>
            </w:r>
          </w:p>
        </w:tc>
        <w:tc>
          <w:tcPr>
            <w:tcW w:w="0" w:type="auto"/>
          </w:tcPr>
          <w:p>
            <w:pPr>
              <w:spacing w:line="240" w:lineRule="auto" w:before="0" w:after="0"/>
              <w:pStyle w:val="Compact"/>
            </w:pPr>
            <w:r>
              <w:rPr>
                <w:sz w:val="20"/>
                <w:szCs w:val="20"/>
              </w:rPr>
              <w:t xml:space="preserve">1.3035</w:t>
            </w:r>
          </w:p>
        </w:tc>
        <w:tc>
          <w:tcPr>
            <w:tcW w:w="0" w:type="auto"/>
          </w:tcPr>
          <w:p>
            <w:pPr>
              <w:spacing w:line="240" w:lineRule="auto" w:before="0" w:after="0"/>
              <w:pStyle w:val="Compact"/>
            </w:pPr>
            <w:r>
              <w:rPr>
                <w:sz w:val="20"/>
                <w:szCs w:val="20"/>
              </w:rPr>
              <w:t xml:space="preserve">0.1924</w:t>
            </w:r>
          </w:p>
        </w:tc>
        <w:tc>
          <w:tcPr>
            <w:tcW w:w="0" w:type="auto"/>
          </w:tcPr>
          <w:p>
            <w:pPr>
              <w:spacing w:line="240" w:lineRule="auto" w:before="0" w:after="0"/>
              <w:pStyle w:val="Compact"/>
            </w:pPr>
            <w:r>
              <w:rPr>
                <w:sz w:val="20"/>
                <w:szCs w:val="20"/>
              </w:rPr>
              <w:t xml:space="preserve">[-1.9774, 9.83]</w:t>
            </w:r>
          </w:p>
        </w:tc>
      </w:tr>
      <w:tr>
        <w:tc>
          <w:tcPr>
            <w:tcW w:w="0" w:type="auto"/>
          </w:tcPr>
          <w:p>
            <w:pPr>
              <w:spacing w:line="240" w:lineRule="auto" w:before="0" w:after="0"/>
              <w:pStyle w:val="Compact"/>
            </w:pPr>
            <w:r>
              <w:rPr>
                <w:sz w:val="20"/>
                <w:szCs w:val="20"/>
              </w:rPr>
              <w:t xml:space="preserve">post450</w:t>
            </w:r>
          </w:p>
        </w:tc>
        <w:tc>
          <w:tcPr>
            <w:tcW w:w="0" w:type="auto"/>
          </w:tcPr>
          <w:p>
            <w:pPr>
              <w:spacing w:line="240" w:lineRule="auto" w:before="0" w:after="0"/>
              <w:pStyle w:val="Compact"/>
            </w:pPr>
            <w:r>
              <w:rPr>
                <w:sz w:val="20"/>
                <w:szCs w:val="20"/>
              </w:rPr>
              <w:t xml:space="preserve">12.7914</w:t>
            </w:r>
          </w:p>
        </w:tc>
        <w:tc>
          <w:tcPr>
            <w:tcW w:w="0" w:type="auto"/>
          </w:tcPr>
          <w:p>
            <w:pPr>
              <w:spacing w:line="240" w:lineRule="auto" w:before="0" w:after="0"/>
              <w:pStyle w:val="Compact"/>
            </w:pPr>
            <w:r>
              <w:rPr>
                <w:sz w:val="20"/>
                <w:szCs w:val="20"/>
              </w:rPr>
              <w:t xml:space="preserve">6.2534</w:t>
            </w:r>
          </w:p>
        </w:tc>
        <w:tc>
          <w:tcPr>
            <w:tcW w:w="0" w:type="auto"/>
          </w:tcPr>
          <w:p>
            <w:pPr>
              <w:spacing w:line="240" w:lineRule="auto" w:before="0" w:after="0"/>
              <w:pStyle w:val="Compact"/>
            </w:pPr>
            <w:r>
              <w:rPr>
                <w:sz w:val="20"/>
                <w:szCs w:val="20"/>
              </w:rPr>
              <w:t xml:space="preserve">2.0455</w:t>
            </w:r>
          </w:p>
        </w:tc>
        <w:tc>
          <w:tcPr>
            <w:tcW w:w="0" w:type="auto"/>
          </w:tcPr>
          <w:p>
            <w:pPr>
              <w:spacing w:line="240" w:lineRule="auto" w:before="0" w:after="0"/>
              <w:pStyle w:val="Compact"/>
            </w:pPr>
            <w:r>
              <w:rPr>
                <w:sz w:val="20"/>
                <w:szCs w:val="20"/>
              </w:rPr>
              <w:t xml:space="preserve">0.0408</w:t>
            </w:r>
          </w:p>
        </w:tc>
        <w:tc>
          <w:tcPr>
            <w:tcW w:w="0" w:type="auto"/>
          </w:tcPr>
          <w:p>
            <w:pPr>
              <w:spacing w:line="240" w:lineRule="auto" w:before="0" w:after="0"/>
              <w:pStyle w:val="Compact"/>
            </w:pPr>
            <w:r>
              <w:rPr>
                <w:sz w:val="20"/>
                <w:szCs w:val="20"/>
              </w:rPr>
              <w:t xml:space="preserve">[0.5348, 25.0479]</w:t>
            </w:r>
          </w:p>
        </w:tc>
      </w:tr>
      <w:tr>
        <w:tc>
          <w:tcPr>
            <w:tcW w:w="0" w:type="auto"/>
          </w:tcPr>
          <w:p>
            <w:pPr>
              <w:spacing w:line="240" w:lineRule="auto" w:before="0" w:after="0"/>
              <w:pStyle w:val="Compact"/>
            </w:pPr>
            <w:r>
              <w:rPr>
                <w:sz w:val="20"/>
                <w:szCs w:val="20"/>
              </w:rPr>
              <w:t xml:space="preserve">bridge</w:t>
            </w:r>
          </w:p>
        </w:tc>
        <w:tc>
          <w:tcPr>
            <w:tcW w:w="0" w:type="auto"/>
          </w:tcPr>
          <w:p>
            <w:pPr>
              <w:spacing w:line="240" w:lineRule="auto" w:before="0" w:after="0"/>
              <w:pStyle w:val="Compact"/>
            </w:pPr>
            <w:r>
              <w:rPr>
                <w:sz w:val="20"/>
                <w:szCs w:val="20"/>
              </w:rPr>
              <w:t xml:space="preserve">-3.4446</w:t>
            </w:r>
          </w:p>
        </w:tc>
        <w:tc>
          <w:tcPr>
            <w:tcW w:w="0" w:type="auto"/>
          </w:tcPr>
          <w:p>
            <w:pPr>
              <w:spacing w:line="240" w:lineRule="auto" w:before="0" w:after="0"/>
              <w:pStyle w:val="Compact"/>
            </w:pPr>
            <w:r>
              <w:rPr>
                <w:sz w:val="20"/>
                <w:szCs w:val="20"/>
              </w:rPr>
              <w:t xml:space="preserve">6.0695</w:t>
            </w:r>
          </w:p>
        </w:tc>
        <w:tc>
          <w:tcPr>
            <w:tcW w:w="0" w:type="auto"/>
          </w:tcPr>
          <w:p>
            <w:pPr>
              <w:spacing w:line="240" w:lineRule="auto" w:before="0" w:after="0"/>
              <w:pStyle w:val="Compact"/>
            </w:pPr>
            <w:r>
              <w:rPr>
                <w:sz w:val="20"/>
                <w:szCs w:val="20"/>
              </w:rPr>
              <w:t xml:space="preserve">-0.5675</w:t>
            </w:r>
          </w:p>
        </w:tc>
        <w:tc>
          <w:tcPr>
            <w:tcW w:w="0" w:type="auto"/>
          </w:tcPr>
          <w:p>
            <w:pPr>
              <w:spacing w:line="240" w:lineRule="auto" w:before="0" w:after="0"/>
              <w:pStyle w:val="Compact"/>
            </w:pPr>
            <w:r>
              <w:rPr>
                <w:sz w:val="20"/>
                <w:szCs w:val="20"/>
              </w:rPr>
              <w:t xml:space="preserve">0.5704</w:t>
            </w:r>
          </w:p>
        </w:tc>
        <w:tc>
          <w:tcPr>
            <w:tcW w:w="0" w:type="auto"/>
          </w:tcPr>
          <w:p>
            <w:pPr>
              <w:spacing w:line="240" w:lineRule="auto" w:before="0" w:after="0"/>
              <w:pStyle w:val="Compact"/>
            </w:pPr>
            <w:r>
              <w:rPr>
                <w:sz w:val="20"/>
                <w:szCs w:val="20"/>
              </w:rPr>
              <w:t xml:space="preserve">[-15.3405, 8.4513]</w:t>
            </w:r>
          </w:p>
        </w:tc>
      </w:tr>
      <w:tr>
        <w:tc>
          <w:tcPr>
            <w:tcW w:w="0" w:type="auto"/>
          </w:tcPr>
          <w:p>
            <w:pPr>
              <w:spacing w:line="240" w:lineRule="auto" w:before="0" w:after="0"/>
              <w:pStyle w:val="Compact"/>
            </w:pPr>
            <w:r>
              <w:rPr>
                <w:sz w:val="20"/>
                <w:szCs w:val="20"/>
              </w:rPr>
              <w:t xml:space="preserve">years_active</w:t>
            </w:r>
          </w:p>
        </w:tc>
        <w:tc>
          <w:tcPr>
            <w:tcW w:w="0" w:type="auto"/>
          </w:tcPr>
          <w:p>
            <w:pPr>
              <w:spacing w:line="240" w:lineRule="auto" w:before="0" w:after="0"/>
              <w:pStyle w:val="Compact"/>
            </w:pPr>
            <w:r>
              <w:rPr>
                <w:sz w:val="20"/>
                <w:szCs w:val="20"/>
              </w:rPr>
              <w:t xml:space="preserve">-0.1604</w:t>
            </w:r>
          </w:p>
        </w:tc>
        <w:tc>
          <w:tcPr>
            <w:tcW w:w="0" w:type="auto"/>
          </w:tcPr>
          <w:p>
            <w:pPr>
              <w:spacing w:line="240" w:lineRule="auto" w:before="0" w:after="0"/>
              <w:pStyle w:val="Compact"/>
            </w:pPr>
            <w:r>
              <w:rPr>
                <w:sz w:val="20"/>
                <w:szCs w:val="20"/>
              </w:rPr>
              <w:t xml:space="preserve">0.1082</w:t>
            </w:r>
          </w:p>
        </w:tc>
        <w:tc>
          <w:tcPr>
            <w:tcW w:w="0" w:type="auto"/>
          </w:tcPr>
          <w:p>
            <w:pPr>
              <w:spacing w:line="240" w:lineRule="auto" w:before="0" w:after="0"/>
              <w:pStyle w:val="Compact"/>
            </w:pPr>
            <w:r>
              <w:rPr>
                <w:sz w:val="20"/>
                <w:szCs w:val="20"/>
              </w:rPr>
              <w:t xml:space="preserve">-1.4826</w:t>
            </w:r>
          </w:p>
        </w:tc>
        <w:tc>
          <w:tcPr>
            <w:tcW w:w="0" w:type="auto"/>
          </w:tcPr>
          <w:p>
            <w:pPr>
              <w:spacing w:line="240" w:lineRule="auto" w:before="0" w:after="0"/>
              <w:pStyle w:val="Compact"/>
            </w:pPr>
            <w:r>
              <w:rPr>
                <w:sz w:val="20"/>
                <w:szCs w:val="20"/>
              </w:rPr>
              <w:t xml:space="preserve">0.1382</w:t>
            </w:r>
          </w:p>
        </w:tc>
        <w:tc>
          <w:tcPr>
            <w:tcW w:w="0" w:type="auto"/>
          </w:tcPr>
          <w:p>
            <w:pPr>
              <w:spacing w:line="240" w:lineRule="auto" w:before="0" w:after="0"/>
              <w:pStyle w:val="Compact"/>
            </w:pPr>
            <w:r>
              <w:rPr>
                <w:sz w:val="20"/>
                <w:szCs w:val="20"/>
              </w:rPr>
              <w:t xml:space="preserve">[-0.3725, 0.0516]</w:t>
            </w:r>
          </w:p>
        </w:tc>
      </w:tr>
      <w:tr>
        <w:tc>
          <w:tcPr>
            <w:tcW w:w="0" w:type="auto"/>
          </w:tcPr>
          <w:p>
            <w:pPr>
              <w:spacing w:line="240" w:lineRule="auto" w:before="0" w:after="0"/>
              <w:pStyle w:val="Compact"/>
            </w:pPr>
            <w:r>
              <w:rPr>
                <w:sz w:val="20"/>
                <w:szCs w:val="20"/>
              </w:rPr>
              <w:t xml:space="preserve">large_constellation</w:t>
            </w:r>
          </w:p>
        </w:tc>
        <w:tc>
          <w:tcPr>
            <w:tcW w:w="0" w:type="auto"/>
          </w:tcPr>
          <w:p>
            <w:pPr>
              <w:spacing w:line="240" w:lineRule="auto" w:before="0" w:after="0"/>
              <w:pStyle w:val="Compact"/>
            </w:pPr>
            <w:r>
              <w:rPr>
                <w:sz w:val="20"/>
                <w:szCs w:val="20"/>
              </w:rPr>
              <w:t xml:space="preserve">53.5466</w:t>
            </w:r>
          </w:p>
        </w:tc>
        <w:tc>
          <w:tcPr>
            <w:tcW w:w="0" w:type="auto"/>
          </w:tcPr>
          <w:p>
            <w:pPr>
              <w:spacing w:line="240" w:lineRule="auto" w:before="0" w:after="0"/>
              <w:pStyle w:val="Compact"/>
            </w:pPr>
            <w:r>
              <w:rPr>
                <w:sz w:val="20"/>
                <w:szCs w:val="20"/>
              </w:rPr>
              <w:t xml:space="preserve">16.284</w:t>
            </w:r>
          </w:p>
        </w:tc>
        <w:tc>
          <w:tcPr>
            <w:tcW w:w="0" w:type="auto"/>
          </w:tcPr>
          <w:p>
            <w:pPr>
              <w:spacing w:line="240" w:lineRule="auto" w:before="0" w:after="0"/>
              <w:pStyle w:val="Compact"/>
            </w:pPr>
            <w:r>
              <w:rPr>
                <w:sz w:val="20"/>
                <w:szCs w:val="20"/>
              </w:rPr>
              <w:t xml:space="preserve">3.2883</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[21.6306, 85.4627]</w:t>
            </w:r>
          </w:p>
        </w:tc>
      </w:tr>
    </w:tbl>
    <w:p>
      <w:pPr>
        <w:pStyle w:val="BodyText"/>
        <w:spacing w:line="480" w:lineRule="auto"/>
        <w:ind w:firstLine="720"/>
      </w:pPr>
      <w:r>
        <w:t xml:space="preserve">Fit: N = 41 R2 = 0.6298 R2_adj = 0.5887 F = 3.911 F_p = 0.0097</w:t>
      </w:r>
    </w:p>
    <w:bookmarkEnd w:id="192"/>
    <w:bookmarkStart w:id="19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Operator-year FAA-licensed launch counts, 2010-2024. The vertical reference at 2021 marks the Part 450 bridge year; observations from 2022 onward are coded post450 = 1. Source: FAA Annual Compendium and FAA Quarterly Launch Reports (FAA/AST publications)." title="" id="194" name="Picture"/>
            <a:graphic>
              <a:graphicData uri="http://schemas.openxmlformats.org/drawingml/2006/picture">
                <pic:pic>
                  <pic:nvPicPr>
                    <pic:cNvPr descr="D:/Claude_Code/brain/collegium/candidates/dissertations/LAUNCH_REG_01/research_papers/p1/paper_fig1.png" id="195" name="Picture"/>
                    <pic:cNvPicPr>
                      <a:picLocks noChangeArrowheads="1" noChangeAspect="1"/>
                    </pic:cNvPicPr>
                  </pic:nvPicPr>
                  <pic:blipFill>
                    <a:blip r:embed="rId19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Operator-year FAA-licensed launch counts, 2010-2024. The vertical reference at 2021 marks the Part 450 bridge year; observations from 2022 onward are coded post450 = 1. Source: FAA Annual Compendium and FAA Quarterly Launch Reports (FAA/AST publications).</w:t>
      </w:r>
    </w:p>
    <w:bookmarkEnd w:id="196"/>
    <w:bookmarkStart w:id="19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licensed_launches</w:t>
            </w:r>
          </w:p>
        </w:tc>
        <w:tc>
          <w:tcPr>
            <w:tcW w:w="0" w:type="auto"/>
          </w:tcPr>
          <w:p>
            <w:pPr>
              <w:spacing w:line="240" w:lineRule="auto" w:before="0" w:after="0"/>
              <w:pStyle w:val="Compact"/>
            </w:pPr>
            <w:r>
              <w:rPr>
                <w:sz w:val="20"/>
                <w:szCs w:val="20"/>
              </w:rPr>
              <w:t xml:space="preserve">post450</w:t>
            </w:r>
          </w:p>
        </w:tc>
        <w:tc>
          <w:tcPr>
            <w:tcW w:w="0" w:type="auto"/>
          </w:tcPr>
          <w:p>
            <w:pPr>
              <w:spacing w:line="240" w:lineRule="auto" w:before="0" w:after="0"/>
              <w:pStyle w:val="Compact"/>
            </w:pPr>
            <w:r>
              <w:rPr>
                <w:sz w:val="20"/>
                <w:szCs w:val="20"/>
              </w:rPr>
              <w:t xml:space="preserve">bridge</w:t>
            </w:r>
          </w:p>
        </w:tc>
        <w:tc>
          <w:tcPr>
            <w:tcW w:w="0" w:type="auto"/>
          </w:tcPr>
          <w:p>
            <w:pPr>
              <w:spacing w:line="240" w:lineRule="auto" w:before="0" w:after="0"/>
              <w:pStyle w:val="Compact"/>
            </w:pPr>
            <w:r>
              <w:rPr>
                <w:sz w:val="20"/>
                <w:szCs w:val="20"/>
              </w:rPr>
              <w:t xml:space="preserve">years_active</w:t>
            </w:r>
          </w:p>
        </w:tc>
        <w:tc>
          <w:tcPr>
            <w:tcW w:w="0" w:type="auto"/>
          </w:tcPr>
          <w:p>
            <w:pPr>
              <w:spacing w:line="240" w:lineRule="auto" w:before="0" w:after="0"/>
              <w:pStyle w:val="Compact"/>
            </w:pPr>
            <w:r>
              <w:rPr>
                <w:sz w:val="20"/>
                <w:szCs w:val="20"/>
              </w:rPr>
              <w:t xml:space="preserve">cumulative_launches</w:t>
            </w:r>
          </w:p>
        </w:tc>
        <w:tc>
          <w:tcPr>
            <w:tcW w:w="0" w:type="auto"/>
          </w:tcPr>
          <w:p>
            <w:pPr>
              <w:spacing w:line="240" w:lineRule="auto" w:before="0" w:after="0"/>
              <w:pStyle w:val="Compact"/>
            </w:pPr>
            <w:r>
              <w:rPr>
                <w:sz w:val="20"/>
                <w:szCs w:val="20"/>
              </w:rPr>
              <w:t xml:space="preserve">large_constellation</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2011,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2012,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2013,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2014,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2015,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2016,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2017,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2018,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2019,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Annual Compendium of Commercial Space Transportation 2020, FAA/AST publications; Starlink v0.9 launch press kit</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Annual Compendium of Commercial Space Transportation 2021,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Quarterly Launch Reports 2021, FAA/AST publications; 14 CFR Part 450 effective 15 March 2021 (Federal Register 85 FR 79566)</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Quarterly Launch Reports 2022,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Quarterly Launch Reports 2023, FAA/AST publications</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Quarterly Launch Reports 2024, FAA/AST publications; SpaceX year-end launch manifest</w:t>
            </w:r>
          </w:p>
        </w:tc>
      </w:tr>
      <w:tr>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2011 (ULA Atlas V/Delta IV under USAF launch services contract, no FAA-licensed missions)</w:t>
            </w:r>
          </w:p>
        </w:tc>
      </w:tr>
      <w:tr>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2015, FAA/AST publications (CLIO licensed mission)</w:t>
            </w:r>
          </w:p>
        </w:tc>
      </w:tr>
      <w:tr>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2019, FAA/AST publications</w:t>
            </w:r>
          </w:p>
        </w:tc>
      </w:tr>
      <w:tr>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2021, FAA/AST publications (Lucy mission)</w:t>
            </w:r>
          </w:p>
        </w:tc>
      </w:tr>
      <w:tr>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2023, FAA/AST publications (Vulcan Cert-1)</w:t>
            </w:r>
          </w:p>
        </w:tc>
      </w:tr>
      <w:tr>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2024, FAA/AST publications (Vulcan Cert-2 plus 2 Atlas V Kuiper-related licensed missions)</w:t>
            </w:r>
          </w:p>
        </w:tc>
      </w:tr>
      <w:tr>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2019, FAA/AST publications (Electron LC-1 New Zealand FAA-recognized)</w:t>
            </w:r>
          </w:p>
        </w:tc>
      </w:tr>
      <w:tr>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2020, FAA/AST publications</w:t>
            </w:r>
          </w:p>
        </w:tc>
      </w:tr>
      <w:tr>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2021, FAA/AST publications</w:t>
            </w:r>
          </w:p>
        </w:tc>
      </w:tr>
      <w:tr>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2021, FAA/AST publications</w:t>
            </w:r>
          </w:p>
        </w:tc>
      </w:tr>
      <w:tr>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2022, FAA/AST publications</w:t>
            </w:r>
          </w:p>
        </w:tc>
      </w:tr>
      <w:tr>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2023, FAA/AST publications</w:t>
            </w:r>
          </w:p>
        </w:tc>
      </w:tr>
      <w:tr>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2024, FAA/AST publications</w:t>
            </w:r>
          </w:p>
        </w:tc>
      </w:tr>
      <w:tr>
        <w:tc>
          <w:tcPr>
            <w:tcW w:w="0" w:type="auto"/>
          </w:tcPr>
          <w:p>
            <w:pPr>
              <w:spacing w:line="240" w:lineRule="auto" w:before="0" w:after="0"/>
              <w:pStyle w:val="Compact"/>
            </w:pPr>
            <w:r>
              <w:rPr>
                <w:sz w:val="20"/>
                <w:szCs w:val="20"/>
              </w:rPr>
              <w:t xml:space="preserve">Northrop</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2014, FAA/AST publications (Antares Cygnus CRS missions)</w:t>
            </w:r>
          </w:p>
        </w:tc>
      </w:tr>
      <w:tr>
        <w:tc>
          <w:tcPr>
            <w:tcW w:w="0" w:type="auto"/>
          </w:tcPr>
          <w:p>
            <w:pPr>
              <w:spacing w:line="240" w:lineRule="auto" w:before="0" w:after="0"/>
              <w:pStyle w:val="Compact"/>
            </w:pPr>
            <w:r>
              <w:rPr>
                <w:sz w:val="20"/>
                <w:szCs w:val="20"/>
              </w:rPr>
              <w:t xml:space="preserve">Northrop</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2015, FAA/AST publications</w:t>
            </w:r>
          </w:p>
        </w:tc>
      </w:tr>
      <w:tr>
        <w:tc>
          <w:tcPr>
            <w:tcW w:w="0" w:type="auto"/>
          </w:tcPr>
          <w:p>
            <w:pPr>
              <w:spacing w:line="240" w:lineRule="auto" w:before="0" w:after="0"/>
              <w:pStyle w:val="Compact"/>
            </w:pPr>
            <w:r>
              <w:rPr>
                <w:sz w:val="20"/>
                <w:szCs w:val="20"/>
              </w:rPr>
              <w:t xml:space="preserve">Northrop</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2017, FAA/AST publications</w:t>
            </w:r>
          </w:p>
        </w:tc>
      </w:tr>
      <w:tr>
        <w:tc>
          <w:tcPr>
            <w:tcW w:w="0" w:type="auto"/>
          </w:tcPr>
          <w:p>
            <w:pPr>
              <w:spacing w:line="240" w:lineRule="auto" w:before="0" w:after="0"/>
              <w:pStyle w:val="Compact"/>
            </w:pPr>
            <w:r>
              <w:rPr>
                <w:sz w:val="20"/>
                <w:szCs w:val="20"/>
              </w:rPr>
              <w:t xml:space="preserve">Northrop</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2019, FAA/AST publications</w:t>
            </w:r>
          </w:p>
        </w:tc>
      </w:tr>
      <w:tr>
        <w:tc>
          <w:tcPr>
            <w:tcW w:w="0" w:type="auto"/>
          </w:tcPr>
          <w:p>
            <w:pPr>
              <w:spacing w:line="240" w:lineRule="auto" w:before="0" w:after="0"/>
              <w:pStyle w:val="Compact"/>
            </w:pPr>
            <w:r>
              <w:rPr>
                <w:sz w:val="20"/>
                <w:szCs w:val="20"/>
              </w:rPr>
              <w:t xml:space="preserve">Northrop</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Annual Compendium of Commercial Space Transportation 2021, FAA/AST publications</w:t>
            </w:r>
          </w:p>
        </w:tc>
      </w:tr>
      <w:tr>
        <w:tc>
          <w:tcPr>
            <w:tcW w:w="0" w:type="auto"/>
          </w:tcPr>
          <w:p>
            <w:pPr>
              <w:spacing w:line="240" w:lineRule="auto" w:before="0" w:after="0"/>
              <w:pStyle w:val="Compact"/>
            </w:pPr>
            <w:r>
              <w:rPr>
                <w:sz w:val="20"/>
                <w:szCs w:val="20"/>
              </w:rPr>
              <w:t xml:space="preserve">Northrop</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2022, FAA/AST publications</w:t>
            </w:r>
          </w:p>
        </w:tc>
      </w:tr>
      <w:tr>
        <w:tc>
          <w:tcPr>
            <w:tcW w:w="0" w:type="auto"/>
          </w:tcPr>
          <w:p>
            <w:pPr>
              <w:spacing w:line="240" w:lineRule="auto" w:before="0" w:after="0"/>
              <w:pStyle w:val="Compact"/>
            </w:pPr>
            <w:r>
              <w:rPr>
                <w:sz w:val="20"/>
                <w:szCs w:val="20"/>
              </w:rPr>
              <w:t xml:space="preserve">Northrop</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2024, FAA/AST publications</w:t>
            </w:r>
          </w:p>
        </w:tc>
      </w:tr>
      <w:tr>
        <w:tc>
          <w:tcPr>
            <w:tcW w:w="0" w:type="auto"/>
          </w:tcPr>
          <w:p>
            <w:pPr>
              <w:spacing w:line="240" w:lineRule="auto" w:before="0" w:after="0"/>
              <w:pStyle w:val="Compact"/>
            </w:pPr>
            <w:r>
              <w:rPr>
                <w:sz w:val="20"/>
                <w:szCs w:val="20"/>
              </w:rPr>
              <w:t xml:space="preserve">BlueOrigin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2021, FAA/AST publications (New Shepard suborbital licensed flights)</w:t>
            </w:r>
          </w:p>
        </w:tc>
      </w:tr>
      <w:tr>
        <w:tc>
          <w:tcPr>
            <w:tcW w:w="0" w:type="auto"/>
          </w:tcPr>
          <w:p>
            <w:pPr>
              <w:spacing w:line="240" w:lineRule="auto" w:before="0" w:after="0"/>
              <w:pStyle w:val="Compact"/>
            </w:pPr>
            <w:r>
              <w:rPr>
                <w:sz w:val="20"/>
                <w:szCs w:val="20"/>
              </w:rPr>
              <w:t xml:space="preserve">BlueOrigin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2022, FAA/AST publications</w:t>
            </w:r>
          </w:p>
        </w:tc>
      </w:tr>
      <w:tr>
        <w:tc>
          <w:tcPr>
            <w:tcW w:w="0" w:type="auto"/>
          </w:tcPr>
          <w:p>
            <w:pPr>
              <w:spacing w:line="240" w:lineRule="auto" w:before="0" w:after="0"/>
              <w:pStyle w:val="Compact"/>
            </w:pPr>
            <w:r>
              <w:rPr>
                <w:sz w:val="20"/>
                <w:szCs w:val="20"/>
              </w:rPr>
              <w:t xml:space="preserve">BlueOrigin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2024, FAA/AST publications (New Glenn NG-1 plus New Shepard)</w:t>
            </w:r>
          </w:p>
        </w:tc>
      </w:tr>
      <w:tr>
        <w:tc>
          <w:tcPr>
            <w:tcW w:w="0" w:type="auto"/>
          </w:tcPr>
          <w:p>
            <w:pPr>
              <w:spacing w:line="240" w:lineRule="auto" w:before="0" w:after="0"/>
              <w:pStyle w:val="Compact"/>
            </w:pPr>
            <w:r>
              <w:rPr>
                <w:sz w:val="20"/>
                <w:szCs w:val="20"/>
              </w:rPr>
              <w:t xml:space="preserve">VirginGalactic</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2021, FAA/AST publications (Unity 22 licensed suborbital)</w:t>
            </w:r>
          </w:p>
        </w:tc>
      </w:tr>
      <w:tr>
        <w:tc>
          <w:tcPr>
            <w:tcW w:w="0" w:type="auto"/>
          </w:tcPr>
          <w:p>
            <w:pPr>
              <w:spacing w:line="240" w:lineRule="auto" w:before="0" w:after="0"/>
              <w:pStyle w:val="Compact"/>
            </w:pPr>
            <w:r>
              <w:rPr>
                <w:sz w:val="20"/>
                <w:szCs w:val="20"/>
              </w:rPr>
              <w:t xml:space="preserve">VirginGalactic</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2023, FAA/AST publications (Galactic 01 through 05 plus Unity 25)</w:t>
            </w:r>
          </w:p>
        </w:tc>
      </w:tr>
      <w:tr>
        <w:tc>
          <w:tcPr>
            <w:tcW w:w="0" w:type="auto"/>
          </w:tcPr>
          <w:p>
            <w:pPr>
              <w:spacing w:line="240" w:lineRule="auto" w:before="0" w:after="0"/>
              <w:pStyle w:val="Compact"/>
            </w:pPr>
            <w:r>
              <w:rPr>
                <w:sz w:val="20"/>
                <w:szCs w:val="20"/>
              </w:rPr>
              <w:t xml:space="preserve">VirginGalactic</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Quarterly Launch Reports 2024, FAA/AST publications</w:t>
            </w:r>
          </w:p>
        </w:tc>
      </w:tr>
    </w:tbl>
    <w:bookmarkEnd w:id="197"/>
    <w:bookmarkStart w:id="198"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licensed_launches</w:t>
            </w:r>
          </w:p>
        </w:tc>
        <w:tc>
          <w:tcPr>
            <w:tcW w:w="0" w:type="auto"/>
          </w:tcPr>
          <w:p>
            <w:pPr>
              <w:spacing w:line="240" w:lineRule="auto" w:before="0" w:after="0"/>
              <w:pStyle w:val="Compact"/>
            </w:pPr>
            <w:r>
              <w:rPr>
                <w:sz w:val="20"/>
                <w:szCs w:val="20"/>
              </w:rPr>
              <w:t xml:space="preserve">Count of FAA-licensed commercial launches by operator in calendar year</w:t>
            </w:r>
          </w:p>
        </w:tc>
        <w:tc>
          <w:tcPr>
            <w:tcW w:w="0" w:type="auto"/>
          </w:tcPr>
          <w:p>
            <w:pPr>
              <w:spacing w:line="240" w:lineRule="auto" w:before="0" w:after="0"/>
              <w:pStyle w:val="Compact"/>
            </w:pPr>
            <w:r>
              <w:rPr>
                <w:sz w:val="20"/>
                <w:szCs w:val="20"/>
              </w:rPr>
              <w:t xml:space="preserve">FAA Annual Compendium of Commercial Space Transportation and FAA Quarterly Launch Reports, FAA/AST publications page</w:t>
            </w:r>
          </w:p>
        </w:tc>
      </w:tr>
      <w:tr>
        <w:tc>
          <w:tcPr>
            <w:tcW w:w="0" w:type="auto"/>
          </w:tcPr>
          <w:p>
            <w:pPr>
              <w:spacing w:line="240" w:lineRule="auto" w:before="0" w:after="0"/>
              <w:pStyle w:val="Compact"/>
            </w:pPr>
            <w:r>
              <w:rPr>
                <w:sz w:val="20"/>
                <w:szCs w:val="20"/>
              </w:rPr>
              <w:t xml:space="preserve">post450</w:t>
            </w:r>
          </w:p>
        </w:tc>
        <w:tc>
          <w:tcPr>
            <w:tcW w:w="0" w:type="auto"/>
          </w:tcPr>
          <w:p>
            <w:pPr>
              <w:spacing w:line="240" w:lineRule="auto" w:before="0" w:after="0"/>
              <w:pStyle w:val="Compact"/>
            </w:pPr>
            <w:r>
              <w:rPr>
                <w:sz w:val="20"/>
                <w:szCs w:val="20"/>
              </w:rPr>
              <w:t xml:space="preserve">Indicator equal to 1 for operator-years after the close of the Part 450 bridge window (2022 onward)</w:t>
            </w:r>
          </w:p>
        </w:tc>
        <w:tc>
          <w:tcPr>
            <w:tcW w:w="0" w:type="auto"/>
          </w:tcPr>
          <w:p>
            <w:pPr>
              <w:spacing w:line="240" w:lineRule="auto" w:before="0" w:after="0"/>
              <w:pStyle w:val="Compact"/>
            </w:pPr>
            <w:r>
              <w:rPr>
                <w:sz w:val="20"/>
                <w:szCs w:val="20"/>
              </w:rPr>
              <w:t xml:space="preserve">14 CFR Part 450 final rule, Federal Register 85 FR 79566, effective 15 March 2021</w:t>
            </w:r>
          </w:p>
        </w:tc>
      </w:tr>
      <w:tr>
        <w:tc>
          <w:tcPr>
            <w:tcW w:w="0" w:type="auto"/>
          </w:tcPr>
          <w:p>
            <w:pPr>
              <w:spacing w:line="240" w:lineRule="auto" w:before="0" w:after="0"/>
              <w:pStyle w:val="Compact"/>
            </w:pPr>
            <w:r>
              <w:rPr>
                <w:sz w:val="20"/>
                <w:szCs w:val="20"/>
              </w:rPr>
              <w:t xml:space="preserve">bridge</w:t>
            </w:r>
          </w:p>
        </w:tc>
        <w:tc>
          <w:tcPr>
            <w:tcW w:w="0" w:type="auto"/>
          </w:tcPr>
          <w:p>
            <w:pPr>
              <w:spacing w:line="240" w:lineRule="auto" w:before="0" w:after="0"/>
              <w:pStyle w:val="Compact"/>
            </w:pPr>
            <w:r>
              <w:rPr>
                <w:sz w:val="20"/>
                <w:szCs w:val="20"/>
              </w:rPr>
              <w:t xml:space="preserve">Indicator equal to 1 for calendar year 2021 (dual-regime bridge window)</w:t>
            </w:r>
          </w:p>
        </w:tc>
        <w:tc>
          <w:tcPr>
            <w:tcW w:w="0" w:type="auto"/>
          </w:tcPr>
          <w:p>
            <w:pPr>
              <w:spacing w:line="240" w:lineRule="auto" w:before="0" w:after="0"/>
              <w:pStyle w:val="Compact"/>
            </w:pPr>
            <w:r>
              <w:rPr>
                <w:sz w:val="20"/>
                <w:szCs w:val="20"/>
              </w:rPr>
              <w:t xml:space="preserve">14 CFR Part 450 final rule transition provisions</w:t>
            </w:r>
          </w:p>
        </w:tc>
      </w:tr>
      <w:tr>
        <w:tc>
          <w:tcPr>
            <w:tcW w:w="0" w:type="auto"/>
          </w:tcPr>
          <w:p>
            <w:pPr>
              <w:spacing w:line="240" w:lineRule="auto" w:before="0" w:after="0"/>
              <w:pStyle w:val="Compact"/>
            </w:pPr>
            <w:r>
              <w:rPr>
                <w:sz w:val="20"/>
                <w:szCs w:val="20"/>
              </w:rPr>
              <w:t xml:space="preserve">years_active</w:t>
            </w:r>
          </w:p>
        </w:tc>
        <w:tc>
          <w:tcPr>
            <w:tcW w:w="0" w:type="auto"/>
          </w:tcPr>
          <w:p>
            <w:pPr>
              <w:spacing w:line="240" w:lineRule="auto" w:before="0" w:after="0"/>
              <w:pStyle w:val="Compact"/>
            </w:pPr>
            <w:r>
              <w:rPr>
                <w:sz w:val="20"/>
                <w:szCs w:val="20"/>
              </w:rPr>
              <w:t xml:space="preserve">Years since operator first held an FAA launch license</w:t>
            </w:r>
          </w:p>
        </w:tc>
        <w:tc>
          <w:tcPr>
            <w:tcW w:w="0" w:type="auto"/>
          </w:tcPr>
          <w:p>
            <w:pPr>
              <w:spacing w:line="240" w:lineRule="auto" w:before="0" w:after="0"/>
              <w:pStyle w:val="Compact"/>
            </w:pPr>
            <w:r>
              <w:rPr>
                <w:sz w:val="20"/>
                <w:szCs w:val="20"/>
              </w:rPr>
              <w:t xml:space="preserve">FAA Active Licenses register and operator press kits</w:t>
            </w:r>
          </w:p>
        </w:tc>
      </w:tr>
      <w:tr>
        <w:tc>
          <w:tcPr>
            <w:tcW w:w="0" w:type="auto"/>
          </w:tcPr>
          <w:p>
            <w:pPr>
              <w:spacing w:line="240" w:lineRule="auto" w:before="0" w:after="0"/>
              <w:pStyle w:val="Compact"/>
            </w:pPr>
            <w:r>
              <w:rPr>
                <w:sz w:val="20"/>
                <w:szCs w:val="20"/>
              </w:rPr>
              <w:t xml:space="preserve">large_constellation</w:t>
            </w:r>
          </w:p>
        </w:tc>
        <w:tc>
          <w:tcPr>
            <w:tcW w:w="0" w:type="auto"/>
          </w:tcPr>
          <w:p>
            <w:pPr>
              <w:spacing w:line="240" w:lineRule="auto" w:before="0" w:after="0"/>
              <w:pStyle w:val="Compact"/>
            </w:pPr>
            <w:r>
              <w:rPr>
                <w:sz w:val="20"/>
                <w:szCs w:val="20"/>
              </w:rPr>
              <w:t xml:space="preserve">Indicator equal to 1 for operator-year combinations associated with deployment of a large LEO communications constellation (Starlink)</w:t>
            </w:r>
          </w:p>
        </w:tc>
        <w:tc>
          <w:tcPr>
            <w:tcW w:w="0" w:type="auto"/>
          </w:tcPr>
          <w:p>
            <w:pPr>
              <w:spacing w:line="240" w:lineRule="auto" w:before="0" w:after="0"/>
              <w:pStyle w:val="Compact"/>
            </w:pPr>
            <w:r>
              <w:rPr>
                <w:sz w:val="20"/>
                <w:szCs w:val="20"/>
              </w:rPr>
              <w:t xml:space="preserve">SpaceX Starlink launch press kits and FAA/AST mission descriptions</w:t>
            </w:r>
          </w:p>
        </w:tc>
      </w:tr>
      <w:tr>
        <w:tc>
          <w:tcPr>
            <w:tcW w:w="0" w:type="auto"/>
          </w:tcPr>
          <w:p>
            <w:pPr>
              <w:spacing w:line="240" w:lineRule="auto" w:before="0" w:after="0"/>
              <w:pStyle w:val="Compact"/>
            </w:pPr>
            <w:r>
              <w:rPr>
                <w:sz w:val="20"/>
                <w:szCs w:val="20"/>
              </w:rPr>
              <w:t xml:space="preserve">licensed_launches (control)</w:t>
            </w:r>
          </w:p>
        </w:tc>
        <w:tc>
          <w:tcPr>
            <w:tcW w:w="0" w:type="auto"/>
          </w:tcPr>
          <w:p>
            <w:pPr>
              <w:spacing w:line="240" w:lineRule="auto" w:before="0" w:after="0"/>
              <w:pStyle w:val="Compact"/>
            </w:pPr>
            <w:r>
              <w:rPr>
                <w:sz w:val="20"/>
                <w:szCs w:val="20"/>
              </w:rPr>
              <w:t xml:space="preserve">Operator and year covariates absorbed by linear time trend and operator-experience term</w:t>
            </w:r>
          </w:p>
        </w:tc>
        <w:tc>
          <w:tcPr>
            <w:tcW w:w="0" w:type="auto"/>
          </w:tcPr>
          <w:p>
            <w:pPr>
              <w:spacing w:line="240" w:lineRule="auto" w:before="0" w:after="0"/>
              <w:pStyle w:val="Compact"/>
            </w:pPr>
            <w:r>
              <w:rPr>
                <w:sz w:val="20"/>
                <w:szCs w:val="20"/>
              </w:rPr>
              <w:t xml:space="preserve">Constructed from the FAA panel</w:t>
            </w:r>
          </w:p>
        </w:tc>
      </w:tr>
    </w:tbl>
    <w:bookmarkEnd w:id="198"/>
    <w:bookmarkEnd w:id="199"/>
    <w:bookmarkStart w:id="207" w:name="Xdca9428c93fd74d05d2c916185dcb344149cb19"/>
    <w:p>
      <w:pPr>
        <w:pStyle w:val="Heading2"/>
        <w:spacing w:line="480" w:lineRule="auto"/>
      </w:pPr>
      <w:r>
        <w:t xml:space="preserve">A.2 The Part 450 Transition Discontinuity in FAA Launch Licensing Duration: A Cox Proportional-Hazards Analysis of Application-to-Approval Survival</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t> </m:t>
          </m:r>
          <m:sSub>
            <m:e>
              <m:r>
                <m:rPr>
                  <m:nor/>
                  <m:sty m:val="p"/>
                </m:rPr>
                <m:t>post450</m:t>
              </m:r>
            </m:e>
            <m:sub>
              <m:r>
                <m:t>i</m:t>
              </m:r>
            </m:sub>
          </m:sSub>
          <m:r>
            <m:rPr>
              <m:sty m:val="p"/>
            </m:rPr>
            <m:t>+</m:t>
          </m:r>
          <m:sSub>
            <m:e>
              <m:r>
                <m:t>β</m:t>
              </m:r>
            </m:e>
            <m:sub>
              <m:r>
                <m:t>2</m:t>
              </m:r>
            </m:sub>
          </m:sSub>
          <m:r>
            <m:t> </m:t>
          </m:r>
          <m:sSub>
            <m:e>
              <m:r>
                <m:rPr>
                  <m:nor/>
                  <m:sty m:val="p"/>
                </m:rPr>
                <m:t>small</m:t>
              </m:r>
            </m:e>
            <m:sub>
              <m:r>
                <m:t>i</m:t>
              </m:r>
            </m:sub>
          </m:sSub>
          <m:r>
            <m:rPr>
              <m:sty m:val="p"/>
            </m:rPr>
            <m:t>+</m:t>
          </m:r>
          <m:sSub>
            <m:e>
              <m:r>
                <m:t>β</m:t>
              </m:r>
            </m:e>
            <m:sub>
              <m:r>
                <m:t>3</m:t>
              </m:r>
            </m:sub>
          </m:sSub>
          <m:r>
            <m:t> </m:t>
          </m:r>
          <m:sSub>
            <m:e>
              <m:r>
                <m:rPr>
                  <m:nor/>
                  <m:sty m:val="p"/>
                </m:rPr>
                <m:t>reusable</m:t>
              </m:r>
            </m:e>
            <m:sub>
              <m:r>
                <m:t>i</m:t>
              </m:r>
            </m:sub>
          </m:sSub>
          <m:r>
            <m:rPr>
              <m:sty m:val="p"/>
            </m:rPr>
            <m:t>)</m:t>
          </m:r>
        </m:oMath>
      </m:oMathPara>
    </w:p>
    <w:bookmarkStart w:id="20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post_part450</w:t>
            </w:r>
          </w:p>
        </w:tc>
        <w:tc>
          <w:tcPr>
            <w:tcW w:w="0" w:type="auto"/>
          </w:tcPr>
          <w:p>
            <w:pPr>
              <w:spacing w:line="240" w:lineRule="auto" w:before="0" w:after="0"/>
              <w:pStyle w:val="Compact"/>
            </w:pPr>
            <w:r>
              <w:rPr>
                <w:sz w:val="20"/>
                <w:szCs w:val="20"/>
              </w:rPr>
              <w:t xml:space="preserve">-3.569</w:t>
            </w:r>
          </w:p>
        </w:tc>
        <w:tc>
          <w:tcPr>
            <w:tcW w:w="0" w:type="auto"/>
          </w:tcPr>
          <w:p>
            <w:pPr>
              <w:spacing w:line="240" w:lineRule="auto" w:before="0" w:after="0"/>
              <w:pStyle w:val="Compact"/>
            </w:pPr>
            <w:r>
              <w:rPr>
                <w:sz w:val="20"/>
                <w:szCs w:val="20"/>
              </w:rPr>
              <w:t xml:space="preserve">0.8334</w:t>
            </w:r>
          </w:p>
        </w:tc>
        <w:tc>
          <w:tcPr>
            <w:tcW w:w="0" w:type="auto"/>
          </w:tcPr>
          <w:p>
            <w:pPr>
              <w:spacing w:line="240" w:lineRule="auto" w:before="0" w:after="0"/>
              <w:pStyle w:val="Compact"/>
            </w:pPr>
            <w:r>
              <w:rPr>
                <w:sz w:val="20"/>
                <w:szCs w:val="20"/>
              </w:rPr>
              <w:t xml:space="preserve">-4.2825</w:t>
            </w:r>
          </w:p>
        </w:tc>
        <w:tc>
          <w:tcPr>
            <w:tcW w:w="0" w:type="auto"/>
          </w:tcPr>
          <w:p>
            <w:pPr>
              <w:spacing w:line="240" w:lineRule="auto" w:before="0" w:after="0"/>
              <w:pStyle w:val="Compact"/>
            </w:pPr>
            <w:r>
              <w:rPr>
                <w:sz w:val="20"/>
                <w:szCs w:val="20"/>
              </w:rPr>
              <w:t xml:space="preserve">1.848e-05</w:t>
            </w:r>
          </w:p>
        </w:tc>
        <w:tc>
          <w:tcPr>
            <w:tcW w:w="0" w:type="auto"/>
          </w:tcPr>
          <w:p>
            <w:pPr>
              <w:spacing w:line="240" w:lineRule="auto" w:before="0" w:after="0"/>
              <w:pStyle w:val="Compact"/>
            </w:pPr>
            <w:r>
              <w:rPr>
                <w:sz w:val="20"/>
                <w:szCs w:val="20"/>
              </w:rPr>
              <w:t xml:space="preserve">[-5.2024, -1.9355]</w:t>
            </w:r>
          </w:p>
        </w:tc>
        <w:tc>
          <w:tcPr>
            <w:tcW w:w="0" w:type="auto"/>
          </w:tcPr>
          <w:p>
            <w:pPr>
              <w:spacing w:line="240" w:lineRule="auto" w:before="0" w:after="0"/>
              <w:pStyle w:val="Compact"/>
            </w:pPr>
            <w:r>
              <w:rPr>
                <w:sz w:val="20"/>
                <w:szCs w:val="20"/>
              </w:rPr>
              <w:t xml:space="preserve">0.0282</w:t>
            </w:r>
          </w:p>
        </w:tc>
      </w:tr>
      <w:tr>
        <w:tc>
          <w:tcPr>
            <w:tcW w:w="0" w:type="auto"/>
          </w:tcPr>
          <w:p>
            <w:pPr>
              <w:spacing w:line="240" w:lineRule="auto" w:before="0" w:after="0"/>
              <w:pStyle w:val="Compact"/>
            </w:pPr>
            <w:r>
              <w:rPr>
                <w:sz w:val="20"/>
                <w:szCs w:val="20"/>
              </w:rPr>
              <w:t xml:space="preserve">small_provider</w:t>
            </w:r>
          </w:p>
        </w:tc>
        <w:tc>
          <w:tcPr>
            <w:tcW w:w="0" w:type="auto"/>
          </w:tcPr>
          <w:p>
            <w:pPr>
              <w:spacing w:line="240" w:lineRule="auto" w:before="0" w:after="0"/>
              <w:pStyle w:val="Compact"/>
            </w:pPr>
            <w:r>
              <w:rPr>
                <w:sz w:val="20"/>
                <w:szCs w:val="20"/>
              </w:rPr>
              <w:t xml:space="preserve">0.3637</w:t>
            </w:r>
          </w:p>
        </w:tc>
        <w:tc>
          <w:tcPr>
            <w:tcW w:w="0" w:type="auto"/>
          </w:tcPr>
          <w:p>
            <w:pPr>
              <w:spacing w:line="240" w:lineRule="auto" w:before="0" w:after="0"/>
              <w:pStyle w:val="Compact"/>
            </w:pPr>
            <w:r>
              <w:rPr>
                <w:sz w:val="20"/>
                <w:szCs w:val="20"/>
              </w:rPr>
              <w:t xml:space="preserve">0.5524</w:t>
            </w:r>
          </w:p>
        </w:tc>
        <w:tc>
          <w:tcPr>
            <w:tcW w:w="0" w:type="auto"/>
          </w:tcPr>
          <w:p>
            <w:pPr>
              <w:spacing w:line="240" w:lineRule="auto" w:before="0" w:after="0"/>
              <w:pStyle w:val="Compact"/>
            </w:pPr>
            <w:r>
              <w:rPr>
                <w:sz w:val="20"/>
                <w:szCs w:val="20"/>
              </w:rPr>
              <w:t xml:space="preserve">0.6584</w:t>
            </w:r>
          </w:p>
        </w:tc>
        <w:tc>
          <w:tcPr>
            <w:tcW w:w="0" w:type="auto"/>
          </w:tcPr>
          <w:p>
            <w:pPr>
              <w:spacing w:line="240" w:lineRule="auto" w:before="0" w:after="0"/>
              <w:pStyle w:val="Compact"/>
            </w:pPr>
            <w:r>
              <w:rPr>
                <w:sz w:val="20"/>
                <w:szCs w:val="20"/>
              </w:rPr>
              <w:t xml:space="preserve">0.5103</w:t>
            </w:r>
          </w:p>
        </w:tc>
        <w:tc>
          <w:tcPr>
            <w:tcW w:w="0" w:type="auto"/>
          </w:tcPr>
          <w:p>
            <w:pPr>
              <w:spacing w:line="240" w:lineRule="auto" w:before="0" w:after="0"/>
              <w:pStyle w:val="Compact"/>
            </w:pPr>
            <w:r>
              <w:rPr>
                <w:sz w:val="20"/>
                <w:szCs w:val="20"/>
              </w:rPr>
              <w:t xml:space="preserve">[-0.7189, 1.4463]</w:t>
            </w:r>
          </w:p>
        </w:tc>
        <w:tc>
          <w:tcPr>
            <w:tcW w:w="0" w:type="auto"/>
          </w:tcPr>
          <w:p>
            <w:pPr>
              <w:spacing w:line="240" w:lineRule="auto" w:before="0" w:after="0"/>
              <w:pStyle w:val="Compact"/>
            </w:pPr>
            <w:r>
              <w:rPr>
                <w:sz w:val="20"/>
                <w:szCs w:val="20"/>
              </w:rPr>
              <w:t xml:space="preserve">1.4386</w:t>
            </w:r>
          </w:p>
        </w:tc>
      </w:tr>
      <w:tr>
        <w:tc>
          <w:tcPr>
            <w:tcW w:w="0" w:type="auto"/>
          </w:tcPr>
          <w:p>
            <w:pPr>
              <w:spacing w:line="240" w:lineRule="auto" w:before="0" w:after="0"/>
              <w:pStyle w:val="Compact"/>
            </w:pPr>
            <w:r>
              <w:rPr>
                <w:sz w:val="20"/>
                <w:szCs w:val="20"/>
              </w:rPr>
              <w:t xml:space="preserve">reusable</w:t>
            </w:r>
          </w:p>
        </w:tc>
        <w:tc>
          <w:tcPr>
            <w:tcW w:w="0" w:type="auto"/>
          </w:tcPr>
          <w:p>
            <w:pPr>
              <w:spacing w:line="240" w:lineRule="auto" w:before="0" w:after="0"/>
              <w:pStyle w:val="Compact"/>
            </w:pPr>
            <w:r>
              <w:rPr>
                <w:sz w:val="20"/>
                <w:szCs w:val="20"/>
              </w:rPr>
              <w:t xml:space="preserve">0.0612</w:t>
            </w:r>
          </w:p>
        </w:tc>
        <w:tc>
          <w:tcPr>
            <w:tcW w:w="0" w:type="auto"/>
          </w:tcPr>
          <w:p>
            <w:pPr>
              <w:spacing w:line="240" w:lineRule="auto" w:before="0" w:after="0"/>
              <w:pStyle w:val="Compact"/>
            </w:pPr>
            <w:r>
              <w:rPr>
                <w:sz w:val="20"/>
                <w:szCs w:val="20"/>
              </w:rPr>
              <w:t xml:space="preserve">0.4885</w:t>
            </w:r>
          </w:p>
        </w:tc>
        <w:tc>
          <w:tcPr>
            <w:tcW w:w="0" w:type="auto"/>
          </w:tcPr>
          <w:p>
            <w:pPr>
              <w:spacing w:line="240" w:lineRule="auto" w:before="0" w:after="0"/>
              <w:pStyle w:val="Compact"/>
            </w:pPr>
            <w:r>
              <w:rPr>
                <w:sz w:val="20"/>
                <w:szCs w:val="20"/>
              </w:rPr>
              <w:t xml:space="preserve">0.1254</w:t>
            </w:r>
          </w:p>
        </w:tc>
        <w:tc>
          <w:tcPr>
            <w:tcW w:w="0" w:type="auto"/>
          </w:tcPr>
          <w:p>
            <w:pPr>
              <w:spacing w:line="240" w:lineRule="auto" w:before="0" w:after="0"/>
              <w:pStyle w:val="Compact"/>
            </w:pPr>
            <w:r>
              <w:rPr>
                <w:sz w:val="20"/>
                <w:szCs w:val="20"/>
              </w:rPr>
              <w:t xml:space="preserve">0.9002</w:t>
            </w:r>
          </w:p>
        </w:tc>
        <w:tc>
          <w:tcPr>
            <w:tcW w:w="0" w:type="auto"/>
          </w:tcPr>
          <w:p>
            <w:pPr>
              <w:spacing w:line="240" w:lineRule="auto" w:before="0" w:after="0"/>
              <w:pStyle w:val="Compact"/>
            </w:pPr>
            <w:r>
              <w:rPr>
                <w:sz w:val="20"/>
                <w:szCs w:val="20"/>
              </w:rPr>
              <w:t xml:space="preserve">[-0.8963, 1.0188]</w:t>
            </w:r>
          </w:p>
        </w:tc>
        <w:tc>
          <w:tcPr>
            <w:tcW w:w="0" w:type="auto"/>
          </w:tcPr>
          <w:p>
            <w:pPr>
              <w:spacing w:line="240" w:lineRule="auto" w:before="0" w:after="0"/>
              <w:pStyle w:val="Compact"/>
            </w:pPr>
            <w:r>
              <w:rPr>
                <w:sz w:val="20"/>
                <w:szCs w:val="20"/>
              </w:rPr>
              <w:t xml:space="preserve">1.0632</w:t>
            </w:r>
          </w:p>
        </w:tc>
      </w:tr>
    </w:tbl>
    <w:p>
      <w:pPr>
        <w:pStyle w:val="BodyText"/>
        <w:spacing w:line="480" w:lineRule="auto"/>
        <w:ind w:firstLine="720"/>
      </w:pPr>
      <w:r>
        <w:t xml:space="preserve">Fit: N = 30 events = 28</w:t>
      </w:r>
    </w:p>
    <w:bookmarkEnd w:id="200"/>
    <w:bookmarkStart w:id="20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Kaplan-Meier-style cumulative approval curves for FAA launch license applications, split by regulatory regime (legacy Parts 415/417 versus consolidated Part 450). Right-censored observations are pending applications at the GAO-25-107591 report cutoff." title="" id="202" name="Picture"/>
            <a:graphic>
              <a:graphicData uri="http://schemas.openxmlformats.org/drawingml/2006/picture">
                <pic:pic>
                  <pic:nvPicPr>
                    <pic:cNvPr descr="D:/Claude_Code/brain/collegium/candidates/dissertations/LAUNCH_REG_01/research_papers/p2/paper_fig1.png" id="203" name="Picture"/>
                    <pic:cNvPicPr>
                      <a:picLocks noChangeArrowheads="1" noChangeAspect="1"/>
                    </pic:cNvPicPr>
                  </pic:nvPicPr>
                  <pic:blipFill>
                    <a:blip r:embed="rId20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Kaplan-Meier-style cumulative approval curves for FAA launch license applications, split by regulatory regime (legacy Parts 415/417 versus consolidated Part 450). Right-censored observations are pending applications at the GAO-25-107591 report cutoff.</w:t>
      </w:r>
    </w:p>
    <w:bookmarkEnd w:id="204"/>
    <w:bookmarkStart w:id="20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license_id</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vehicle_class</w:t>
            </w:r>
          </w:p>
        </w:tc>
        <w:tc>
          <w:tcPr>
            <w:tcW w:w="0" w:type="auto"/>
          </w:tcPr>
          <w:p>
            <w:pPr>
              <w:spacing w:line="240" w:lineRule="auto" w:before="0" w:after="0"/>
              <w:pStyle w:val="Compact"/>
            </w:pPr>
            <w:r>
              <w:rPr>
                <w:sz w:val="20"/>
                <w:szCs w:val="20"/>
              </w:rPr>
              <w:t xml:space="preserve">application_year</w:t>
            </w:r>
          </w:p>
        </w:tc>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post_part450</w:t>
            </w:r>
          </w:p>
        </w:tc>
        <w:tc>
          <w:tcPr>
            <w:tcW w:w="0" w:type="auto"/>
          </w:tcPr>
          <w:p>
            <w:pPr>
              <w:spacing w:line="240" w:lineRule="auto" w:before="0" w:after="0"/>
              <w:pStyle w:val="Compact"/>
            </w:pPr>
            <w:r>
              <w:rPr>
                <w:sz w:val="20"/>
                <w:szCs w:val="20"/>
              </w:rPr>
              <w:t xml:space="preserve">small_provider</w:t>
            </w:r>
          </w:p>
        </w:tc>
        <w:tc>
          <w:tcPr>
            <w:tcW w:w="0" w:type="auto"/>
          </w:tcPr>
          <w:p>
            <w:pPr>
              <w:spacing w:line="240" w:lineRule="auto" w:before="0" w:after="0"/>
              <w:pStyle w:val="Compact"/>
            </w:pPr>
            <w:r>
              <w:rPr>
                <w:sz w:val="20"/>
                <w:szCs w:val="20"/>
              </w:rPr>
              <w:t xml:space="preserve">reusable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LLO-13-067</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medium-lift</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Quarterly Launch Report 2013 Q3; FAA license LLO 13-067 (Falcon 9 v1.1)</w:t>
            </w:r>
          </w:p>
        </w:tc>
      </w:tr>
      <w:tr>
        <w:tc>
          <w:tcPr>
            <w:tcW w:w="0" w:type="auto"/>
          </w:tcPr>
          <w:p>
            <w:pPr>
              <w:spacing w:line="240" w:lineRule="auto" w:before="0" w:after="0"/>
              <w:pStyle w:val="Compact"/>
            </w:pPr>
            <w:r>
              <w:rPr>
                <w:sz w:val="20"/>
                <w:szCs w:val="20"/>
              </w:rPr>
              <w:t xml:space="preserve">LLO-14-072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medium-lift</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2014 annual compendium; license LLO 14-072</w:t>
            </w:r>
          </w:p>
        </w:tc>
      </w:tr>
      <w:tr>
        <w:tc>
          <w:tcPr>
            <w:tcW w:w="0" w:type="auto"/>
          </w:tcPr>
          <w:p>
            <w:pPr>
              <w:spacing w:line="240" w:lineRule="auto" w:before="0" w:after="0"/>
              <w:pStyle w:val="Compact"/>
            </w:pPr>
            <w:r>
              <w:rPr>
                <w:sz w:val="20"/>
                <w:szCs w:val="20"/>
              </w:rPr>
              <w:t xml:space="preserve">LLO-15-079</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medium-lift</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quarterly report 2015 Q1</w:t>
            </w:r>
          </w:p>
        </w:tc>
      </w:tr>
      <w:tr>
        <w:tc>
          <w:tcPr>
            <w:tcW w:w="0" w:type="auto"/>
          </w:tcPr>
          <w:p>
            <w:pPr>
              <w:spacing w:line="240" w:lineRule="auto" w:before="0" w:after="0"/>
              <w:pStyle w:val="Compact"/>
            </w:pPr>
            <w:r>
              <w:rPr>
                <w:sz w:val="20"/>
                <w:szCs w:val="20"/>
              </w:rPr>
              <w:t xml:space="preserve">LLO-16-083</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medium-lift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2016 annual compendium; license LLO 16-083</w:t>
            </w:r>
          </w:p>
        </w:tc>
      </w:tr>
      <w:tr>
        <w:tc>
          <w:tcPr>
            <w:tcW w:w="0" w:type="auto"/>
          </w:tcPr>
          <w:p>
            <w:pPr>
              <w:spacing w:line="240" w:lineRule="auto" w:before="0" w:after="0"/>
              <w:pStyle w:val="Compact"/>
            </w:pPr>
            <w:r>
              <w:rPr>
                <w:sz w:val="20"/>
                <w:szCs w:val="20"/>
              </w:rPr>
              <w:t xml:space="preserve">LLO-17-089</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heavy-lift</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2017 compendium of commercial space transportation</w:t>
            </w:r>
          </w:p>
        </w:tc>
      </w:tr>
      <w:tr>
        <w:tc>
          <w:tcPr>
            <w:tcW w:w="0" w:type="auto"/>
          </w:tcPr>
          <w:p>
            <w:pPr>
              <w:spacing w:line="240" w:lineRule="auto" w:before="0" w:after="0"/>
              <w:pStyle w:val="Compact"/>
            </w:pPr>
            <w:r>
              <w:rPr>
                <w:sz w:val="20"/>
                <w:szCs w:val="20"/>
              </w:rPr>
              <w:t xml:space="preserve">LLO-17-091</w:t>
            </w:r>
          </w:p>
        </w:tc>
        <w:tc>
          <w:tcPr>
            <w:tcW w:w="0" w:type="auto"/>
          </w:tcPr>
          <w:p>
            <w:pPr>
              <w:spacing w:line="240" w:lineRule="auto" w:before="0" w:after="0"/>
              <w:pStyle w:val="Compact"/>
            </w:pPr>
            <w:r>
              <w:rPr>
                <w:sz w:val="20"/>
                <w:szCs w:val="20"/>
              </w:rPr>
              <w:t xml:space="preserve">Orbital ATK</w:t>
            </w:r>
          </w:p>
        </w:tc>
        <w:tc>
          <w:tcPr>
            <w:tcW w:w="0" w:type="auto"/>
          </w:tcPr>
          <w:p>
            <w:pPr>
              <w:spacing w:line="240" w:lineRule="auto" w:before="0" w:after="0"/>
              <w:pStyle w:val="Compact"/>
            </w:pPr>
            <w:r>
              <w:rPr>
                <w:sz w:val="20"/>
                <w:szCs w:val="20"/>
              </w:rPr>
              <w:t xml:space="preserve">medium-lift</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2017 compendium (Antares license)</w:t>
            </w:r>
          </w:p>
        </w:tc>
      </w:tr>
      <w:tr>
        <w:tc>
          <w:tcPr>
            <w:tcW w:w="0" w:type="auto"/>
          </w:tcPr>
          <w:p>
            <w:pPr>
              <w:spacing w:line="240" w:lineRule="auto" w:before="0" w:after="0"/>
              <w:pStyle w:val="Compact"/>
            </w:pPr>
            <w:r>
              <w:rPr>
                <w:sz w:val="20"/>
                <w:szCs w:val="20"/>
              </w:rPr>
              <w:t xml:space="preserve">LLO-18-095</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heavy-lift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2018 annual report; Falcon Heavy license LLO 18-095</w:t>
            </w:r>
          </w:p>
        </w:tc>
      </w:tr>
      <w:tr>
        <w:tc>
          <w:tcPr>
            <w:tcW w:w="0" w:type="auto"/>
          </w:tcPr>
          <w:p>
            <w:pPr>
              <w:spacing w:line="240" w:lineRule="auto" w:before="0" w:after="0"/>
              <w:pStyle w:val="Compact"/>
            </w:pPr>
            <w:r>
              <w:rPr>
                <w:sz w:val="20"/>
                <w:szCs w:val="20"/>
              </w:rPr>
              <w:t xml:space="preserve">LLO-18-098</w:t>
            </w:r>
          </w:p>
        </w:tc>
        <w:tc>
          <w:tcPr>
            <w:tcW w:w="0" w:type="auto"/>
          </w:tcPr>
          <w:p>
            <w:pPr>
              <w:spacing w:line="240" w:lineRule="auto" w:before="0" w:after="0"/>
              <w:pStyle w:val="Compact"/>
            </w:pPr>
            <w:r>
              <w:rPr>
                <w:sz w:val="20"/>
                <w:szCs w:val="20"/>
              </w:rPr>
              <w:t xml:space="preserve">Rocket Lab</w:t>
            </w:r>
          </w:p>
        </w:tc>
        <w:tc>
          <w:tcPr>
            <w:tcW w:w="0" w:type="auto"/>
          </w:tcPr>
          <w:p>
            <w:pPr>
              <w:spacing w:line="240" w:lineRule="auto" w:before="0" w:after="0"/>
              <w:pStyle w:val="Compact"/>
            </w:pPr>
            <w:r>
              <w:rPr>
                <w:sz w:val="20"/>
                <w:szCs w:val="20"/>
              </w:rPr>
              <w:t xml:space="preserve">small-lift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2018 compendium; Electron license</w:t>
            </w:r>
          </w:p>
        </w:tc>
      </w:tr>
      <w:tr>
        <w:tc>
          <w:tcPr>
            <w:tcW w:w="0" w:type="auto"/>
          </w:tcPr>
          <w:p>
            <w:pPr>
              <w:spacing w:line="240" w:lineRule="auto" w:before="0" w:after="0"/>
              <w:pStyle w:val="Compact"/>
            </w:pPr>
            <w:r>
              <w:rPr>
                <w:sz w:val="20"/>
                <w:szCs w:val="20"/>
              </w:rPr>
              <w:t xml:space="preserve">LLO-19-103</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sub-orbital</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2019 compendium; New Shepard reusable launch license</w:t>
            </w:r>
          </w:p>
        </w:tc>
      </w:tr>
      <w:tr>
        <w:tc>
          <w:tcPr>
            <w:tcW w:w="0" w:type="auto"/>
          </w:tcPr>
          <w:p>
            <w:pPr>
              <w:spacing w:line="240" w:lineRule="auto" w:before="0" w:after="0"/>
              <w:pStyle w:val="Compact"/>
            </w:pPr>
            <w:r>
              <w:rPr>
                <w:sz w:val="20"/>
                <w:szCs w:val="20"/>
              </w:rPr>
              <w:t xml:space="preserve">LLO-19-105</w:t>
            </w:r>
          </w:p>
        </w:tc>
        <w:tc>
          <w:tcPr>
            <w:tcW w:w="0" w:type="auto"/>
          </w:tcPr>
          <w:p>
            <w:pPr>
              <w:spacing w:line="240" w:lineRule="auto" w:before="0" w:after="0"/>
              <w:pStyle w:val="Compact"/>
            </w:pPr>
            <w:r>
              <w:rPr>
                <w:sz w:val="20"/>
                <w:szCs w:val="20"/>
              </w:rPr>
              <w:t xml:space="preserve">Virgin Orbit</w:t>
            </w:r>
          </w:p>
        </w:tc>
        <w:tc>
          <w:tcPr>
            <w:tcW w:w="0" w:type="auto"/>
          </w:tcPr>
          <w:p>
            <w:pPr>
              <w:spacing w:line="240" w:lineRule="auto" w:before="0" w:after="0"/>
              <w:pStyle w:val="Compact"/>
            </w:pPr>
            <w:r>
              <w:rPr>
                <w:sz w:val="20"/>
                <w:szCs w:val="20"/>
              </w:rPr>
              <w:t xml:space="preserve">small-lift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2019 compendium; LauncherOne license</w:t>
            </w:r>
          </w:p>
        </w:tc>
      </w:tr>
      <w:tr>
        <w:tc>
          <w:tcPr>
            <w:tcW w:w="0" w:type="auto"/>
          </w:tcPr>
          <w:p>
            <w:pPr>
              <w:spacing w:line="240" w:lineRule="auto" w:before="0" w:after="0"/>
              <w:pStyle w:val="Compact"/>
            </w:pPr>
            <w:r>
              <w:rPr>
                <w:sz w:val="20"/>
                <w:szCs w:val="20"/>
              </w:rPr>
              <w:t xml:space="preserve">LLO-20-109</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medium-lift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2020 compendium; Starlink launch license modification</w:t>
            </w:r>
          </w:p>
        </w:tc>
      </w:tr>
      <w:tr>
        <w:tc>
          <w:tcPr>
            <w:tcW w:w="0" w:type="auto"/>
          </w:tcPr>
          <w:p>
            <w:pPr>
              <w:spacing w:line="240" w:lineRule="auto" w:before="0" w:after="0"/>
              <w:pStyle w:val="Compact"/>
            </w:pPr>
            <w:r>
              <w:rPr>
                <w:sz w:val="20"/>
                <w:szCs w:val="20"/>
              </w:rPr>
              <w:t xml:space="preserve">LLO-20-112</w:t>
            </w:r>
          </w:p>
        </w:tc>
        <w:tc>
          <w:tcPr>
            <w:tcW w:w="0" w:type="auto"/>
          </w:tcPr>
          <w:p>
            <w:pPr>
              <w:spacing w:line="240" w:lineRule="auto" w:before="0" w:after="0"/>
              <w:pStyle w:val="Compact"/>
            </w:pPr>
            <w:r>
              <w:rPr>
                <w:sz w:val="20"/>
                <w:szCs w:val="20"/>
              </w:rPr>
              <w:t xml:space="preserve">Astra</w:t>
            </w:r>
          </w:p>
        </w:tc>
        <w:tc>
          <w:tcPr>
            <w:tcW w:w="0" w:type="auto"/>
          </w:tcPr>
          <w:p>
            <w:pPr>
              <w:spacing w:line="240" w:lineRule="auto" w:before="0" w:after="0"/>
              <w:pStyle w:val="Compact"/>
            </w:pPr>
            <w:r>
              <w:rPr>
                <w:sz w:val="20"/>
                <w:szCs w:val="20"/>
              </w:rPr>
              <w:t xml:space="preserve">small-lift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2020 compendium; Astra Rocket 3 license</w:t>
            </w:r>
          </w:p>
        </w:tc>
      </w:tr>
      <w:tr>
        <w:tc>
          <w:tcPr>
            <w:tcW w:w="0" w:type="auto"/>
          </w:tcPr>
          <w:p>
            <w:pPr>
              <w:spacing w:line="240" w:lineRule="auto" w:before="0" w:after="0"/>
              <w:pStyle w:val="Compact"/>
            </w:pPr>
            <w:r>
              <w:rPr>
                <w:sz w:val="20"/>
                <w:szCs w:val="20"/>
              </w:rPr>
              <w:t xml:space="preserve">LLO-21-001</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medium-lift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Part 450 transition first cohort; GAO-23-106021 commercial space oversight</w:t>
            </w:r>
          </w:p>
        </w:tc>
      </w:tr>
      <w:tr>
        <w:tc>
          <w:tcPr>
            <w:tcW w:w="0" w:type="auto"/>
          </w:tcPr>
          <w:p>
            <w:pPr>
              <w:spacing w:line="240" w:lineRule="auto" w:before="0" w:after="0"/>
              <w:pStyle w:val="Compact"/>
            </w:pPr>
            <w:r>
              <w:rPr>
                <w:sz w:val="20"/>
                <w:szCs w:val="20"/>
              </w:rPr>
              <w:t xml:space="preserve">LLO-21-003</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sub-orbital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commercial space oversight; FAA AST 2021 compendium</w:t>
            </w:r>
          </w:p>
        </w:tc>
      </w:tr>
      <w:tr>
        <w:tc>
          <w:tcPr>
            <w:tcW w:w="0" w:type="auto"/>
          </w:tcPr>
          <w:p>
            <w:pPr>
              <w:spacing w:line="240" w:lineRule="auto" w:before="0" w:after="0"/>
              <w:pStyle w:val="Compact"/>
            </w:pPr>
            <w:r>
              <w:rPr>
                <w:sz w:val="20"/>
                <w:szCs w:val="20"/>
              </w:rPr>
              <w:t xml:space="preserve">LLO-22-004</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heavy-lift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FAA commercial space launch and reentry licensing</w:t>
            </w:r>
          </w:p>
        </w:tc>
      </w:tr>
      <w:tr>
        <w:tc>
          <w:tcPr>
            <w:tcW w:w="0" w:type="auto"/>
          </w:tcPr>
          <w:p>
            <w:pPr>
              <w:spacing w:line="240" w:lineRule="auto" w:before="0" w:after="0"/>
              <w:pStyle w:val="Compact"/>
            </w:pPr>
            <w:r>
              <w:rPr>
                <w:sz w:val="20"/>
                <w:szCs w:val="20"/>
              </w:rPr>
              <w:t xml:space="preserve">LLO-22-007</w:t>
            </w:r>
          </w:p>
        </w:tc>
        <w:tc>
          <w:tcPr>
            <w:tcW w:w="0" w:type="auto"/>
          </w:tcPr>
          <w:p>
            <w:pPr>
              <w:spacing w:line="240" w:lineRule="auto" w:before="0" w:after="0"/>
              <w:pStyle w:val="Compact"/>
            </w:pPr>
            <w:r>
              <w:rPr>
                <w:sz w:val="20"/>
                <w:szCs w:val="20"/>
              </w:rPr>
              <w:t xml:space="preserve">Relativity Space</w:t>
            </w:r>
          </w:p>
        </w:tc>
        <w:tc>
          <w:tcPr>
            <w:tcW w:w="0" w:type="auto"/>
          </w:tcPr>
          <w:p>
            <w:pPr>
              <w:spacing w:line="240" w:lineRule="auto" w:before="0" w:after="0"/>
              <w:pStyle w:val="Compact"/>
            </w:pPr>
            <w:r>
              <w:rPr>
                <w:sz w:val="20"/>
                <w:szCs w:val="20"/>
              </w:rPr>
              <w:t xml:space="preserve">medium-lift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FAA license LLO 22-007 (Terran 1)</w:t>
            </w:r>
          </w:p>
        </w:tc>
      </w:tr>
      <w:tr>
        <w:tc>
          <w:tcPr>
            <w:tcW w:w="0" w:type="auto"/>
          </w:tcPr>
          <w:p>
            <w:pPr>
              <w:spacing w:line="240" w:lineRule="auto" w:before="0" w:after="0"/>
              <w:pStyle w:val="Compact"/>
            </w:pPr>
            <w:r>
              <w:rPr>
                <w:sz w:val="20"/>
                <w:szCs w:val="20"/>
              </w:rPr>
              <w:t xml:space="preserve">LLO-22-009</w:t>
            </w:r>
          </w:p>
        </w:tc>
        <w:tc>
          <w:tcPr>
            <w:tcW w:w="0" w:type="auto"/>
          </w:tcPr>
          <w:p>
            <w:pPr>
              <w:spacing w:line="240" w:lineRule="auto" w:before="0" w:after="0"/>
              <w:pStyle w:val="Compact"/>
            </w:pPr>
            <w:r>
              <w:rPr>
                <w:sz w:val="20"/>
                <w:szCs w:val="20"/>
              </w:rPr>
              <w:t xml:space="preserve">ABL Space Systems</w:t>
            </w:r>
          </w:p>
        </w:tc>
        <w:tc>
          <w:tcPr>
            <w:tcW w:w="0" w:type="auto"/>
          </w:tcPr>
          <w:p>
            <w:pPr>
              <w:spacing w:line="240" w:lineRule="auto" w:before="0" w:after="0"/>
              <w:pStyle w:val="Compact"/>
            </w:pPr>
            <w:r>
              <w:rPr>
                <w:sz w:val="20"/>
                <w:szCs w:val="20"/>
              </w:rPr>
              <w:t xml:space="preserve">small-lift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FAA AST review; ABL RS1 license application</w:t>
            </w:r>
          </w:p>
        </w:tc>
      </w:tr>
      <w:tr>
        <w:tc>
          <w:tcPr>
            <w:tcW w:w="0" w:type="auto"/>
          </w:tcPr>
          <w:p>
            <w:pPr>
              <w:spacing w:line="240" w:lineRule="auto" w:before="0" w:after="0"/>
              <w:pStyle w:val="Compact"/>
            </w:pPr>
            <w:r>
              <w:rPr>
                <w:sz w:val="20"/>
                <w:szCs w:val="20"/>
              </w:rPr>
              <w:t xml:space="preserve">LLO-22-012</w:t>
            </w:r>
          </w:p>
        </w:tc>
        <w:tc>
          <w:tcPr>
            <w:tcW w:w="0" w:type="auto"/>
          </w:tcPr>
          <w:p>
            <w:pPr>
              <w:spacing w:line="240" w:lineRule="auto" w:before="0" w:after="0"/>
              <w:pStyle w:val="Compact"/>
            </w:pPr>
            <w:r>
              <w:rPr>
                <w:sz w:val="20"/>
                <w:szCs w:val="20"/>
              </w:rPr>
              <w:t xml:space="preserve">Firefly Aerospace</w:t>
            </w:r>
          </w:p>
        </w:tc>
        <w:tc>
          <w:tcPr>
            <w:tcW w:w="0" w:type="auto"/>
          </w:tcPr>
          <w:p>
            <w:pPr>
              <w:spacing w:line="240" w:lineRule="auto" w:before="0" w:after="0"/>
              <w:pStyle w:val="Compact"/>
            </w:pPr>
            <w:r>
              <w:rPr>
                <w:sz w:val="20"/>
                <w:szCs w:val="20"/>
              </w:rPr>
              <w:t xml:space="preserve">small-lift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2022 compendium; Firefly Alpha license</w:t>
            </w:r>
          </w:p>
        </w:tc>
      </w:tr>
      <w:tr>
        <w:tc>
          <w:tcPr>
            <w:tcW w:w="0" w:type="auto"/>
          </w:tcPr>
          <w:p>
            <w:pPr>
              <w:spacing w:line="240" w:lineRule="auto" w:before="0" w:after="0"/>
              <w:pStyle w:val="Compact"/>
            </w:pPr>
            <w:r>
              <w:rPr>
                <w:sz w:val="20"/>
                <w:szCs w:val="20"/>
              </w:rPr>
              <w:t xml:space="preserve">LLO-23-002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super-heavy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FAA commercial space transportation; Starship/Super Heavy license</w:t>
            </w:r>
          </w:p>
        </w:tc>
      </w:tr>
      <w:tr>
        <w:tc>
          <w:tcPr>
            <w:tcW w:w="0" w:type="auto"/>
          </w:tcPr>
          <w:p>
            <w:pPr>
              <w:spacing w:line="240" w:lineRule="auto" w:before="0" w:after="0"/>
              <w:pStyle w:val="Compact"/>
            </w:pPr>
            <w:r>
              <w:rPr>
                <w:sz w:val="20"/>
                <w:szCs w:val="20"/>
              </w:rPr>
              <w:t xml:space="preserve">LLO-23-005</w:t>
            </w:r>
          </w:p>
        </w:tc>
        <w:tc>
          <w:tcPr>
            <w:tcW w:w="0" w:type="auto"/>
          </w:tcPr>
          <w:p>
            <w:pPr>
              <w:spacing w:line="240" w:lineRule="auto" w:before="0" w:after="0"/>
              <w:pStyle w:val="Compact"/>
            </w:pPr>
            <w:r>
              <w:rPr>
                <w:sz w:val="20"/>
                <w:szCs w:val="20"/>
              </w:rPr>
              <w:t xml:space="preserve">Rocket Lab</w:t>
            </w:r>
          </w:p>
        </w:tc>
        <w:tc>
          <w:tcPr>
            <w:tcW w:w="0" w:type="auto"/>
          </w:tcPr>
          <w:p>
            <w:pPr>
              <w:spacing w:line="240" w:lineRule="auto" w:before="0" w:after="0"/>
              <w:pStyle w:val="Compact"/>
            </w:pPr>
            <w:r>
              <w:rPr>
                <w:sz w:val="20"/>
                <w:szCs w:val="20"/>
              </w:rPr>
              <w:t xml:space="preserve">medium-lift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Rocket Lab Neutron license application</w:t>
            </w:r>
          </w:p>
        </w:tc>
      </w:tr>
      <w:tr>
        <w:tc>
          <w:tcPr>
            <w:tcW w:w="0" w:type="auto"/>
          </w:tcPr>
          <w:p>
            <w:pPr>
              <w:spacing w:line="240" w:lineRule="auto" w:before="0" w:after="0"/>
              <w:pStyle w:val="Compact"/>
            </w:pPr>
            <w:r>
              <w:rPr>
                <w:sz w:val="20"/>
                <w:szCs w:val="20"/>
              </w:rPr>
              <w:t xml:space="preserve">LLO-23-009</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heavy-lift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Vulcan Centaur license</w:t>
            </w:r>
          </w:p>
        </w:tc>
      </w:tr>
      <w:tr>
        <w:tc>
          <w:tcPr>
            <w:tcW w:w="0" w:type="auto"/>
          </w:tcPr>
          <w:p>
            <w:pPr>
              <w:spacing w:line="240" w:lineRule="auto" w:before="0" w:after="0"/>
              <w:pStyle w:val="Compact"/>
            </w:pPr>
            <w:r>
              <w:rPr>
                <w:sz w:val="20"/>
                <w:szCs w:val="20"/>
              </w:rPr>
              <w:t xml:space="preserve">LLO-23-014</w:t>
            </w:r>
          </w:p>
        </w:tc>
        <w:tc>
          <w:tcPr>
            <w:tcW w:w="0" w:type="auto"/>
          </w:tcPr>
          <w:p>
            <w:pPr>
              <w:spacing w:line="240" w:lineRule="auto" w:before="0" w:after="0"/>
              <w:pStyle w:val="Compact"/>
            </w:pPr>
            <w:r>
              <w:rPr>
                <w:sz w:val="20"/>
                <w:szCs w:val="20"/>
              </w:rPr>
              <w:t xml:space="preserve">Stoke Space</w:t>
            </w:r>
          </w:p>
        </w:tc>
        <w:tc>
          <w:tcPr>
            <w:tcW w:w="0" w:type="auto"/>
          </w:tcPr>
          <w:p>
            <w:pPr>
              <w:spacing w:line="240" w:lineRule="auto" w:before="0" w:after="0"/>
              <w:pStyle w:val="Compact"/>
            </w:pPr>
            <w:r>
              <w:rPr>
                <w:sz w:val="20"/>
                <w:szCs w:val="20"/>
              </w:rPr>
              <w:t xml:space="preserve">small-lift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FAA backlog discussion; Stoke Nova license [illustrative]</w:t>
            </w:r>
          </w:p>
        </w:tc>
      </w:tr>
      <w:tr>
        <w:tc>
          <w:tcPr>
            <w:tcW w:w="0" w:type="auto"/>
          </w:tcPr>
          <w:p>
            <w:pPr>
              <w:spacing w:line="240" w:lineRule="auto" w:before="0" w:after="0"/>
              <w:pStyle w:val="Compact"/>
            </w:pPr>
            <w:r>
              <w:rPr>
                <w:sz w:val="20"/>
                <w:szCs w:val="20"/>
              </w:rPr>
              <w:t xml:space="preserve">LLO-24-001</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super-heavy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FAA streamlining update; Starship license modification 2024</w:t>
            </w:r>
          </w:p>
        </w:tc>
      </w:tr>
      <w:tr>
        <w:tc>
          <w:tcPr>
            <w:tcW w:w="0" w:type="auto"/>
          </w:tcPr>
          <w:p>
            <w:pPr>
              <w:spacing w:line="240" w:lineRule="auto" w:before="0" w:after="0"/>
              <w:pStyle w:val="Compact"/>
            </w:pPr>
            <w:r>
              <w:rPr>
                <w:sz w:val="20"/>
                <w:szCs w:val="20"/>
              </w:rPr>
              <w:t xml:space="preserve">LLO-24-004</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heavy-lift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New Glenn license</w:t>
            </w:r>
          </w:p>
        </w:tc>
      </w:tr>
      <w:tr>
        <w:tc>
          <w:tcPr>
            <w:tcW w:w="0" w:type="auto"/>
          </w:tcPr>
          <w:p>
            <w:pPr>
              <w:spacing w:line="240" w:lineRule="auto" w:before="0" w:after="0"/>
              <w:pStyle w:val="Compact"/>
            </w:pPr>
            <w:r>
              <w:rPr>
                <w:sz w:val="20"/>
                <w:szCs w:val="20"/>
              </w:rPr>
              <w:t xml:space="preserve">LLO-24-007</w:t>
            </w:r>
          </w:p>
        </w:tc>
        <w:tc>
          <w:tcPr>
            <w:tcW w:w="0" w:type="auto"/>
          </w:tcPr>
          <w:p>
            <w:pPr>
              <w:spacing w:line="240" w:lineRule="auto" w:before="0" w:after="0"/>
              <w:pStyle w:val="Compact"/>
            </w:pPr>
            <w:r>
              <w:rPr>
                <w:sz w:val="20"/>
                <w:szCs w:val="20"/>
              </w:rPr>
              <w:t xml:space="preserve">Firefly Aerospace</w:t>
            </w:r>
          </w:p>
        </w:tc>
        <w:tc>
          <w:tcPr>
            <w:tcW w:w="0" w:type="auto"/>
          </w:tcPr>
          <w:p>
            <w:pPr>
              <w:spacing w:line="240" w:lineRule="auto" w:before="0" w:after="0"/>
              <w:pStyle w:val="Compact"/>
            </w:pPr>
            <w:r>
              <w:rPr>
                <w:sz w:val="20"/>
                <w:szCs w:val="20"/>
              </w:rPr>
              <w:t xml:space="preserve">small-lift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Firefly Alpha follow-on license</w:t>
            </w:r>
          </w:p>
        </w:tc>
      </w:tr>
      <w:tr>
        <w:tc>
          <w:tcPr>
            <w:tcW w:w="0" w:type="auto"/>
          </w:tcPr>
          <w:p>
            <w:pPr>
              <w:spacing w:line="240" w:lineRule="auto" w:before="0" w:after="0"/>
              <w:pStyle w:val="Compact"/>
            </w:pPr>
            <w:r>
              <w:rPr>
                <w:sz w:val="20"/>
                <w:szCs w:val="20"/>
              </w:rPr>
              <w:t xml:space="preserve">LLO-24-010</w:t>
            </w:r>
          </w:p>
        </w:tc>
        <w:tc>
          <w:tcPr>
            <w:tcW w:w="0" w:type="auto"/>
          </w:tcPr>
          <w:p>
            <w:pPr>
              <w:spacing w:line="240" w:lineRule="auto" w:before="0" w:after="0"/>
              <w:pStyle w:val="Compact"/>
            </w:pPr>
            <w:r>
              <w:rPr>
                <w:sz w:val="20"/>
                <w:szCs w:val="20"/>
              </w:rPr>
              <w:t xml:space="preserve">ABL Space Systems</w:t>
            </w:r>
          </w:p>
        </w:tc>
        <w:tc>
          <w:tcPr>
            <w:tcW w:w="0" w:type="auto"/>
          </w:tcPr>
          <w:p>
            <w:pPr>
              <w:spacing w:line="240" w:lineRule="auto" w:before="0" w:after="0"/>
              <w:pStyle w:val="Compact"/>
            </w:pPr>
            <w:r>
              <w:rPr>
                <w:sz w:val="20"/>
                <w:szCs w:val="20"/>
              </w:rPr>
              <w:t xml:space="preserve">small-lift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FAA AST; ABL RS1 modification, pending at report cutoff</w:t>
            </w:r>
          </w:p>
        </w:tc>
      </w:tr>
      <w:tr>
        <w:tc>
          <w:tcPr>
            <w:tcW w:w="0" w:type="auto"/>
          </w:tcPr>
          <w:p>
            <w:pPr>
              <w:spacing w:line="240" w:lineRule="auto" w:before="0" w:after="0"/>
              <w:pStyle w:val="Compact"/>
            </w:pPr>
            <w:r>
              <w:rPr>
                <w:sz w:val="20"/>
                <w:szCs w:val="20"/>
              </w:rPr>
              <w:t xml:space="preserve">LLO-24-013</w:t>
            </w:r>
          </w:p>
        </w:tc>
        <w:tc>
          <w:tcPr>
            <w:tcW w:w="0" w:type="auto"/>
          </w:tcPr>
          <w:p>
            <w:pPr>
              <w:spacing w:line="240" w:lineRule="auto" w:before="0" w:after="0"/>
              <w:pStyle w:val="Compact"/>
            </w:pPr>
            <w:r>
              <w:rPr>
                <w:sz w:val="20"/>
                <w:szCs w:val="20"/>
              </w:rPr>
              <w:t xml:space="preserve">Astra</w:t>
            </w:r>
          </w:p>
        </w:tc>
        <w:tc>
          <w:tcPr>
            <w:tcW w:w="0" w:type="auto"/>
          </w:tcPr>
          <w:p>
            <w:pPr>
              <w:spacing w:line="240" w:lineRule="auto" w:before="0" w:after="0"/>
              <w:pStyle w:val="Compact"/>
            </w:pPr>
            <w:r>
              <w:rPr>
                <w:sz w:val="20"/>
                <w:szCs w:val="20"/>
              </w:rPr>
              <w:t xml:space="preserve">small-lift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Astra Rocket 4 application pending [illustrative]</w:t>
            </w:r>
          </w:p>
        </w:tc>
      </w:tr>
      <w:tr>
        <w:tc>
          <w:tcPr>
            <w:tcW w:w="0" w:type="auto"/>
          </w:tcPr>
          <w:p>
            <w:pPr>
              <w:spacing w:line="240" w:lineRule="auto" w:before="0" w:after="0"/>
              <w:pStyle w:val="Compact"/>
            </w:pPr>
            <w:r>
              <w:rPr>
                <w:sz w:val="20"/>
                <w:szCs w:val="20"/>
              </w:rPr>
              <w:t xml:space="preserve">LLO-25-002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medium-lift</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2025 Q1 quarterly report; streamlined modification under Part 450</w:t>
            </w:r>
          </w:p>
        </w:tc>
      </w:tr>
      <w:tr>
        <w:tc>
          <w:tcPr>
            <w:tcW w:w="0" w:type="auto"/>
          </w:tcPr>
          <w:p>
            <w:pPr>
              <w:spacing w:line="240" w:lineRule="auto" w:before="0" w:after="0"/>
              <w:pStyle w:val="Compact"/>
            </w:pPr>
            <w:r>
              <w:rPr>
                <w:sz w:val="20"/>
                <w:szCs w:val="20"/>
              </w:rPr>
              <w:t xml:space="preserve">LLO-25-005</w:t>
            </w:r>
          </w:p>
        </w:tc>
        <w:tc>
          <w:tcPr>
            <w:tcW w:w="0" w:type="auto"/>
          </w:tcPr>
          <w:p>
            <w:pPr>
              <w:spacing w:line="240" w:lineRule="auto" w:before="0" w:after="0"/>
              <w:pStyle w:val="Compact"/>
            </w:pPr>
            <w:r>
              <w:rPr>
                <w:sz w:val="20"/>
                <w:szCs w:val="20"/>
              </w:rPr>
              <w:t xml:space="preserve">Rocket Lab</w:t>
            </w:r>
          </w:p>
        </w:tc>
        <w:tc>
          <w:tcPr>
            <w:tcW w:w="0" w:type="auto"/>
          </w:tcPr>
          <w:p>
            <w:pPr>
              <w:spacing w:line="240" w:lineRule="auto" w:before="0" w:after="0"/>
              <w:pStyle w:val="Compact"/>
            </w:pPr>
            <w:r>
              <w:rPr>
                <w:sz w:val="20"/>
                <w:szCs w:val="20"/>
              </w:rPr>
              <w:t xml:space="preserve">small-lift</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2025 Q1; Electron license modification</w:t>
            </w:r>
          </w:p>
        </w:tc>
      </w:tr>
      <w:tr>
        <w:tc>
          <w:tcPr>
            <w:tcW w:w="0" w:type="auto"/>
          </w:tcPr>
          <w:p>
            <w:pPr>
              <w:spacing w:line="240" w:lineRule="auto" w:before="0" w:after="0"/>
              <w:pStyle w:val="Compact"/>
            </w:pPr>
            <w:r>
              <w:rPr>
                <w:sz w:val="20"/>
                <w:szCs w:val="20"/>
              </w:rPr>
              <w:t xml:space="preserve">LLO-25-008</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sub-orbital</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2025 Q1 quarterly report; New Shepard reusable license renewal</w:t>
            </w:r>
          </w:p>
        </w:tc>
      </w:tr>
    </w:tbl>
    <w:bookmarkEnd w:id="205"/>
    <w:bookmarkStart w:id="20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Elapsed calendar days from FAA AST receipt of a complete launch or reentry license application to license issuance (or right-censoring at report cutoff)</w:t>
            </w:r>
          </w:p>
        </w:tc>
        <w:tc>
          <w:tcPr>
            <w:tcW w:w="0" w:type="auto"/>
          </w:tcPr>
          <w:p>
            <w:pPr>
              <w:spacing w:line="240" w:lineRule="auto" w:before="0" w:after="0"/>
              <w:pStyle w:val="Compact"/>
            </w:pPr>
            <w:r>
              <w:rPr>
                <w:sz w:val="20"/>
                <w:szCs w:val="20"/>
              </w:rPr>
              <w:t xml:space="preserve">FAA AST quarterly launch reports; GAO-23-106021, GAO-24-106767, GAO-25-107591</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Binary indicator equal to 1 if the license was issued before the data cutoff, 0 if the application was still pending (right-censored)</w:t>
            </w:r>
          </w:p>
        </w:tc>
        <w:tc>
          <w:tcPr>
            <w:tcW w:w="0" w:type="auto"/>
          </w:tcPr>
          <w:p>
            <w:pPr>
              <w:spacing w:line="240" w:lineRule="auto" w:before="0" w:after="0"/>
              <w:pStyle w:val="Compact"/>
            </w:pPr>
            <w:r>
              <w:rPr>
                <w:sz w:val="20"/>
                <w:szCs w:val="20"/>
              </w:rPr>
              <w:t xml:space="preserve">FAA AST application docket status; GAO oversight reports</w:t>
            </w:r>
          </w:p>
        </w:tc>
      </w:tr>
      <w:tr>
        <w:tc>
          <w:tcPr>
            <w:tcW w:w="0" w:type="auto"/>
          </w:tcPr>
          <w:p>
            <w:pPr>
              <w:spacing w:line="240" w:lineRule="auto" w:before="0" w:after="0"/>
              <w:pStyle w:val="Compact"/>
            </w:pPr>
            <w:r>
              <w:rPr>
                <w:sz w:val="20"/>
                <w:szCs w:val="20"/>
              </w:rPr>
              <w:t xml:space="preserve">post_part450</w:t>
            </w:r>
          </w:p>
        </w:tc>
        <w:tc>
          <w:tcPr>
            <w:tcW w:w="0" w:type="auto"/>
          </w:tcPr>
          <w:p>
            <w:pPr>
              <w:spacing w:line="240" w:lineRule="auto" w:before="0" w:after="0"/>
              <w:pStyle w:val="Compact"/>
            </w:pPr>
            <w:r>
              <w:rPr>
                <w:sz w:val="20"/>
                <w:szCs w:val="20"/>
              </w:rPr>
              <w:t xml:space="preserve">Binary indicator equal to 1 if the application was filed under 14 CFR Part 450 (the consolidated launch-and-reentry rule, effective March 10, 2021), 0 if filed under legacy 14 CFR Parts 415, 417, 431, or 435</w:t>
            </w:r>
          </w:p>
        </w:tc>
        <w:tc>
          <w:tcPr>
            <w:tcW w:w="0" w:type="auto"/>
          </w:tcPr>
          <w:p>
            <w:pPr>
              <w:spacing w:line="240" w:lineRule="auto" w:before="0" w:after="0"/>
              <w:pStyle w:val="Compact"/>
            </w:pPr>
            <w:r>
              <w:rPr>
                <w:sz w:val="20"/>
                <w:szCs w:val="20"/>
              </w:rPr>
              <w:t xml:space="preserve">Federal Register 85 FR 79566 (Dec 10 2020); FAA AST guidance</w:t>
            </w:r>
          </w:p>
        </w:tc>
      </w:tr>
      <w:tr>
        <w:tc>
          <w:tcPr>
            <w:tcW w:w="0" w:type="auto"/>
          </w:tcPr>
          <w:p>
            <w:pPr>
              <w:spacing w:line="240" w:lineRule="auto" w:before="0" w:after="0"/>
              <w:pStyle w:val="Compact"/>
            </w:pPr>
            <w:r>
              <w:rPr>
                <w:sz w:val="20"/>
                <w:szCs w:val="20"/>
              </w:rPr>
              <w:t xml:space="preserve">small_provider</w:t>
            </w:r>
          </w:p>
        </w:tc>
        <w:tc>
          <w:tcPr>
            <w:tcW w:w="0" w:type="auto"/>
          </w:tcPr>
          <w:p>
            <w:pPr>
              <w:spacing w:line="240" w:lineRule="auto" w:before="0" w:after="0"/>
              <w:pStyle w:val="Compact"/>
            </w:pPr>
            <w:r>
              <w:rPr>
                <w:sz w:val="20"/>
                <w:szCs w:val="20"/>
              </w:rPr>
              <w:t xml:space="preserve">Binary indicator equal to 1 if the operator is a small-lift or emerging-entrant provider (defined as payload capacity to LEO under 2,000 kg or fewer than five orbital launches at time of application), 0 otherwise</w:t>
            </w:r>
          </w:p>
        </w:tc>
        <w:tc>
          <w:tcPr>
            <w:tcW w:w="0" w:type="auto"/>
          </w:tcPr>
          <w:p>
            <w:pPr>
              <w:spacing w:line="240" w:lineRule="auto" w:before="0" w:after="0"/>
              <w:pStyle w:val="Compact"/>
            </w:pPr>
            <w:r>
              <w:rPr>
                <w:sz w:val="20"/>
                <w:szCs w:val="20"/>
              </w:rPr>
              <w:t xml:space="preserve">FAA AST operator classifications; AMOS 2023 Reilly et al. on small-launch oversight</w:t>
            </w:r>
          </w:p>
        </w:tc>
      </w:tr>
      <w:tr>
        <w:tc>
          <w:tcPr>
            <w:tcW w:w="0" w:type="auto"/>
          </w:tcPr>
          <w:p>
            <w:pPr>
              <w:spacing w:line="240" w:lineRule="auto" w:before="0" w:after="0"/>
              <w:pStyle w:val="Compact"/>
            </w:pPr>
            <w:r>
              <w:rPr>
                <w:sz w:val="20"/>
                <w:szCs w:val="20"/>
              </w:rPr>
              <w:t xml:space="preserve">reusable</w:t>
            </w:r>
          </w:p>
        </w:tc>
        <w:tc>
          <w:tcPr>
            <w:tcW w:w="0" w:type="auto"/>
          </w:tcPr>
          <w:p>
            <w:pPr>
              <w:spacing w:line="240" w:lineRule="auto" w:before="0" w:after="0"/>
              <w:pStyle w:val="Compact"/>
            </w:pPr>
            <w:r>
              <w:rPr>
                <w:sz w:val="20"/>
                <w:szCs w:val="20"/>
              </w:rPr>
              <w:t xml:space="preserve">Binary indicator equal to 1 if the vehicle architecture includes a reusable first stage or fully reusable element, 0 if expendable</w:t>
            </w:r>
          </w:p>
        </w:tc>
        <w:tc>
          <w:tcPr>
            <w:tcW w:w="0" w:type="auto"/>
          </w:tcPr>
          <w:p>
            <w:pPr>
              <w:spacing w:line="240" w:lineRule="auto" w:before="0" w:after="0"/>
              <w:pStyle w:val="Compact"/>
            </w:pPr>
            <w:r>
              <w:rPr>
                <w:sz w:val="20"/>
                <w:szCs w:val="20"/>
              </w:rPr>
              <w:t xml:space="preserve">FAA AST vehicle data; manufacturer press kits</w:t>
            </w:r>
          </w:p>
        </w:tc>
      </w:tr>
    </w:tbl>
    <w:bookmarkEnd w:id="206"/>
    <w:bookmarkEnd w:id="207"/>
    <w:bookmarkEnd w:id="20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3" Type="http://schemas.openxmlformats.org/officeDocument/2006/relationships/image" Target="media/rId193.png"/><Relationship Id="rId201" Type="http://schemas.openxmlformats.org/officeDocument/2006/relationships/image" Target="media/rId201.png"/><Relationship Id="rId189" Type="http://schemas.openxmlformats.org/officeDocument/2006/relationships/hyperlink" Target="https://doi.org/10.1016/j.actaastro.2016.07.019" TargetMode="External"/><Relationship Id="rId162" Type="http://schemas.openxmlformats.org/officeDocument/2006/relationships/hyperlink" Target="https://doi.org/10.1016/j.actaastro.2018.08.014" TargetMode="External"/><Relationship Id="rId185" Type="http://schemas.openxmlformats.org/officeDocument/2006/relationships/hyperlink" Target="https://doi.org/10.1016/j.actaastro.2023.09.005" TargetMode="External"/><Relationship Id="rId183" Type="http://schemas.openxmlformats.org/officeDocument/2006/relationships/hyperlink" Target="https://doi.org/10.1016/j.actaastro.2024.09.011" TargetMode="External"/><Relationship Id="rId187" Type="http://schemas.openxmlformats.org/officeDocument/2006/relationships/hyperlink" Target="https://doi.org/10.1016/j.actaastro.2024.09.023" TargetMode="External"/><Relationship Id="rId159" Type="http://schemas.openxmlformats.org/officeDocument/2006/relationships/hyperlink" Target="https://doi.org/10.1016/j.actaastro.2025.05.018" TargetMode="External"/><Relationship Id="rId179" Type="http://schemas.openxmlformats.org/officeDocument/2006/relationships/hyperlink" Target="https://doi.org/10.1016/j.actaastro.2025.06.056" TargetMode="External"/><Relationship Id="rId177" Type="http://schemas.openxmlformats.org/officeDocument/2006/relationships/hyperlink" Target="https://doi.org/10.1016/j.actaastro.2026.03.057" TargetMode="External"/><Relationship Id="rId181" Type="http://schemas.openxmlformats.org/officeDocument/2006/relationships/hyperlink" Target="https://doi.org/10.1016/j.actaastro.2026.04.046" TargetMode="External"/><Relationship Id="rId157" Type="http://schemas.openxmlformats.org/officeDocument/2006/relationships/hyperlink" Target="https://doi.org/10.64861/UCTN1793" TargetMode="External"/></Relationships>
</file>

<file path=word/_rels/footnotes.xml.rels><?xml version='1.0' encoding='UTF-8' standalone='yes'?>
<Relationships xmlns="http://schemas.openxmlformats.org/package/2006/relationships"><Relationship Id="rId189" Type="http://schemas.openxmlformats.org/officeDocument/2006/relationships/hyperlink" Target="https://doi.org/10.1016/j.actaastro.2016.07.019" TargetMode="External"/><Relationship Id="rId162" Type="http://schemas.openxmlformats.org/officeDocument/2006/relationships/hyperlink" Target="https://doi.org/10.1016/j.actaastro.2018.08.014" TargetMode="External"/><Relationship Id="rId185" Type="http://schemas.openxmlformats.org/officeDocument/2006/relationships/hyperlink" Target="https://doi.org/10.1016/j.actaastro.2023.09.005" TargetMode="External"/><Relationship Id="rId183" Type="http://schemas.openxmlformats.org/officeDocument/2006/relationships/hyperlink" Target="https://doi.org/10.1016/j.actaastro.2024.09.011" TargetMode="External"/><Relationship Id="rId187" Type="http://schemas.openxmlformats.org/officeDocument/2006/relationships/hyperlink" Target="https://doi.org/10.1016/j.actaastro.2024.09.023" TargetMode="External"/><Relationship Id="rId159" Type="http://schemas.openxmlformats.org/officeDocument/2006/relationships/hyperlink" Target="https://doi.org/10.1016/j.actaastro.2025.05.018" TargetMode="External"/><Relationship Id="rId179" Type="http://schemas.openxmlformats.org/officeDocument/2006/relationships/hyperlink" Target="https://doi.org/10.1016/j.actaastro.2025.06.056" TargetMode="External"/><Relationship Id="rId177" Type="http://schemas.openxmlformats.org/officeDocument/2006/relationships/hyperlink" Target="https://doi.org/10.1016/j.actaastro.2026.03.057" TargetMode="External"/><Relationship Id="rId181" Type="http://schemas.openxmlformats.org/officeDocument/2006/relationships/hyperlink" Target="https://doi.org/10.1016/j.actaastro.2026.04.046" TargetMode="External"/><Relationship Id="rId157" Type="http://schemas.openxmlformats.org/officeDocument/2006/relationships/hyperlink" Target="https://doi.org/10.64861/UCTN17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Part 450 Transition Discontinuity: Did Consolidated Launch Licensing Change Commercial Launch Cadence, Time to Authorization, and Authorization Reliability?</dc:title>
  <dc:creator>Dario Nakamura (1B-INF-100)</dc:creator>
  <cp:keywords/>
  <dcterms:created xsi:type="dcterms:W3CDTF">2026-07-02T17:18:50Z</dcterms:created>
  <dcterms:modified xsi:type="dcterms:W3CDTF">2026-07-02T17:18:50Z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