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f78105abcc43376d4e35c7321e5effa95e17788"/>
    <w:p>
      <w:pPr>
        <w:pStyle w:val="Heading1"/>
      </w:pPr>
      <w:r>
        <w:t xml:space="preserve">Does Fixed-Price Commercial Delivery Lower Lunar Lander Unit Cost? An OLS Test of the CLPS Treatment Effect Net of Payload Mass</w:t>
      </w:r>
    </w:p>
    <w:bookmarkStart w:id="61" w:name="introduction"/>
    <w:p>
      <w:pPr>
        <w:pStyle w:val="Heading2"/>
      </w:pPr>
      <w:r>
        <w:t xml:space="preserve">1. Introduction</w:t>
      </w:r>
    </w:p>
    <w:p>
      <w:pPr>
        <w:pStyle w:val="FirstParagraph"/>
      </w:pPr>
      <w:r>
        <w:t xml:space="preserve">The Commercial Lunar Payload Services initiative was structured by the National Aeronautics and Space Administration as a deliberate procurement substitution: a fixed-price indefinite-delivery, indefinite-quantity instrument was placed in front of the heritage cost-plus pattern that had defined Surveyor, the Apollo Lunar Surface Experiments Package, and the cost-reimbursable components of the more recent Resource Prospector and Volatiles Investigating Polar Exploration Rover lineage. The policy expectation that motivated the substitution was that the fixed-price commercial-services model would lower the per-mission delivery cost of a kilogram of payload to the lunar surface, reproducing in the cislunar surface delivery market the pattern that the space-economics literature has documented for the Commercial Orbital Transportation Services to Commercial Resupply Services transition in low Earth orbit</w:t>
      </w:r>
      <w:r>
        <w:t xml:space="preserve"> </w:t>
      </w:r>
      <w:hyperlink w:anchor="ref-1">
        <m:oMathPara>
          <m:oMathParaPr>
            <m:jc m:val="center"/>
          </m:oMathParaPr>
          <m:oMath>
            <m:r>
              <m:t>1</m:t>
            </m:r>
          </m:oMath>
        </m:oMathPara>
      </w:hyperlink>
      <w:r>
        <w:t xml:space="preserve">. The empirical question that this paper takes up is whether the cost record assembled to date is consistent with that expectation.</w:t>
      </w:r>
    </w:p>
    <w:p>
      <w:pPr>
        <w:pStyle w:val="FirstParagraph"/>
      </w:pPr>
      <w:r>
        <w:t xml:space="preserve">The question is policy-relevant because the lunar surface delivery decision is a decadal-horizon procurement architecture choice whose unit-cost implications cascade into instrument selection, science return per appropriated dollar, and the credibility of the broader commercial-services procurement model as it is extended to Mars sample handling and to surface nuclear power. The question is also empirically tractable for the first time because the United States Government Accountability Office has published task-order schedules and award values for the active Commercial Lunar Payload Services manifest in its annual Major Project Assessment, most recently in the 2025 edition, which permits a direct comparison of awarded fixed-price values against inflation-adjusted heritage cost-plus expenditures</w:t>
      </w:r>
      <w:r>
        <w:t xml:space="preserve"> </w:t>
      </w:r>
      <w:hyperlink w:anchor="ref-4">
        <m:oMathPara>
          <m:oMathParaPr>
            <m:jc m:val="center"/>
          </m:oMathParaPr>
          <m:oMath>
            <m:r>
              <m:t>4</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case for a negative procurement-regime effect on per-mission delivery cost has been articulated most explicitly in the space-economics literature by Weinzierl</w:t>
      </w:r>
      <w:r>
        <w:t xml:space="preserve"> </w:t>
      </w:r>
      <w:hyperlink w:anchor="ref-1">
        <m:oMathPara>
          <m:oMathParaPr>
            <m:jc m:val="center"/>
          </m:oMathParaPr>
          <m:oMath>
            <m:r>
              <m:t>1</m:t>
            </m:r>
          </m:oMath>
        </m:oMathPara>
      </w:hyperlink>
      <w:r>
        <w:t xml:space="preserve">, who argued that fixed-price commercial-services contracting transfers cost-overrun risk from the public sponsor to the private vendor and thereby disciplines the vendor toward design choices and supply-chain decisions that the cost-plus arrangement does not reward. The technical lunar-surface literature has documented the Commercial Lunar Payload Services manifest, contractor roster, and payload classes, and has treated the contracting model as an exogenous policy fact rather than as a treatment whose effect on per-mission cost is itself an estimand</w:t>
      </w:r>
      <w:r>
        <w:t xml:space="preserve"> </w:t>
      </w:r>
      <w:hyperlink w:anchor="ref-2">
        <m:oMathPara>
          <m:oMathParaPr>
            <m:jc m:val="center"/>
          </m:oMathParaPr>
          <m:oMath>
            <m:r>
              <m:t>2</m:t>
            </m:r>
          </m:oMath>
        </m:oMathPara>
      </w:hyperlink>
      <w:r>
        <w:t xml:space="preserve">[3].</w:t>
      </w:r>
    </w:p>
    <w:p>
      <w:pPr>
        <w:pStyle w:val="FirstParagraph"/>
      </w:pPr>
      <w:r>
        <w:t xml:space="preserve">The hypothesis that follows from the theoretical case is that, after conditioning on the natural log of the payload mass delivered to the lunar surface, the binary indicator for the fixed-price commercial regime carries a negative coefficient that is statistically distinguishable from zero at conventional significance levels. The null hypothesis is that, after that conditioning, the regime indicator is statistically indistinguishable from zero. The hypothesis is falsifiable in the strict sense that the regression will return a point estimate with a standard error and a p-value that will either reject the null or fail to reject it, and the sign of the point estimate will either confirm or contradict the policy claim that motivated the Commercial Lunar Payload Services substitution</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dataset assembled for this paper covers twenty-six lunar lander missions flown or under firm award between 1966 and 2028. Heritage cost-plus missions are drawn from the National Aeronautics and Space Administration Space Science Data Coordinated Archive fact sheets for Surveyor 1, 3, 5, 6, and 7, with cost values cross-referenced against the inflation-adjusted Deep Space Chronicle prepared by Siddiqi as NASA SP-2002-4524</w:t>
      </w:r>
      <w:r>
        <w:t xml:space="preserve"> </w:t>
      </w:r>
      <w:hyperlink w:anchor="ref-6">
        <m:oMathPara>
          <m:oMathParaPr>
            <m:jc m:val="center"/>
          </m:oMathParaPr>
          <m:oMath>
            <m:r>
              <m:t>6</m:t>
            </m:r>
          </m:oMath>
        </m:oMathPara>
      </w:hyperlink>
      <w:r>
        <w:t xml:space="preserve">. The Soviet Luna 16, 17, 20, and 24 cost figures are taken from the same Deep Space Chronicle and are flagged as illustrative in the source column because the original ruble disclosures are not directly comparable to United States dollar awards even after exchange and inflation adjustment. The People Republic of China Chang lunar lander missions are taken from the China National Space Administration press materials and the National Aeronautics and Space Administration Space Science Data Coordinated Archive. The Chandrayaan figures are taken from the Indian Space Research Organisation public information releases, including the 23 August 2023 Chandrayaan-3 budget disclosure of approximately 615 crore rupees converted to United States dollars and inflation-adjusted. The Japan Aerospace Exploration Agency Smart Lander for Investigating Moon figure is taken from the January 2024 press kit. Fixed-price Commercial Lunar Payload Services missions are taken from the schedule reproduced in the United States Government Accountability Office report GAO-25-107591, the most recent annual Major Project Assessment of National Aeronautics and Space Administration major projects</w:t>
      </w:r>
      <w:r>
        <w:t xml:space="preserve"> </w:t>
      </w:r>
      <w:hyperlink w:anchor="ref-4">
        <m:oMathPara>
          <m:oMathParaPr>
            <m:jc m:val="center"/>
          </m:oMathParaPr>
          <m:oMath>
            <m:r>
              <m:t>4</m:t>
            </m:r>
          </m:oMath>
        </m:oMathPara>
      </w:hyperlink>
      <w:r>
        <w:t xml:space="preserve">, supplemented by Office of Inspector General report IG-23-005 for the Griffin task order including the Volatiles Investigating Polar Exploration Rover</w:t>
      </w:r>
      <w:r>
        <w:t xml:space="preserve"> </w:t>
      </w:r>
      <w:hyperlink w:anchor="ref-5">
        <m:oMathPara>
          <m:oMathParaPr>
            <m:jc m:val="center"/>
          </m:oMathParaPr>
          <m:oMath>
            <m:r>
              <m:t>5</m:t>
            </m:r>
          </m:oMath>
        </m:oMathPara>
      </w:hyperlink>
      <w:r>
        <w:t xml:space="preserve">. Four observations are marked as illustrative because either the underlying disclosure is not in directly convertible form or the award has not yet been independently confirmed in the Major Project Assessment; the marked share is below fifteen percent of the panel.</w:t>
      </w:r>
    </w:p>
    <w:p>
      <w:pPr>
        <w:pStyle w:val="FirstParagraph"/>
      </w:pPr>
      <w:r>
        <w:t xml:space="preserve">The dependent variable is the natural log of the per-mission delivery cost in fiscal year 2024 United States dollars in millions. The continuous regressor is the natural log of the payload mass delivered to the lunar surface in kilograms. The binary regressor is the regime indicator, coded one for fixed-price Commercial Lunar Payload Services and analogous commercial fixed-price delivery and zero for heritage cost-plus or government-program delivery. The full source string for each observation is reproduced in the source column of the data file accompanying this paper.</w:t>
      </w:r>
    </w:p>
    <w:bookmarkEnd w:id="63"/>
    <w:bookmarkStart w:id="64" w:name="method"/>
    <w:p>
      <w:pPr>
        <w:pStyle w:val="Heading2"/>
      </w:pPr>
      <w:r>
        <w:t xml:space="preserve">4. Method</w:t>
      </w:r>
    </w:p>
    <w:p>
      <w:pPr>
        <w:pStyle w:val="FirstParagraph"/>
      </w:pPr>
      <w:r>
        <w:t xml:space="preserve">The estimator is ordinary least squares on the log-linear specification in which the natural log of per-mission cost is regressed on the natural log of payload mass and on the regime indicator, with a constant. The specification is the simplest one that permits the regime indicator to be interpreted as a per-mission cost shift conditional on payload mass, and it is consistent with the log-linear cost-estimating relationships used elsewhere in the space cost-estimating literature</w:t>
      </w:r>
      <w:r>
        <w:t xml:space="preserve"> </w:t>
      </w:r>
      <w:hyperlink w:anchor="ref-1">
        <m:oMathPara>
          <m:oMathParaPr>
            <m:jc m:val="center"/>
          </m:oMathParaPr>
          <m:oMath>
            <m:r>
              <m:t>1</m:t>
            </m:r>
          </m:oMath>
        </m:oMathPara>
      </w:hyperlink>
      <w:r>
        <w:t xml:space="preserve">[3]. The identifying assumption is that, conditional on payload mass, the assignment of a given mission to a regime is plausibly exogenous to the residual cost determinants because the regime assignment was made by a policy decision external to any individual task order. Standard errors are reported from the analytic ordinary least squares covariance, and the joint F-test on the slope coefficients is reported alongside the coefficient table.</w:t>
      </w:r>
    </w:p>
    <w:bookmarkEnd w:id="64"/>
    <w:bookmarkStart w:id="65" w:name="findings"/>
    <w:p>
      <w:pPr>
        <w:pStyle w:val="Heading2"/>
      </w:pPr>
      <w:r>
        <w:t xml:space="preserve">5. Findings</w:t>
      </w:r>
    </w:p>
    <w:p>
      <w:pPr>
        <w:pStyle w:val="FirstParagraph"/>
      </w:pPr>
      <w:r>
        <w:t xml:space="preserve">The fitted regression on the twenty-six lunar lander missions returns an adjusted coefficient of determination of approximately 0.478, with an F-statistic of approximately 15.1 on the joint null and an associated p-value below 0.0001, which permits rejection of the joint null at conventional levels. The intercept is estimated at approximately 7.033 in natural log millions of fiscal year 2024 United States dollars, which corresponds to roughly 1,134 million United States dollars on the cost scale when the regressors are at zero, and is statistically distinguishable from zero at any conventional level.</w:t>
      </w:r>
    </w:p>
    <w:p>
      <w:pPr>
        <w:pStyle w:val="BodyText"/>
      </w:pPr>
      <w:r>
        <w:t xml:space="preserve">The coefficient on the natural log of payload mass is estimated at approximately negative 0.141 with an associated p-value of approximately 0.514, which fails to reject the null that payload mass carries no measurable per-mission cost elasticity in the conditioned specification. The coefficient on the regime indicator is estimated at approximately negative 1.531 with an associated p-value of approximately 0.0023, which rejects the null and supports the directional hypothesis that fixed-price commercial-services delivery is associated with a lower per-mission cost. The point estimate on the regime indicator, when exponentiated, implies that the fixed-price commercial regime is associated with a per-mission delivery cost roughly seventy-eight percent below the heritage cost-plus counterfactual at the conditioned mass, a magnitude that is large enough to warrant the robustness questions taken up in the discussion.</w:t>
      </w:r>
    </w:p>
    <w:bookmarkEnd w:id="65"/>
    <w:bookmarkStart w:id="66" w:name="discussion"/>
    <w:p>
      <w:pPr>
        <w:pStyle w:val="Heading2"/>
      </w:pPr>
      <w:r>
        <w:t xml:space="preserve">6. Discussion</w:t>
      </w:r>
    </w:p>
    <w:p>
      <w:pPr>
        <w:pStyle w:val="FirstParagraph"/>
      </w:pPr>
      <w:r>
        <w:t xml:space="preserve">The finding that the regime indicator carries a statistically distinguishable negative coefficient is consistent with the policy claim that motivated the Commercial Lunar Payload Services substitution, and it is consistent in sign and rough order of magnitude with the documented Commercial Orbital Transportation Services to Commercial Resupply Services experience in low Earth orbit</w:t>
      </w:r>
      <w:r>
        <w:t xml:space="preserve"> </w:t>
      </w:r>
      <w:hyperlink w:anchor="ref-1">
        <m:oMathPara>
          <m:oMathParaPr>
            <m:jc m:val="center"/>
          </m:oMathParaPr>
          <m:oMath>
            <m:r>
              <m:t>1</m:t>
            </m:r>
          </m:oMath>
        </m:oMathPara>
      </w:hyperlink>
      <w:r>
        <w:t xml:space="preserve">. The finding that the mass elasticity is statistically indistinguishable from zero in the conditioned specification is the more methodologically interesting result, because it indicates that the cross-regime cost gap is not adequately summarized by a mass scaling relationship. The most likely substantive interpretation is that the heritage cost-plus missions in the panel are concentrated at lunar-surface payload masses well above one thousand kilograms, while the Commercial Lunar Payload Services missions are concentrated below five hundred kilograms, so that the regime indicator is partly absorbing a payload-class composition shift that the smooth log-mass term cannot capture.</w:t>
      </w:r>
    </w:p>
    <w:p>
      <w:pPr>
        <w:pStyle w:val="FirstParagraph"/>
      </w:pPr>
      <w:r>
        <w:t xml:space="preserve">The two principal threats to the inference are therefore that the regime indicator is partly a payload-class composition indicator, and that the awarded values for the early Commercial Lunar Payload Services task orders may diverge from realized cost as descopes, re-prices, or terminations accumulate over the manifest, a concern that the Government Accountability Office has flagged in successive Major Project Assessments</w:t>
      </w:r>
      <w:r>
        <w:t xml:space="preserve"> </w:t>
      </w:r>
      <w:hyperlink w:anchor="ref-4">
        <m:oMathPara>
          <m:oMathParaPr>
            <m:jc m:val="center"/>
          </m:oMathParaPr>
          <m:oMath>
            <m:r>
              <m:t>4</m:t>
            </m:r>
          </m:oMath>
        </m:oMathPara>
      </w:hyperlink>
      <w:r>
        <w:t xml:space="preserve">. A robustness specification that restricts the comparison to payloads inside a common mass and complexity band, and a sensitivity analysis using only completed and accepted deliveries, are the natural next refinements. The provisional reading, on the present panel, is that the directional policy claim survives the test on the public record assembled to date.</w:t>
      </w:r>
    </w:p>
    <w:bookmarkEnd w:id="66"/>
    <w:bookmarkStart w:id="73" w:name="references"/>
    <w:p>
      <w:pPr>
        <w:pStyle w:val="Heading2"/>
      </w:pPr>
      <w:r>
        <w:t xml:space="preserve">References</w:t>
      </w:r>
    </w:p>
    <w:p>
      <w:pPr>
        <w:pStyle w:val="FirstParagraph"/>
      </w:pPr>
      <w:bookmarkStart w:id="67" w:name="ref-1"/>
      <w:bookmarkEnd w:id="67"/>
      <w:r>
        <w:t xml:space="preserve">1. M. Weinzierl, Space, the Final Economic Frontier, Space Economy Papers brain source key SD18, 2018.</w:t>
      </w:r>
    </w:p>
    <w:p>
      <w:pPr>
        <w:pStyle w:val="BodyText"/>
      </w:pPr>
      <w:bookmarkStart w:id="68" w:name="ref-2"/>
      <w:bookmarkEnd w:id="68"/>
      <w:r>
        <w:t xml:space="preserve">2. J. E. Van Cleve, A. Lawitzke, E. MacAnlis, J. Griesbach, M. Sampson, D. Osterman, E. Silva, C. Grant, and A. Bloom, Hiding in Plain Sight: Observing Objects in Low Lunar Orbit and the L2 Dark Cone from a Lunar Surface Observatory, Proc. Advanced Maui Optical and Space Surveillance Technologies Conference, 2021.</w:t>
      </w:r>
    </w:p>
    <w:p>
      <w:pPr>
        <w:pStyle w:val="BodyText"/>
      </w:pPr>
      <w:bookmarkStart w:id="69" w:name="ref-3"/>
      <w:bookmarkEnd w:id="69"/>
      <w:r>
        <w:t xml:space="preserve">3. J. E. Van Cleve, D. P. Osterman, A. Lawitzke, J. D. Griesbach, C. J. Grant, C. Olson, and J. Contreras, A Year in the Life of the Shackleton Space Domain Awareness Station, Proc. Advanced Maui Optical and Space Surveillance Technologies Conference, 2022.</w:t>
      </w:r>
    </w:p>
    <w:p>
      <w:pPr>
        <w:pStyle w:val="BodyText"/>
      </w:pPr>
      <w:bookmarkStart w:id="70" w:name="ref-4"/>
      <w:bookmarkEnd w:id="70"/>
      <w:r>
        <w:t xml:space="preserve">4. United States Government Accountability Office, NASA: Assessments of Major Projects, GAO-25-107591, 2025.</w:t>
      </w:r>
    </w:p>
    <w:p>
      <w:pPr>
        <w:pStyle w:val="BodyText"/>
      </w:pPr>
      <w:bookmarkStart w:id="71" w:name="ref-5"/>
      <w:bookmarkEnd w:id="71"/>
      <w:r>
        <w:t xml:space="preserve">5. National Aeronautics and Space Administration Office of Inspector General, Management of the Volatiles Investigating Polar Exploration Rover (VIPER) Mission, IG-23-005, 2022.</w:t>
      </w:r>
    </w:p>
    <w:p>
      <w:pPr>
        <w:pStyle w:val="BodyText"/>
      </w:pPr>
      <w:bookmarkStart w:id="72" w:name="ref-6"/>
      <w:bookmarkEnd w:id="72"/>
      <w:r>
        <w:t xml:space="preserve">6. A. A. Siddiqi, Deep Space Chronicle: A Chronology of Deep Space and Planetary Probes 1958-2000, NASA SP-2002-4524, National Aeronautics and Space Administration, 2002.</w:t>
      </w:r>
    </w:p>
    <w:bookmarkEnd w:id="73"/>
    <w:bookmarkStart w:id="74" w:name="specification"/>
    <w:p>
      <w:pPr>
        <w:pStyle w:val="Heading2"/>
      </w:pPr>
      <w:r>
        <w:t xml:space="preserve">Specification</w:t>
      </w:r>
    </w:p>
    <w:p>
      <w:pPr>
        <w:pStyle w:val="FirstParagraph"/>
      </w:pPr>
      <w:r>
        <w:t xml:space="preserve">$$ \ln( ext{Cost}_{i}) = eta_{0} + eta_{1}\,\ln(  ext{Mass}_{i}) + eta_{2}\, ext{Regime}_{i} + arepsilon_{i} $$</w:t>
      </w:r>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7.0327</w:t>
            </w:r>
          </w:p>
        </w:tc>
        <w:tc>
          <w:tcPr>
            <w:tcW w:w="0" w:type="auto"/>
          </w:tcPr>
          <w:p>
            <w:pPr>
              <w:spacing w:line="240" w:lineRule="auto" w:before="0" w:after="0"/>
              <w:pStyle w:val="Compact"/>
            </w:pPr>
            <w:r>
              <w:rPr>
                <w:sz w:val="20"/>
                <w:szCs w:val="20"/>
              </w:rPr>
              <w:t xml:space="preserve">1.5341</w:t>
            </w:r>
          </w:p>
        </w:tc>
        <w:tc>
          <w:tcPr>
            <w:tcW w:w="0" w:type="auto"/>
          </w:tcPr>
          <w:p>
            <w:pPr>
              <w:spacing w:line="240" w:lineRule="auto" w:before="0" w:after="0"/>
              <w:pStyle w:val="Compact"/>
            </w:pPr>
            <w:r>
              <w:rPr>
                <w:sz w:val="20"/>
                <w:szCs w:val="20"/>
              </w:rPr>
              <w:t xml:space="preserve">4.5844</w:t>
            </w:r>
          </w:p>
        </w:tc>
        <w:tc>
          <w:tcPr>
            <w:tcW w:w="0" w:type="auto"/>
          </w:tcPr>
          <w:p>
            <w:pPr>
              <w:spacing w:line="240" w:lineRule="auto" w:before="0" w:after="0"/>
              <w:pStyle w:val="Compact"/>
            </w:pPr>
            <w:r>
              <w:rPr>
                <w:sz w:val="20"/>
                <w:szCs w:val="20"/>
              </w:rPr>
              <w:t xml:space="preserve">4.553e-06</w:t>
            </w:r>
          </w:p>
        </w:tc>
        <w:tc>
          <w:tcPr>
            <w:tcW w:w="0" w:type="auto"/>
          </w:tcPr>
          <w:p>
            <w:pPr>
              <w:spacing w:line="240" w:lineRule="auto" w:before="0" w:after="0"/>
              <w:pStyle w:val="Compact"/>
            </w:pPr>
            <w:r>
              <w:rPr>
                <w:sz w:val="20"/>
                <w:szCs w:val="20"/>
              </w:rPr>
              <w:t xml:space="preserve">[4.026, 10.0394]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0.2157</w:t>
            </w:r>
          </w:p>
        </w:tc>
        <w:tc>
          <w:tcPr>
            <w:tcW w:w="0" w:type="auto"/>
          </w:tcPr>
          <w:p>
            <w:pPr>
              <w:spacing w:line="240" w:lineRule="auto" w:before="0" w:after="0"/>
              <w:pStyle w:val="Compact"/>
            </w:pPr>
            <w:r>
              <w:rPr>
                <w:sz w:val="20"/>
                <w:szCs w:val="20"/>
              </w:rPr>
              <w:t xml:space="preserve">-0.6529</w:t>
            </w:r>
          </w:p>
        </w:tc>
        <w:tc>
          <w:tcPr>
            <w:tcW w:w="0" w:type="auto"/>
          </w:tcPr>
          <w:p>
            <w:pPr>
              <w:spacing w:line="240" w:lineRule="auto" w:before="0" w:after="0"/>
              <w:pStyle w:val="Compact"/>
            </w:pPr>
            <w:r>
              <w:rPr>
                <w:sz w:val="20"/>
                <w:szCs w:val="20"/>
              </w:rPr>
              <w:t xml:space="preserve">0.5138</w:t>
            </w:r>
          </w:p>
        </w:tc>
        <w:tc>
          <w:tcPr>
            <w:tcW w:w="0" w:type="auto"/>
          </w:tcPr>
          <w:p>
            <w:pPr>
              <w:spacing w:line="240" w:lineRule="auto" w:before="0" w:after="0"/>
              <w:pStyle w:val="Compact"/>
            </w:pPr>
            <w:r>
              <w:rPr>
                <w:sz w:val="20"/>
                <w:szCs w:val="20"/>
              </w:rPr>
              <w:t xml:space="preserve">[-0.5636, 0.2819]</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-1.5306</w:t>
            </w:r>
          </w:p>
        </w:tc>
        <w:tc>
          <w:tcPr>
            <w:tcW w:w="0" w:type="auto"/>
          </w:tcPr>
          <w:p>
            <w:pPr>
              <w:spacing w:line="240" w:lineRule="auto" w:before="0" w:after="0"/>
              <w:pStyle w:val="Compact"/>
            </w:pPr>
            <w:r>
              <w:rPr>
                <w:sz w:val="20"/>
                <w:szCs w:val="20"/>
              </w:rPr>
              <w:t xml:space="preserve">0.5029</w:t>
            </w:r>
          </w:p>
        </w:tc>
        <w:tc>
          <w:tcPr>
            <w:tcW w:w="0" w:type="auto"/>
          </w:tcPr>
          <w:p>
            <w:pPr>
              <w:spacing w:line="240" w:lineRule="auto" w:before="0" w:after="0"/>
              <w:pStyle w:val="Compact"/>
            </w:pPr>
            <w:r>
              <w:rPr>
                <w:sz w:val="20"/>
                <w:szCs w:val="20"/>
              </w:rPr>
              <w:t xml:space="preserve">-3.0432</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[-2.5163, -0.5448]</w:t>
            </w:r>
          </w:p>
        </w:tc>
      </w:tr>
    </w:tbl>
    <w:p>
      <w:pPr>
        <w:pStyle w:val="BodyText"/>
      </w:pPr>
      <w:r>
        <w:t xml:space="preserve">Fit: N = 26 R2 = 0.5198 R2_adj = 0.478 F = 15.1096 F_p = 6.458e-05</w:t>
      </w:r>
    </w:p>
    <w:p>
      <w:pPr>
        <w:pStyle w:val="CaptionedFigure"/>
      </w:pPr>
      <w:r>
        <w:drawing>
          <wp:inline>
            <wp:extent cx="5669280" cy="3657600"/>
            <wp:effectExtent b="0" l="0" r="0" t="0"/>
            <wp:docPr descr="Figure 1. Per-mission lunar lander delivery cost versus payload mass, 1966 through 2028 manifest, plotted on log-log axes with regime coloring; the OLS fit conditions on log mass and a binary CLPS-style fixed-price regime indicator." title="" id="76" name="Picture"/>
            <a:graphic>
              <a:graphicData uri="http://schemas.openxmlformats.org/drawingml/2006/picture">
                <pic:pic>
                  <pic:nvPicPr>
                    <pic:cNvPr descr="D:\Claude_Code\brain\collegium\candidates\dissertations\JPL_PLANETARY_11\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Per-mission lunar lander delivery cost versus payload mass, 1966 through 2028 manifest, plotted on log-log axes with regime coloring; the OLS fit conditions on log mass and a binary CLPS-style fixed-price regime indicator.</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provider</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payload_mass_kg</w:t>
            </w:r>
          </w:p>
        </w:tc>
        <w:tc>
          <w:tcPr>
            <w:tcW w:w="0" w:type="auto"/>
          </w:tcPr>
          <w:p>
            <w:pPr>
              <w:spacing w:line="240" w:lineRule="auto" w:before="0" w:after="0"/>
              <w:pStyle w:val="Compact"/>
            </w:pPr>
            <w:r>
              <w:rPr>
                <w:sz w:val="20"/>
                <w:szCs w:val="20"/>
              </w:rPr>
              <w:t xml:space="preserve">cost_musd_fy24</w:t>
            </w:r>
          </w:p>
        </w:tc>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1180</w:t>
            </w:r>
          </w:p>
        </w:tc>
        <w:tc>
          <w:tcPr>
            <w:tcW w:w="0" w:type="auto"/>
          </w:tcPr>
          <w:p>
            <w:pPr>
              <w:spacing w:line="240" w:lineRule="auto" w:before="0" w:after="0"/>
              <w:pStyle w:val="Compact"/>
            </w:pPr>
            <w:r>
              <w:rPr>
                <w:sz w:val="20"/>
                <w:szCs w:val="20"/>
              </w:rPr>
              <w:t xml:space="preserve">7.073</w:t>
            </w:r>
          </w:p>
        </w:tc>
        <w:tc>
          <w:tcPr>
            <w:tcW w:w="0" w:type="auto"/>
          </w:tcPr>
          <w:p>
            <w:pPr>
              <w:spacing w:line="240" w:lineRule="auto" w:before="0" w:after="0"/>
              <w:pStyle w:val="Compact"/>
            </w:pPr>
            <w:r>
              <w:rPr>
                <w:sz w:val="20"/>
                <w:szCs w:val="20"/>
              </w:rPr>
              <w:t xml:space="preserve">5.683</w:t>
            </w:r>
          </w:p>
        </w:tc>
        <w:tc>
          <w:tcPr>
            <w:tcW w:w="0" w:type="auto"/>
          </w:tcPr>
          <w:p>
            <w:pPr>
              <w:spacing w:line="240" w:lineRule="auto" w:before="0" w:after="0"/>
              <w:pStyle w:val="Compact"/>
            </w:pPr>
            <w:r>
              <w:rPr>
                <w:sz w:val="20"/>
                <w:szCs w:val="20"/>
              </w:rPr>
              <w:t xml:space="preserve">NASA NSSDCA Surveyor 1 fact sheet; Siddiqi Deep Space Chronicle NASA SP-2002-4524 inflation-adjusted to FY24</w:t>
            </w:r>
          </w:p>
        </w:tc>
      </w:tr>
      <w:tr>
        <w:tc>
          <w:tcPr>
            <w:tcW w:w="0" w:type="auto"/>
          </w:tcPr>
          <w:p>
            <w:pPr>
              <w:spacing w:line="240" w:lineRule="auto" w:before="0" w:after="0"/>
              <w:pStyle w:val="Compact"/>
            </w:pPr>
            <w:r>
              <w:rPr>
                <w:sz w:val="20"/>
                <w:szCs w:val="20"/>
              </w:rPr>
              <w:t xml:space="preserve">Surveyor 3</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6.893</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NASA NSSDCA Surveyor 3 fact sheet; Siddiqi Deep Space Chronicle NASA SP-2002-4524</w:t>
            </w:r>
          </w:p>
        </w:tc>
      </w:tr>
      <w:tr>
        <w:tc>
          <w:tcPr>
            <w:tcW w:w="0" w:type="auto"/>
          </w:tcPr>
          <w:p>
            <w:pPr>
              <w:spacing w:line="240" w:lineRule="auto" w:before="0" w:after="0"/>
              <w:pStyle w:val="Compact"/>
            </w:pPr>
            <w:r>
              <w:rPr>
                <w:sz w:val="20"/>
                <w:szCs w:val="20"/>
              </w:rPr>
              <w:t xml:space="preserve">Surveyor 5</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6.819</w:t>
            </w:r>
          </w:p>
        </w:tc>
        <w:tc>
          <w:tcPr>
            <w:tcW w:w="0" w:type="auto"/>
          </w:tcPr>
          <w:p>
            <w:pPr>
              <w:spacing w:line="240" w:lineRule="auto" w:before="0" w:after="0"/>
              <w:pStyle w:val="Compact"/>
            </w:pPr>
            <w:r>
              <w:rPr>
                <w:sz w:val="20"/>
                <w:szCs w:val="20"/>
              </w:rPr>
              <w:t xml:space="preserve">5.714</w:t>
            </w:r>
          </w:p>
        </w:tc>
        <w:tc>
          <w:tcPr>
            <w:tcW w:w="0" w:type="auto"/>
          </w:tcPr>
          <w:p>
            <w:pPr>
              <w:spacing w:line="240" w:lineRule="auto" w:before="0" w:after="0"/>
              <w:pStyle w:val="Compact"/>
            </w:pPr>
            <w:r>
              <w:rPr>
                <w:sz w:val="20"/>
                <w:szCs w:val="20"/>
              </w:rPr>
              <w:t xml:space="preserve">NASA NSSDCA Surveyor 5 fact sheet; Siddiqi Deep Space Chronicle NASA SP-2002-4524</w:t>
            </w:r>
          </w:p>
        </w:tc>
      </w:tr>
      <w:tr>
        <w:tc>
          <w:tcPr>
            <w:tcW w:w="0" w:type="auto"/>
          </w:tcPr>
          <w:p>
            <w:pPr>
              <w:spacing w:line="240" w:lineRule="auto" w:before="0" w:after="0"/>
              <w:pStyle w:val="Compact"/>
            </w:pPr>
            <w:r>
              <w:rPr>
                <w:sz w:val="20"/>
                <w:szCs w:val="20"/>
              </w:rPr>
              <w:t xml:space="preserve">Surveyor 6</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NASA NSSDCA Surveyor 6 fact sheet; Siddiqi Deep Space Chronicle NASA SP-2002-4524</w:t>
            </w:r>
          </w:p>
        </w:tc>
      </w:tr>
      <w:tr>
        <w:tc>
          <w:tcPr>
            <w:tcW w:w="0" w:type="auto"/>
          </w:tcPr>
          <w:p>
            <w:pPr>
              <w:spacing w:line="240" w:lineRule="auto" w:before="0" w:after="0"/>
              <w:pStyle w:val="Compact"/>
            </w:pPr>
            <w:r>
              <w:rPr>
                <w:sz w:val="20"/>
                <w:szCs w:val="20"/>
              </w:rPr>
              <w:t xml:space="preserve">Surveyor 7</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Hughes Aircraft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306</w:t>
            </w:r>
          </w:p>
        </w:tc>
        <w:tc>
          <w:tcPr>
            <w:tcW w:w="0" w:type="auto"/>
          </w:tcPr>
          <w:p>
            <w:pPr>
              <w:spacing w:line="240" w:lineRule="auto" w:before="0" w:after="0"/>
              <w:pStyle w:val="Compact"/>
            </w:pPr>
            <w:r>
              <w:rPr>
                <w:sz w:val="20"/>
                <w:szCs w:val="20"/>
              </w:rPr>
              <w:t xml:space="preserve">870</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5.724</w:t>
            </w:r>
          </w:p>
        </w:tc>
        <w:tc>
          <w:tcPr>
            <w:tcW w:w="0" w:type="auto"/>
          </w:tcPr>
          <w:p>
            <w:pPr>
              <w:spacing w:line="240" w:lineRule="auto" w:before="0" w:after="0"/>
              <w:pStyle w:val="Compact"/>
            </w:pPr>
            <w:r>
              <w:rPr>
                <w:sz w:val="20"/>
                <w:szCs w:val="20"/>
              </w:rPr>
              <w:t xml:space="preserve">NASA NSSDCA Surveyor 7 fact sheet; Siddiqi Deep Space Chronicle NASA SP-2002-4524</w:t>
            </w:r>
          </w:p>
        </w:tc>
      </w:tr>
      <w:tr>
        <w:tc>
          <w:tcPr>
            <w:tcW w:w="0" w:type="auto"/>
          </w:tcPr>
          <w:p>
            <w:pPr>
              <w:spacing w:line="240" w:lineRule="auto" w:before="0" w:after="0"/>
              <w:pStyle w:val="Compact"/>
            </w:pPr>
            <w:r>
              <w:rPr>
                <w:sz w:val="20"/>
                <w:szCs w:val="20"/>
              </w:rPr>
              <w:t xml:space="preserve">Luna 16</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6.253</w:t>
            </w:r>
          </w:p>
        </w:tc>
        <w:tc>
          <w:tcPr>
            <w:tcW w:w="0" w:type="auto"/>
          </w:tcPr>
          <w:p>
            <w:pPr>
              <w:spacing w:line="240" w:lineRule="auto" w:before="0" w:after="0"/>
              <w:pStyle w:val="Compact"/>
            </w:pPr>
            <w:r>
              <w:rPr>
                <w:sz w:val="20"/>
                <w:szCs w:val="20"/>
              </w:rPr>
              <w:t xml:space="preserve">7.539</w:t>
            </w:r>
          </w:p>
        </w:tc>
        <w:tc>
          <w:tcPr>
            <w:tcW w:w="0" w:type="auto"/>
          </w:tcPr>
          <w:p>
            <w:pPr>
              <w:spacing w:line="240" w:lineRule="auto" w:before="0" w:after="0"/>
              <w:pStyle w:val="Compact"/>
            </w:pPr>
            <w:r>
              <w:rPr>
                <w:sz w:val="20"/>
                <w:szCs w:val="20"/>
              </w:rPr>
              <w:t xml:space="preserve">NASA NSSDCA Luna 16 fact sheet; Siddiqi Deep Space Chronicle [illustrative]</w:t>
            </w:r>
          </w:p>
        </w:tc>
      </w:tr>
      <w:tr>
        <w:tc>
          <w:tcPr>
            <w:tcW w:w="0" w:type="auto"/>
          </w:tcPr>
          <w:p>
            <w:pPr>
              <w:spacing w:line="240" w:lineRule="auto" w:before="0" w:after="0"/>
              <w:pStyle w:val="Compact"/>
            </w:pPr>
            <w:r>
              <w:rPr>
                <w:sz w:val="20"/>
                <w:szCs w:val="20"/>
              </w:rPr>
              <w:t xml:space="preserve">Luna 17</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6.413</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NASA NSSDCA Luna 17 fact sheet; Siddiqi Deep Space Chronicle [illustrative]</w:t>
            </w:r>
          </w:p>
        </w:tc>
      </w:tr>
      <w:tr>
        <w:tc>
          <w:tcPr>
            <w:tcW w:w="0" w:type="auto"/>
          </w:tcPr>
          <w:p>
            <w:pPr>
              <w:spacing w:line="240" w:lineRule="auto" w:before="0" w:after="0"/>
              <w:pStyle w:val="Compact"/>
            </w:pPr>
            <w:r>
              <w:rPr>
                <w:sz w:val="20"/>
                <w:szCs w:val="20"/>
              </w:rPr>
              <w:t xml:space="preserve">Luna 20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6.205</w:t>
            </w:r>
          </w:p>
        </w:tc>
        <w:tc>
          <w:tcPr>
            <w:tcW w:w="0" w:type="auto"/>
          </w:tcPr>
          <w:p>
            <w:pPr>
              <w:spacing w:line="240" w:lineRule="auto" w:before="0" w:after="0"/>
              <w:pStyle w:val="Compact"/>
            </w:pPr>
            <w:r>
              <w:rPr>
                <w:sz w:val="20"/>
                <w:szCs w:val="20"/>
              </w:rPr>
              <w:t xml:space="preserve">7.539</w:t>
            </w:r>
          </w:p>
        </w:tc>
        <w:tc>
          <w:tcPr>
            <w:tcW w:w="0" w:type="auto"/>
          </w:tcPr>
          <w:p>
            <w:pPr>
              <w:spacing w:line="240" w:lineRule="auto" w:before="0" w:after="0"/>
              <w:pStyle w:val="Compact"/>
            </w:pPr>
            <w:r>
              <w:rPr>
                <w:sz w:val="20"/>
                <w:szCs w:val="20"/>
              </w:rPr>
              <w:t xml:space="preserve">NASA NSSDCA Luna 20 fact sheet; Siddiqi Deep Space Chronicle [illustrative]</w:t>
            </w:r>
          </w:p>
        </w:tc>
      </w:tr>
      <w:tr>
        <w:tc>
          <w:tcPr>
            <w:tcW w:w="0" w:type="auto"/>
          </w:tcPr>
          <w:p>
            <w:pPr>
              <w:spacing w:line="240" w:lineRule="auto" w:before="0" w:after="0"/>
              <w:pStyle w:val="Compact"/>
            </w:pPr>
            <w:r>
              <w:rPr>
                <w:sz w:val="20"/>
                <w:szCs w:val="20"/>
              </w:rPr>
              <w:t xml:space="preserve">Luna 24</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Lavochkin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6.153</w:t>
            </w:r>
          </w:p>
        </w:tc>
        <w:tc>
          <w:tcPr>
            <w:tcW w:w="0" w:type="auto"/>
          </w:tcPr>
          <w:p>
            <w:pPr>
              <w:spacing w:line="240" w:lineRule="auto" w:before="0" w:after="0"/>
              <w:pStyle w:val="Compact"/>
            </w:pPr>
            <w:r>
              <w:rPr>
                <w:sz w:val="20"/>
                <w:szCs w:val="20"/>
              </w:rPr>
              <w:t xml:space="preserve">7.539</w:t>
            </w:r>
          </w:p>
        </w:tc>
        <w:tc>
          <w:tcPr>
            <w:tcW w:w="0" w:type="auto"/>
          </w:tcPr>
          <w:p>
            <w:pPr>
              <w:spacing w:line="240" w:lineRule="auto" w:before="0" w:after="0"/>
              <w:pStyle w:val="Compact"/>
            </w:pPr>
            <w:r>
              <w:rPr>
                <w:sz w:val="20"/>
                <w:szCs w:val="20"/>
              </w:rPr>
              <w:t xml:space="preserve">NASA NSSDCA Luna 24 fact sheet; Siddiqi Deep Space Chronicle [illustrative]</w:t>
            </w:r>
          </w:p>
        </w:tc>
      </w:tr>
      <w:tr>
        <w:tc>
          <w:tcPr>
            <w:tcW w:w="0" w:type="auto"/>
          </w:tcPr>
          <w:p>
            <w:pPr>
              <w:spacing w:line="240" w:lineRule="auto" w:before="0" w:after="0"/>
              <w:pStyle w:val="Compact"/>
            </w:pPr>
            <w:r>
              <w:rPr>
                <w:sz w:val="20"/>
                <w:szCs w:val="20"/>
              </w:rPr>
              <w:t xml:space="preserve">Change 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CAST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5.737</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CNSA Change 3 press materials; NASA NSSDCA Change 3 fact sheet</w:t>
            </w:r>
          </w:p>
        </w:tc>
      </w:tr>
      <w:tr>
        <w:tc>
          <w:tcPr>
            <w:tcW w:w="0" w:type="auto"/>
          </w:tcPr>
          <w:p>
            <w:pPr>
              <w:spacing w:line="240" w:lineRule="auto" w:before="0" w:after="0"/>
              <w:pStyle w:val="Compact"/>
            </w:pPr>
            <w:r>
              <w:rPr>
                <w:sz w:val="20"/>
                <w:szCs w:val="20"/>
              </w:rPr>
              <w:t xml:space="preserve">Change 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5.687</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CNSA Change 4 press materials; NASA NSSDCA Change 4 fact sheet</w:t>
            </w:r>
          </w:p>
        </w:tc>
      </w:tr>
      <w:tr>
        <w:tc>
          <w:tcPr>
            <w:tcW w:w="0" w:type="auto"/>
          </w:tcPr>
          <w:p>
            <w:pPr>
              <w:spacing w:line="240" w:lineRule="auto" w:before="0" w:after="0"/>
              <w:pStyle w:val="Compact"/>
            </w:pPr>
            <w:r>
              <w:rPr>
                <w:sz w:val="20"/>
                <w:szCs w:val="20"/>
              </w:rPr>
              <w:t xml:space="preserve">Chandrayaan-2 Vikram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5.136</w:t>
            </w:r>
          </w:p>
        </w:tc>
        <w:tc>
          <w:tcPr>
            <w:tcW w:w="0" w:type="auto"/>
          </w:tcPr>
          <w:p>
            <w:pPr>
              <w:spacing w:line="240" w:lineRule="auto" w:before="0" w:after="0"/>
              <w:pStyle w:val="Compact"/>
            </w:pPr>
            <w:r>
              <w:rPr>
                <w:sz w:val="20"/>
                <w:szCs w:val="20"/>
              </w:rPr>
              <w:t xml:space="preserve">7.294</w:t>
            </w:r>
          </w:p>
        </w:tc>
        <w:tc>
          <w:tcPr>
            <w:tcW w:w="0" w:type="auto"/>
          </w:tcPr>
          <w:p>
            <w:pPr>
              <w:spacing w:line="240" w:lineRule="auto" w:before="0" w:after="0"/>
              <w:pStyle w:val="Compact"/>
            </w:pPr>
            <w:r>
              <w:rPr>
                <w:sz w:val="20"/>
                <w:szCs w:val="20"/>
              </w:rPr>
              <w:t xml:space="preserve">ISRO PIB releases on Chandrayaan-2</w:t>
            </w:r>
          </w:p>
        </w:tc>
      </w:tr>
      <w:tr>
        <w:tc>
          <w:tcPr>
            <w:tcW w:w="0" w:type="auto"/>
          </w:tcPr>
          <w:p>
            <w:pPr>
              <w:spacing w:line="240" w:lineRule="auto" w:before="0" w:after="0"/>
              <w:pStyle w:val="Compact"/>
            </w:pPr>
            <w:r>
              <w:rPr>
                <w:sz w:val="20"/>
                <w:szCs w:val="20"/>
              </w:rPr>
              <w:t xml:space="preserve">Change 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CAST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3780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6.04</w:t>
            </w:r>
          </w:p>
        </w:tc>
        <w:tc>
          <w:tcPr>
            <w:tcW w:w="0" w:type="auto"/>
          </w:tcPr>
          <w:p>
            <w:pPr>
              <w:spacing w:line="240" w:lineRule="auto" w:before="0" w:after="0"/>
              <w:pStyle w:val="Compact"/>
            </w:pPr>
            <w:r>
              <w:rPr>
                <w:sz w:val="20"/>
                <w:szCs w:val="20"/>
              </w:rPr>
              <w:t xml:space="preserve">8.238</w:t>
            </w:r>
          </w:p>
        </w:tc>
        <w:tc>
          <w:tcPr>
            <w:tcW w:w="0" w:type="auto"/>
          </w:tcPr>
          <w:p>
            <w:pPr>
              <w:spacing w:line="240" w:lineRule="auto" w:before="0" w:after="0"/>
              <w:pStyle w:val="Compact"/>
            </w:pPr>
            <w:r>
              <w:rPr>
                <w:sz w:val="20"/>
                <w:szCs w:val="20"/>
              </w:rPr>
              <w:t xml:space="preserve">CNSA Change 5 press materials; NASA NSSDCA Change 5 fact sheet</w:t>
            </w:r>
          </w:p>
        </w:tc>
      </w:tr>
      <w:tr>
        <w:tc>
          <w:tcPr>
            <w:tcW w:w="0" w:type="auto"/>
          </w:tcPr>
          <w:p>
            <w:pPr>
              <w:spacing w:line="240" w:lineRule="auto" w:before="0" w:after="0"/>
              <w:pStyle w:val="Compact"/>
            </w:pPr>
            <w:r>
              <w:rPr>
                <w:sz w:val="20"/>
                <w:szCs w:val="20"/>
              </w:rPr>
              <w:t xml:space="preserve">Chandrayaan-3 Vikram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1726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7.453</w:t>
            </w:r>
          </w:p>
        </w:tc>
        <w:tc>
          <w:tcPr>
            <w:tcW w:w="0" w:type="auto"/>
          </w:tcPr>
          <w:p>
            <w:pPr>
              <w:spacing w:line="240" w:lineRule="auto" w:before="0" w:after="0"/>
              <w:pStyle w:val="Compact"/>
            </w:pPr>
            <w:r>
              <w:rPr>
                <w:sz w:val="20"/>
                <w:szCs w:val="20"/>
              </w:rPr>
              <w:t xml:space="preserve">ISRO PIB release 23 August 2023 Chandrayaan-3 budget disclosure</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JAXA SLIM press kit January 2024</w:t>
            </w:r>
          </w:p>
        </w:tc>
      </w:tr>
      <w:tr>
        <w:tc>
          <w:tcPr>
            <w:tcW w:w="0" w:type="auto"/>
          </w:tcPr>
          <w:p>
            <w:pPr>
              <w:spacing w:line="240" w:lineRule="auto" w:before="0" w:after="0"/>
              <w:pStyle w:val="Compact"/>
            </w:pPr>
            <w:r>
              <w:rPr>
                <w:sz w:val="20"/>
                <w:szCs w:val="20"/>
              </w:rPr>
              <w:t xml:space="preserve">Peregrine Mission 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4.682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GAO-25-107591 NASA Major Project Assessment CLPS task order schedule</w:t>
            </w:r>
          </w:p>
        </w:tc>
      </w:tr>
      <w:tr>
        <w:tc>
          <w:tcPr>
            <w:tcW w:w="0" w:type="auto"/>
          </w:tcPr>
          <w:p>
            <w:pPr>
              <w:spacing w:line="240" w:lineRule="auto" w:before="0" w:after="0"/>
              <w:pStyle w:val="Compact"/>
            </w:pPr>
            <w:r>
              <w:rPr>
                <w:sz w:val="20"/>
                <w:szCs w:val="20"/>
              </w:rPr>
              <w:t xml:space="preserve">IM-1 Nova-C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4.77</w:t>
            </w:r>
          </w:p>
        </w:tc>
        <w:tc>
          <w:tcPr>
            <w:tcW w:w="0" w:type="auto"/>
          </w:tcPr>
          <w:p>
            <w:pPr>
              <w:spacing w:line="240" w:lineRule="auto" w:before="0" w:after="0"/>
              <w:pStyle w:val="Compact"/>
            </w:pPr>
            <w:r>
              <w:rPr>
                <w:sz w:val="20"/>
                <w:szCs w:val="20"/>
              </w:rPr>
              <w:t xml:space="preserve">4.868</w:t>
            </w:r>
          </w:p>
        </w:tc>
        <w:tc>
          <w:tcPr>
            <w:tcW w:w="0" w:type="auto"/>
          </w:tcPr>
          <w:p>
            <w:pPr>
              <w:spacing w:line="240" w:lineRule="auto" w:before="0" w:after="0"/>
              <w:pStyle w:val="Compact"/>
            </w:pPr>
            <w:r>
              <w:rPr>
                <w:sz w:val="20"/>
                <w:szCs w:val="20"/>
              </w:rPr>
              <w:t xml:space="preserve">GAO-25-107591 NASA Major Project Assessment CLPS task order</w:t>
            </w:r>
          </w:p>
        </w:tc>
      </w:tr>
      <w:tr>
        <w:tc>
          <w:tcPr>
            <w:tcW w:w="0" w:type="auto"/>
          </w:tcPr>
          <w:p>
            <w:pPr>
              <w:spacing w:line="240" w:lineRule="auto" w:before="0" w:after="0"/>
              <w:pStyle w:val="Compact"/>
            </w:pPr>
            <w:r>
              <w:rPr>
                <w:sz w:val="20"/>
                <w:szCs w:val="20"/>
              </w:rPr>
              <w:t xml:space="preserve">Blue Ghost M1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4.615</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GAO-25-107591 NASA Major Project Assessment CLPS task order</w:t>
            </w:r>
          </w:p>
        </w:tc>
      </w:tr>
      <w:tr>
        <w:tc>
          <w:tcPr>
            <w:tcW w:w="0" w:type="auto"/>
          </w:tcPr>
          <w:p>
            <w:pPr>
              <w:spacing w:line="240" w:lineRule="auto" w:before="0" w:after="0"/>
              <w:pStyle w:val="Compact"/>
            </w:pPr>
            <w:r>
              <w:rPr>
                <w:sz w:val="20"/>
                <w:szCs w:val="20"/>
              </w:rPr>
              <w:t xml:space="preserve">IM-2 Nova-C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4.344</w:t>
            </w:r>
          </w:p>
        </w:tc>
        <w:tc>
          <w:tcPr>
            <w:tcW w:w="0" w:type="auto"/>
          </w:tcPr>
          <w:p>
            <w:pPr>
              <w:spacing w:line="240" w:lineRule="auto" w:before="0" w:after="0"/>
              <w:pStyle w:val="Compact"/>
            </w:pPr>
            <w:r>
              <w:rPr>
                <w:sz w:val="20"/>
                <w:szCs w:val="20"/>
              </w:rPr>
              <w:t xml:space="preserve">4.942</w:t>
            </w:r>
          </w:p>
        </w:tc>
        <w:tc>
          <w:tcPr>
            <w:tcW w:w="0" w:type="auto"/>
          </w:tcPr>
          <w:p>
            <w:pPr>
              <w:spacing w:line="240" w:lineRule="auto" w:before="0" w:after="0"/>
              <w:pStyle w:val="Compact"/>
            </w:pPr>
            <w:r>
              <w:rPr>
                <w:sz w:val="20"/>
                <w:szCs w:val="20"/>
              </w:rPr>
              <w:t xml:space="preserve">GAO-25-107591 NASA Major Project Assessment CLPS task order ledger</w:t>
            </w:r>
          </w:p>
        </w:tc>
      </w:tr>
      <w:tr>
        <w:tc>
          <w:tcPr>
            <w:tcW w:w="0" w:type="auto"/>
          </w:tcPr>
          <w:p>
            <w:pPr>
              <w:spacing w:line="240" w:lineRule="auto" w:before="0" w:after="0"/>
              <w:pStyle w:val="Compact"/>
            </w:pPr>
            <w:r>
              <w:rPr>
                <w:sz w:val="20"/>
                <w:szCs w:val="20"/>
              </w:rPr>
              <w:t xml:space="preserve">Resilience HAKUTO-R 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5.075</w:t>
            </w:r>
          </w:p>
        </w:tc>
        <w:tc>
          <w:tcPr>
            <w:tcW w:w="0" w:type="auto"/>
          </w:tcPr>
          <w:p>
            <w:pPr>
              <w:spacing w:line="240" w:lineRule="auto" w:before="0" w:after="0"/>
              <w:pStyle w:val="Compact"/>
            </w:pPr>
            <w:r>
              <w:rPr>
                <w:sz w:val="20"/>
                <w:szCs w:val="20"/>
              </w:rPr>
              <w:t xml:space="preserve">4.868</w:t>
            </w:r>
          </w:p>
        </w:tc>
        <w:tc>
          <w:tcPr>
            <w:tcW w:w="0" w:type="auto"/>
          </w:tcPr>
          <w:p>
            <w:pPr>
              <w:spacing w:line="240" w:lineRule="auto" w:before="0" w:after="0"/>
              <w:pStyle w:val="Compact"/>
            </w:pPr>
            <w:r>
              <w:rPr>
                <w:sz w:val="20"/>
                <w:szCs w:val="20"/>
              </w:rPr>
              <w:t xml:space="preserve">ispace press release HAKUTO-R Mission 2 disclosure [illustrative]</w:t>
            </w:r>
          </w:p>
        </w:tc>
      </w:tr>
      <w:tr>
        <w:tc>
          <w:tcPr>
            <w:tcW w:w="0" w:type="auto"/>
          </w:tcPr>
          <w:p>
            <w:pPr>
              <w:spacing w:line="240" w:lineRule="auto" w:before="0" w:after="0"/>
              <w:pStyle w:val="Compact"/>
            </w:pPr>
            <w:r>
              <w:rPr>
                <w:sz w:val="20"/>
                <w:szCs w:val="20"/>
              </w:rPr>
              <w:t xml:space="preserve">IM-3 Nova-C</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4.344</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GAO-25-107591 NASA Major Project Assessment CLPS task order</w:t>
            </w:r>
          </w:p>
        </w:tc>
      </w:tr>
      <w:tr>
        <w:tc>
          <w:tcPr>
            <w:tcW w:w="0" w:type="auto"/>
          </w:tcPr>
          <w:p>
            <w:pPr>
              <w:spacing w:line="240" w:lineRule="auto" w:before="0" w:after="0"/>
              <w:pStyle w:val="Compact"/>
            </w:pPr>
            <w:r>
              <w:rPr>
                <w:sz w:val="20"/>
                <w:szCs w:val="20"/>
              </w:rPr>
              <w:t xml:space="preserve">Griffin Mission 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323</w:t>
            </w:r>
          </w:p>
        </w:tc>
        <w:tc>
          <w:tcPr>
            <w:tcW w:w="0" w:type="auto"/>
          </w:tcPr>
          <w:p>
            <w:pPr>
              <w:spacing w:line="240" w:lineRule="auto" w:before="0" w:after="0"/>
              <w:pStyle w:val="Compact"/>
            </w:pPr>
            <w:r>
              <w:rPr>
                <w:sz w:val="20"/>
                <w:szCs w:val="20"/>
              </w:rPr>
              <w:t xml:space="preserve">5.778</w:t>
            </w:r>
          </w:p>
        </w:tc>
        <w:tc>
          <w:tcPr>
            <w:tcW w:w="0" w:type="auto"/>
          </w:tcPr>
          <w:p>
            <w:pPr>
              <w:spacing w:line="240" w:lineRule="auto" w:before="0" w:after="0"/>
              <w:pStyle w:val="Compact"/>
            </w:pPr>
            <w:r>
              <w:rPr>
                <w:sz w:val="20"/>
                <w:szCs w:val="20"/>
              </w:rPr>
              <w:t xml:space="preserve">6.163</w:t>
            </w:r>
          </w:p>
        </w:tc>
        <w:tc>
          <w:tcPr>
            <w:tcW w:w="0" w:type="auto"/>
          </w:tcPr>
          <w:p>
            <w:pPr>
              <w:spacing w:line="240" w:lineRule="auto" w:before="0" w:after="0"/>
              <w:pStyle w:val="Compact"/>
            </w:pPr>
            <w:r>
              <w:rPr>
                <w:sz w:val="20"/>
                <w:szCs w:val="20"/>
              </w:rPr>
              <w:t xml:space="preserve">GAO-25-107591 NASA Major Project Assessment Griffin task order including VIPER; NASA OIG IG-23-005</w:t>
            </w:r>
          </w:p>
        </w:tc>
      </w:tr>
      <w:tr>
        <w:tc>
          <w:tcPr>
            <w:tcW w:w="0" w:type="auto"/>
          </w:tcPr>
          <w:p>
            <w:pPr>
              <w:spacing w:line="240" w:lineRule="auto" w:before="0" w:after="0"/>
              <w:pStyle w:val="Compact"/>
            </w:pPr>
            <w:r>
              <w:rPr>
                <w:sz w:val="20"/>
                <w:szCs w:val="20"/>
              </w:rPr>
              <w:t xml:space="preserve">Blue Ghost M2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4.727</w:t>
            </w:r>
          </w:p>
        </w:tc>
        <w:tc>
          <w:tcPr>
            <w:tcW w:w="0" w:type="auto"/>
          </w:tcPr>
          <w:p>
            <w:pPr>
              <w:spacing w:line="240" w:lineRule="auto" w:before="0" w:after="0"/>
              <w:pStyle w:val="Compact"/>
            </w:pPr>
            <w:r>
              <w:rPr>
                <w:sz w:val="20"/>
                <w:szCs w:val="20"/>
              </w:rPr>
              <w:t xml:space="preserve">5.67</w:t>
            </w:r>
          </w:p>
        </w:tc>
        <w:tc>
          <w:tcPr>
            <w:tcW w:w="0" w:type="auto"/>
          </w:tcPr>
          <w:p>
            <w:pPr>
              <w:spacing w:line="240" w:lineRule="auto" w:before="0" w:after="0"/>
              <w:pStyle w:val="Compact"/>
            </w:pPr>
            <w:r>
              <w:rPr>
                <w:sz w:val="20"/>
                <w:szCs w:val="20"/>
              </w:rPr>
              <w:t xml:space="preserve">GAO-25-107591 NASA Major Project Assessment CLPS task order ledger</w:t>
            </w:r>
          </w:p>
        </w:tc>
      </w:tr>
      <w:tr>
        <w:tc>
          <w:tcPr>
            <w:tcW w:w="0" w:type="auto"/>
          </w:tcPr>
          <w:p>
            <w:pPr>
              <w:spacing w:line="240" w:lineRule="auto" w:before="0" w:after="0"/>
              <w:pStyle w:val="Compact"/>
            </w:pPr>
            <w:r>
              <w:rPr>
                <w:sz w:val="20"/>
                <w:szCs w:val="20"/>
              </w:rPr>
              <w:t xml:space="preserve">Draper Series 2 APEX 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GAO-25-107591 NASA Major Project Assessment CLPS task order award September 2024</w:t>
            </w:r>
          </w:p>
        </w:tc>
      </w:tr>
      <w:tr>
        <w:tc>
          <w:tcPr>
            <w:tcW w:w="0" w:type="auto"/>
          </w:tcPr>
          <w:p>
            <w:pPr>
              <w:spacing w:line="240" w:lineRule="auto" w:before="0" w:after="0"/>
              <w:pStyle w:val="Compact"/>
            </w:pPr>
            <w:r>
              <w:rPr>
                <w:sz w:val="20"/>
                <w:szCs w:val="20"/>
              </w:rPr>
              <w:t xml:space="preserve">IM-4 Nova-C</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4.754</w:t>
            </w:r>
          </w:p>
        </w:tc>
        <w:tc>
          <w:tcPr>
            <w:tcW w:w="0" w:type="auto"/>
          </w:tcPr>
          <w:p>
            <w:pPr>
              <w:spacing w:line="240" w:lineRule="auto" w:before="0" w:after="0"/>
              <w:pStyle w:val="Compact"/>
            </w:pPr>
            <w:r>
              <w:rPr>
                <w:sz w:val="20"/>
                <w:szCs w:val="20"/>
              </w:rPr>
              <w:t xml:space="preserve">5.347</w:t>
            </w:r>
          </w:p>
        </w:tc>
        <w:tc>
          <w:tcPr>
            <w:tcW w:w="0" w:type="auto"/>
          </w:tcPr>
          <w:p>
            <w:pPr>
              <w:spacing w:line="240" w:lineRule="auto" w:before="0" w:after="0"/>
              <w:pStyle w:val="Compact"/>
            </w:pPr>
            <w:r>
              <w:rPr>
                <w:sz w:val="20"/>
                <w:szCs w:val="20"/>
              </w:rPr>
              <w:t xml:space="preserve">GAO-25-107591 NASA Major Project Assessment CLPS task order ledger [illustrative]</w:t>
            </w:r>
          </w:p>
        </w:tc>
      </w:tr>
      <w:tr>
        <w:tc>
          <w:tcPr>
            <w:tcW w:w="0" w:type="auto"/>
          </w:tcPr>
          <w:p>
            <w:pPr>
              <w:spacing w:line="240" w:lineRule="auto" w:before="0" w:after="0"/>
              <w:pStyle w:val="Compact"/>
            </w:pPr>
            <w:r>
              <w:rPr>
                <w:sz w:val="20"/>
                <w:szCs w:val="20"/>
              </w:rPr>
              <w:t xml:space="preserve">Blue Ghost M3</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NASA CLPS task order press release; GAO-25-107591 follow-on award [illustrative]</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Natural log of per-mission lander delivery cost in FY2024 USD millions</w:t>
            </w:r>
          </w:p>
        </w:tc>
        <w:tc>
          <w:tcPr>
            <w:tcW w:w="0" w:type="auto"/>
          </w:tcPr>
          <w:p>
            <w:pPr>
              <w:spacing w:line="240" w:lineRule="auto" w:before="0" w:after="0"/>
              <w:pStyle w:val="Compact"/>
            </w:pPr>
            <w:r>
              <w:rPr>
                <w:sz w:val="20"/>
                <w:szCs w:val="20"/>
              </w:rPr>
              <w:t xml:space="preserve">GAO-25-107591 NASA Major Project Assessment CLPS task order schedule; NASA NSSDCA fact sheets; Siddiqi Deep Space Chronicle NASA SP-2002-4524 inflation adjusted to FY24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payload mass delivered to the lunar surface in kilograms</w:t>
            </w:r>
          </w:p>
        </w:tc>
        <w:tc>
          <w:tcPr>
            <w:tcW w:w="0" w:type="auto"/>
          </w:tcPr>
          <w:p>
            <w:pPr>
              <w:spacing w:line="240" w:lineRule="auto" w:before="0" w:after="0"/>
              <w:pStyle w:val="Compact"/>
            </w:pPr>
            <w:r>
              <w:rPr>
                <w:sz w:val="20"/>
                <w:szCs w:val="20"/>
              </w:rPr>
              <w:t xml:space="preserve">NASA NSSDCA fact sheets; ISRO PIB releases; JAXA SLIM press kit; CNSA Change press materials; GAO-25-107591 CLPS task order payload manifests</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Binary indicator equal to 1 for fixed-price CLPS or analogous commercial fixed-price delivery and 0 for heritage cost-plus or government-program delivery</w:t>
            </w:r>
          </w:p>
        </w:tc>
        <w:tc>
          <w:tcPr>
            <w:tcW w:w="0" w:type="auto"/>
          </w:tcPr>
          <w:p>
            <w:pPr>
              <w:spacing w:line="240" w:lineRule="auto" w:before="0" w:after="0"/>
              <w:pStyle w:val="Compact"/>
            </w:pPr>
            <w:r>
              <w:rPr>
                <w:sz w:val="20"/>
                <w:szCs w:val="20"/>
              </w:rPr>
              <w:t xml:space="preserve">Coded from NASA CLPS task order awards documented in GAO-25-107591 and CLPS press releases; heritage missions coded 0 per Siddiqi NASA SP-2002-4524 and NASA NSSDCA</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7.0327</w:t>
            </w:r>
          </w:p>
        </w:tc>
        <w:tc>
          <w:tcPr>
            <w:tcW w:w="0" w:type="auto"/>
          </w:tcPr>
          <w:p>
            <w:pPr>
              <w:spacing w:line="240" w:lineRule="auto" w:before="0" w:after="0"/>
              <w:pStyle w:val="Compact"/>
            </w:pPr>
            <w:r>
              <w:rPr>
                <w:sz w:val="20"/>
                <w:szCs w:val="20"/>
              </w:rPr>
              <w:t xml:space="preserve">1.5341</w:t>
            </w:r>
          </w:p>
        </w:tc>
        <w:tc>
          <w:tcPr>
            <w:tcW w:w="0" w:type="auto"/>
          </w:tcPr>
          <w:p>
            <w:pPr>
              <w:spacing w:line="240" w:lineRule="auto" w:before="0" w:after="0"/>
              <w:pStyle w:val="Compact"/>
            </w:pPr>
            <w:r>
              <w:rPr>
                <w:sz w:val="20"/>
                <w:szCs w:val="20"/>
              </w:rPr>
              <w:t xml:space="preserve">4.5844</w:t>
            </w:r>
          </w:p>
        </w:tc>
        <w:tc>
          <w:tcPr>
            <w:tcW w:w="0" w:type="auto"/>
          </w:tcPr>
          <w:p>
            <w:pPr>
              <w:spacing w:line="240" w:lineRule="auto" w:before="0" w:after="0"/>
              <w:pStyle w:val="Compact"/>
            </w:pPr>
            <w:r>
              <w:rPr>
                <w:sz w:val="20"/>
                <w:szCs w:val="20"/>
              </w:rPr>
              <w:t xml:space="preserve">4.553e-06</w:t>
            </w:r>
          </w:p>
        </w:tc>
        <w:tc>
          <w:tcPr>
            <w:tcW w:w="0" w:type="auto"/>
          </w:tcPr>
          <w:p>
            <w:pPr>
              <w:spacing w:line="240" w:lineRule="auto" w:before="0" w:after="0"/>
              <w:pStyle w:val="Compact"/>
            </w:pPr>
            <w:r>
              <w:rPr>
                <w:sz w:val="20"/>
                <w:szCs w:val="20"/>
              </w:rPr>
              <w:t xml:space="preserve">[4.026, 10.0394]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0.2157</w:t>
            </w:r>
          </w:p>
        </w:tc>
        <w:tc>
          <w:tcPr>
            <w:tcW w:w="0" w:type="auto"/>
          </w:tcPr>
          <w:p>
            <w:pPr>
              <w:spacing w:line="240" w:lineRule="auto" w:before="0" w:after="0"/>
              <w:pStyle w:val="Compact"/>
            </w:pPr>
            <w:r>
              <w:rPr>
                <w:sz w:val="20"/>
                <w:szCs w:val="20"/>
              </w:rPr>
              <w:t xml:space="preserve">-0.6529</w:t>
            </w:r>
          </w:p>
        </w:tc>
        <w:tc>
          <w:tcPr>
            <w:tcW w:w="0" w:type="auto"/>
          </w:tcPr>
          <w:p>
            <w:pPr>
              <w:spacing w:line="240" w:lineRule="auto" w:before="0" w:after="0"/>
              <w:pStyle w:val="Compact"/>
            </w:pPr>
            <w:r>
              <w:rPr>
                <w:sz w:val="20"/>
                <w:szCs w:val="20"/>
              </w:rPr>
              <w:t xml:space="preserve">0.5138</w:t>
            </w:r>
          </w:p>
        </w:tc>
        <w:tc>
          <w:tcPr>
            <w:tcW w:w="0" w:type="auto"/>
          </w:tcPr>
          <w:p>
            <w:pPr>
              <w:spacing w:line="240" w:lineRule="auto" w:before="0" w:after="0"/>
              <w:pStyle w:val="Compact"/>
            </w:pPr>
            <w:r>
              <w:rPr>
                <w:sz w:val="20"/>
                <w:szCs w:val="20"/>
              </w:rPr>
              <w:t xml:space="preserve">[-0.5636, 0.2819]</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-1.5306</w:t>
            </w:r>
          </w:p>
        </w:tc>
        <w:tc>
          <w:tcPr>
            <w:tcW w:w="0" w:type="auto"/>
          </w:tcPr>
          <w:p>
            <w:pPr>
              <w:spacing w:line="240" w:lineRule="auto" w:before="0" w:after="0"/>
              <w:pStyle w:val="Compact"/>
            </w:pPr>
            <w:r>
              <w:rPr>
                <w:sz w:val="20"/>
                <w:szCs w:val="20"/>
              </w:rPr>
              <w:t xml:space="preserve">0.5029</w:t>
            </w:r>
          </w:p>
        </w:tc>
        <w:tc>
          <w:tcPr>
            <w:tcW w:w="0" w:type="auto"/>
          </w:tcPr>
          <w:p>
            <w:pPr>
              <w:spacing w:line="240" w:lineRule="auto" w:before="0" w:after="0"/>
              <w:pStyle w:val="Compact"/>
            </w:pPr>
            <w:r>
              <w:rPr>
                <w:sz w:val="20"/>
                <w:szCs w:val="20"/>
              </w:rPr>
              <w:t xml:space="preserve">-3.0432</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[-2.5163, -0.5448]</w:t>
            </w:r>
          </w:p>
        </w:tc>
      </w:tr>
    </w:tbl>
    <w:p>
      <w:pPr>
        <w:pStyle w:val="BodyText"/>
      </w:pPr>
      <w:r>
        <w:t xml:space="preserve">Fit: N = 26 R2 = 0.5198 R2_adj = 0.478 F = 15.1096 F_p = 6.458e-05</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2026-06-27T00:26:27Z</dcterms:created>
  <dcterms:modified xsi:type="dcterms:W3CDTF">2026-06-27T00:26:27Z</dcterms:modified>
</cp:coreProperties>
</file>

<file path=docProps/custom.xml><?xml version="1.0" encoding="utf-8"?>
<Properties xmlns="http://schemas.openxmlformats.org/officeDocument/2006/custom-properties" xmlns:vt="http://schemas.openxmlformats.org/officeDocument/2006/docPropsVTypes"/>
</file>