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LUNAR SURFACE INSTRUMENT AND LANDER COST CLIOMETRICS: IS THE COMMERCIAL DELIVERY MODEL PRODUCING STATISTICALLY DETECTABLE UNIT-COST REDUCTIONS RELATIVE TO THE CONVENTIONAL PROCUREMENT COUNTERFACTUAL?</w:t>
      </w:r>
    </w:p>
    <w:p>
      <w:pPr>
        <w:jc w:val="center"/>
      </w:pPr>
    </w:p>
    <w:p>
      <w:pPr>
        <w:jc w:val="center"/>
      </w:pPr>
      <w:r>
        <w:rPr>
          <w:rFonts w:ascii="Times New Roman" w:hAnsi="Times New Roman"/>
          <w:sz w:val="24"/>
        </w:rPr>
        <w:t>by</w:t>
      </w:r>
    </w:p>
    <w:p>
      <w:pPr>
        <w:jc w:val="center"/>
      </w:pPr>
      <w:r>
        <w:rPr>
          <w:rFonts w:ascii="Times New Roman" w:hAnsi="Times New Roman"/>
          <w:b/>
          <w:sz w:val="28"/>
        </w:rPr>
        <w:t>Marina Petrov</w:t>
      </w:r>
    </w:p>
    <w:p>
      <w:pPr>
        <w:jc w:val="center"/>
      </w:pPr>
      <w:r>
        <w:rPr>
          <w:rFonts w:ascii="Times New Roman" w:hAnsi="Times New Roman"/>
          <w:sz w:val="24"/>
        </w:rPr>
        <w:t>1B-LUN-099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matters-now"/>
    <w:p>
      <w:pPr>
        <w:pStyle w:val="Heading2"/>
        <w:spacing w:line="480" w:lineRule="auto"/>
      </w:pPr>
      <w:r>
        <w:t xml:space="preserve">1.1 The Problem and Why It Matters Now</w:t>
      </w:r>
    </w:p>
    <w:p>
      <w:pPr>
        <w:pStyle w:val="FirstParagraph"/>
        <w:spacing w:line="480" w:lineRule="auto"/>
      </w:pPr>
      <w:r>
        <w:t xml:space="preserve">The Commercial Lunar Payload Services initiative was authorized by the National Aeronautics and Space Administration as a deliberate procurement substitution. In place of the cost-plus, cost-reimbursable instrument-and-lander acquisitions that defined the Surveyor program, the Apollo Lunar Surface Experiments Package, and the cost-reimbursable components of the Resource Prospector and Volatiles Investigating Polar Exploration Rover lineage, the agency placed a fixed-price, indefinite-delivery, indefinite-quantity contracting instrument under which task orders are issued against a competed pool of commercial vendors. Nine landers were placed on contract as the near-term surface-delivery backbone for the Artemis architecture and the broader civil and scientific lunar-instrument manifest, and the agency stated, as the policy expectation that motivated the substitution, that the fixed-price commercial-services model would lower per-kilogram delivery cost to the lunar surface relative to the heritage cost-plus counterfactual</w:t>
      </w:r>
      <w:r>
        <w:t xml:space="preserve"> </w:t>
      </w:r>
      <w:hyperlink w:anchor="ref-3">
        <w:r>
          <w:rPr>
            <w:rStyle w:val="Hyperlink"/>
          </w:rPr>
          <w:t xml:space="preserve">[3]</w:t>
        </w:r>
      </w:hyperlink>
      <w:r>
        <w:t xml:space="preserve">[7]. The expectation was framed as an extension to cislunar surface delivery of the documented Commercial Orbital Transportation Services to Commercial Resupply Services transition for low Earth orbit cargo, in which the space-economics literature has argued that fixed-price commercial-services contracting produced a measurable unit-cost reduction relative to the cost-plus counterfactual that preceded it</w:t>
      </w:r>
      <w:r>
        <w:t xml:space="preserve"> </w:t>
      </w:r>
      <w:hyperlink w:anchor="ref-3">
        <w:r>
          <w:rPr>
            <w:rStyle w:val="Hyperlink"/>
          </w:rPr>
          <w:t xml:space="preserve">[3]</w:t>
        </w:r>
      </w:hyperlink>
      <w:r>
        <w:t xml:space="preserve">[7].</w:t>
      </w:r>
    </w:p>
    <w:p>
      <w:pPr>
        <w:pStyle w:val="BodyText"/>
        <w:spacing w:line="480" w:lineRule="auto"/>
        <w:ind w:firstLine="720"/>
      </w:pPr>
      <w:r>
        <w:t xml:space="preserve">The expectation has not, to date, been tested in the peer-reviewed literature using the awarded and obligated dollar values that the agency itself has published. That absence is the point of departure for this dissertation. The lunar surface delivery decision is not a marginal procurement choice. It is a decadal-horizon architecture commitment whose cost behavior cascades into the size and composition of the lunar-instrument manifest, the science return per appropriated dollar, the credibility of the commercial-services model as it is extended to Mars sample handling and to surface nuclear power, and the institutional position of the Jet Propulsion Laboratory and its sister centers as the cost-plus heritage providers against whom the commercial entrants are now being compared. The cost question is therefore an institutional question as much as it is an econometric one, and the absence of a defensible estimate of the sign and magnitude of the procurement-regime effect is a gap that the dissertation is written to close.</w:t>
      </w:r>
    </w:p>
    <w:p>
      <w:pPr>
        <w:pStyle w:val="BodyText"/>
        <w:spacing w:line="480" w:lineRule="auto"/>
        <w:ind w:firstLine="720"/>
      </w:pPr>
      <w:r>
        <w:t xml:space="preserve">The stakes for the National Aeronautics and Space Administration are immediate. The agency is now operating two parallel lunar-surface acquisition tracks. The first is the heritage cost-plus track on which the agency still procures the most demanding flagship-class instruments and the rover-and-lander integrated systems for which no commercial vendor has yet demonstrated capability. The second is the Commercial Lunar Payload Services fixed-price track on which the agency now buys delivery to the surface as a service. The agency must allocate appropriated dollars across the two tracks under a constrained top line, and the rational allocation depends on a defensible estimate of the per-kilogram cost of delivery under each regime, conditioned on payload mass class, destination site difficulty, and contractor learning. In the absence of such an estimate, the allocation is being made on the strength of a policy expectation rather than on the strength of an empirical finding.</w:t>
      </w:r>
    </w:p>
    <w:p>
      <w:pPr>
        <w:pStyle w:val="BodyText"/>
        <w:spacing w:line="480" w:lineRule="auto"/>
        <w:ind w:firstLine="720"/>
      </w:pPr>
      <w:r>
        <w:t xml:space="preserve">The stakes for the Jet Propulsion Laboratory are sharper still. The laboratory is the heritage cost-plus provider whose flagship instrument and rover programs constitute much of the counterfactual record against which the commercial entrants are now being benchmarked, and the laboratory is simultaneously in a recompete posture under the federally funded research and development center contract whose strategic case rests in part on the cost discipline that the laboratory can demonstrate against the commercial cohort. If the procurement-regime effect on per-kilogram delivery cost is large and negative, the laboratory faces a strategic case for migrating more of its instrument-and-lander work onto the commercial bus. If the effect is small or indistinguishable from zero, the laboratory faces a strategic case for defending the cost-plus envelope on the grounds that the commercial savings have been overstated. Either way, the laboratory cannot make the case without the estimate, and the estimate has not been published.</w:t>
      </w:r>
    </w:p>
    <w:p>
      <w:pPr>
        <w:pStyle w:val="BodyText"/>
        <w:spacing w:line="480" w:lineRule="auto"/>
        <w:ind w:firstLine="720"/>
      </w:pPr>
      <w:r>
        <w:t xml:space="preserve">The Government Accountability Office has, in successive annual Major Project Assessments, published the task-order schedules and award values for the active Commercial Lunar Payload Services manifest, most recently in the 2025 edition, and has also flagged the divergence between awarded values and realized cost as descopes, re-prices, and terminations accumulate across the manifest</w:t>
      </w:r>
      <w:r>
        <w:t xml:space="preserve"> </w:t>
      </w:r>
      <w:hyperlink w:anchor="ref-10">
        <w:r>
          <w:rPr>
            <w:rStyle w:val="Hyperlink"/>
          </w:rPr>
          <w:t xml:space="preserve">[10]</w:t>
        </w:r>
      </w:hyperlink>
      <w:r>
        <w:t xml:space="preserve">[14]. The Office of Inspector General has independently published the cost record for the Griffin task order under which the Volatiles Investigating Polar Exploration Rover was to be delivered, and has documented the cost overruns and schedule slips that ultimately drove the agency to cancel the rover even as the lander delivery contract was retained</w:t>
      </w:r>
      <w:r>
        <w:t xml:space="preserve"> </w:t>
      </w:r>
      <w:hyperlink w:anchor="ref-11">
        <w:r>
          <w:rPr>
            <w:rStyle w:val="Hyperlink"/>
          </w:rPr>
          <w:t xml:space="preserve">[11]</w:t>
        </w:r>
      </w:hyperlink>
      <w:r>
        <w:t xml:space="preserve">. The National Space Science Data Coordinated Archive fact sheets, the Deep Space Chronicle prepared by Siddiqi as NASA SP-2002-4524, and the public press materials of the Indian Space Research Organisation, the Japan Aerospace Exploration Agency, and the China National Space Administration together complete a publicly assembled record of heritage cost-plus and contemporary commercial lunar-lander delivery values that is now large enough to support cliometric inference</w:t>
      </w:r>
      <w:r>
        <w:t xml:space="preserve"> </w:t>
      </w:r>
      <w:hyperlink w:anchor="ref-12">
        <w:r>
          <w:rPr>
            <w:rStyle w:val="Hyperlink"/>
          </w:rPr>
          <w:t xml:space="preserve">[12]</w:t>
        </w:r>
      </w:hyperlink>
      <w:r>
        <w:t xml:space="preserve">[17][18][19][20]. The empirical preconditions for the test are therefore in place.</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The dissertation is positioned in the gap between two literatures that have, to date, not been brought into productive contact.</w:t>
      </w:r>
    </w:p>
    <w:p>
      <w:pPr>
        <w:pStyle w:val="BodyText"/>
        <w:spacing w:line="480" w:lineRule="auto"/>
        <w:ind w:firstLine="720"/>
      </w:pPr>
      <w:r>
        <w:t xml:space="preserve">The first literature is the technical lunar-surface and cislunar space domain awareness literature whose recent contributions have documented the Commercial Lunar Payload Services manifest, the contractor roster, the landing-site selection, the payload classes, and the architectural drivers of commercial lander cost. Van Cleve and colleagues have shown that mass and per-kilogram delivery cost are primary architectural drivers for commercial landers carrying cislunar space domain awareness payloads, and have published the early operating record of a commercial-bus-hosted lunar-surface observatory</w:t>
      </w:r>
      <w:r>
        <w:t xml:space="preserve"> </w:t>
      </w:r>
      <w:hyperlink w:anchor="ref-1">
        <w:r>
          <w:rPr>
            <w:rStyle w:val="Hyperlink"/>
          </w:rPr>
          <w:t xml:space="preserve">[1]</w:t>
        </w:r>
      </w:hyperlink>
      <w:r>
        <w:t xml:space="preserve">[8][15][22]. Lawitzke and colleagues have extended the architecture to a hybrid sensor for joint space domain awareness and lunar surface intelligence, again treating the commercial bus as the delivery vehicle</w:t>
      </w:r>
      <w:r>
        <w:t xml:space="preserve"> </w:t>
      </w:r>
      <w:hyperlink w:anchor="ref-4">
        <w:r>
          <w:rPr>
            <w:rStyle w:val="Hyperlink"/>
          </w:rPr>
          <w:t xml:space="preserve">[4]</w:t>
        </w:r>
      </w:hyperlink>
      <w:r>
        <w:t xml:space="preserve">. Osterman and colleagues have published the anthropogenic change detection use case that the commercial-bus-delivered surface observatory enables</w:t>
      </w:r>
      <w:r>
        <w:t xml:space="preserve"> </w:t>
      </w:r>
      <w:hyperlink w:anchor="ref-5">
        <w:r>
          <w:rPr>
            <w:rStyle w:val="Hyperlink"/>
          </w:rPr>
          <w:t xml:space="preserve">[5]</w:t>
        </w:r>
      </w:hyperlink>
      <w:r>
        <w:t xml:space="preserve">[29]. Van Cleve and colleagues have documented a year in the life of the Shackleton Space Domain Awareness Station, providing the longest publicly available record of a hosted-payload cislunar surface science operation to date</w:t>
      </w:r>
      <w:r>
        <w:t xml:space="preserve"> </w:t>
      </w:r>
      <w:hyperlink w:anchor="ref-9">
        <w:r>
          <w:rPr>
            <w:rStyle w:val="Hyperlink"/>
          </w:rPr>
          <w:t xml:space="preserve">[9]</w:t>
        </w:r>
      </w:hyperlink>
      <w:r>
        <w:t xml:space="preserve">[24]. The Cislunar Orbit Determination work of Koblick and Choi, the architectural cislunar space traffic management work of Bilka and colleagues, the sensor-rich lunar and cislunar space domain awareness architecture of Banks and colleagues, the cost-effective commercial-lander cislunar imaging work of Zimmer and colleagues, and the ground-based optical observation work of Raub and Krzystyniak together extend the architectural and operational record of the commercial-bus delivery model into the cislunar awareness domain</w:t>
      </w:r>
      <w:r>
        <w:t xml:space="preserve"> </w:t>
      </w:r>
      <w:hyperlink w:anchor="ref-2">
        <w:r>
          <w:rPr>
            <w:rStyle w:val="Hyperlink"/>
          </w:rPr>
          <w:t xml:space="preserve">[2]</w:t>
        </w:r>
      </w:hyperlink>
      <w:r>
        <w:t xml:space="preserve">[23][25][26][27][28]. The Acta Astronautica literature has further documented the engineering envelope of the commercial lander class, the lunar-surface power and mobility envelope under which the lander cohort must operate, the plume-surface interaction physics that constrain landing site selection, and the in-situ resource utilisation cases that the lander cohort is being asked to enable</w:t>
      </w:r>
      <w:r>
        <w:t xml:space="preserve"> </w:t>
      </w:r>
      <w:hyperlink w:anchor="ref-30">
        <w:r>
          <w:rPr>
            <w:rStyle w:val="Hyperlink"/>
          </w:rPr>
          <w:t xml:space="preserve">[30]</w:t>
        </w:r>
      </w:hyperlink>
      <w:r>
        <w:t xml:space="preserve">[31][32][33][34][35][36][37].</w:t>
      </w:r>
    </w:p>
    <w:p>
      <w:pPr>
        <w:pStyle w:val="BodyText"/>
        <w:spacing w:line="480" w:lineRule="auto"/>
        <w:ind w:firstLine="720"/>
      </w:pPr>
      <w:r>
        <w:t xml:space="preserve">The technical literature has, however, treated the contracting model itself as an exogenous policy fact rather than as a treatment whose effect on per-kilogram delivery cost is an estimand. The architectural drivers of cost are documented; the regime under which the cost is procured is not estimated.</w:t>
      </w:r>
    </w:p>
    <w:p>
      <w:pPr>
        <w:pStyle w:val="BodyText"/>
        <w:spacing w:line="480" w:lineRule="auto"/>
        <w:ind w:firstLine="720"/>
      </w:pPr>
      <w:r>
        <w:t xml:space="preserve">The second literature is the cliometric and econometric method literature on commercial-services procurement reform. Weinzierl has provided the most cited statement of the case that fixed-price commercial-services contracting transfers cost-overrun risk from the public sponsor to the private vendor and disciplines the vendor toward design and supply-chain choices that the cost-plus arrangement does not reward, and has documented the Commercial Orbital Transportation Services to Commercial Resupply Services transition in low Earth orbit as the canonical empirical case</w:t>
      </w:r>
      <w:r>
        <w:t xml:space="preserve"> </w:t>
      </w:r>
      <w:hyperlink w:anchor="ref-3">
        <w:r>
          <w:rPr>
            <w:rStyle w:val="Hyperlink"/>
          </w:rPr>
          <w:t xml:space="preserve">[3]</w:t>
        </w:r>
      </w:hyperlink>
      <w:r>
        <w:t xml:space="preserve">[7]. The Outer Continent Economic Analysis treatment of the broader space economy has folded the Commercial Lunar Payload Services transition into a forecast envelope for the commercial lunar transportation market, but has not disaggregated lunar surface delivery as a distinct cliometric line item whose treatment effect on unit cost has been estimated</w:t>
      </w:r>
      <w:r>
        <w:t xml:space="preserve"> </w:t>
      </w:r>
      <w:hyperlink w:anchor="ref-6">
        <w:r>
          <w:rPr>
            <w:rStyle w:val="Hyperlink"/>
          </w:rPr>
          <w:t xml:space="preserve">[6]</w:t>
        </w:r>
      </w:hyperlink>
      <w:r>
        <w:t xml:space="preserve">[16]. The classical statement of the Wright learning curve, in which unit cost falls by a fixed proportion with each doubling of cumulative output, has been invoked across aerospace manufacturing and has been carried into the small-satellite and reusable-launch literatures, but has not been tested against the lunar-lander manifest</w:t>
      </w:r>
      <w:r>
        <w:t xml:space="preserve"> </w:t>
      </w:r>
      <w:hyperlink w:anchor="ref-13">
        <w:r>
          <w:rPr>
            <w:rStyle w:val="Hyperlink"/>
          </w:rPr>
          <w:t xml:space="preserve">[13]</w:t>
        </w:r>
      </w:hyperlink>
      <w:r>
        <w:t xml:space="preserve">.</w:t>
      </w:r>
    </w:p>
    <w:p>
      <w:pPr>
        <w:pStyle w:val="BodyText"/>
        <w:spacing w:line="480" w:lineRule="auto"/>
        <w:ind w:firstLine="720"/>
      </w:pPr>
      <w:r>
        <w:t xml:space="preserve">The second literature has therefore developed the empirical instruments by which the procurement-regime question can be answered, but has not applied those instruments to the lunar surface delivery market. The cliometric estimation strategy is available; the lunar surface dataset has not been assembled and the estimation has not been performed.</w:t>
      </w:r>
    </w:p>
    <w:p>
      <w:pPr>
        <w:pStyle w:val="BodyText"/>
        <w:spacing w:line="480" w:lineRule="auto"/>
        <w:ind w:firstLine="720"/>
      </w:pPr>
      <w:r>
        <w:t xml:space="preserve">The gap between the two literatures is empirical and methodological. It is empirical in that no published estimate of the sign and magnitude of the Commercial Lunar Payload Services treatment effect on per-kilogram lunar surface delivery cost exists. It is methodological in that the cliometric estimation strategies that the space-economics literature has developed for the low Earth orbit cargo market have not been adapted to the lunar surface delivery panel and to its small-sample, composition-heavy, awarded-versus-realized data structure. This dissertation is written to close that gap on both sides at once.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will estimate one quantity. It is the difference-in-differences treatment effect of the Commercial Lunar Payload Services fixed-price commercial-services procurement model on awarded per-kilogram unit cost of lunar surface payload delivered, relative to the cost-plus heritage counterfactual, expressed in constant fiscal year 2025 United States dollars, after conditioning on payload mass class, destination site difficulty class, and contractor cumulative-experience learning.</w:t>
      </w:r>
    </w:p>
    <w:p>
      <w:pPr>
        <w:pStyle w:val="BodyText"/>
        <w:spacing w:line="480" w:lineRule="auto"/>
        <w:ind w:firstLine="720"/>
      </w:pPr>
      <w:r>
        <w:t xml:space="preserve">The null hypothesis is that the procurement-regime treatment effect on awarded per-kilogram unit cost is statistically indistinguishable from zero at the ninety-five percent confidence level after the conditioning is applied. The alternative hypothesis is that the procurement-regime treatment effect is statistically distinguishable from zero at the ninety-five percent confidence level, with a negative sign indicating a reduction in per-kilogram unit cost under the fixed-price commercial regime relative to the cost-plus heritage counterfactual. The published estimate will report a point estimate, an analytic standard error, a frequentist confidence interval, and, as a robustness companion, a Bayesian posterior under a weakly informative prior on the treatment-effect sign. The estimate will be falsifiable in the strict sense that the published confidence interval will either include zero or exclude zero, and the sign of the point estimate will either confirm or contradict the policy claim that motivated the procurement substitution</w:t>
      </w:r>
      <w:r>
        <w:t xml:space="preserve"> </w:t>
      </w:r>
      <w:hyperlink w:anchor="ref-3">
        <w:r>
          <w:rPr>
            <w:rStyle w:val="Hyperlink"/>
          </w:rPr>
          <w:t xml:space="preserve">[3]</w:t>
        </w:r>
      </w:hyperlink>
      <w:r>
        <w:t xml:space="preserve">[7].</w:t>
      </w:r>
    </w:p>
    <w:p>
      <w:pPr>
        <w:pStyle w:val="BodyText"/>
        <w:spacing w:line="480" w:lineRule="auto"/>
        <w:ind w:firstLine="720"/>
      </w:pPr>
      <w:r>
        <w:t xml:space="preserve">The contribution is novel because the cliometric estimate has not been published for lunar surface delivery, because the difference-in-differences identification strategy has not been adapted to the lunar-lander panel, and because the estimate will be reported with explicit treatment of the threats to validity that the small-sample, composition-heavy, awarded-versus-realized data structure imposes. The two companion papers that the candidate has produced in the prospectus phase have established the empirical preconditions for the estimate. The first paper has fitted a log-linear ordinary least squares specification on a twenty-six-mission panel and has recovered a regime-indicator coefficient of approximately negative one point five three on the natural log of per-mission delivery cost, statistically distinguishable from zero at the conventional level, which corresponds on the cost scale to a per-mission delivery cost that is roughly seventy-eight percent below the heritage cost-plus counterfactual at the conditioned mass. The second paper has fitted a pooled log-log Wright learning curve on a thirty-mission panel and has recovered a positive elasticity of approximately zero point five seven, which is a refutation of the naive pooled Wright hypothesis driven by a provider-mix composition effect rather than by within-provider experience accumulation. The two findings are not in tension. The regime-substitution mechanism appears to be carrying the cost-reducing signal that the policy expectation predicted, and the within-provider learning mechanism has not yet had the multi-unit doublings it would require to produce a clean Wright signal. The dissertation will take the regime-substitution finding forward, harden it under the threats to validity that the prospectus has enumerated, and deliver the difference-in-differences estimate as the falsifiable contribution.</w:t>
      </w:r>
    </w:p>
    <w:p>
      <w:pPr>
        <w:pStyle w:val="BodyText"/>
        <w:spacing w:line="480" w:lineRule="auto"/>
        <w:ind w:firstLine="720"/>
      </w:pPr>
      <w:r>
        <w:t xml:space="preserve">The contribution is bounded. The dissertation does not estimate the lifecycle cost of a lunar surface science program. It does not estimate the science return per appropriated dollar. It does not estimate the option value of the commercial-services architecture for downstream Mars and surface-power applications. It estimates one quantity, with one confidence interval, on one panel, under one identification strategy and one robustness envelope. The discipline of the single estimand is what makes the contribution falsifiable, and the falsifiability is what makes it doctoral.</w:t>
      </w:r>
    </w:p>
    <w:bookmarkEnd w:id="63"/>
    <w:bookmarkStart w:id="64" w:name="roadmap"/>
    <w:p>
      <w:pPr>
        <w:pStyle w:val="Heading2"/>
        <w:spacing w:line="480" w:lineRule="auto"/>
      </w:pPr>
      <w:r>
        <w:t xml:space="preserve">1.4 Roadmap</w:t>
      </w:r>
    </w:p>
    <w:p>
      <w:pPr>
        <w:pStyle w:val="FirstParagraph"/>
        <w:spacing w:line="480" w:lineRule="auto"/>
      </w:pPr>
      <w:r>
        <w:t xml:space="preserve">The dissertation proceeds in eight chapters after this introduction.</w:t>
      </w:r>
    </w:p>
    <w:p>
      <w:pPr>
        <w:pStyle w:val="BodyText"/>
        <w:spacing w:line="480" w:lineRule="auto"/>
        <w:ind w:firstLine="720"/>
      </w:pPr>
      <w:r>
        <w:t xml:space="preserve">Chapter 2 reviews the technical lunar-surface and cislunar space domain awareness literature in which the Commercial Lunar Payload Services manifest is documented and in which the architectural drivers of commercial lander cost are characterised</w:t>
      </w:r>
      <w:r>
        <w:t xml:space="preserve"> </w:t>
      </w:r>
      <w:hyperlink w:anchor="ref-1">
        <w:r>
          <w:rPr>
            <w:rStyle w:val="Hyperlink"/>
          </w:rPr>
          <w:t xml:space="preserve">[1]</w:t>
        </w:r>
      </w:hyperlink>
      <w:r>
        <w:t xml:space="preserve">[2][4][5][8][9][15][22][23][24][25][26][27][28][29], and reviews the Acta Astronautica engineering literature that bounds the operating envelope of the lander cohort</w:t>
      </w:r>
      <w:r>
        <w:t xml:space="preserve"> </w:t>
      </w:r>
      <w:hyperlink w:anchor="ref-30">
        <w:r>
          <w:rPr>
            <w:rStyle w:val="Hyperlink"/>
          </w:rPr>
          <w:t xml:space="preserve">[30]</w:t>
        </w:r>
      </w:hyperlink>
      <w:r>
        <w:t xml:space="preserve">[31][32][33][34][35][36][37]. The review establishes the technical state of practice against which the cost estimation will be performed.</w:t>
      </w:r>
    </w:p>
    <w:p>
      <w:pPr>
        <w:pStyle w:val="BodyText"/>
        <w:spacing w:line="480" w:lineRule="auto"/>
        <w:ind w:firstLine="720"/>
      </w:pPr>
      <w:r>
        <w:t xml:space="preserve">Chapter 3 reviews the cliometric and econometric method literature on commercial-services procurement reform</w:t>
      </w:r>
      <w:r>
        <w:t xml:space="preserve"> </w:t>
      </w:r>
      <w:hyperlink w:anchor="ref-3">
        <w:r>
          <w:rPr>
            <w:rStyle w:val="Hyperlink"/>
          </w:rPr>
          <w:t xml:space="preserve">[3]</w:t>
        </w:r>
      </w:hyperlink>
      <w:r>
        <w:t xml:space="preserve">[7], on the Outer Continent Economic Analysis treatment of the commercial lunar transportation market</w:t>
      </w:r>
      <w:r>
        <w:t xml:space="preserve"> </w:t>
      </w:r>
      <w:hyperlink w:anchor="ref-6">
        <w:r>
          <w:rPr>
            <w:rStyle w:val="Hyperlink"/>
          </w:rPr>
          <w:t xml:space="preserve">[6]</w:t>
        </w:r>
      </w:hyperlink>
      <w:r>
        <w:t xml:space="preserve">[16], and on the classical Wright learning curve</w:t>
      </w:r>
      <w:r>
        <w:t xml:space="preserve"> </w:t>
      </w:r>
      <w:hyperlink w:anchor="ref-13">
        <w:r>
          <w:rPr>
            <w:rStyle w:val="Hyperlink"/>
          </w:rPr>
          <w:t xml:space="preserve">[13]</w:t>
        </w:r>
      </w:hyperlink>
      <w:r>
        <w:t xml:space="preserve">, and develops the gap between the domain literature and the method literature that the dissertation is positioned to close.</w:t>
      </w:r>
    </w:p>
    <w:p>
      <w:pPr>
        <w:pStyle w:val="BodyText"/>
        <w:spacing w:line="480" w:lineRule="auto"/>
        <w:ind w:firstLine="720"/>
      </w:pPr>
      <w:r>
        <w:t xml:space="preserve">Chapter 4 specifies the difference-in-differences identification strategy, the two-way fixed-effects panel specification on payload mass class and landing-site difficulty class, the contractor cumulative-experience term in both linear and Wright forms, the parallel-trends placebo specification, the contractor-clustered analytic standard error, and the weakly informative Bayesian companion. The chapter states the identifying assumptions, the threats to identification, and the robustness envelope under which the estimate will be defended.</w:t>
      </w:r>
    </w:p>
    <w:p>
      <w:pPr>
        <w:pStyle w:val="BodyText"/>
        <w:spacing w:line="480" w:lineRule="auto"/>
        <w:ind w:firstLine="720"/>
      </w:pPr>
      <w:r>
        <w:t xml:space="preserve">Chapter 5 documents the data. The Commercial Lunar Payload Services task-order panel is reconstructed from the awarded-task-order record published by the agency and from the Government Accountability Office Major Project Assessment record</w:t>
      </w:r>
      <w:r>
        <w:t xml:space="preserve"> </w:t>
      </w:r>
      <w:hyperlink w:anchor="ref-10">
        <w:r>
          <w:rPr>
            <w:rStyle w:val="Hyperlink"/>
          </w:rPr>
          <w:t xml:space="preserve">[10]</w:t>
        </w:r>
      </w:hyperlink>
      <w:r>
        <w:t xml:space="preserve">[14], with the Office of Inspector General record on the Griffin task order treated as a separate sensitivity case</w:t>
      </w:r>
      <w:r>
        <w:t xml:space="preserve"> </w:t>
      </w:r>
      <w:hyperlink w:anchor="ref-11">
        <w:r>
          <w:rPr>
            <w:rStyle w:val="Hyperlink"/>
          </w:rPr>
          <w:t xml:space="preserve">[11]</w:t>
        </w:r>
      </w:hyperlink>
      <w:r>
        <w:t xml:space="preserve">. The heritage cost-plus counterfactual panel is reconstructed from the National Space Science Data Coordinated Archive fact sheets and the Deep Space Chronicle</w:t>
      </w:r>
      <w:r>
        <w:t xml:space="preserve"> </w:t>
      </w:r>
      <w:hyperlink w:anchor="ref-12">
        <w:r>
          <w:rPr>
            <w:rStyle w:val="Hyperlink"/>
          </w:rPr>
          <w:t xml:space="preserve">[12]</w:t>
        </w:r>
      </w:hyperlink>
      <w:r>
        <w:t xml:space="preserve">[17][18]. The international comparator panel, used as an external validity check rather than as part of the primary identification, is reconstructed from the Indian Space Research Organisation, the Japan Aerospace Exploration Agency, the China National Space Administration, and the ispace public disclosures</w:t>
      </w:r>
      <w:r>
        <w:t xml:space="preserve"> </w:t>
      </w:r>
      <w:hyperlink w:anchor="ref-19">
        <w:r>
          <w:rPr>
            <w:rStyle w:val="Hyperlink"/>
          </w:rPr>
          <w:t xml:space="preserve">[19]</w:t>
        </w:r>
      </w:hyperlink>
      <w:r>
        <w:t xml:space="preserve">[20][21]. Each observation is reproduced with its full source string, and the illustrative observations are flagged.</w:t>
      </w:r>
    </w:p>
    <w:p>
      <w:pPr>
        <w:pStyle w:val="BodyText"/>
        <w:spacing w:line="480" w:lineRule="auto"/>
        <w:ind w:firstLine="720"/>
      </w:pPr>
      <w:r>
        <w:t xml:space="preserve">Chapter 6 reports the primary difference-in-differences estimate, the parallel-trends placebo, the payload mass class and landing-site difficulty fixed-effects robustness, the contractor cumulative-experience and Wright-form learning robustness, the awarded-versus-realized sensitivity using only completed and accepted deliveries, the contractor-clustered standard error envelope, and the Bayesian posterior companion.</w:t>
      </w:r>
    </w:p>
    <w:p>
      <w:pPr>
        <w:pStyle w:val="BodyText"/>
        <w:spacing w:line="480" w:lineRule="auto"/>
        <w:ind w:firstLine="720"/>
      </w:pPr>
      <w:r>
        <w:t xml:space="preserve">Chapter 7 reports the secondary findings. The composition-effect decomposition that the prospectus second paper anticipated is reported as a separate result, with the regime-indicator coefficient decomposed into a within-mass-class within-site-difficulty within-contractor component and a composition component, so that the policy reader can see how much of the headline effect is regime substitution and how much is payload-class composition shift. The pooled Wright learning curve is reported as a refutation result with its provider-mix interpretation, consistent with the prospectus second paper finding.</w:t>
      </w:r>
    </w:p>
    <w:p>
      <w:pPr>
        <w:pStyle w:val="BodyText"/>
        <w:spacing w:line="480" w:lineRule="auto"/>
        <w:ind w:firstLine="720"/>
      </w:pPr>
      <w:r>
        <w:t xml:space="preserve">Chapter 8 develops the implications for the National Aeronautics and Space Administration acquisition strategy and for the Jet Propulsion Laboratory institutional position. The chapter is written so that a programme manager can read the implications without reading the econometric chapters, and so that a doctoral examiner can read the implications and verify that they are bounded by the confidence interval and by the robustness envelope.</w:t>
      </w:r>
    </w:p>
    <w:p>
      <w:pPr>
        <w:pStyle w:val="BodyText"/>
        <w:spacing w:line="480" w:lineRule="auto"/>
        <w:ind w:firstLine="720"/>
      </w:pPr>
      <w:r>
        <w:t xml:space="preserve">Chapter 9 concludes. It restates the single falsifiable contribution, summarises the result, enumerates the threats to validity that the robustness envelope has and has not addressed, and identifies the three research extensions that the dissertation does not perform and that the next manifest cycle will make available. The extensions are the within-provider Wright test that the IM-2 to IM-4 and Blue Ghost M1 to M3 series will support by approximately 2028, the awarded-versus-realized reconciliation that the completed and accepted delivery record will support as the manifest matures, and the cross-architecture extension to Mars sample handling and to surface nuclear power for which the commercial-services procurement model is now being proposed.</w:t>
      </w:r>
    </w:p>
    <w:p>
      <w:pPr>
        <w:pStyle w:val="BodyText"/>
        <w:spacing w:line="480" w:lineRule="auto"/>
        <w:ind w:firstLine="720"/>
      </w:pPr>
      <w:r>
        <w:t xml:space="preserve">The dissertation is written, throughout, in the discipline that the single falsifiable contribution imposes. One estimand, one identification strategy, one panel, one confidence interval, one robustness envelope, one bounded set of implications. The chapters that follow are written to that discipline.</w:t>
      </w:r>
    </w:p>
    <w:bookmarkEnd w:id="64"/>
    <w:bookmarkEnd w:id="65"/>
    <w:bookmarkStart w:id="79"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The dissertation sits at the intersection of two scholarly traditions that have, to date, developed largely in parallel and have rarely been joined in a single empirical exercise. The first is the technical and architectural literature on lunar surface operations, instruments, and landers, which has matured rapidly since the announcement of the Commercial Lunar Payload Services initiative and the subsequent population of the cislunar manifest with both heritage and commercial entrants. The second is the cliometric and econometric literature on procurement-regime substitution, learning curves, and the cost behavior of fixed-price commercial-services contracting, which has accumulated a body of evidence on the Commercial Orbital Transportation Services to Commercial Resupply Services transition in low Earth orbit but has not yet been carried across the cislunar threshold. The purpose of this chapter is to review each literature in turn, to identify what each has established and where each has stopped, and to articulate the gap that the dissertation’s single falsifiable contribution is designed to fill. The chapter proceeds in five movements: a review of the lunar surface technical and architectural literature; a review of the cliometric, learning-curve, and procurement-regime literature; a treatment of the data and provenance literature that documents the awarded cost record; an analytic synthesis of the two unjoined bodies; and a statement of the gap, which is carried forward as the design target for Chapter 3.</w:t>
      </w:r>
    </w:p>
    <w:bookmarkEnd w:id="66"/>
    <w:bookmarkStart w:id="70" w:name="X9abda748e7577a5afdd49dcfce02c3e98013867"/>
    <w:p>
      <w:pPr>
        <w:pStyle w:val="Heading2"/>
        <w:spacing w:line="480" w:lineRule="auto"/>
      </w:pPr>
      <w:r>
        <w:t xml:space="preserve">2.2 The Lunar Surface Technical and Architectural Literature</w:t>
      </w:r>
    </w:p>
    <w:bookmarkStart w:id="67" w:name="X639e577c1c5effca74500deb4c0a037a9120b91"/>
    <w:p>
      <w:pPr>
        <w:pStyle w:val="Heading3"/>
        <w:spacing w:line="480" w:lineRule="auto"/>
      </w:pPr>
      <w:r>
        <w:t xml:space="preserve">2.2.1 The Cislunar Sensing and Surface Observatory Literature</w:t>
      </w:r>
    </w:p>
    <w:p>
      <w:pPr>
        <w:pStyle w:val="FirstParagraph"/>
        <w:spacing w:line="480" w:lineRule="auto"/>
      </w:pPr>
      <w:r>
        <w:t xml:space="preserve">A substantial fraction of the contemporary peer-reviewed lunar surface literature has been generated by the cislunar space domain awareness community, which has used the prospect of CLPS-class commercial delivery as the enabling assumption for a new generation of surface-emplaced sensor concepts. Van Cleve and colleagues have developed the most fully articulated example of this strand of work, arguing that a lunar surface observatory can observe objects in low lunar orbit and in the second Earth-Moon Lagrange dark cone with a sensitivity that no Earth-based or cislunar free-flyer instrument can match</w:t>
      </w:r>
      <w:r>
        <w:t xml:space="preserve"> </w:t>
      </w:r>
      <w:hyperlink w:anchor="ref-1">
        <w:r>
          <w:rPr>
            <w:rStyle w:val="Hyperlink"/>
          </w:rPr>
          <w:t xml:space="preserve">[1]</w:t>
        </w:r>
      </w:hyperlink>
      <w:r>
        <w:t xml:space="preserve">[8][15][22]. The same group has extended that line of reasoning to a year-in-the-life simulation of the Shackleton Space Domain Awareness Station, which examines the lighting, thermal, and observation-duty-cycle constraints on a permanently emplaced surface sensor at the lunar south pole</w:t>
      </w:r>
      <w:r>
        <w:t xml:space="preserve"> </w:t>
      </w:r>
      <w:hyperlink w:anchor="ref-9">
        <w:r>
          <w:rPr>
            <w:rStyle w:val="Hyperlink"/>
          </w:rPr>
          <w:t xml:space="preserve">[9]</w:t>
        </w:r>
      </w:hyperlink>
      <w:r>
        <w:t xml:space="preserve">[24]. The architectural premise of all of these papers is that mass and per-mission delivery cost are the binding constraints on the design of the surface payload, and that the commercial lander manifest has lowered both of those constraints sufficiently that the surface observatory concept has moved from a notional to a credible proposition</w:t>
      </w:r>
      <w:r>
        <w:t xml:space="preserve"> </w:t>
      </w:r>
      <w:hyperlink w:anchor="ref-1">
        <w:r>
          <w:rPr>
            <w:rStyle w:val="Hyperlink"/>
          </w:rPr>
          <w:t xml:space="preserve">[1]</w:t>
        </w:r>
      </w:hyperlink>
      <w:r>
        <w:t xml:space="preserve">[15]. This premise, which is repeated in the Hybrid Sensor for Joint Space Domain Awareness and Lunar Surface Intelligence concept</w:t>
      </w:r>
      <w:r>
        <w:t xml:space="preserve"> </w:t>
      </w:r>
      <w:hyperlink w:anchor="ref-4">
        <w:r>
          <w:rPr>
            <w:rStyle w:val="Hyperlink"/>
          </w:rPr>
          <w:t xml:space="preserve">[4]</w:t>
        </w:r>
      </w:hyperlink>
      <w:r>
        <w:t xml:space="preserve"> </w:t>
      </w:r>
      <w:r>
        <w:t xml:space="preserve">and in the Anthropogenic Change Detection On and Close to the Moon work</w:t>
      </w:r>
      <w:r>
        <w:t xml:space="preserve"> </w:t>
      </w:r>
      <w:hyperlink w:anchor="ref-5">
        <w:r>
          <w:rPr>
            <w:rStyle w:val="Hyperlink"/>
          </w:rPr>
          <w:t xml:space="preserve">[5]</w:t>
        </w:r>
      </w:hyperlink>
      <w:r>
        <w:t xml:space="preserve">[29], treats the contracting model as an exogenous policy fact. The procurement regime is the precondition for the architecture rather than an object of empirical study.</w:t>
      </w:r>
    </w:p>
    <w:p>
      <w:pPr>
        <w:pStyle w:val="BodyText"/>
        <w:spacing w:line="480" w:lineRule="auto"/>
        <w:ind w:firstLine="720"/>
      </w:pPr>
      <w:r>
        <w:t xml:space="preserve">A parallel strand within the same literature has examined the commercial-off-the-shelf imager pathway to lunar surface space domain awareness, with Zimmer and colleagues arguing that the cost reduction implied by the commercial lander manifest creates a feasible payload pathway for COTS imagers as hosted secondary payloads on commercial landers</w:t>
      </w:r>
      <w:r>
        <w:t xml:space="preserve"> </w:t>
      </w:r>
      <w:hyperlink w:anchor="ref-23">
        <w:r>
          <w:rPr>
            <w:rStyle w:val="Hyperlink"/>
          </w:rPr>
          <w:t xml:space="preserve">[23]</w:t>
        </w:r>
      </w:hyperlink>
      <w:r>
        <w:t xml:space="preserve">. The Banks and colleagues sensor-rich solution paper offers a complementary architectural treatment, describing a distributed sensor network whose feasibility is conditional on commercial delivery to the surface at price points that the heritage cost-plus pattern could not have supported</w:t>
      </w:r>
      <w:r>
        <w:t xml:space="preserve"> </w:t>
      </w:r>
      <w:hyperlink w:anchor="ref-27">
        <w:r>
          <w:rPr>
            <w:rStyle w:val="Hyperlink"/>
          </w:rPr>
          <w:t xml:space="preserve">[27]</w:t>
        </w:r>
      </w:hyperlink>
      <w:r>
        <w:t xml:space="preserve">. Koblick and Choi extend the analysis to the cislunar orbit determination benefits of Moon-based sensors, again with delivery cost as a parametric input rather than as a quantity to be explained</w:t>
      </w:r>
      <w:r>
        <w:t xml:space="preserve"> </w:t>
      </w:r>
      <w:hyperlink w:anchor="ref-25">
        <w:r>
          <w:rPr>
            <w:rStyle w:val="Hyperlink"/>
          </w:rPr>
          <w:t xml:space="preserve">[25]</w:t>
        </w:r>
      </w:hyperlink>
      <w:r>
        <w:t xml:space="preserve">. Bilka, Wright, and Wysack carry the same logic into the space traffic management regime, arguing that the architectural choices required to govern an increasingly dense cislunar volume rest on the assumption that commercial delivery has changed the cost frontier</w:t>
      </w:r>
      <w:r>
        <w:t xml:space="preserve"> </w:t>
      </w:r>
      <w:hyperlink w:anchor="ref-26">
        <w:r>
          <w:rPr>
            <w:rStyle w:val="Hyperlink"/>
          </w:rPr>
          <w:t xml:space="preserve">[26]</w:t>
        </w:r>
      </w:hyperlink>
      <w:r>
        <w:t xml:space="preserve">. Raub and Krzystyniak examine ground-based optical telescopes as an XGEO observation method, which serves as a useful complement because it documents the cost frontier that the surface-emplaced alternative is being compared against</w:t>
      </w:r>
      <w:r>
        <w:t xml:space="preserve"> </w:t>
      </w:r>
      <w:hyperlink w:anchor="ref-2">
        <w:r>
          <w:rPr>
            <w:rStyle w:val="Hyperlink"/>
          </w:rPr>
          <w:t xml:space="preserve">[2]</w:t>
        </w:r>
      </w:hyperlink>
      <w:r>
        <w:t xml:space="preserve">[28].</w:t>
      </w:r>
    </w:p>
    <w:p>
      <w:pPr>
        <w:pStyle w:val="BodyText"/>
        <w:spacing w:line="480" w:lineRule="auto"/>
        <w:ind w:firstLine="720"/>
      </w:pPr>
      <w:r>
        <w:t xml:space="preserve">The cumulative point of this strand of the literature is twofold. First, the technical case for surface-emplaced lunar instrumentation rests in critical part on the assumption that commercial delivery has bent the per-mission delivery cost curve below the heritage cost-plus level</w:t>
      </w:r>
      <w:r>
        <w:t xml:space="preserve"> </w:t>
      </w:r>
      <w:hyperlink w:anchor="ref-1">
        <w:r>
          <w:rPr>
            <w:rStyle w:val="Hyperlink"/>
          </w:rPr>
          <w:t xml:space="preserve">[1]</w:t>
        </w:r>
      </w:hyperlink>
      <w:r>
        <w:t xml:space="preserve">[4][5][8][15][22][23][24][25][26][27][29]. Second, that assumption has been treated as a stipulation throughout the strand, with no paper in the cislunar sensing line offering an econometric test of whether it actually holds on the public award record. The strand thus identifies, by its own architectural premises, the precise quantity that the dissertation proposes to estimate.</w:t>
      </w:r>
    </w:p>
    <w:bookmarkEnd w:id="67"/>
    <w:bookmarkStart w:id="68" w:name="X21eadd191e1f5b1f4cdf07340636d3f7e214f7a"/>
    <w:p>
      <w:pPr>
        <w:pStyle w:val="Heading3"/>
        <w:spacing w:line="480" w:lineRule="auto"/>
      </w:pPr>
      <w:r>
        <w:t xml:space="preserve">2.2.2 The Lunar Surface Mobility, Power, and Resource Literature</w:t>
      </w:r>
    </w:p>
    <w:p>
      <w:pPr>
        <w:pStyle w:val="FirstParagraph"/>
        <w:spacing w:line="480" w:lineRule="auto"/>
      </w:pPr>
      <w:r>
        <w:t xml:space="preserve">A second technical strand examines surface operations beyond observation, with particular attention to mobility, power generation, and resource utilization. Mesalam and colleagues have characterized an americium-fuelled radioisotope Stirling generator for lunar surface mobility systems, arguing that the cost of delivering a mobile platform to the surface and sustaining it through the lunar night is the architectural variable that determines whether mobile science is feasible at any cadence other than the campaign-by-campaign pattern that has prevailed since Surveyor</w:t>
      </w:r>
      <w:r>
        <w:t xml:space="preserve"> </w:t>
      </w:r>
      <w:hyperlink w:anchor="ref-30">
        <w:r>
          <w:rPr>
            <w:rStyle w:val="Hyperlink"/>
          </w:rPr>
          <w:t xml:space="preserve">[30]</w:t>
        </w:r>
      </w:hyperlink>
      <w:r>
        <w:t xml:space="preserve">. McKeown and colleagues place lunar resources research in the context of mining feasibility studies, with the explicit observation that the feasibility frontier is moved most sharply by reductions in the cost of placing prospecting instruments on the surface in the first instance</w:t>
      </w:r>
      <w:r>
        <w:t xml:space="preserve"> </w:t>
      </w:r>
      <w:hyperlink w:anchor="ref-31">
        <w:r>
          <w:rPr>
            <w:rStyle w:val="Hyperlink"/>
          </w:rPr>
          <w:t xml:space="preserve">[31]</w:t>
        </w:r>
      </w:hyperlink>
      <w:r>
        <w:t xml:space="preserve">. Nesnas and colleagues, in the Moon Diver pit-exploration concept, document the engineering envelope of a science payload whose deployment is contingent on a commercial lander delivering the host vehicle at a price that the heritage acquisition pattern would have made prohibitive</w:t>
      </w:r>
      <w:r>
        <w:t xml:space="preserve"> </w:t>
      </w:r>
      <w:hyperlink w:anchor="ref-34">
        <w:r>
          <w:rPr>
            <w:rStyle w:val="Hyperlink"/>
          </w:rPr>
          <w:t xml:space="preserve">[34]</w:t>
        </w:r>
      </w:hyperlink>
      <w:r>
        <w:t xml:space="preserve">. Häuplik-Meusburger and Bannova survey early lunar base design from sketch to the first moon landing, offering a useful historical baseline against which the contemporary commercial-delivery pattern can be compared</w:t>
      </w:r>
      <w:r>
        <w:t xml:space="preserve"> </w:t>
      </w:r>
      <w:hyperlink w:anchor="ref-36">
        <w:r>
          <w:rPr>
            <w:rStyle w:val="Hyperlink"/>
          </w:rPr>
          <w:t xml:space="preserve">[36]</w:t>
        </w:r>
      </w:hyperlink>
      <w:r>
        <w:t xml:space="preserve">.</w:t>
      </w:r>
    </w:p>
    <w:p>
      <w:pPr>
        <w:pStyle w:val="BodyText"/>
        <w:spacing w:line="480" w:lineRule="auto"/>
        <w:ind w:firstLine="720"/>
      </w:pPr>
      <w:r>
        <w:t xml:space="preserve">The plume-surface interaction literature provides a third architectural register on the same question. Boccelli and colleagues offer a direct simulation analysis of Astrobotic’s Peregrine Mission-1, including the MON-25 leak and water outgassing, which is one of the first peer-reviewed engineering case studies of a CLPS-class vehicle in actual operation</w:t>
      </w:r>
      <w:r>
        <w:t xml:space="preserve"> </w:t>
      </w:r>
      <w:hyperlink w:anchor="ref-32">
        <w:r>
          <w:rPr>
            <w:rStyle w:val="Hyperlink"/>
          </w:rPr>
          <w:t xml:space="preserve">[32]</w:t>
        </w:r>
      </w:hyperlink>
      <w:r>
        <w:t xml:space="preserve">. Subramanian and colleagues examine crater formation and particle ejection induced by supersonic jet impingement in near-vacuum, with implications for landing-site selection and for the per-mission cost of site preparation</w:t>
      </w:r>
      <w:r>
        <w:t xml:space="preserve"> </w:t>
      </w:r>
      <w:hyperlink w:anchor="ref-33">
        <w:r>
          <w:rPr>
            <w:rStyle w:val="Hyperlink"/>
          </w:rPr>
          <w:t xml:space="preserve">[33]</w:t>
        </w:r>
      </w:hyperlink>
      <w:r>
        <w:t xml:space="preserve">. Kim and colleagues survey research on lunar dust dispersal due to rocket plume impingement, again with implications for the achievable cadence of multi-vehicle delivery to a common surface site</w:t>
      </w:r>
      <w:r>
        <w:t xml:space="preserve"> </w:t>
      </w:r>
      <w:hyperlink w:anchor="ref-35">
        <w:r>
          <w:rPr>
            <w:rStyle w:val="Hyperlink"/>
          </w:rPr>
          <w:t xml:space="preserve">[35]</w:t>
        </w:r>
      </w:hyperlink>
      <w:r>
        <w:t xml:space="preserve">. Jimenez Cuesta and colleagues review the experimental work on plume-surface interactions, which is a contributing input to the per-mission cost model because surface preparation and dust mitigation are increasingly recognized as cost drivers at the high-cadence end of the manifest</w:t>
      </w:r>
      <w:r>
        <w:t xml:space="preserve"> </w:t>
      </w:r>
      <w:hyperlink w:anchor="ref-37">
        <w:r>
          <w:rPr>
            <w:rStyle w:val="Hyperlink"/>
          </w:rPr>
          <w:t xml:space="preserve">[37]</w:t>
        </w:r>
      </w:hyperlink>
      <w:r>
        <w:t xml:space="preserve">.</w:t>
      </w:r>
    </w:p>
    <w:p>
      <w:pPr>
        <w:pStyle w:val="BodyText"/>
        <w:spacing w:line="480" w:lineRule="auto"/>
        <w:ind w:firstLine="720"/>
      </w:pPr>
      <w:r>
        <w:t xml:space="preserve">The unifying observation across this second strand is that the cost of placing a kilogram of payload on the lunar surface is, in nearly every paper, treated as either a parametric input or as a deterministic function of vehicle class. The strand has not produced an econometric specification in which the per-kilogram delivered cost is the dependent variable and the procurement regime is the regressor of interest. This is the second instance in the technical literature of a stipulated rather than estimated procurement-regime effect.</w:t>
      </w:r>
    </w:p>
    <w:bookmarkEnd w:id="68"/>
    <w:bookmarkStart w:id="69" w:name="X14dd51d8fd042ea8c6e8db8c66380d91da6d0c6"/>
    <w:p>
      <w:pPr>
        <w:pStyle w:val="Heading3"/>
        <w:spacing w:line="480" w:lineRule="auto"/>
      </w:pPr>
      <w:r>
        <w:t xml:space="preserve">2.2.3 What the Lunar Surface Technical Literature Has Established and Where It Has Stopped</w:t>
      </w:r>
    </w:p>
    <w:p>
      <w:pPr>
        <w:pStyle w:val="FirstParagraph"/>
        <w:spacing w:line="480" w:lineRule="auto"/>
      </w:pPr>
      <w:r>
        <w:t xml:space="preserve">Across both the sensing strand</w:t>
      </w:r>
      <w:r>
        <w:t xml:space="preserve"> </w:t>
      </w:r>
      <w:hyperlink w:anchor="ref-1">
        <w:r>
          <w:rPr>
            <w:rStyle w:val="Hyperlink"/>
          </w:rPr>
          <w:t xml:space="preserve">[1]</w:t>
        </w:r>
      </w:hyperlink>
      <w:r>
        <w:t xml:space="preserve">[2][4][5][8][9][15][22][23][24][25][26][27][28][29] and the mobility, power, and resource strand</w:t>
      </w:r>
      <w:r>
        <w:t xml:space="preserve"> </w:t>
      </w:r>
      <w:hyperlink w:anchor="ref-30">
        <w:r>
          <w:rPr>
            <w:rStyle w:val="Hyperlink"/>
          </w:rPr>
          <w:t xml:space="preserve">[30]</w:t>
        </w:r>
      </w:hyperlink>
      <w:r>
        <w:t xml:space="preserve">[31][32][33][34][35][36][37], the lunar surface technical literature has converged on three points of consensus. First, the architectural feasibility of the contemporary lunar surface science program is conditional on a per-kilogram delivery cost that lies below the level implied by the heritage cost-plus pattern. Second, the policy decision that produced that lower cost frontier is the substitution of the fixed-price IDIQ commercial-services contracting instrument for the heritage cost-plus instrument. Third, the magnitude and statistical reliability of the resulting per-mission cost shift has not been empirically estimated within the technical literature itself, because the procurement regime is taken as an exogenous policy fact and not as a treatment whose effect can be estimated.</w:t>
      </w:r>
    </w:p>
    <w:p>
      <w:pPr>
        <w:pStyle w:val="BodyText"/>
        <w:spacing w:line="480" w:lineRule="auto"/>
        <w:ind w:firstLine="720"/>
      </w:pPr>
      <w:r>
        <w:t xml:space="preserve">The literature has therefore done two things and left a third undone. It has documented the architectural premise that motivates the policy claim, and it has produced a sufficiently rich technical record to populate the predictor variables that any econometric specification will require. It has not estimated the treatment effect that its own architectural premises depend upon.</w:t>
      </w:r>
    </w:p>
    <w:bookmarkEnd w:id="69"/>
    <w:bookmarkEnd w:id="70"/>
    <w:bookmarkStart w:id="75" w:name="X83b022134245662d6fdff5f96f43344cd0cbc88"/>
    <w:p>
      <w:pPr>
        <w:pStyle w:val="Heading2"/>
        <w:spacing w:line="480" w:lineRule="auto"/>
      </w:pPr>
      <w:r>
        <w:t xml:space="preserve">2.3 The Cliometric, Learning-Curve, and Procurement-Regime Literature</w:t>
      </w:r>
    </w:p>
    <w:bookmarkStart w:id="71" w:name="X2700dc43bc0620837812cfc9b780701ed086494"/>
    <w:p>
      <w:pPr>
        <w:pStyle w:val="Heading3"/>
        <w:spacing w:line="480" w:lineRule="auto"/>
      </w:pPr>
      <w:r>
        <w:t xml:space="preserve">2.3.1 The Classical Wright Learning-Curve Foundation</w:t>
      </w:r>
    </w:p>
    <w:p>
      <w:pPr>
        <w:pStyle w:val="FirstParagraph"/>
        <w:spacing w:line="480" w:lineRule="auto"/>
      </w:pPr>
      <w:r>
        <w:t xml:space="preserve">The cliometric tradition that the dissertation draws upon originates in the airframe industrial-organization literature of the 1930s, in which Wright established the empirical regularity that unit cost falls by a fixed proportion with each doubling of cumulative output</w:t>
      </w:r>
      <w:r>
        <w:t xml:space="preserve"> </w:t>
      </w:r>
      <w:hyperlink w:anchor="ref-13">
        <w:r>
          <w:rPr>
            <w:rStyle w:val="Hyperlink"/>
          </w:rPr>
          <w:t xml:space="preserve">[13]</w:t>
        </w:r>
      </w:hyperlink>
      <w:r>
        <w:t xml:space="preserve">. The Wright formulation is a log-log power law whose slope is the learning elasticity and whose progress ratio summarizes the per-doubling cost factor. The regularity has been documented across aerospace manufacturing through the second half of the twentieth century, and has been the standard cliometric instrument for analyzing the cost behavior of multi-unit production runs in airframe, semiconductor, and reusable launch vehicle settings.</w:t>
      </w:r>
    </w:p>
    <w:p>
      <w:pPr>
        <w:pStyle w:val="BodyText"/>
        <w:spacing w:line="480" w:lineRule="auto"/>
        <w:ind w:firstLine="720"/>
      </w:pPr>
      <w:r>
        <w:t xml:space="preserve">The application of the Wright learning curve to lunar surface delivery is, however, not straightforward, because lunar landers have historically been one-off or small-batch builds rather than multi-unit production series. The contemporary CLPS task order ledger has begun to populate the provider axis with multi-unit series at Intuitive Machines, Firefly, and Astrobotic, which is what makes the Wright test possible for the first time on this manifest</w:t>
      </w:r>
      <w:r>
        <w:t xml:space="preserve"> </w:t>
      </w:r>
      <w:hyperlink w:anchor="ref-10">
        <w:r>
          <w:rPr>
            <w:rStyle w:val="Hyperlink"/>
          </w:rPr>
          <w:t xml:space="preserve">[10]</w:t>
        </w:r>
      </w:hyperlink>
      <w:r>
        <w:t xml:space="preserve">[14]. The methodological tension that the cliometric strand inherits from Wright is therefore the tension between cross-provider variation, which is plentiful in the lunar manifest, and within-provider doubling, which is rare. The dissertation’s second supporting paper has documented that this tension is empirically consequential, because a pooled log-log fit on the present manifest returns a positive elasticity that is driven entirely by a composition effect rather than by within-provider learning. That finding is consistent with the implication, present in the Wright formulation itself, that the curve is identified within rather than across producers.</w:t>
      </w:r>
    </w:p>
    <w:bookmarkEnd w:id="71"/>
    <w:bookmarkStart w:id="72" w:name="X4f19ba3494cd5d874a77a67cb55c50431ba0914"/>
    <w:p>
      <w:pPr>
        <w:pStyle w:val="Heading3"/>
        <w:spacing w:line="480" w:lineRule="auto"/>
      </w:pPr>
      <w:r>
        <w:t xml:space="preserve">2.3.2 The Space-Economics Treatment of Procurement-Regime Substitution</w:t>
      </w:r>
    </w:p>
    <w:p>
      <w:pPr>
        <w:pStyle w:val="FirstParagraph"/>
        <w:spacing w:line="480" w:lineRule="auto"/>
      </w:pPr>
      <w:r>
        <w:t xml:space="preserve">The space-economics literature has produced the theoretical and empirical case for procurement-regime substitution as a distinct mechanism from learning. Weinzierl’s treatment of the commercial frontier articulates the theoretical case most directly, arguing that fixed-price commercial-services contracting transfers cost-overrun risk from the public sponsor to the private vendor and thereby disciplines the vendor toward design choices and supply-chain decisions that the cost-plus arrangement does not reward</w:t>
      </w:r>
      <w:r>
        <w:t xml:space="preserve"> </w:t>
      </w:r>
      <w:hyperlink w:anchor="ref-3">
        <w:r>
          <w:rPr>
            <w:rStyle w:val="Hyperlink"/>
          </w:rPr>
          <w:t xml:space="preserve">[3]</w:t>
        </w:r>
      </w:hyperlink>
      <w:r>
        <w:t xml:space="preserve">[7]. The empirical anchor for that argument is the Commercial Orbital Transportation Services to Commercial Resupply Services transition in low Earth orbit, which Weinzierl and the broader space-economics literature have treated as the canonical case of a documented unit-cost reduction associated with the procurement-regime substitution</w:t>
      </w:r>
      <w:r>
        <w:t xml:space="preserve"> </w:t>
      </w:r>
      <w:hyperlink w:anchor="ref-3">
        <w:r>
          <w:rPr>
            <w:rStyle w:val="Hyperlink"/>
          </w:rPr>
          <w:t xml:space="preserve">[3]</w:t>
        </w:r>
      </w:hyperlink>
      <w:r>
        <w:t xml:space="preserve">[7].</w:t>
      </w:r>
    </w:p>
    <w:p>
      <w:pPr>
        <w:pStyle w:val="BodyText"/>
        <w:spacing w:line="480" w:lineRule="auto"/>
        <w:ind w:firstLine="720"/>
      </w:pPr>
      <w:r>
        <w:t xml:space="preserve">The OECD treatment of the space economy, articulated in the Forecasting the Space Economy work, complements the Weinzierl line by placing the procurement-regime question inside a sectoral cost-decomposition framework</w:t>
      </w:r>
      <w:r>
        <w:t xml:space="preserve"> </w:t>
      </w:r>
      <w:hyperlink w:anchor="ref-6">
        <w:r>
          <w:rPr>
            <w:rStyle w:val="Hyperlink"/>
          </w:rPr>
          <w:t xml:space="preserve">[6]</w:t>
        </w:r>
      </w:hyperlink>
      <w:r>
        <w:t xml:space="preserve">[16]. The OECD work has treated launch services and ground equipment as the principal cost categories, and has begun to incorporate the commercial lunar transportation transition as a recognized cost line item, although it has not produced a cliometric estimate of the procurement-regime treatment effect on lunar surface delivery</w:t>
      </w:r>
      <w:r>
        <w:t xml:space="preserve"> </w:t>
      </w:r>
      <w:hyperlink w:anchor="ref-6">
        <w:r>
          <w:rPr>
            <w:rStyle w:val="Hyperlink"/>
          </w:rPr>
          <w:t xml:space="preserve">[6]</w:t>
        </w:r>
      </w:hyperlink>
      <w:r>
        <w:t xml:space="preserve">[16]. The OECD work is nevertheless valuable to the dissertation because it establishes the sectoral framing within which the lunar surface delivery line item can be located.</w:t>
      </w:r>
    </w:p>
    <w:p>
      <w:pPr>
        <w:pStyle w:val="BodyText"/>
        <w:spacing w:line="480" w:lineRule="auto"/>
        <w:ind w:firstLine="720"/>
      </w:pPr>
      <w:r>
        <w:t xml:space="preserve">The theoretical case carried forward by Weinzierl and the sectoral framing carried forward by the OECD work converge on a single methodological point. The procurement regime is a treatment variable in its own right, distinct from the cumulative-output Wright variable, and the two must be separately identified if the cost-behavior question is to be answered cleanly. The space-economics literature has not, however, produced that joint specification for lunar surface delivery, because it has confined its empirical attention to the low Earth orbit cargo and crew markets.</w:t>
      </w:r>
    </w:p>
    <w:bookmarkEnd w:id="72"/>
    <w:bookmarkStart w:id="73" w:name="X9975b3efb36e1c5114b64f207fb11136fa7afb8"/>
    <w:p>
      <w:pPr>
        <w:pStyle w:val="Heading3"/>
        <w:spacing w:line="480" w:lineRule="auto"/>
      </w:pPr>
      <w:r>
        <w:t xml:space="preserve">2.3.3 The Government Oversight and Cost-Accounting Strand</w:t>
      </w:r>
    </w:p>
    <w:p>
      <w:pPr>
        <w:pStyle w:val="FirstParagraph"/>
        <w:spacing w:line="480" w:lineRule="auto"/>
      </w:pPr>
      <w:r>
        <w:t xml:space="preserve">A third strand within the cliometric and procurement-regime literature is the government oversight and cost-accounting body of work produced by the Government Accountability Office and the NASA Office of Inspector General. The GAO Major Project Assessment, most recently in the 2025 edition, has published task-order schedules and award values for the active CLPS manifest, and has begun to track the divergence between awarded and realized cost as descopes, re-prices, and terminations accumulate</w:t>
      </w:r>
      <w:r>
        <w:t xml:space="preserve"> </w:t>
      </w:r>
      <w:hyperlink w:anchor="ref-10">
        <w:r>
          <w:rPr>
            <w:rStyle w:val="Hyperlink"/>
          </w:rPr>
          <w:t xml:space="preserve">[10]</w:t>
        </w:r>
      </w:hyperlink>
      <w:r>
        <w:t xml:space="preserve">[14]. The OIG report on the VIPER mission documents the Griffin task order and the cost-reimbursable components of the lineage in sufficient detail to anchor the cost-plus side of the comparison</w:t>
      </w:r>
      <w:r>
        <w:t xml:space="preserve"> </w:t>
      </w:r>
      <w:hyperlink w:anchor="ref-11">
        <w:r>
          <w:rPr>
            <w:rStyle w:val="Hyperlink"/>
          </w:rPr>
          <w:t xml:space="preserve">[11]</w:t>
        </w:r>
      </w:hyperlink>
      <w:r>
        <w:t xml:space="preserve">. The Siddiqi Deep Space Chronicle provides the historical baseline that lets the heritage cost-plus record be reconstructed in constant-dollar terms for the Surveyor and Luna eras</w:t>
      </w:r>
      <w:r>
        <w:t xml:space="preserve"> </w:t>
      </w:r>
      <w:hyperlink w:anchor="ref-12">
        <w:r>
          <w:rPr>
            <w:rStyle w:val="Hyperlink"/>
          </w:rPr>
          <w:t xml:space="preserve">[12]</w:t>
        </w:r>
      </w:hyperlink>
      <w:r>
        <w:t xml:space="preserve">[18].</w:t>
      </w:r>
    </w:p>
    <w:p>
      <w:pPr>
        <w:pStyle w:val="BodyText"/>
        <w:spacing w:line="480" w:lineRule="auto"/>
        <w:ind w:firstLine="720"/>
      </w:pPr>
      <w:r>
        <w:t xml:space="preserve">The cumulative contribution of this strand is that it has produced the data infrastructure that an econometric test requires. The GAO Major Project Assessment is the primary public source of awarded task-order values for the CLPS manifest, and the Siddiqi chronicle is the primary public source of heritage-era unit cost, with the OIG record bridging the cost-reimbursable lineage that runs through Resource Prospector and VIPER into the present manifest</w:t>
      </w:r>
      <w:r>
        <w:t xml:space="preserve"> </w:t>
      </w:r>
      <w:hyperlink w:anchor="ref-10">
        <w:r>
          <w:rPr>
            <w:rStyle w:val="Hyperlink"/>
          </w:rPr>
          <w:t xml:space="preserve">[10]</w:t>
        </w:r>
      </w:hyperlink>
      <w:r>
        <w:t xml:space="preserve">[11][12][14][18]. The strand has not produced its own econometric specification, but it has produced the inputs that a specification can rest upon, and it has flagged the principal threat to inference, which is the divergence between awarded and realized cost over the life of a task order.</w:t>
      </w:r>
    </w:p>
    <w:bookmarkEnd w:id="73"/>
    <w:bookmarkStart w:id="74" w:name="X59b65937acd925e3b3124d8433747decb02c14e"/>
    <w:p>
      <w:pPr>
        <w:pStyle w:val="Heading3"/>
        <w:spacing w:line="480" w:lineRule="auto"/>
      </w:pPr>
      <w:r>
        <w:t xml:space="preserve">2.3.4 What the Cliometric and Procurement-Regime Literature Has Established and Where It Has Stopped</w:t>
      </w:r>
    </w:p>
    <w:p>
      <w:pPr>
        <w:pStyle w:val="FirstParagraph"/>
        <w:spacing w:line="480" w:lineRule="auto"/>
      </w:pPr>
      <w:r>
        <w:t xml:space="preserve">The cliometric literature has established four points relevant to the dissertation. First, the Wright learning curve is a well-validated instrument for the analysis of multi-unit production cost, but its identification depends on within-producer doubling that the lunar manifest has only recently begun to support</w:t>
      </w:r>
      <w:r>
        <w:t xml:space="preserve"> </w:t>
      </w:r>
      <w:hyperlink w:anchor="ref-13">
        <w:r>
          <w:rPr>
            <w:rStyle w:val="Hyperlink"/>
          </w:rPr>
          <w:t xml:space="preserve">[13]</w:t>
        </w:r>
      </w:hyperlink>
      <w:r>
        <w:t xml:space="preserve">. Second, the space-economics literature has established the theoretical case that fixed-price commercial-services contracting reduces unit cost relative to the cost-plus counterfactual, with the COTS-to-CRS transition in low Earth orbit as the documented empirical anchor</w:t>
      </w:r>
      <w:r>
        <w:t xml:space="preserve"> </w:t>
      </w:r>
      <w:hyperlink w:anchor="ref-3">
        <w:r>
          <w:rPr>
            <w:rStyle w:val="Hyperlink"/>
          </w:rPr>
          <w:t xml:space="preserve">[3]</w:t>
        </w:r>
      </w:hyperlink>
      <w:r>
        <w:t xml:space="preserve">[7]. Third, the sectoral framing within which lunar surface delivery would be located as a cost line item has been articulated by the OECD work, but has not been operationalized at the level of a task-order econometric specification</w:t>
      </w:r>
      <w:r>
        <w:t xml:space="preserve"> </w:t>
      </w:r>
      <w:hyperlink w:anchor="ref-6">
        <w:r>
          <w:rPr>
            <w:rStyle w:val="Hyperlink"/>
          </w:rPr>
          <w:t xml:space="preserve">[6]</w:t>
        </w:r>
      </w:hyperlink>
      <w:r>
        <w:t xml:space="preserve">[16]. Fourth, the data infrastructure for a task-order specification has been produced by the GAO Major Project Assessment, the OIG VIPER report, and the Siddiqi Deep Space Chronicle, but the specification itself has not been written and the procurement-regime treatment effect on lunar surface delivery has not been estimated</w:t>
      </w:r>
      <w:r>
        <w:t xml:space="preserve"> </w:t>
      </w:r>
      <w:hyperlink w:anchor="ref-10">
        <w:r>
          <w:rPr>
            <w:rStyle w:val="Hyperlink"/>
          </w:rPr>
          <w:t xml:space="preserve">[10]</w:t>
        </w:r>
      </w:hyperlink>
      <w:r>
        <w:t xml:space="preserve">[11][12][14][18].</w:t>
      </w:r>
    </w:p>
    <w:p>
      <w:pPr>
        <w:pStyle w:val="BodyText"/>
        <w:spacing w:line="480" w:lineRule="auto"/>
        <w:ind w:firstLine="720"/>
      </w:pPr>
      <w:r>
        <w:t xml:space="preserve">The literature has therefore produced the theoretical case, the methodological precedent in an adjacent market, and the data infrastructure, and has stopped short of writing the specification and producing the estimate.</w:t>
      </w:r>
    </w:p>
    <w:bookmarkEnd w:id="74"/>
    <w:bookmarkEnd w:id="75"/>
    <w:bookmarkStart w:id="76" w:name="the-data-and-provenance-literature"/>
    <w:p>
      <w:pPr>
        <w:pStyle w:val="Heading2"/>
        <w:spacing w:line="480" w:lineRule="auto"/>
      </w:pPr>
      <w:r>
        <w:t xml:space="preserve">2.4 The Data and Provenance Literature</w:t>
      </w:r>
    </w:p>
    <w:p>
      <w:pPr>
        <w:pStyle w:val="FirstParagraph"/>
        <w:spacing w:line="480" w:lineRule="auto"/>
      </w:pPr>
      <w:r>
        <w:t xml:space="preserve">A short third register of the literature, sitting between the technical and the cliometric strands, is the data and provenance literature that documents the awarded cost record and the heritage baseline in sufficient form to support an econometric specification. The GAO 2025 Major Project Assessment is the principal contemporary source, with task-order schedules and award values for the CLPS manifest at provider, payload, and destination granularity</w:t>
      </w:r>
      <w:r>
        <w:t xml:space="preserve"> </w:t>
      </w:r>
      <w:hyperlink w:anchor="ref-10">
        <w:r>
          <w:rPr>
            <w:rStyle w:val="Hyperlink"/>
          </w:rPr>
          <w:t xml:space="preserve">[10]</w:t>
        </w:r>
      </w:hyperlink>
      <w:r>
        <w:t xml:space="preserve">[14]. The OIG IG-23-005 report documents the Griffin task order including the VIPER instrument, and is the principal source for the cost-reimbursable components of the lineage that bridges the heritage and CLPS eras</w:t>
      </w:r>
      <w:r>
        <w:t xml:space="preserve"> </w:t>
      </w:r>
      <w:hyperlink w:anchor="ref-11">
        <w:r>
          <w:rPr>
            <w:rStyle w:val="Hyperlink"/>
          </w:rPr>
          <w:t xml:space="preserve">[11]</w:t>
        </w:r>
      </w:hyperlink>
      <w:r>
        <w:t xml:space="preserve">. The NSSDCA Master Catalog is the primary source for mission-level technical parameters across Surveyor, Luna, Chang’e, Chandrayaan, and SLIM, with fact sheets that enumerate mass to the surface and destination site</w:t>
      </w:r>
      <w:r>
        <w:t xml:space="preserve"> </w:t>
      </w:r>
      <w:hyperlink w:anchor="ref-17">
        <w:r>
          <w:rPr>
            <w:rStyle w:val="Hyperlink"/>
          </w:rPr>
          <w:t xml:space="preserve">[17]</w:t>
        </w:r>
      </w:hyperlink>
      <w:r>
        <w:t xml:space="preserve">. The Siddiqi chronicle provides the inflation-adjustable cost baseline for the Soviet-era Luna program, with the explicit caveat that the original ruble disclosures are not directly comparable to United States dollar awards even after exchange and inflation adjustment</w:t>
      </w:r>
      <w:r>
        <w:t xml:space="preserve"> </w:t>
      </w:r>
      <w:hyperlink w:anchor="ref-12">
        <w:r>
          <w:rPr>
            <w:rStyle w:val="Hyperlink"/>
          </w:rPr>
          <w:t xml:space="preserve">[12]</w:t>
        </w:r>
      </w:hyperlink>
      <w:r>
        <w:t xml:space="preserve">[18]. The ISRO Press Information Bureau release of 23 August 2023 is the explicit source for the Chandrayaan-3 budget disclosure of approximately 615 crore rupees</w:t>
      </w:r>
      <w:r>
        <w:t xml:space="preserve"> </w:t>
      </w:r>
      <w:hyperlink w:anchor="ref-19">
        <w:r>
          <w:rPr>
            <w:rStyle w:val="Hyperlink"/>
          </w:rPr>
          <w:t xml:space="preserve">[19]</w:t>
        </w:r>
      </w:hyperlink>
      <w:r>
        <w:t xml:space="preserve">, and the JAXA SLIM press kit is the parallel source for the January 2024 mission</w:t>
      </w:r>
      <w:r>
        <w:t xml:space="preserve"> </w:t>
      </w:r>
      <w:hyperlink w:anchor="ref-20">
        <w:r>
          <w:rPr>
            <w:rStyle w:val="Hyperlink"/>
          </w:rPr>
          <w:t xml:space="preserve">[20]</w:t>
        </w:r>
      </w:hyperlink>
      <w:r>
        <w:t xml:space="preserve">. The ispace HAKUTO-R press kits and 2023 IPO prospectus provide the per-mission accounting for the commercial Japanese entries</w:t>
      </w:r>
      <w:r>
        <w:t xml:space="preserve"> </w:t>
      </w:r>
      <w:hyperlink w:anchor="ref-21">
        <w:r>
          <w:rPr>
            <w:rStyle w:val="Hyperlink"/>
          </w:rPr>
          <w:t xml:space="preserve">[21]</w:t>
        </w:r>
      </w:hyperlink>
      <w:r>
        <w:t xml:space="preserve">.</w:t>
      </w:r>
    </w:p>
    <w:p>
      <w:pPr>
        <w:pStyle w:val="BodyText"/>
        <w:spacing w:line="480" w:lineRule="auto"/>
        <w:ind w:firstLine="720"/>
      </w:pPr>
      <w:r>
        <w:t xml:space="preserve">The provenance literature is essential to the dissertation because it makes the difference-in-differences specification feasible at all. The cost-plus side of the comparison is anchored by the Siddiqi chronicle and the NSSDCA catalog</w:t>
      </w:r>
      <w:r>
        <w:t xml:space="preserve"> </w:t>
      </w:r>
      <w:hyperlink w:anchor="ref-12">
        <w:r>
          <w:rPr>
            <w:rStyle w:val="Hyperlink"/>
          </w:rPr>
          <w:t xml:space="preserve">[12]</w:t>
        </w:r>
      </w:hyperlink>
      <w:r>
        <w:t xml:space="preserve">[17][18]. The CLPS side of the comparison is anchored by the GAO Major Project Assessment and the OIG VIPER report</w:t>
      </w:r>
      <w:r>
        <w:t xml:space="preserve"> </w:t>
      </w:r>
      <w:hyperlink w:anchor="ref-10">
        <w:r>
          <w:rPr>
            <w:rStyle w:val="Hyperlink"/>
          </w:rPr>
          <w:t xml:space="preserve">[10]</w:t>
        </w:r>
      </w:hyperlink>
      <w:r>
        <w:t xml:space="preserve">[11][14]. The international cross-comparison observations that test the robustness of the procurement-regime indicator are anchored by the ISRO, JAXA, and ispace sources</w:t>
      </w:r>
      <w:r>
        <w:t xml:space="preserve"> </w:t>
      </w:r>
      <w:hyperlink w:anchor="ref-19">
        <w:r>
          <w:rPr>
            <w:rStyle w:val="Hyperlink"/>
          </w:rPr>
          <w:t xml:space="preserve">[19]</w:t>
        </w:r>
      </w:hyperlink>
      <w:r>
        <w:t xml:space="preserve">[20][21]. The provenance literature has not produced its own econometric specification, and it has not joined the technical and cliometric strands into a single empirical exercise. It has, however, made the joint exercise possible.</w:t>
      </w:r>
    </w:p>
    <w:bookmarkEnd w:id="76"/>
    <w:bookmarkStart w:id="77" w:name="synthesis-two-unjoined-literatures"/>
    <w:p>
      <w:pPr>
        <w:pStyle w:val="Heading2"/>
        <w:spacing w:line="480" w:lineRule="auto"/>
      </w:pPr>
      <w:r>
        <w:t xml:space="preserve">2.5 Synthesis: Two Unjoined Literatures</w:t>
      </w:r>
    </w:p>
    <w:p>
      <w:pPr>
        <w:pStyle w:val="FirstParagraph"/>
        <w:spacing w:line="480" w:lineRule="auto"/>
      </w:pPr>
      <w:r>
        <w:t xml:space="preserve">The two principal literatures reviewed in this chapter have developed in parallel and have rarely been joined in a single empirical exercise on the lunar surface delivery question. The lunar surface technical literature has converged on the architectural premise that the contemporary surface science program is conditional on a per-kilogram delivery cost below the heritage cost-plus level, and has populated the predictor variables that any econometric specification will require, but has treated the procurement regime as an exogenous policy fact rather than as a treatment whose effect can be estimated</w:t>
      </w:r>
      <w:r>
        <w:t xml:space="preserve"> </w:t>
      </w:r>
      <w:hyperlink w:anchor="ref-1">
        <w:r>
          <w:rPr>
            <w:rStyle w:val="Hyperlink"/>
          </w:rPr>
          <w:t xml:space="preserve">[1]</w:t>
        </w:r>
      </w:hyperlink>
      <w:r>
        <w:t xml:space="preserve">[2][4][5][8][9][15][22][23][24][25][26][27][28][29][30][31][32][33][34][35][36][37]. The cliometric and procurement-regime literature has produced the theoretical case for a negative regime effect on unit cost, has documented the COTS-to-CRS empirical anchor in low Earth orbit, and has begun to articulate the sectoral framing within which lunar surface delivery would be located as a cost line item, but has not extended the empirical test across the cislunar threshold</w:t>
      </w:r>
      <w:r>
        <w:t xml:space="preserve"> </w:t>
      </w:r>
      <w:hyperlink w:anchor="ref-3">
        <w:r>
          <w:rPr>
            <w:rStyle w:val="Hyperlink"/>
          </w:rPr>
          <w:t xml:space="preserve">[3]</w:t>
        </w:r>
      </w:hyperlink>
      <w:r>
        <w:t xml:space="preserve">[6][7][13][16]. The data and provenance literature has produced the inputs that a joint specification would require, but has not written the specification itself</w:t>
      </w:r>
      <w:r>
        <w:t xml:space="preserve"> </w:t>
      </w:r>
      <w:hyperlink w:anchor="ref-10">
        <w:r>
          <w:rPr>
            <w:rStyle w:val="Hyperlink"/>
          </w:rPr>
          <w:t xml:space="preserve">[10]</w:t>
        </w:r>
      </w:hyperlink>
      <w:r>
        <w:t xml:space="preserve">[11][12][14][17][18][19][20][21].</w:t>
      </w:r>
    </w:p>
    <w:p>
      <w:pPr>
        <w:pStyle w:val="BodyText"/>
        <w:spacing w:line="480" w:lineRule="auto"/>
        <w:ind w:firstLine="720"/>
      </w:pPr>
      <w:r>
        <w:t xml:space="preserve">The synthesis that the dissertation carries forward into Chapter 3 is that the technical literature has produced the architectural premise, the cliometric literature has produced the methodological precedent, and the provenance literature has produced the data infrastructure. The empirical exercise that joins the three has not been written. The dissertation’s contribution is to write it.</w:t>
      </w:r>
    </w:p>
    <w:p>
      <w:pPr>
        <w:pStyle w:val="BodyText"/>
        <w:spacing w:line="480" w:lineRule="auto"/>
        <w:ind w:firstLine="720"/>
      </w:pPr>
      <w:r>
        <w:t xml:space="preserve">The supporting papers already produced by the candidate establish that the joint exercise is feasible on the present manifest. The first paper has demonstrated that an ordinary least squares specification on the natural log of per-mission cost, conditional on the natural log of payload mass and a CLPS-regime indicator, returns a regime coefficient that is statistically distinguishable from zero at conventional significance levels, with a sign consistent with the policy claim that motivated the substitution. The second paper has demonstrated that a pooled Wright specification on the same manifest is contaminated by a composition effect, and that the procurement-regime mechanism rather than the within-provider learning mechanism is the live cliometric variable on the present record. The two supporting papers, taken together, demonstrate that the gap identified in the literature is empirically tractable and that the methodological choices required to fill it can be defended on the public award record.</w:t>
      </w:r>
    </w:p>
    <w:bookmarkEnd w:id="77"/>
    <w:bookmarkStart w:id="78" w:name="X93fbf634d9f00622cc26233a5b1b79c49befe9e"/>
    <w:p>
      <w:pPr>
        <w:pStyle w:val="Heading2"/>
        <w:spacing w:line="480" w:lineRule="auto"/>
      </w:pPr>
      <w:r>
        <w:t xml:space="preserve">2.6 The Gap and the Carry-Forward to Chapter 3</w:t>
      </w:r>
    </w:p>
    <w:p>
      <w:pPr>
        <w:pStyle w:val="FirstParagraph"/>
        <w:spacing w:line="480" w:lineRule="auto"/>
      </w:pPr>
      <w:r>
        <w:t xml:space="preserve">The gap that this chapter has identified is precise and falsifiable. The technical literature stipulates a cost premise that has not been estimated</w:t>
      </w:r>
      <w:r>
        <w:t xml:space="preserve"> </w:t>
      </w:r>
      <w:hyperlink w:anchor="ref-1">
        <w:r>
          <w:rPr>
            <w:rStyle w:val="Hyperlink"/>
          </w:rPr>
          <w:t xml:space="preserve">[1]</w:t>
        </w:r>
      </w:hyperlink>
      <w:r>
        <w:t xml:space="preserve">[2][4][5][8][9][15][22][23][24][25][26][27][28][29][30][31][32][33][34][35][36][37]. The cliometric literature has produced the methodological apparatus required to estimate it, but has not extended that apparatus to lunar surface delivery</w:t>
      </w:r>
      <w:r>
        <w:t xml:space="preserve"> </w:t>
      </w:r>
      <w:hyperlink w:anchor="ref-3">
        <w:r>
          <w:rPr>
            <w:rStyle w:val="Hyperlink"/>
          </w:rPr>
          <w:t xml:space="preserve">[3]</w:t>
        </w:r>
      </w:hyperlink>
      <w:r>
        <w:t xml:space="preserve">[6][7][13][16]. The provenance literature has produced the data infrastructure, but has not produced the specification</w:t>
      </w:r>
      <w:r>
        <w:t xml:space="preserve"> </w:t>
      </w:r>
      <w:hyperlink w:anchor="ref-10">
        <w:r>
          <w:rPr>
            <w:rStyle w:val="Hyperlink"/>
          </w:rPr>
          <w:t xml:space="preserve">[10]</w:t>
        </w:r>
      </w:hyperlink>
      <w:r>
        <w:t xml:space="preserve">[11][12][14][17][18][19][20][21]. The dissertation’s single falsifiable contribution is the point estimate, with confidence interval, of the difference-in-differences treatment effect of the CLPS fixed-price commercial-services procurement model on awarded unit cost per kilogram of lunar surface payload delivered, relative to the cost-plus heritage counterfactual, in constant fiscal year 2025 dollars, after adjusting for payload mass class, destination site difficulty, and contractor learning.</w:t>
      </w:r>
    </w:p>
    <w:p>
      <w:pPr>
        <w:pStyle w:val="BodyText"/>
        <w:spacing w:line="480" w:lineRule="auto"/>
        <w:ind w:firstLine="720"/>
      </w:pPr>
      <w:r>
        <w:t xml:space="preserve">The estimation strategy that Chapter 3 will develop is designed to address each of the points at which the literature has stopped. The two-way fixed-effects panel regression, with payload mass class and landing-site difficulty fixed effects and a cumulative task-order learning term, separates the procurement-regime mechanism from the within-provider learning mechanism, in keeping with the methodological caution that the supporting Wright paper has documented and that the Weinzierl line of work requires</w:t>
      </w:r>
      <w:r>
        <w:t xml:space="preserve"> </w:t>
      </w:r>
      <w:hyperlink w:anchor="ref-3">
        <w:r>
          <w:rPr>
            <w:rStyle w:val="Hyperlink"/>
          </w:rPr>
          <w:t xml:space="preserve">[3]</w:t>
        </w:r>
      </w:hyperlink>
      <w:r>
        <w:t xml:space="preserve">[7][13]. The parallel-trends placebo specification using the pre-CLPS heritage record alone tests the identifying assumption that the regime assignment is plausibly exogenous to the residual cost determinants. The Wright cumulative-experience curve robustness check carries the cliometric tradition’s principal alternative specification through the test, so that the learning-curve and regime-substitution mechanisms are jointly identified rather than confounded</w:t>
      </w:r>
      <w:r>
        <w:t xml:space="preserve"> </w:t>
      </w:r>
      <w:hyperlink w:anchor="ref-13">
        <w:r>
          <w:rPr>
            <w:rStyle w:val="Hyperlink"/>
          </w:rPr>
          <w:t xml:space="preserve">[13]</w:t>
        </w:r>
      </w:hyperlink>
      <w:r>
        <w:t xml:space="preserve">. The contractor-clustered standard errors address the within-contractor serial correlation that the GAO record has flagged as a live concern</w:t>
      </w:r>
      <w:r>
        <w:t xml:space="preserve"> </w:t>
      </w:r>
      <w:hyperlink w:anchor="ref-10">
        <w:r>
          <w:rPr>
            <w:rStyle w:val="Hyperlink"/>
          </w:rPr>
          <w:t xml:space="preserve">[10]</w:t>
        </w:r>
      </w:hyperlink>
      <w:r>
        <w:t xml:space="preserve">[14]. The sensitivity analysis restricted to completed and accepted deliveries addresses the awarded-versus-realized cost divergence that the same GAO record has documented</w:t>
      </w:r>
      <w:r>
        <w:t xml:space="preserve"> </w:t>
      </w:r>
      <w:hyperlink w:anchor="ref-10">
        <w:r>
          <w:rPr>
            <w:rStyle w:val="Hyperlink"/>
          </w:rPr>
          <w:t xml:space="preserve">[10]</w:t>
        </w:r>
      </w:hyperlink>
      <w:r>
        <w:t xml:space="preserve">[14]. The Bayesian specification with a weakly informative prior on the treatment-effect sign, reported alongside the frequentist estimate, addresses the small-sample inference threat that the heritage cost-plus side of the panel imposes</w:t>
      </w:r>
      <w:r>
        <w:t xml:space="preserve"> </w:t>
      </w:r>
      <w:hyperlink w:anchor="ref-12">
        <w:r>
          <w:rPr>
            <w:rStyle w:val="Hyperlink"/>
          </w:rPr>
          <w:t xml:space="preserve">[12]</w:t>
        </w:r>
      </w:hyperlink>
      <w:r>
        <w:t xml:space="preserve">[17][18].</w:t>
      </w:r>
    </w:p>
    <w:p>
      <w:pPr>
        <w:pStyle w:val="BodyText"/>
        <w:spacing w:line="480" w:lineRule="auto"/>
        <w:ind w:firstLine="720"/>
      </w:pPr>
      <w:r>
        <w:t xml:space="preserve">The chapter has thus done three things. It has reviewed the lunar surface technical literature and shown that it has stipulated a cost premise it has not estimated. It has reviewed the cliometric and procurement-regime literature and shown that it has produced the apparatus required to estimate that premise but has not extended that apparatus to the cislunar surface delivery regime. It has reviewed the data and provenance literature and shown that the infrastructure required to join the two is in place. The next chapter develops the empirical strategy that joins them.</w:t>
      </w:r>
    </w:p>
    <w:bookmarkEnd w:id="78"/>
    <w:bookmarkEnd w:id="79"/>
    <w:bookmarkStart w:id="86" w:name="Xcfcc00a3ded59aed0c781c16bfc121f2a509603"/>
    <w:p>
      <w:pPr>
        <w:pStyle w:val="Heading1"/>
        <w:spacing w:line="480" w:lineRule="auto"/>
      </w:pPr>
      <w:r>
        <w:t xml:space="preserve">Chapter 3. Theoretical Framework and Hypotheses</w:t>
      </w:r>
    </w:p>
    <w:bookmarkStart w:id="80" w:name="purpose-and-position-of-the-chapter"/>
    <w:p>
      <w:pPr>
        <w:pStyle w:val="Heading2"/>
        <w:spacing w:line="480" w:lineRule="auto"/>
      </w:pPr>
      <w:r>
        <w:t xml:space="preserve">3.1 Purpose and Position of the Chapter</w:t>
      </w:r>
    </w:p>
    <w:p>
      <w:pPr>
        <w:pStyle w:val="FirstParagraph"/>
        <w:spacing w:line="480" w:lineRule="auto"/>
      </w:pPr>
      <w:r>
        <w:t xml:space="preserve">The purpose of this chapter is to specify the theoretical mechanism through which a procurement-regime substitution is expected to alter the unit cost of lunar surface delivery, to render that mechanism into a causal logic that can be carried into an econometric specification, and to state the falsifiable hypotheses that the remainder of the dissertation will test. The chapter sits between the literature review, which established that the empirical question has not been answered for the cislunar surface delivery regime, and the methods chapter, which will translate the hypotheses stated here into a difference-in-differences estimator on the assembled panel of lunar lander missions. The chapter is therefore the load-bearing link between the policy claim that motivated the Commercial Lunar Payload Services initiative and the empirical estimand that the dissertation will publish</w:t>
      </w:r>
      <w:r>
        <w:t xml:space="preserve"> </w:t>
      </w:r>
      <w:hyperlink w:anchor="ref-3">
        <w:r>
          <w:rPr>
            <w:rStyle w:val="Hyperlink"/>
          </w:rPr>
          <w:t xml:space="preserve">[3]</w:t>
        </w:r>
      </w:hyperlink>
      <w:r>
        <w:t xml:space="preserve">[6].</w:t>
      </w:r>
    </w:p>
    <w:p>
      <w:pPr>
        <w:pStyle w:val="BodyText"/>
        <w:spacing w:line="480" w:lineRule="auto"/>
        <w:ind w:firstLine="720"/>
      </w:pPr>
      <w:r>
        <w:t xml:space="preserve">The chapter proceeds in five movements. Section 3.2 articulates the theoretical mechanism by which fixed-price commercial-services contracting is expected to bend the per-mission delivery cost of a kilogram of lunar surface payload. Section 3.3 renders the mechanism into a directed causal logic, distinguishing the procurement-regime treatment from the confounding channels of payload mass, destination site difficulty, and contractor learning that the literature has flagged. Section 3.4 specifies the formal hypotheses H0 and H1 and articulates the conditions under which each will be retained or rejected. Section 3.5 specifies the estimand, the identifying assumptions, and the threats to identification that the methods chapter will be obliged to address. Section 3.6 closes the chapter by stating the falsifiability conditions, the boundary conditions of the theoretical claim, and the relationship of the framework to the candidate’s two prior research papers, which serve as a methodological pilot for the dissertation.</w:t>
      </w:r>
    </w:p>
    <w:bookmarkEnd w:id="80"/>
    <w:bookmarkStart w:id="81" w:name="the-theoretical-mechanism"/>
    <w:p>
      <w:pPr>
        <w:pStyle w:val="Heading2"/>
        <w:spacing w:line="480" w:lineRule="auto"/>
      </w:pPr>
      <w:r>
        <w:t xml:space="preserve">3.2 The Theoretical Mechanism</w:t>
      </w:r>
    </w:p>
    <w:p>
      <w:pPr>
        <w:pStyle w:val="FirstParagraph"/>
        <w:spacing w:line="480" w:lineRule="auto"/>
      </w:pPr>
      <w:r>
        <w:t xml:space="preserve">The theoretical mechanism that motivates the dissertation is the risk-transfer mechanism articulated most explicitly in the space-economics literature by Weinzierl, who argued that the substitution of a fixed-price commercial-services arrangement for a cost-reimbursable cost-plus arrangement reallocates the cost-overrun residual from the public sponsor to the private vendor</w:t>
      </w:r>
      <w:r>
        <w:t xml:space="preserve"> </w:t>
      </w:r>
      <w:hyperlink w:anchor="ref-3">
        <w:r>
          <w:rPr>
            <w:rStyle w:val="Hyperlink"/>
          </w:rPr>
          <w:t xml:space="preserve">[3]</w:t>
        </w:r>
      </w:hyperlink>
      <w:r>
        <w:t xml:space="preserve">. Under a cost-plus arrangement, the public sponsor reimburses the vendor for allowable incurred cost and adds a negotiated fee, with the consequence that the marginal cost of additional design conservatism, supply-chain redundancy, and schedule slack is borne by the sponsor rather than the vendor. Under a fixed-price arrangement, the vendor receives a contractually fixed payment regardless of incurred cost, with the consequence that the marginal cost of additional conservatism, redundancy, and slack is borne by the vendor and is therefore directly recoverable only out of the vendor’s margin or its expected future task-order award stream</w:t>
      </w:r>
      <w:r>
        <w:t xml:space="preserve"> </w:t>
      </w:r>
      <w:hyperlink w:anchor="ref-3">
        <w:r>
          <w:rPr>
            <w:rStyle w:val="Hyperlink"/>
          </w:rPr>
          <w:t xml:space="preserve">[3]</w:t>
        </w:r>
      </w:hyperlink>
      <w:r>
        <w:t xml:space="preserve">.</w:t>
      </w:r>
    </w:p>
    <w:p>
      <w:pPr>
        <w:pStyle w:val="BodyText"/>
        <w:spacing w:line="480" w:lineRule="auto"/>
        <w:ind w:firstLine="720"/>
      </w:pPr>
      <w:r>
        <w:t xml:space="preserve">The mechanism predicts that, holding constant the technical content of the delivery, a fixed-price vendor will adopt design choices, supply-chain decisions, and schedule postures that minimize incurred cost subject to the constraint of meeting the contracted delivery, and that the equilibrium awarded value of the task order will lie below the equilibrium awarded value of an equivalent cost-plus arrangement. The mechanism is silent on the absolute level of either award, and it is silent on whether the realized delivery will meet, exceed, or fall short of the technical content nominally contracted. It is a mechanism about the awarded value of the task order conditional on the technical content, not a mechanism about realized program performance.</w:t>
      </w:r>
    </w:p>
    <w:p>
      <w:pPr>
        <w:pStyle w:val="BodyText"/>
        <w:spacing w:line="480" w:lineRule="auto"/>
        <w:ind w:firstLine="720"/>
      </w:pPr>
      <w:r>
        <w:t xml:space="preserve">The mechanism is reinforced, in the lunar surface delivery context, by three secondary channels that the technical literature has documented. First, the Commercial Lunar Payload Services contractor base is composed of vendors who entered the lunar surface delivery market expecting a multi-task-order award stream rather than a single-mission acquisition, with the consequence that the vendor’s design and supply-chain decisions are amortized across an expected portfolio of deliveries rather than capitalized into a single mission</w:t>
      </w:r>
      <w:r>
        <w:t xml:space="preserve"> </w:t>
      </w:r>
      <w:hyperlink w:anchor="ref-1">
        <w:r>
          <w:rPr>
            <w:rStyle w:val="Hyperlink"/>
          </w:rPr>
          <w:t xml:space="preserve">[1]</w:t>
        </w:r>
      </w:hyperlink>
      <w:r>
        <w:t xml:space="preserve">[2][4][5]. Second, the technical content of the early Commercial Lunar Payload Services task orders has been concentrated in small lander classes whose recurring engineering content is substantially lower than the recurring engineering content of the heritage Surveyor and Apollo Lunar Surface Experiments Package generations, which the technical literature has identified as primary architectural drivers for commercial landers</w:t>
      </w:r>
      <w:r>
        <w:t xml:space="preserve"> </w:t>
      </w:r>
      <w:hyperlink w:anchor="ref-1">
        <w:r>
          <w:rPr>
            <w:rStyle w:val="Hyperlink"/>
          </w:rPr>
          <w:t xml:space="preserve">[1]</w:t>
        </w:r>
      </w:hyperlink>
      <w:r>
        <w:t xml:space="preserve">[4][5]. Third, the broader space-economy forecasting literature has identified the commercial fixed-price transition as a structural feature of the cislunar delivery market whose unit-cost implications are expected to propagate forward through the Artemis manifest</w:t>
      </w:r>
      <w:r>
        <w:t xml:space="preserve"> </w:t>
      </w:r>
      <w:hyperlink w:anchor="ref-6">
        <w:r>
          <w:rPr>
            <w:rStyle w:val="Hyperlink"/>
          </w:rPr>
          <w:t xml:space="preserve">[6]</w:t>
        </w:r>
      </w:hyperlink>
      <w:r>
        <w:t xml:space="preserve">.</w:t>
      </w:r>
    </w:p>
    <w:p>
      <w:pPr>
        <w:pStyle w:val="BodyText"/>
        <w:spacing w:line="480" w:lineRule="auto"/>
        <w:ind w:firstLine="720"/>
      </w:pPr>
      <w:r>
        <w:t xml:space="preserve">The theoretical mechanism is therefore neither a hypothesis about the technology of lunar surface delivery nor a hypothesis about the engineering productivity of any individual vendor. It is a hypothesis about the contracting instrument, and specifically about the awarded value that the contracting instrument produces in equilibrium, conditional on the technical content of the delivery. The dissertation tests the hypothesis at the level of the awarded task order, which is the level at which the policy choice was made and the level at which the public record permits comparison.</w:t>
      </w:r>
    </w:p>
    <w:bookmarkEnd w:id="81"/>
    <w:bookmarkStart w:id="82" w:name="the-causal-logic"/>
    <w:p>
      <w:pPr>
        <w:pStyle w:val="Heading2"/>
        <w:spacing w:line="480" w:lineRule="auto"/>
      </w:pPr>
      <w:r>
        <w:t xml:space="preserve">3.3 The Causal Logic</w:t>
      </w:r>
    </w:p>
    <w:p>
      <w:pPr>
        <w:pStyle w:val="FirstParagraph"/>
        <w:spacing w:line="480" w:lineRule="auto"/>
      </w:pPr>
      <w:r>
        <w:t xml:space="preserve">The causal logic that carries the mechanism into the econometric specification is a directed graph in which the procurement-regime indicator is the treatment, the awarded unit cost per kilogram of lunar surface payload delivered is the outcome, and three pre-treatment covariates are admitted as adjustment variables: the payload mass class, the destination site difficulty class, and the contractor learning stock at the moment of award. Each of the three adjustment variables is defended on a separate logical ground, and the defense determines the role that each plays in the specification.</w:t>
      </w:r>
    </w:p>
    <w:p>
      <w:pPr>
        <w:pStyle w:val="BodyText"/>
        <w:spacing w:line="480" w:lineRule="auto"/>
        <w:ind w:firstLine="720"/>
      </w:pPr>
      <w:r>
        <w:t xml:space="preserve">Payload mass class enters as an adjustment variable because the awarded value of a lunar surface delivery task order is a function, among other things, of the lift, propulsion, structural, thermal, and avionics provisions that the task order must finance, and these provisions scale with the payload mass that the lander is contracted to deliver to the lunar surface. The candidate’s first research paper documented that, in the assembled panel of twenty-six lunar lander missions, the unconditioned correlation between the log payload mass and the log per-mission cost is small and statistically indistinguishable from zero, but that the regime indicator is partly absorbing a payload-class composition shift that the smooth log-mass term cannot fully capture (Paper 1, Section 6). The payload mass class is therefore admitted to the specification as a fixed-effect or class-bin adjustment, rather than as a smooth log-mass term, in order to address the composition concern that the pilot estimate flagged.</w:t>
      </w:r>
    </w:p>
    <w:p>
      <w:pPr>
        <w:pStyle w:val="BodyText"/>
        <w:spacing w:line="480" w:lineRule="auto"/>
        <w:ind w:firstLine="720"/>
      </w:pPr>
      <w:r>
        <w:t xml:space="preserve">Destination site difficulty class enters for a parallel reason: the awarded value of a lunar surface delivery task order is a function of the propellant, guidance, hazard-avoidance, and thermal provisions that the destination site imposes, and these provisions differ systematically between the equatorial maria that absorbed the heritage Surveyor and Apollo Lunar Surface Experiments Package generation, the polar and permanently-shadowed-region targets that have absorbed a growing share of the Commercial Lunar Payload Services manifest, and the far-side and pit-floor targets that have begun to appear in the science-driven concept queue</w:t>
      </w:r>
      <w:r>
        <w:t xml:space="preserve"> </w:t>
      </w:r>
      <w:hyperlink w:anchor="ref-34">
        <w:r>
          <w:rPr>
            <w:rStyle w:val="Hyperlink"/>
          </w:rPr>
          <w:t xml:space="preserve">[34]</w:t>
        </w:r>
      </w:hyperlink>
      <w:r>
        <w:t xml:space="preserve">. The technical literature on lunar surface operations has documented the propellant and guidance penalty associated with polar and high-latitude landings, and the candidate has chosen to bin the destination sites into a three-class categorical variable in order to absorb this channel without imposing a parametric functional form on a small panel</w:t>
      </w:r>
      <w:r>
        <w:t xml:space="preserve"> </w:t>
      </w:r>
      <w:hyperlink w:anchor="ref-1">
        <w:r>
          <w:rPr>
            <w:rStyle w:val="Hyperlink"/>
          </w:rPr>
          <w:t xml:space="preserve">[1]</w:t>
        </w:r>
      </w:hyperlink>
      <w:r>
        <w:t xml:space="preserve">[4][5].</w:t>
      </w:r>
    </w:p>
    <w:p>
      <w:pPr>
        <w:pStyle w:val="BodyText"/>
        <w:spacing w:line="480" w:lineRule="auto"/>
        <w:ind w:firstLine="720"/>
      </w:pPr>
      <w:r>
        <w:t xml:space="preserve">The contractor learning stock is admitted as an adjustment variable for two reasons. First, the space-economics literature has argued that the cost-reducing effect attributed to the Commercial Orbital Transportation Services to Commercial Resupply Services transition is partly attributable to the within-vendor learning that the multi-mission award stream made possible, and that disentangling the contracting-instrument effect from the within-vendor learning effect is the central identification problem for any procurement-regime cliometric study</w:t>
      </w:r>
      <w:r>
        <w:t xml:space="preserve"> </w:t>
      </w:r>
      <w:hyperlink w:anchor="ref-3">
        <w:r>
          <w:rPr>
            <w:rStyle w:val="Hyperlink"/>
          </w:rPr>
          <w:t xml:space="preserve">[3]</w:t>
        </w:r>
      </w:hyperlink>
      <w:r>
        <w:t xml:space="preserve">. Second, the candidate’s second research paper estimated a pooled log-log Wright learning curve on a panel of thirty lunar lander missions and obtained a pooled elasticity of positive 0.5678, a sign that is the opposite of the conventional Wright sign, and traced that pooled sign to a composition effect in which the contemporary Commercial Lunar Payload Services entrants arrived at first-unit prices well below the heritage Surveyor and Luna unit costs, with the consequence that the cross-vendor variation is masking the within-vendor learning that the Wright instrument is intended to measure (Paper 2, Section 5). The contractor learning stock is therefore admitted as a cumulative-task-order term and is permitted to enter the specification with a contractor fixed effect, so that the within-vendor learning channel is separated from the cross-vendor regime indicator that the dissertation seeks to identify.</w:t>
      </w:r>
    </w:p>
    <w:p>
      <w:pPr>
        <w:pStyle w:val="BodyText"/>
        <w:spacing w:line="480" w:lineRule="auto"/>
        <w:ind w:firstLine="720"/>
      </w:pPr>
      <w:r>
        <w:t xml:space="preserve">The causal logic, stated compactly, is that the procurement-regime treatment acts on the awarded unit cost per kilogram of payload through the risk-transfer mechanism articulated in Section 3.2, and that the three adjustment variables are admitted in order to close the back-door paths that would otherwise confound the treatment effect with the payload-class composition, the destination-site composition, and the within-vendor learning channels that the literature and the candidate’s pilot work have identified</w:t>
      </w:r>
      <w:r>
        <w:t xml:space="preserve"> </w:t>
      </w:r>
      <w:hyperlink w:anchor="ref-1">
        <w:r>
          <w:rPr>
            <w:rStyle w:val="Hyperlink"/>
          </w:rPr>
          <w:t xml:space="preserve">[1]</w:t>
        </w:r>
      </w:hyperlink>
      <w:r>
        <w:t xml:space="preserve">[3][4][5]. The chapter takes no position on the realized program performance of either regime, on the relative engineering productivity of any individual vendor, or on the long-run sustainability of the Commercial Lunar Payload Services contractor base. The causal logic is restricted to the awarded value of the task order conditional on the technical content of the delivery.</w:t>
      </w:r>
    </w:p>
    <w:bookmarkEnd w:id="82"/>
    <w:bookmarkStart w:id="83" w:name="the-formal-hypotheses"/>
    <w:p>
      <w:pPr>
        <w:pStyle w:val="Heading2"/>
        <w:spacing w:line="480" w:lineRule="auto"/>
      </w:pPr>
      <w:r>
        <w:t xml:space="preserve">3.4 The Formal Hypotheses</w:t>
      </w:r>
    </w:p>
    <w:p>
      <w:pPr>
        <w:pStyle w:val="FirstParagraph"/>
        <w:spacing w:line="480" w:lineRule="auto"/>
      </w:pPr>
      <w:r>
        <w:t xml:space="preserve">The dissertation tests one estimand and articulates one null hypothesis and one alternative hypothesis with respect to that estimand. The estimand is the difference-in-differences treatment effect of the Commercial Lunar Payload Services fixed-price commercial-services procurement regime on awarded unit cost per kilogram of lunar surface payload delivered, relative to the cost-plus heritage counterfactual, in constant fiscal year 2025 United States dollars, after adjustment for the payload mass class, the destination site difficulty class, and the contractor learning stock as specified in Section 3.3.</w:t>
      </w:r>
    </w:p>
    <w:p>
      <w:pPr>
        <w:pStyle w:val="BodyText"/>
        <w:spacing w:line="480" w:lineRule="auto"/>
        <w:ind w:firstLine="720"/>
      </w:pPr>
      <w:r>
        <w:t xml:space="preserve">The null hypothesis is stated as follows.</w:t>
      </w:r>
    </w:p>
    <w:p>
      <w:pPr>
        <w:pStyle w:val="BodyText"/>
        <w:spacing w:line="480" w:lineRule="auto"/>
        <w:ind w:firstLine="720"/>
      </w:pPr>
      <w:r>
        <w:rPr>
          <w:b/>
          <w:bCs/>
        </w:rPr>
        <w:t xml:space="preserve">H0.</w:t>
      </w:r>
      <w:r>
        <w:t xml:space="preserve"> </w:t>
      </w:r>
      <w:r>
        <w:t xml:space="preserve">Conditional on payload mass class, destination site difficulty class, and contractor learning stock, the procurement-regime treatment effect on awarded unit cost per kilogram of lunar surface payload delivered is statistically indistinguishable from zero at the ninety-five percent confidence level.</w:t>
      </w:r>
    </w:p>
    <w:p>
      <w:pPr>
        <w:pStyle w:val="BodyText"/>
        <w:spacing w:line="480" w:lineRule="auto"/>
        <w:ind w:firstLine="720"/>
      </w:pPr>
      <w:r>
        <w:t xml:space="preserve">The alternative hypothesis is stated as follows.</w:t>
      </w:r>
    </w:p>
    <w:p>
      <w:pPr>
        <w:pStyle w:val="BodyText"/>
        <w:spacing w:line="480" w:lineRule="auto"/>
        <w:ind w:firstLine="720"/>
      </w:pPr>
      <w:r>
        <w:rPr>
          <w:b/>
          <w:bCs/>
        </w:rPr>
        <w:t xml:space="preserve">H1.</w:t>
      </w:r>
      <w:r>
        <w:t xml:space="preserve"> </w:t>
      </w:r>
      <w:r>
        <w:t xml:space="preserve">Conditional on payload mass class, destination site difficulty class, and contractor learning stock, the procurement-regime treatment effect on awarded unit cost per kilogram of lunar surface payload delivered is statistically distinguishable from zero at the ninety-five percent confidence level, with a negative sign indicating that the awarded unit cost per kilogram under the Commercial Lunar Payload Services fixed-price commercial-services regime lies below the awarded unit cost per kilogram that the cost-plus heritage regime would have produced for an otherwise identical delivery.</w:t>
      </w:r>
    </w:p>
    <w:p>
      <w:pPr>
        <w:pStyle w:val="BodyText"/>
        <w:spacing w:line="480" w:lineRule="auto"/>
        <w:ind w:firstLine="720"/>
      </w:pPr>
      <w:r>
        <w:t xml:space="preserve">The two hypotheses jointly exhaust the inferential space at the ninety-five percent confidence level. The retention or rejection of H0 will be reported as a single line, with the point estimate, the standard error, the confidence interval, and the p-value, in the format that the candidate’s first research paper used to report the OLS pilot estimate (Paper 1, Section 5). The alternative hypothesis is directional in the sense that the policy claim that motivated the Commercial Lunar Payload Services substitution is a directional claim about the sign of the treatment effect, and the dissertation reports the directional inference because the falsifiability of the policy claim depends on the sign, not only on the magnitude, of the published estimate</w:t>
      </w:r>
      <w:r>
        <w:t xml:space="preserve"> </w:t>
      </w:r>
      <w:hyperlink w:anchor="ref-3">
        <w:r>
          <w:rPr>
            <w:rStyle w:val="Hyperlink"/>
          </w:rPr>
          <w:t xml:space="preserve">[3]</w:t>
        </w:r>
      </w:hyperlink>
      <w:r>
        <w:t xml:space="preserve">[6].</w:t>
      </w:r>
    </w:p>
    <w:p>
      <w:pPr>
        <w:pStyle w:val="BodyText"/>
        <w:spacing w:line="480" w:lineRule="auto"/>
        <w:ind w:firstLine="720"/>
      </w:pPr>
      <w:r>
        <w:t xml:space="preserve">The hypotheses are deliberately silent on three matters that have been raised in the policy literature but that lie outside the inferential scope of the dissertation. First, the hypotheses are silent on the realized delivery performance of either regime, because realized performance is a downstream outcome that is not contracted in the awarded task order. Second, the hypotheses are silent on the safety, reliability, and mission-success record of either regime, because the public record of completed Commercial Lunar Payload Services deliveries is still too sparse to support a within-regime inference on those outcomes</w:t>
      </w:r>
      <w:r>
        <w:t xml:space="preserve"> </w:t>
      </w:r>
      <w:hyperlink w:anchor="ref-10">
        <w:r>
          <w:rPr>
            <w:rStyle w:val="Hyperlink"/>
          </w:rPr>
          <w:t xml:space="preserve">[10]</w:t>
        </w:r>
      </w:hyperlink>
      <w:r>
        <w:t xml:space="preserve">[11]. Third, the hypotheses are silent on the long-run sustainability of the Commercial Lunar Payload Services contractor base, because the contractor base is still in the early task-order award accumulation phase and the long-run sustainability question requires a within-vendor multi-decade panel that the present record does not provide</w:t>
      </w:r>
      <w:r>
        <w:t xml:space="preserve"> </w:t>
      </w:r>
      <w:hyperlink w:anchor="ref-10">
        <w:r>
          <w:rPr>
            <w:rStyle w:val="Hyperlink"/>
          </w:rPr>
          <w:t xml:space="preserve">[10]</w:t>
        </w:r>
      </w:hyperlink>
      <w:r>
        <w:t xml:space="preserve">.</w:t>
      </w:r>
    </w:p>
    <w:bookmarkEnd w:id="83"/>
    <w:bookmarkStart w:id="84" w:name="Xe7726da0a49d5dbb9033b4550093841a703f811"/>
    <w:p>
      <w:pPr>
        <w:pStyle w:val="Heading2"/>
        <w:spacing w:line="480" w:lineRule="auto"/>
      </w:pPr>
      <w:r>
        <w:t xml:space="preserve">3.5 The Estimand, the Identifying Assumptions, and the Threats to Identification</w:t>
      </w:r>
    </w:p>
    <w:p>
      <w:pPr>
        <w:pStyle w:val="FirstParagraph"/>
        <w:spacing w:line="480" w:lineRule="auto"/>
      </w:pPr>
      <w:r>
        <w:t xml:space="preserve">The estimand defined in Section 3.4 will be estimated by a two-way fixed-effects panel regression of the log awarded unit cost per kilogram of payload on the binary procurement-regime indicator, with fixed effects for the payload mass class and the destination site difficulty class, and a cumulative-task-order learning term that enters the specification with a contractor fixed effect. The specification is the natural extension of the candidate’s first research paper, which estimated a log-linear OLS specification with a regime indicator and a log payload mass term on a panel of twenty-six lunar lander missions and recovered a regime coefficient of approximately negative 1.531 with an associated p-value of approximately 0.0023 (Paper 1, Section 5). The extension formalizes the payload mass class as a fixed effect rather than as a smooth log-mass term, admits the destination site difficulty class as a second fixed effect, and admits the cumulative-task-order learning term that the candidate’s second research paper identified as the natural Wright-curve operationalization (Paper 2, Section 6).</w:t>
      </w:r>
    </w:p>
    <w:p>
      <w:pPr>
        <w:pStyle w:val="BodyText"/>
        <w:spacing w:line="480" w:lineRule="auto"/>
        <w:ind w:firstLine="720"/>
      </w:pPr>
      <w:r>
        <w:t xml:space="preserve">The identifying assumption that licenses the interpretation of the regime indicator as a causal treatment effect is the conditional parallel-trends assumption: conditional on the payload mass class, the destination site difficulty class, and the contractor learning stock, the counterfactual path of awarded unit cost in the cost-plus regime would have evolved in parallel with the counterfactual path of awarded unit cost in the Commercial Lunar Payload Services regime in the absence of the procurement substitution. The assumption is not directly testable in the post-treatment window because no cost-plus lunar surface task orders have been awarded in the post-treatment window, but the assumption is testable in the pre-treatment window through a placebo specification that fits the regression on the cost-plus heritage record alone and reports the placebo coefficient on a synthetic regime indicator that flips at the median pre-treatment year. The placebo specification will be reported alongside the main estimate, in the convention established by the difference-in-differences literature.</w:t>
      </w:r>
    </w:p>
    <w:p>
      <w:pPr>
        <w:pStyle w:val="BodyText"/>
        <w:spacing w:line="480" w:lineRule="auto"/>
        <w:ind w:firstLine="720"/>
      </w:pPr>
      <w:r>
        <w:t xml:space="preserve">Four threats to identification have been identified and will be addressed in the methods chapter. First, the selection-on-payload-type threat that the candidate’s first research paper flagged in its discussion section, in which the regime indicator may be partly absorbing a payload-class composition shift that the smooth log-mass term cannot capture (Paper 1, Section 6). This threat is addressed by the payload mass class fixed effect and by a common-support robustness specification that restricts the comparison to payloads within a common mass class. Second, the contractor-learning confound that the space-economics literature has flagged and that the candidate’s second research paper demonstrated empirically, in which the regime indicator may be partly absorbing within-vendor learning that the cumulative-task-order term is intended to capture</w:t>
      </w:r>
      <w:r>
        <w:t xml:space="preserve"> </w:t>
      </w:r>
      <w:hyperlink w:anchor="ref-3">
        <w:r>
          <w:rPr>
            <w:rStyle w:val="Hyperlink"/>
          </w:rPr>
          <w:t xml:space="preserve">[3]</w:t>
        </w:r>
      </w:hyperlink>
      <w:r>
        <w:t xml:space="preserve"> </w:t>
      </w:r>
      <w:r>
        <w:t xml:space="preserve">(Paper 2, Section 6). This threat is addressed by the cumulative-task-order term and by the contractor fixed effect, and by a Wright-curve robustness specification that enters the cumulative-task-order term in log form. Third, the awarded-versus-realized cost divergence threat that the Government Accountability Office has flagged in successive editions of its annual Major Project Assessment, in which awarded task-order values may diverge from realized cost as descopes, re-prices, or terminations accumulate over the manifest</w:t>
      </w:r>
      <w:r>
        <w:t xml:space="preserve"> </w:t>
      </w:r>
      <w:hyperlink w:anchor="ref-10">
        <w:r>
          <w:rPr>
            <w:rStyle w:val="Hyperlink"/>
          </w:rPr>
          <w:t xml:space="preserve">[10]</w:t>
        </w:r>
      </w:hyperlink>
      <w:r>
        <w:t xml:space="preserve">[11]. This threat is addressed by a sensitivity analysis that restricts the panel to completed and accepted deliveries. Fourth, the small-sample inference threat, in which the cost-plus heritage record contains a limited number of comparable observations and the Commercial Lunar Payload Services record is still in early innings</w:t>
      </w:r>
      <w:r>
        <w:t xml:space="preserve"> </w:t>
      </w:r>
      <w:hyperlink w:anchor="ref-10">
        <w:r>
          <w:rPr>
            <w:rStyle w:val="Hyperlink"/>
          </w:rPr>
          <w:t xml:space="preserve">[10]</w:t>
        </w:r>
      </w:hyperlink>
      <w:r>
        <w:t xml:space="preserve">. This threat is addressed by exact-test inference and by a Bayesian specification with a weakly informative prior on the treatment-effect sign.</w:t>
      </w:r>
    </w:p>
    <w:bookmarkEnd w:id="84"/>
    <w:bookmarkStart w:id="85" w:name="X7404230ec7e9938dd5b77d15c322962c6723880"/>
    <w:p>
      <w:pPr>
        <w:pStyle w:val="Heading2"/>
        <w:spacing w:line="480" w:lineRule="auto"/>
      </w:pPr>
      <w:r>
        <w:t xml:space="preserve">3.6 Falsifiability, Boundary Conditions, and Relation to the Pilot Work</w:t>
      </w:r>
    </w:p>
    <w:p>
      <w:pPr>
        <w:pStyle w:val="FirstParagraph"/>
        <w:spacing w:line="480" w:lineRule="auto"/>
      </w:pPr>
      <w:r>
        <w:t xml:space="preserve">The framework is falsifiable in the strict Popperian sense that the published estimate will either fall on one side of the zero line at the ninety-five percent confidence level or on the other, and the directional policy claim that motivated the Commercial Lunar Payload Services substitution will either survive the test or fail it</w:t>
      </w:r>
      <w:r>
        <w:t xml:space="preserve"> </w:t>
      </w:r>
      <w:hyperlink w:anchor="ref-3">
        <w:r>
          <w:rPr>
            <w:rStyle w:val="Hyperlink"/>
          </w:rPr>
          <w:t xml:space="preserve">[3]</w:t>
        </w:r>
      </w:hyperlink>
      <w:r>
        <w:t xml:space="preserve">[6]. The candidate’s first research paper has already demonstrated, on a twenty-six-mission panel, that an OLS regime indicator can be estimated with a sign and significance level that permit rejection of the null at the ninety-five percent confidence level (Paper 1, Section 5), and the candidate’s second research paper has demonstrated, on a thirty-mission panel, that a pooled Wright-curve elasticity can be estimated with a sign that runs against the conventional expectation and that the divergence is traceable to an identifiable composition channel (Paper 2, Section 5). The dissertation extends both pilots into a two-way fixed-effects specification on a longer panel and reports the extended estimate alongside the pilots, so that the reader can trace the path from the simplest OLS pilot to the fully adjusted two-way fixed-effects estimand.</w:t>
      </w:r>
    </w:p>
    <w:p>
      <w:pPr>
        <w:pStyle w:val="BodyText"/>
        <w:spacing w:line="480" w:lineRule="auto"/>
        <w:ind w:firstLine="720"/>
      </w:pPr>
      <w:r>
        <w:t xml:space="preserve">The boundary conditions of the theoretical claim are three. First, the claim is restricted to lunar surface delivery and does not generalize, without separate empirical work, to Mars surface delivery, to surface nuclear power, or to crewed surface mobility, even though those domains have been advanced as the next applications of the commercial-services procurement model</w:t>
      </w:r>
      <w:r>
        <w:t xml:space="preserve"> </w:t>
      </w:r>
      <w:hyperlink w:anchor="ref-3">
        <w:r>
          <w:rPr>
            <w:rStyle w:val="Hyperlink"/>
          </w:rPr>
          <w:t xml:space="preserve">[3]</w:t>
        </w:r>
      </w:hyperlink>
      <w:r>
        <w:t xml:space="preserve">[6]. Second, the claim is restricted to awarded value and does not generalize, without separate empirical work, to realized program cost, to mission-success rate, or to safety and reliability outcomes, which require their own data and their own identification strategy</w:t>
      </w:r>
      <w:r>
        <w:t xml:space="preserve"> </w:t>
      </w:r>
      <w:hyperlink w:anchor="ref-10">
        <w:r>
          <w:rPr>
            <w:rStyle w:val="Hyperlink"/>
          </w:rPr>
          <w:t xml:space="preserve">[10]</w:t>
        </w:r>
      </w:hyperlink>
      <w:r>
        <w:t xml:space="preserve">[11]. Third, the claim is restricted to the panel of public-record lunar lander task orders and historical lunar surface acquisitions that the candidate has assembled and reproduced in Paper 1 and Paper 2, and the claim does not generalize, without separate empirical work, to the broader cislunar small-body, low-lunar-orbit, or lunar-relay manifest that the technical literature has begun to populate</w:t>
      </w:r>
      <w:r>
        <w:t xml:space="preserve"> </w:t>
      </w:r>
      <w:hyperlink w:anchor="ref-1">
        <w:r>
          <w:rPr>
            <w:rStyle w:val="Hyperlink"/>
          </w:rPr>
          <w:t xml:space="preserve">[1]</w:t>
        </w:r>
      </w:hyperlink>
      <w:r>
        <w:t xml:space="preserve">[4][5][9].</w:t>
      </w:r>
    </w:p>
    <w:p>
      <w:pPr>
        <w:pStyle w:val="BodyText"/>
        <w:spacing w:line="480" w:lineRule="auto"/>
        <w:ind w:firstLine="720"/>
      </w:pPr>
      <w:r>
        <w:t xml:space="preserve">The chapter closes by stating the dependency of the dissertation on the pilot work. Paper 1 supplies the cost-and-mass panel and the OLS pilot estimate against which the dissertation’s two-way fixed-effects estimate will be benchmarked. Paper 2 supplies the cumulative-task-order learning panel and the Wright-curve diagnostic that motivates the cumulative-task-order term in the dissertation specification. The dissertation will neither replace nor discard either pilot, but will instead extend both into the fully adjusted estimand that this chapter has defined, and will report the extended estimate alongside the pilot estimates so that the reader can see the marginal contribution of each adjustment. The hypotheses stated in Section 3.4 are the hypotheses that the extended specification will test, and the methods chapter that follows specifies the data, the estimator, and the inferential apparatus by which the test will be conducted.</w:t>
      </w:r>
    </w:p>
    <w:bookmarkEnd w:id="85"/>
    <w:bookmarkEnd w:id="86"/>
    <w:bookmarkStart w:id="95" w:name="chapter-4.-data-and-measurement"/>
    <w:p>
      <w:pPr>
        <w:pStyle w:val="Heading1"/>
        <w:spacing w:line="480" w:lineRule="auto"/>
      </w:pPr>
      <w:r>
        <w:t xml:space="preserve">Chapter 4. Data and Measurement</w:t>
      </w:r>
    </w:p>
    <w:bookmarkStart w:id="87"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foundation on which the two estimating exercises of the dissertation rest. It identifies the primary documentary sources from which each observation is drawn, defines the unit of analysis, sets out the operational construction of every regressor and outcome variable used in the ordinary least squares regime test of Paper 1 and the pooled log-log Wright learning curve of Paper 2, and documents the conventions adopted for currency, inflation, and the labelling of observations whose underlying disclosures are not in directly convertible form. The chapter is written to a standard that would permit a competent successor to reconstruct the dataset from the public record without recourse to any private holding, consistent with the prospectus commitment that no proprietary or restricted data are required for the dissertation</w:t>
      </w:r>
      <w:r>
        <w:t xml:space="preserve"> </w:t>
      </w:r>
      <w:hyperlink w:anchor="ref-3">
        <w:r>
          <w:rPr>
            <w:rStyle w:val="Hyperlink"/>
          </w:rPr>
          <w:t xml:space="preserve">[3]</w:t>
        </w:r>
      </w:hyperlink>
      <w:r>
        <w:t xml:space="preserve">.</w:t>
      </w:r>
    </w:p>
    <w:p>
      <w:pPr>
        <w:pStyle w:val="BodyText"/>
        <w:spacing w:line="480" w:lineRule="auto"/>
        <w:ind w:firstLine="720"/>
      </w:pPr>
      <w:r>
        <w:t xml:space="preserve">The chapter proceeds in seven sections. Section 4.2 specifies the unit of analysis and the temporal scope. Section 4.3 enumerates the authoritative documentary sources from which the cost, mass, regime, and provider-experience records are constructed. Section 4.4 specifies the dependent variable. Section 4.5 specifies the continuous and binary regressors used in Paper 1 and the cumulative provider experience regressor used in Paper 2. Section 4.6 specifies the deflation, currency, and illustrative-flag conventions. Section 4.7 reports the composition of the assembled panel and addresses the principal measurement threats that the construction must withstand. Section 4.8 records the data-management protocol.</w:t>
      </w:r>
    </w:p>
    <w:bookmarkEnd w:id="87"/>
    <w:bookmarkStart w:id="88" w:name="unit-of-analysis-and-temporal-scope"/>
    <w:p>
      <w:pPr>
        <w:pStyle w:val="Heading2"/>
        <w:spacing w:line="480" w:lineRule="auto"/>
      </w:pPr>
      <w:r>
        <w:t xml:space="preserve">4.2 Unit of Analysis and Temporal Scope</w:t>
      </w:r>
    </w:p>
    <w:p>
      <w:pPr>
        <w:pStyle w:val="FirstParagraph"/>
        <w:spacing w:line="480" w:lineRule="auto"/>
      </w:pPr>
      <w:r>
        <w:t xml:space="preserve">The unit of analysis is the individual lunar lander mission. A mission is defined for the purposes of this dissertation as a single attempted soft delivery of payload to the lunar surface, identified by mission name in the authoritative source and associated with a single contracting or programmatic instrument. The mission rather than the task order is taken as the unit because the cost record assembled from the Government Accountability Office Major Project Assessment schedule and from the National Aeronautics and Space Administration historical procurement record is itemised at mission granularity, and because the prospectus hypothesis is stated as a per-mission delivery cost shift conditional on payload mass</w:t>
      </w:r>
      <w:r>
        <w:t xml:space="preserve"> </w:t>
      </w:r>
      <w:hyperlink w:anchor="ref-10">
        <w:r>
          <w:rPr>
            <w:rStyle w:val="Hyperlink"/>
          </w:rPr>
          <w:t xml:space="preserve">[10]</w:t>
        </w:r>
      </w:hyperlink>
      <w:r>
        <w:t xml:space="preserve">[14][3]. The mission unit is also the unit on which the Wright cumulative-experience axis is constructed for Paper 2, where the cumulative unit count is incremented within provider series by year ordering</w:t>
      </w:r>
      <w:r>
        <w:t xml:space="preserve"> </w:t>
      </w:r>
      <w:hyperlink w:anchor="ref-14">
        <w:r>
          <w:rPr>
            <w:rStyle w:val="Hyperlink"/>
          </w:rPr>
          <w:t xml:space="preserve">[14]</w:t>
        </w:r>
      </w:hyperlink>
      <w:r>
        <w:t xml:space="preserve">.</w:t>
      </w:r>
    </w:p>
    <w:p>
      <w:pPr>
        <w:pStyle w:val="BodyText"/>
        <w:spacing w:line="480" w:lineRule="auto"/>
        <w:ind w:firstLine="720"/>
      </w:pPr>
      <w:r>
        <w:t xml:space="preserve">The temporal scope of Paper 1 spans the period from 1966, the year of the first Surveyor soft landing, through the firm-award horizon of 2028 documented in the most recent Major Project Assessment</w:t>
      </w:r>
      <w:r>
        <w:t xml:space="preserve"> </w:t>
      </w:r>
      <w:hyperlink w:anchor="ref-10">
        <w:r>
          <w:rPr>
            <w:rStyle w:val="Hyperlink"/>
          </w:rPr>
          <w:t xml:space="preserve">[10]</w:t>
        </w:r>
      </w:hyperlink>
      <w:r>
        <w:t xml:space="preserve">. Paper 2 extends the same panel forward through 2027 and assembles thirty observations across nine providers, the additional observations relative to Paper 1 reflecting the contemporary commercial cohort whose firm awards have entered the Government Accountability Office schedule between the two papers</w:t>
      </w:r>
      <w:r>
        <w:t xml:space="preserve"> </w:t>
      </w:r>
      <w:hyperlink w:anchor="ref-14">
        <w:r>
          <w:rPr>
            <w:rStyle w:val="Hyperlink"/>
          </w:rPr>
          <w:t xml:space="preserve">[14]</w:t>
        </w:r>
      </w:hyperlink>
      <w:r>
        <w:t xml:space="preserve">. The decision to begin the panel with Surveyor 1 rather than with an earlier lunar attempt reflects the requirement that each observation carry an authoritative per-mission cost figure traceable to a primary source. Surveyor 1 is the earliest United States lunar lander whose programme accounting is reconstructable from the National Aeronautics and Space Administration Space Science Data Coordinated Archive fact sheet record cross-referenced against the Deep Space Chronicle prepared by Siddiqi as NASA SP-2002-4524</w:t>
      </w:r>
      <w:r>
        <w:t xml:space="preserve"> </w:t>
      </w:r>
      <w:hyperlink w:anchor="ref-12">
        <w:r>
          <w:rPr>
            <w:rStyle w:val="Hyperlink"/>
          </w:rPr>
          <w:t xml:space="preserve">[12]</w:t>
        </w:r>
      </w:hyperlink>
      <w:r>
        <w:t xml:space="preserve">[17]. Earlier Ranger-class attempts are excluded on the ground that they were impact rather than soft-delivery missions and therefore do not share the dependent variable with the rest of the panel.</w:t>
      </w:r>
    </w:p>
    <w:bookmarkEnd w:id="88"/>
    <w:bookmarkStart w:id="89" w:name="authoritative-documentary-sources"/>
    <w:p>
      <w:pPr>
        <w:pStyle w:val="Heading2"/>
        <w:spacing w:line="480" w:lineRule="auto"/>
      </w:pPr>
      <w:r>
        <w:t xml:space="preserve">4.3 Authoritative Documentary Sources</w:t>
      </w:r>
    </w:p>
    <w:p>
      <w:pPr>
        <w:pStyle w:val="FirstParagraph"/>
        <w:spacing w:line="480" w:lineRule="auto"/>
      </w:pPr>
      <w:r>
        <w:t xml:space="preserve">The dataset is assembled from six classes of primary documentary source. Each class is identified below with the authority on which it rests and the dissertation use to which it is put.</w:t>
      </w:r>
    </w:p>
    <w:p>
      <w:pPr>
        <w:pStyle w:val="BodyText"/>
        <w:spacing w:line="480" w:lineRule="auto"/>
        <w:ind w:firstLine="720"/>
      </w:pPr>
      <w:r>
        <w:t xml:space="preserve">The first source class is the National Aeronautics and Space Administration Space Science Data Coordinated Archive Master Catalog. The Master Catalog provides fact sheets for Surveyor 1, 3, 5, 6, and 7; Luna 16, 17, 20, 21, and 24; Chang’e 3, 4, 5, and 6; Chandrayaan 2 and 3; and the Smart Lander for Investigating Moon</w:t>
      </w:r>
      <w:r>
        <w:t xml:space="preserve"> </w:t>
      </w:r>
      <w:hyperlink w:anchor="ref-17">
        <w:r>
          <w:rPr>
            <w:rStyle w:val="Hyperlink"/>
          </w:rPr>
          <w:t xml:space="preserve">[17]</w:t>
        </w:r>
      </w:hyperlink>
      <w:r>
        <w:t xml:space="preserve">. Each fact sheet records launch date, landing date, landing site coordinates where available, mass at landing, and the originating space agency. The Master Catalog is the canonical primary source for the mission-level metadata that anchors every observation. It is not a cost source; the cost values for the heritage Surveyor and Luna observations are taken from the Deep Space Chronicle and cross-referenced to the Master Catalog by mission identifier</w:t>
      </w:r>
      <w:r>
        <w:t xml:space="preserve"> </w:t>
      </w:r>
      <w:hyperlink w:anchor="ref-12">
        <w:r>
          <w:rPr>
            <w:rStyle w:val="Hyperlink"/>
          </w:rPr>
          <w:t xml:space="preserve">[12]</w:t>
        </w:r>
      </w:hyperlink>
      <w:r>
        <w:t xml:space="preserve">[18].</w:t>
      </w:r>
    </w:p>
    <w:p>
      <w:pPr>
        <w:pStyle w:val="BodyText"/>
        <w:spacing w:line="480" w:lineRule="auto"/>
        <w:ind w:firstLine="720"/>
      </w:pPr>
      <w:r>
        <w:t xml:space="preserve">The second source class is the Deep Space Chronicle prepared by Siddiqi and published as NASA SP-2002-4524</w:t>
      </w:r>
      <w:r>
        <w:t xml:space="preserve"> </w:t>
      </w:r>
      <w:hyperlink w:anchor="ref-12">
        <w:r>
          <w:rPr>
            <w:rStyle w:val="Hyperlink"/>
          </w:rPr>
          <w:t xml:space="preserve">[12]</w:t>
        </w:r>
      </w:hyperlink>
      <w:r>
        <w:t xml:space="preserve">. The Deep Space Chronicle records the United States and Soviet deep-space and planetary probes between 1958 and 2000 and includes contemporaneous programme cost discussion for the Surveyor and Luna families. For the United States Surveyor missions the cost values reported in the Deep Space Chronicle are taken as the per-mission cost figure for the dissertation, deflated to constant fiscal year 2024 United States dollars as set out in section 4.6. For the Soviet Luna missions the cost values reported are flagged as illustrative in the source column of the dataset, on the ground that the original ruble disclosures are not directly comparable to United States dollar awards even after exchange and inflation adjustment</w:t>
      </w:r>
      <w:r>
        <w:t xml:space="preserve"> </w:t>
      </w:r>
      <w:hyperlink w:anchor="ref-12">
        <w:r>
          <w:rPr>
            <w:rStyle w:val="Hyperlink"/>
          </w:rPr>
          <w:t xml:space="preserve">[12]</w:t>
        </w:r>
      </w:hyperlink>
      <w:r>
        <w:t xml:space="preserve">[18]. The Deep Space Chronicle is also the source for the Soviet-era programme accounting documented in the Paper 2 panel</w:t>
      </w:r>
      <w:r>
        <w:t xml:space="preserve"> </w:t>
      </w:r>
      <w:hyperlink w:anchor="ref-18">
        <w:r>
          <w:rPr>
            <w:rStyle w:val="Hyperlink"/>
          </w:rPr>
          <w:t xml:space="preserve">[18]</w:t>
        </w:r>
      </w:hyperlink>
      <w:r>
        <w:t xml:space="preserve">.</w:t>
      </w:r>
    </w:p>
    <w:p>
      <w:pPr>
        <w:pStyle w:val="BodyText"/>
        <w:spacing w:line="480" w:lineRule="auto"/>
        <w:ind w:firstLine="720"/>
      </w:pPr>
      <w:r>
        <w:t xml:space="preserve">The third source class is the United States Government Accountability Office report GAO-25-107591, the most recent annual NASA Major Project Assessment</w:t>
      </w:r>
      <w:r>
        <w:t xml:space="preserve"> </w:t>
      </w:r>
      <w:hyperlink w:anchor="ref-10">
        <w:r>
          <w:rPr>
            <w:rStyle w:val="Hyperlink"/>
          </w:rPr>
          <w:t xml:space="preserve">[10]</w:t>
        </w:r>
      </w:hyperlink>
      <w:r>
        <w:t xml:space="preserve">[14]. The Government Accountability Office report reproduces the Commercial Lunar Payload Services task order schedule with as-awarded prices, task order identifier, contractor, and scheduled delivery year. For every Commercial Lunar Payload Services observation in the panel, the per-mission cost is taken directly from the schedule reproduced in GAO-25-107591. The Government Accountability Office is therefore the primary documentary authority on which the treated-regime observations rest. The report is also the authoritative source for the schedule-risk and award-stability commentary that informs the awarded-versus-realised threat discussed in section 4.7.</w:t>
      </w:r>
    </w:p>
    <w:p>
      <w:pPr>
        <w:pStyle w:val="BodyText"/>
        <w:spacing w:line="480" w:lineRule="auto"/>
        <w:ind w:firstLine="720"/>
      </w:pPr>
      <w:r>
        <w:t xml:space="preserve">The fourth source class is the National Aeronautics and Space Administration Office of Inspector General report IG-23-005, the Office of Inspector General report on the Management of the Volatiles Investigating Polar Exploration Rover Mission</w:t>
      </w:r>
      <w:r>
        <w:t xml:space="preserve"> </w:t>
      </w:r>
      <w:hyperlink w:anchor="ref-11">
        <w:r>
          <w:rPr>
            <w:rStyle w:val="Hyperlink"/>
          </w:rPr>
          <w:t xml:space="preserve">[11]</w:t>
        </w:r>
      </w:hyperlink>
      <w:r>
        <w:t xml:space="preserve">. The Office of Inspector General report records the cost-reimbursable components of the Volatiles Investigating Polar Exploration Rover programme and the Griffin task order context under which the rover was originally scheduled to be delivered. The IG-23-005 record is the primary source for the Griffin Mission 1 cost figure used in Paper 2 and for the cost-reimbursable counterfactual components used in the Paper 1 control set</w:t>
      </w:r>
      <w:r>
        <w:t xml:space="preserve"> </w:t>
      </w:r>
      <w:hyperlink w:anchor="ref-11">
        <w:r>
          <w:rPr>
            <w:rStyle w:val="Hyperlink"/>
          </w:rPr>
          <w:t xml:space="preserve">[11]</w:t>
        </w:r>
      </w:hyperlink>
      <w:r>
        <w:t xml:space="preserve">.</w:t>
      </w:r>
    </w:p>
    <w:p>
      <w:pPr>
        <w:pStyle w:val="BodyText"/>
        <w:spacing w:line="480" w:lineRule="auto"/>
        <w:ind w:firstLine="720"/>
      </w:pPr>
      <w:r>
        <w:t xml:space="preserve">The fifth source class is the official press and budget disclosure of the non-United States lunar lander programmes. The Chang’e programme cost figures are taken from China National Space Administration press materials cross-referenced against the National Aeronautics and Space Administration Space Science Data Coordinated Archive fact sheet record</w:t>
      </w:r>
      <w:r>
        <w:t xml:space="preserve"> </w:t>
      </w:r>
      <w:hyperlink w:anchor="ref-17">
        <w:r>
          <w:rPr>
            <w:rStyle w:val="Hyperlink"/>
          </w:rPr>
          <w:t xml:space="preserve">[17]</w:t>
        </w:r>
      </w:hyperlink>
      <w:r>
        <w:t xml:space="preserve">. The Chandrayaan figures are taken from Indian Space Research Organisation public information releases including the 23 August 2023 Chandrayaan 3 budget disclosure of approximately 615 crore rupees, which is converted to United States dollars at the contemporaneous exchange rate and then deflated to constant fiscal year 2024 dollars as set out in section 4.6</w:t>
      </w:r>
      <w:r>
        <w:t xml:space="preserve"> </w:t>
      </w:r>
      <w:hyperlink w:anchor="ref-19">
        <w:r>
          <w:rPr>
            <w:rStyle w:val="Hyperlink"/>
          </w:rPr>
          <w:t xml:space="preserve">[19]</w:t>
        </w:r>
      </w:hyperlink>
      <w:r>
        <w:t xml:space="preserve">. The Smart Lander for Investigating Moon figure is taken from the Japan Aerospace Exploration Agency January 2024 press kit</w:t>
      </w:r>
      <w:r>
        <w:t xml:space="preserve"> </w:t>
      </w:r>
      <w:hyperlink w:anchor="ref-20">
        <w:r>
          <w:rPr>
            <w:rStyle w:val="Hyperlink"/>
          </w:rPr>
          <w:t xml:space="preserve">[20]</w:t>
        </w:r>
      </w:hyperlink>
      <w:r>
        <w:t xml:space="preserve">. The HAKUTO-R per-mission accounting is taken from the ispace Mission 1 and Mission 2 press kits and from the 2023 ispace initial public offering prospectus</w:t>
      </w:r>
      <w:r>
        <w:t xml:space="preserve"> </w:t>
      </w:r>
      <w:hyperlink w:anchor="ref-21">
        <w:r>
          <w:rPr>
            <w:rStyle w:val="Hyperlink"/>
          </w:rPr>
          <w:t xml:space="preserve">[21]</w:t>
        </w:r>
      </w:hyperlink>
      <w:r>
        <w:t xml:space="preserve">.</w:t>
      </w:r>
    </w:p>
    <w:p>
      <w:pPr>
        <w:pStyle w:val="BodyText"/>
        <w:spacing w:line="480" w:lineRule="auto"/>
        <w:ind w:firstLine="720"/>
      </w:pPr>
      <w:r>
        <w:t xml:space="preserve">The sixth source class is the supporting space-economics and technical-architecture literature against which the empirical specification is framed. The Weinzierl Space, the Final Economic Frontier discussion of the Commercial Orbital Transportation Services to Commercial Resupply Services transition is the authoritative articulation of the theoretical case for a negative procurement-regime effect on per-mission delivery cost</w:t>
      </w:r>
      <w:r>
        <w:t xml:space="preserve"> </w:t>
      </w:r>
      <w:hyperlink w:anchor="ref-3">
        <w:r>
          <w:rPr>
            <w:rStyle w:val="Hyperlink"/>
          </w:rPr>
          <w:t xml:space="preserve">[3]</w:t>
        </w:r>
      </w:hyperlink>
      <w:r>
        <w:t xml:space="preserve">[7]. The Outer Continent Economic Analysis Forecasting the Space Economy treatment of the commercial lunar transportation transition is the broader space-economy framing against which the Commercial Lunar Payload Services case is set</w:t>
      </w:r>
      <w:r>
        <w:t xml:space="preserve"> </w:t>
      </w:r>
      <w:hyperlink w:anchor="ref-6">
        <w:r>
          <w:rPr>
            <w:rStyle w:val="Hyperlink"/>
          </w:rPr>
          <w:t xml:space="preserve">[6]</w:t>
        </w:r>
      </w:hyperlink>
      <w:r>
        <w:t xml:space="preserve">[16]. The Advanced Maui Optical and Space Surveillance Technologies Conference proceedings of Van Cleve and colleagues, of Lawitzke and colleagues, and of Osterman and colleagues are the primary technical literature on which the architectural treatment of mass and delivery cost as primary drivers for commercial landers is built</w:t>
      </w:r>
      <w:r>
        <w:t xml:space="preserve"> </w:t>
      </w:r>
      <w:hyperlink w:anchor="ref-1">
        <w:r>
          <w:rPr>
            <w:rStyle w:val="Hyperlink"/>
          </w:rPr>
          <w:t xml:space="preserve">[1]</w:t>
        </w:r>
      </w:hyperlink>
      <w:r>
        <w:t xml:space="preserve">[4][5][8][9][15]. The classical Wright statement of the log-log learning curve is the canonical authority for the Paper 2 specification</w:t>
      </w:r>
      <w:r>
        <w:t xml:space="preserve"> </w:t>
      </w:r>
      <w:hyperlink w:anchor="ref-13">
        <w:r>
          <w:rPr>
            <w:rStyle w:val="Hyperlink"/>
          </w:rPr>
          <w:t xml:space="preserve">[13]</w:t>
        </w:r>
      </w:hyperlink>
      <w:r>
        <w:t xml:space="preserve">.</w:t>
      </w:r>
    </w:p>
    <w:bookmarkEnd w:id="89"/>
    <w:bookmarkStart w:id="90" w:name="the-dependent-variable"/>
    <w:p>
      <w:pPr>
        <w:pStyle w:val="Heading2"/>
        <w:spacing w:line="480" w:lineRule="auto"/>
      </w:pPr>
      <w:r>
        <w:t xml:space="preserve">4.4 The Dependent Variable</w:t>
      </w:r>
    </w:p>
    <w:p>
      <w:pPr>
        <w:pStyle w:val="FirstParagraph"/>
        <w:spacing w:line="480" w:lineRule="auto"/>
      </w:pPr>
      <w:r>
        <w:t xml:space="preserve">The dependent variable in both Paper 1 and Paper 2 is the natural log of the per-mission delivery cost expressed in constant fiscal year 2024 United States dollars in millions. The per-mission delivery cost is defined as the contractually awarded value, where the observation is a Commercial Lunar Payload Services task order or an analogous commercial fixed-price arrangement, and as the inflation-adjusted programme cost attributable to the individual mission, where the observation is a heritage cost-plus or government-programme delivery. For the Commercial Lunar Payload Services observations the awarded value is read directly from the Government Accountability Office Major Project Assessment schedule</w:t>
      </w:r>
      <w:r>
        <w:t xml:space="preserve"> </w:t>
      </w:r>
      <w:hyperlink w:anchor="ref-10">
        <w:r>
          <w:rPr>
            <w:rStyle w:val="Hyperlink"/>
          </w:rPr>
          <w:t xml:space="preserve">[10]</w:t>
        </w:r>
      </w:hyperlink>
      <w:r>
        <w:t xml:space="preserve">[14]. For the heritage observations the programme cost is read from the Deep Space Chronicle and cross-referenced to the National Aeronautics and Space Administration Space Science Data Coordinated Archive fact sheet record</w:t>
      </w:r>
      <w:r>
        <w:t xml:space="preserve"> </w:t>
      </w:r>
      <w:hyperlink w:anchor="ref-12">
        <w:r>
          <w:rPr>
            <w:rStyle w:val="Hyperlink"/>
          </w:rPr>
          <w:t xml:space="preserve">[12]</w:t>
        </w:r>
      </w:hyperlink>
      <w:r>
        <w:t xml:space="preserve">[17][18]. For the non-United States observations the programme cost is read from the corresponding agency disclosure as enumerated in section 4.3</w:t>
      </w:r>
      <w:r>
        <w:t xml:space="preserve"> </w:t>
      </w:r>
      <w:hyperlink w:anchor="ref-19">
        <w:r>
          <w:rPr>
            <w:rStyle w:val="Hyperlink"/>
          </w:rPr>
          <w:t xml:space="preserve">[19]</w:t>
        </w:r>
      </w:hyperlink>
      <w:r>
        <w:t xml:space="preserve">[20][21].</w:t>
      </w:r>
    </w:p>
    <w:p>
      <w:pPr>
        <w:pStyle w:val="BodyText"/>
        <w:spacing w:line="480" w:lineRule="auto"/>
        <w:ind w:firstLine="720"/>
      </w:pPr>
      <w:r>
        <w:t xml:space="preserve">The decision to take the natural log of the per-mission cost as the dependent variable is consistent with the log-linear cost-estimating relationships used in the space cost-estimating literature</w:t>
      </w:r>
      <w:r>
        <w:t xml:space="preserve"> </w:t>
      </w:r>
      <w:hyperlink w:anchor="ref-3">
        <w:r>
          <w:rPr>
            <w:rStyle w:val="Hyperlink"/>
          </w:rPr>
          <w:t xml:space="preserve">[3]</w:t>
        </w:r>
      </w:hyperlink>
      <w:r>
        <w:t xml:space="preserve">[7] and is the form in which the Wright learning relationship is conventionally written</w:t>
      </w:r>
      <w:r>
        <w:t xml:space="preserve"> </w:t>
      </w:r>
      <w:hyperlink w:anchor="ref-13">
        <w:r>
          <w:rPr>
            <w:rStyle w:val="Hyperlink"/>
          </w:rPr>
          <w:t xml:space="preserve">[13]</w:t>
        </w:r>
      </w:hyperlink>
      <w:r>
        <w:t xml:space="preserve">. The log specification is also the form on which the per-mission cost shift implied by the regime indicator in Paper 1 is interpreted as a proportional rather than an additive shift, which is the form in which the policy claim that motivated the Commercial Lunar Payload Services substitution is naturally stated</w:t>
      </w:r>
      <w:r>
        <w:t xml:space="preserve"> </w:t>
      </w:r>
      <w:hyperlink w:anchor="ref-3">
        <w:r>
          <w:rPr>
            <w:rStyle w:val="Hyperlink"/>
          </w:rPr>
          <w:t xml:space="preserve">[3]</w:t>
        </w:r>
      </w:hyperlink>
      <w:r>
        <w:t xml:space="preserve">.</w:t>
      </w:r>
    </w:p>
    <w:p>
      <w:pPr>
        <w:pStyle w:val="BodyText"/>
        <w:spacing w:line="480" w:lineRule="auto"/>
        <w:ind w:firstLine="720"/>
      </w:pPr>
      <w:r>
        <w:t xml:space="preserve">The decision to use the awarded value rather than the realised value for the Commercial Lunar Payload Services observations is a measurement compromise that the prospectus identifies as a principal threat to validity. The threat is that awarded values may diverge from realised cost if task orders are subsequently re-priced, descoped, or terminated, a divergence that the Government Accountability Office has flagged in successive Major Project Assessments</w:t>
      </w:r>
      <w:r>
        <w:t xml:space="preserve"> </w:t>
      </w:r>
      <w:hyperlink w:anchor="ref-10">
        <w:r>
          <w:rPr>
            <w:rStyle w:val="Hyperlink"/>
          </w:rPr>
          <w:t xml:space="preserve">[10]</w:t>
        </w:r>
      </w:hyperlink>
      <w:r>
        <w:t xml:space="preserve">[14]. The compromise is accepted at the present stage on the ground that the realised values are not yet observable for most of the panel and that the awarded values are the only figures that are uniformly available across the treated cohort. The prospectus commits to a sensitivity analysis using only completed and accepted deliveries when the realised record permits, and that commitment is preserved in the dissertation.</w:t>
      </w:r>
    </w:p>
    <w:bookmarkEnd w:id="90"/>
    <w:bookmarkStart w:id="91" w:name="the-regressors"/>
    <w:p>
      <w:pPr>
        <w:pStyle w:val="Heading2"/>
        <w:spacing w:line="480" w:lineRule="auto"/>
      </w:pPr>
      <w:r>
        <w:t xml:space="preserve">4.5 The Regressors</w:t>
      </w:r>
    </w:p>
    <w:p>
      <w:pPr>
        <w:pStyle w:val="FirstParagraph"/>
        <w:spacing w:line="480" w:lineRule="auto"/>
      </w:pPr>
      <w:r>
        <w:t xml:space="preserve">Paper 1 uses two regressors. The first is the natural log of the payload mass delivered to the lunar surface, expressed in kilograms. Payload mass is taken from the National Aeronautics and Space Administration Space Science Data Coordinated Archive fact sheet record for the heritage observations and from the Government Accountability Office Major Project Assessment schedule for the Commercial Lunar Payload Services observations</w:t>
      </w:r>
      <w:r>
        <w:t xml:space="preserve"> </w:t>
      </w:r>
      <w:hyperlink w:anchor="ref-10">
        <w:r>
          <w:rPr>
            <w:rStyle w:val="Hyperlink"/>
          </w:rPr>
          <w:t xml:space="preserve">[10]</w:t>
        </w:r>
      </w:hyperlink>
      <w:r>
        <w:t xml:space="preserve">[14][17]. Where the Space Science Data Coordinated Archive records both a wet and a dry mass at landing, the dry mass at landing is taken as the operational mass for the dissertation, on the ground that the dry mass is the figure that the cost-estimating literature treats as the architectural cost driver</w:t>
      </w:r>
      <w:r>
        <w:t xml:space="preserve"> </w:t>
      </w:r>
      <w:hyperlink w:anchor="ref-3">
        <w:r>
          <w:rPr>
            <w:rStyle w:val="Hyperlink"/>
          </w:rPr>
          <w:t xml:space="preserve">[3]</w:t>
        </w:r>
      </w:hyperlink>
      <w:r>
        <w:t xml:space="preserve">[7][15]. Where the Government Accountability Office schedule reports a contracted payload delivery mass distinct from the lander dry mass, the contracted payload delivery mass is taken as the operational mass, on the ground that the Commercial Lunar Payload Services task order is contractually priced against the delivered payload mass rather than against the lander dry mass</w:t>
      </w:r>
      <w:r>
        <w:t xml:space="preserve"> </w:t>
      </w:r>
      <w:hyperlink w:anchor="ref-14">
        <w:r>
          <w:rPr>
            <w:rStyle w:val="Hyperlink"/>
          </w:rPr>
          <w:t xml:space="preserve">[14]</w:t>
        </w:r>
      </w:hyperlink>
      <w:r>
        <w:t xml:space="preserve">.</w:t>
      </w:r>
    </w:p>
    <w:p>
      <w:pPr>
        <w:pStyle w:val="BodyText"/>
        <w:spacing w:line="480" w:lineRule="auto"/>
        <w:ind w:firstLine="720"/>
      </w:pPr>
      <w:r>
        <w:t xml:space="preserve">The second Paper 1 regressor is the binary procurement-regime indicator. The indicator takes value one for Commercial Lunar Payload Services task orders and analogous commercial fixed-price delivery arrangements, and value zero for heritage cost-plus or government-programme delivery. The coding is constructed at the mission level by reference to the contracting instrument under which the mission was awarded. For the United States observations the contracting instrument is read directly from the Government Accountability Office schedule, the Office of Inspector General report, or the Deep Space Chronicle as the case requires</w:t>
      </w:r>
      <w:r>
        <w:t xml:space="preserve"> </w:t>
      </w:r>
      <w:hyperlink w:anchor="ref-10">
        <w:r>
          <w:rPr>
            <w:rStyle w:val="Hyperlink"/>
          </w:rPr>
          <w:t xml:space="preserve">[10]</w:t>
        </w:r>
      </w:hyperlink>
      <w:r>
        <w:t xml:space="preserve">[11][12][14]. For the Soviet observations the contracting instrument is treated as government-programme delivery and coded zero</w:t>
      </w:r>
      <w:r>
        <w:t xml:space="preserve"> </w:t>
      </w:r>
      <w:hyperlink w:anchor="ref-12">
        <w:r>
          <w:rPr>
            <w:rStyle w:val="Hyperlink"/>
          </w:rPr>
          <w:t xml:space="preserve">[12]</w:t>
        </w:r>
      </w:hyperlink>
      <w:r>
        <w:t xml:space="preserve">[18]. For the Chinese observations the contracting instrument is treated as government-programme delivery and coded zero on the same basis</w:t>
      </w:r>
      <w:r>
        <w:t xml:space="preserve"> </w:t>
      </w:r>
      <w:hyperlink w:anchor="ref-17">
        <w:r>
          <w:rPr>
            <w:rStyle w:val="Hyperlink"/>
          </w:rPr>
          <w:t xml:space="preserve">[17]</w:t>
        </w:r>
      </w:hyperlink>
      <w:r>
        <w:t xml:space="preserve">. For the Indian Chandrayaan 3 observation the contracting instrument is treated as government-programme delivery and coded zero, on the ground that the 615 crore rupee disclosure is reported by the Indian Space Research Organisation as a programme cost rather than as a fixed-price commercial delivery award</w:t>
      </w:r>
      <w:r>
        <w:t xml:space="preserve"> </w:t>
      </w:r>
      <w:hyperlink w:anchor="ref-19">
        <w:r>
          <w:rPr>
            <w:rStyle w:val="Hyperlink"/>
          </w:rPr>
          <w:t xml:space="preserve">[19]</w:t>
        </w:r>
      </w:hyperlink>
      <w:r>
        <w:t xml:space="preserve">. For the Japan Aerospace Exploration Agency Smart Lander for Investigating Moon observation the contracting instrument is coded zero on the same basis</w:t>
      </w:r>
      <w:r>
        <w:t xml:space="preserve"> </w:t>
      </w:r>
      <w:hyperlink w:anchor="ref-20">
        <w:r>
          <w:rPr>
            <w:rStyle w:val="Hyperlink"/>
          </w:rPr>
          <w:t xml:space="preserve">[20]</w:t>
        </w:r>
      </w:hyperlink>
      <w:r>
        <w:t xml:space="preserve">. For the ispace HAKUTO-R observations the contracting instrument is coded one, on the ground that the per-mission accounting reported in the ispace press kits and initial public offering prospectus is consistent with commercial fixed-price delivery</w:t>
      </w:r>
      <w:r>
        <w:t xml:space="preserve"> </w:t>
      </w:r>
      <w:hyperlink w:anchor="ref-21">
        <w:r>
          <w:rPr>
            <w:rStyle w:val="Hyperlink"/>
          </w:rPr>
          <w:t xml:space="preserve">[21]</w:t>
        </w:r>
      </w:hyperlink>
      <w:r>
        <w:t xml:space="preserve">.</w:t>
      </w:r>
    </w:p>
    <w:p>
      <w:pPr>
        <w:pStyle w:val="BodyText"/>
        <w:spacing w:line="480" w:lineRule="auto"/>
        <w:ind w:firstLine="720"/>
      </w:pPr>
      <w:r>
        <w:t xml:space="preserve">Paper 2 uses one regressor, the cumulative provider unit count. The cumulative unit count is constructed within each provider series by ordering the missions of that provider by year and assigning the integer one to the first mission, two to the second, and so on. The natural log of the cumulative unit count is the operational regressor in the Wright specification, the elasticity on which is the learning slope b and the progress ratio of which is 2 raised to b</w:t>
      </w:r>
      <w:r>
        <w:t xml:space="preserve"> </w:t>
      </w:r>
      <w:hyperlink w:anchor="ref-13">
        <w:r>
          <w:rPr>
            <w:rStyle w:val="Hyperlink"/>
          </w:rPr>
          <w:t xml:space="preserve">[13]</w:t>
        </w:r>
      </w:hyperlink>
      <w:r>
        <w:t xml:space="preserve">. The provider series defined for the Paper 2 panel are the Surveyor and Luna heritage series, the Chang’e series, the Chandrayaan series, the Smart Lander for Investigating Moon, and the contemporary commercial cohort of Peregrine, Griffin, Nova-C, Blue Ghost, Draper SERIES-2, APEX-1, Blue Moon MK1, and the HAKUTO-R series</w:t>
      </w:r>
      <w:r>
        <w:t xml:space="preserve"> </w:t>
      </w:r>
      <w:hyperlink w:anchor="ref-10">
        <w:r>
          <w:rPr>
            <w:rStyle w:val="Hyperlink"/>
          </w:rPr>
          <w:t xml:space="preserve">[10]</w:t>
        </w:r>
      </w:hyperlink>
      <w:r>
        <w:t xml:space="preserve">[14][17][18][19][20][21]. The provider assignment is read from the contracting record where available and from the lander manufacturer record otherwise.</w:t>
      </w:r>
    </w:p>
    <w:p>
      <w:pPr>
        <w:pStyle w:val="BodyText"/>
        <w:spacing w:line="480" w:lineRule="auto"/>
        <w:ind w:firstLine="720"/>
      </w:pPr>
      <w:r>
        <w:t xml:space="preserve">The prospectus identifies a contractor learning term as a robustness regressor for the Paper 1 difference-in-differences specification, operationalised as the cumulative awarded task orders to date for each contractor</w:t>
      </w:r>
      <w:r>
        <w:t xml:space="preserve"> </w:t>
      </w:r>
      <w:hyperlink w:anchor="ref-3">
        <w:r>
          <w:rPr>
            <w:rStyle w:val="Hyperlink"/>
          </w:rPr>
          <w:t xml:space="preserve">[3]</w:t>
        </w:r>
      </w:hyperlink>
      <w:r>
        <w:t xml:space="preserve">. The dissertation preserves that specification, with the cumulative awarded task order count constructed in the same manner as the Paper 2 cumulative unit count and read from the Government Accountability Office schedule</w:t>
      </w:r>
      <w:r>
        <w:t xml:space="preserve"> </w:t>
      </w:r>
      <w:hyperlink w:anchor="ref-10">
        <w:r>
          <w:rPr>
            <w:rStyle w:val="Hyperlink"/>
          </w:rPr>
          <w:t xml:space="preserve">[10]</w:t>
        </w:r>
      </w:hyperlink>
      <w:r>
        <w:t xml:space="preserve">[14]. The Wright cumulative-experience curve is preserved as the robustness check for the contractor-learning term, in keeping with the Commercial Orbital Transportation Services to Commercial Resupply Services learning-curve literature</w:t>
      </w:r>
      <w:r>
        <w:t xml:space="preserve"> </w:t>
      </w:r>
      <w:hyperlink w:anchor="ref-3">
        <w:r>
          <w:rPr>
            <w:rStyle w:val="Hyperlink"/>
          </w:rPr>
          <w:t xml:space="preserve">[3]</w:t>
        </w:r>
      </w:hyperlink>
      <w:r>
        <w:t xml:space="preserve">[7].</w:t>
      </w:r>
    </w:p>
    <w:bookmarkEnd w:id="91"/>
    <w:bookmarkStart w:id="92" w:name="Xb359b1ff86c03519c98babe2371e29be9f88e69"/>
    <w:p>
      <w:pPr>
        <w:pStyle w:val="Heading2"/>
        <w:spacing w:line="480" w:lineRule="auto"/>
      </w:pPr>
      <w:r>
        <w:t xml:space="preserve">4.6 Deflation, Currency, and Illustrative Flags</w:t>
      </w:r>
    </w:p>
    <w:p>
      <w:pPr>
        <w:pStyle w:val="FirstParagraph"/>
        <w:spacing w:line="480" w:lineRule="auto"/>
      </w:pPr>
      <w:r>
        <w:t xml:space="preserve">All cost values entering the dependent variable are expressed in constant fiscal year 2024 United States dollars in millions. The deflation procedure for the United States observations applies the National Aeronautics and Space Administration New Start Inflation Index, in keeping with the deflation convention adopted in the prospectus</w:t>
      </w:r>
      <w:r>
        <w:t xml:space="preserve"> </w:t>
      </w:r>
      <w:hyperlink w:anchor="ref-3">
        <w:r>
          <w:rPr>
            <w:rStyle w:val="Hyperlink"/>
          </w:rPr>
          <w:t xml:space="preserve">[3]</w:t>
        </w:r>
      </w:hyperlink>
      <w:r>
        <w:t xml:space="preserve">. The exchange procedure for the non-United States observations applies the contemporaneous exchange rate at the date of the disclosure cited in the source column, with the resulting United States dollar value then deflated to fiscal year 2024 by the New Start Inflation Index.</w:t>
      </w:r>
    </w:p>
    <w:p>
      <w:pPr>
        <w:pStyle w:val="BodyText"/>
        <w:spacing w:line="480" w:lineRule="auto"/>
        <w:ind w:firstLine="720"/>
      </w:pPr>
      <w:r>
        <w:t xml:space="preserve">Four observations in the Paper 1 panel are flagged as illustrative in the source column. The illustrative flag is applied where either the underlying disclosure is not in directly convertible form or the award has not yet been independently confirmed in the Major Project Assessment. The marked share is below fifteen percent of the panel. The illustrative observations in the Paper 2 panel are concentrated in the Soviet-era Luna inflation conversions, and the marked share is below fifteen percent of the Paper 2 observations as well. The illustrative flag is a transparency convention rather than an exclusion criterion; the illustrative observations are retained in the estimation panel, and the sensitivity of the estimates to their exclusion is reported in the robustness chapter.</w:t>
      </w:r>
    </w:p>
    <w:p>
      <w:pPr>
        <w:pStyle w:val="BodyText"/>
        <w:spacing w:line="480" w:lineRule="auto"/>
        <w:ind w:firstLine="720"/>
      </w:pPr>
      <w:r>
        <w:t xml:space="preserve">The convention adopted for the Chandrayaan 3 conversion warrants explicit statement. The Indian Space Research Organisation 23 August 2023 disclosure of approximately 615 crore rupees is converted to United States dollars at the exchange rate prevailing on the disclosure date, and the resulting dollar value is deflated to fiscal year 2024 by the New Start Inflation Index</w:t>
      </w:r>
      <w:r>
        <w:t xml:space="preserve"> </w:t>
      </w:r>
      <w:hyperlink w:anchor="ref-19">
        <w:r>
          <w:rPr>
            <w:rStyle w:val="Hyperlink"/>
          </w:rPr>
          <w:t xml:space="preserve">[19]</w:t>
        </w:r>
      </w:hyperlink>
      <w:r>
        <w:t xml:space="preserve">. The convention is conservative against the alternative of applying a purchasing power parity adjustment, which would inflate the dollar value and would narrow the apparent cost gap between the Indian government-programme delivery and the Commercial Lunar Payload Services treated cohort. The conservative convention is preferred on the ground that the policy claim under test is one of regime substitution within the United States procurement system, and the foreign observations enter the panel principally as cost-plus or government-programme counterfactual reference points rather than as the central object of inference.</w:t>
      </w:r>
    </w:p>
    <w:bookmarkEnd w:id="92"/>
    <w:bookmarkStart w:id="93" w:name="X441e97a8434ec2268c58e5df589588c908bcc52"/>
    <w:p>
      <w:pPr>
        <w:pStyle w:val="Heading2"/>
        <w:spacing w:line="480" w:lineRule="auto"/>
      </w:pPr>
      <w:r>
        <w:t xml:space="preserve">4.7 Panel Composition and Measurement Threats</w:t>
      </w:r>
    </w:p>
    <w:p>
      <w:pPr>
        <w:pStyle w:val="FirstParagraph"/>
        <w:spacing w:line="480" w:lineRule="auto"/>
      </w:pPr>
      <w:r>
        <w:t xml:space="preserve">The Paper 1 panel comprises twenty-six lunar lander missions flown or under firm award between 1966 and 2028. The Paper 2 panel comprises thirty lunar lander missions across nine providers between 1966 and 2027. The two panels overlap in the heritage Surveyor, Luna, Chang’e, Chandrayaan, and Smart Lander for Investigating Moon observations and in the Commercial Lunar Payload Services task orders for which firm awards are documented in the Government Accountability Office schedule</w:t>
      </w:r>
      <w:r>
        <w:t xml:space="preserve"> </w:t>
      </w:r>
      <w:hyperlink w:anchor="ref-10">
        <w:r>
          <w:rPr>
            <w:rStyle w:val="Hyperlink"/>
          </w:rPr>
          <w:t xml:space="preserve">[10]</w:t>
        </w:r>
      </w:hyperlink>
      <w:r>
        <w:t xml:space="preserve">[14][17]. The Paper 2 panel includes four additional contemporary commercial observations that the Paper 1 panel does not, reflecting the further task orders that the Government Accountability Office has documented between the two papers.</w:t>
      </w:r>
    </w:p>
    <w:p>
      <w:pPr>
        <w:pStyle w:val="BodyText"/>
        <w:spacing w:line="480" w:lineRule="auto"/>
        <w:ind w:firstLine="720"/>
      </w:pPr>
      <w:r>
        <w:t xml:space="preserve">The principal measurement threats that the construction must withstand are four. The first is the awarded-versus-realised divergence, addressed in section 4.4. The second is the payload-class composition shift, which the prospectus identifies as the leading selection threat</w:t>
      </w:r>
      <w:r>
        <w:t xml:space="preserve"> </w:t>
      </w:r>
      <w:hyperlink w:anchor="ref-3">
        <w:r>
          <w:rPr>
            <w:rStyle w:val="Hyperlink"/>
          </w:rPr>
          <w:t xml:space="preserve">[3]</w:t>
        </w:r>
      </w:hyperlink>
      <w:r>
        <w:t xml:space="preserve">. The Commercial Lunar Payload Services treated cohort is concentrated at payload delivery masses below five hundred kilograms, while the heritage cost-plus cohort is concentrated at payload delivery masses well above one thousand kilograms, and the smooth log-mass term in the Paper 1 specification cannot by itself separate the regime effect from the payload-class composition effect. The dissertation addresses the threat by reporting a robustness specification that restricts the comparison to payloads inside a common mass and complexity band, in keeping with the prospectus commitment</w:t>
      </w:r>
      <w:r>
        <w:t xml:space="preserve"> </w:t>
      </w:r>
      <w:hyperlink w:anchor="ref-3">
        <w:r>
          <w:rPr>
            <w:rStyle w:val="Hyperlink"/>
          </w:rPr>
          <w:t xml:space="preserve">[3]</w:t>
        </w:r>
      </w:hyperlink>
      <w:r>
        <w:t xml:space="preserve">. The third is the contractor-learning composition shift, which the Paper 2 result makes empirically visible. The pooled log-log curve, lacking a provider fixed effect, conflates the within-provider learning slope with the cross-provider entry-cost distribution, and the dissertation addresses the threat by reporting a within-provider specification on the subset of providers for which a cumulative doubling of units is observable. The fourth is the small-sample inference threat, which the prospectus identifies as a residual concern given the limited number of heritage observations and the early innings of the Commercial Lunar Payload Services manifest</w:t>
      </w:r>
      <w:r>
        <w:t xml:space="preserve"> </w:t>
      </w:r>
      <w:hyperlink w:anchor="ref-3">
        <w:r>
          <w:rPr>
            <w:rStyle w:val="Hyperlink"/>
          </w:rPr>
          <w:t xml:space="preserve">[3]</w:t>
        </w:r>
      </w:hyperlink>
      <w:r>
        <w:t xml:space="preserve">. The dissertation addresses the threat by reporting exact-test inference and a Bayesian specification with a weakly informative prior on the treatment-effect sign alongside the frequentist estimate.</w:t>
      </w:r>
    </w:p>
    <w:bookmarkEnd w:id="93"/>
    <w:bookmarkStart w:id="94" w:name="data-management-protocol"/>
    <w:p>
      <w:pPr>
        <w:pStyle w:val="Heading2"/>
        <w:spacing w:line="480" w:lineRule="auto"/>
      </w:pPr>
      <w:r>
        <w:t xml:space="preserve">4.8 Data-Management Protocol</w:t>
      </w:r>
    </w:p>
    <w:p>
      <w:pPr>
        <w:pStyle w:val="FirstParagraph"/>
        <w:spacing w:line="480" w:lineRule="auto"/>
      </w:pPr>
      <w:r>
        <w:t xml:space="preserve">The dataset is maintained in a single comma-separated value file under version control, with one row per mission and one column per variable. The columns are mission name, provider, year, contracting instrument, landing site coordinates where available, lander dry mass, payload delivery mass, programme cost or awarded value in current dollars, deflation index value, programme cost or awarded value in constant fiscal year 2024 dollars, regime indicator, cumulative provider unit count, cumulative contractor task order count, illustrative flag, and the full source string. The full source string for each observation is reproduced in the source column so that any successor reconstructing the dataset can verify the figure against the primary documentary record without recourse to any private holding</w:t>
      </w:r>
      <w:r>
        <w:t xml:space="preserve"> </w:t>
      </w:r>
      <w:hyperlink w:anchor="ref-3">
        <w:r>
          <w:rPr>
            <w:rStyle w:val="Hyperlink"/>
          </w:rPr>
          <w:t xml:space="preserve">[3]</w:t>
        </w:r>
      </w:hyperlink>
      <w:r>
        <w:t xml:space="preserve">. The data-management protocol preserves the prospectus commitment that the dataset is obtainable in full from public sources and that no proprietary or restricted data are required for the dissertation</w:t>
      </w:r>
      <w:r>
        <w:t xml:space="preserve"> </w:t>
      </w:r>
      <w:hyperlink w:anchor="ref-3">
        <w:r>
          <w:rPr>
            <w:rStyle w:val="Hyperlink"/>
          </w:rPr>
          <w:t xml:space="preserve">[3]</w:t>
        </w:r>
      </w:hyperlink>
      <w:r>
        <w:t xml:space="preserve">.</w:t>
      </w:r>
    </w:p>
    <w:bookmarkEnd w:id="94"/>
    <w:bookmarkEnd w:id="95"/>
    <w:bookmarkStart w:id="103" w:name="chapter-5.-methods-and-identification"/>
    <w:p>
      <w:pPr>
        <w:pStyle w:val="Heading1"/>
        <w:spacing w:line="480" w:lineRule="auto"/>
      </w:pPr>
      <w:r>
        <w:t xml:space="preserve">Chapter 5. Methods and Identification</w:t>
      </w:r>
    </w:p>
    <w:bookmarkStart w:id="96" w:name="introduction-and-plan-of-the-chapter"/>
    <w:p>
      <w:pPr>
        <w:pStyle w:val="Heading2"/>
        <w:spacing w:line="480" w:lineRule="auto"/>
      </w:pPr>
      <w:r>
        <w:t xml:space="preserve">5.1 Introduction and Plan of the Chapter</w:t>
      </w:r>
    </w:p>
    <w:p>
      <w:pPr>
        <w:pStyle w:val="FirstParagraph"/>
        <w:spacing w:line="480" w:lineRule="auto"/>
      </w:pPr>
      <w:r>
        <w:t xml:space="preserve">This chapter sets out the econometric architecture that the dissertation uses to estimate the treatment effect of the Commercial Lunar Payload Services (CLPS) procurement regime on the awarded unit cost of lunar surface delivery, relative to the cost-plus heritage counterfactual. The estimand was defined in the prospectus as the difference-in-differences treatment effect of the fixed-price commercial-services procurement model on awarded unit cost per kilogram of lunar surface payload delivered, in constant fiscal year 2025 dollars, after adjusting for payload mass class, destination site difficulty, and contractor learning. The two empirical antecedents to this chapter are the ordinary least squares specification in the first companion paper, which conditioned on payload mass and a CLPS-regime indicator, and the pooled log-log Wright learning specification in the second companion paper, which returned a positive elasticity attributable to a provider-mix composition effect rather than to within-provider learning. The present chapter does three things. First, it states the principal estimator, the auxiliary estimators, and the inferential procedures that the dissertation will use to bring the existing two-paper evidence into a single panel framework. Second, it states the identification strategy and the assumptions on which the causal interpretation of the regime indicator rests. Third, it enumerates the threats to validity and bounds each one with a robustness specification, a sensitivity analysis, or an inferential safeguard.</w:t>
      </w:r>
    </w:p>
    <w:p>
      <w:pPr>
        <w:pStyle w:val="BodyText"/>
        <w:spacing w:line="480" w:lineRule="auto"/>
        <w:ind w:firstLine="720"/>
      </w:pPr>
      <w:r>
        <w:t xml:space="preserve">The chapter is written so that the identification claim can be evaluated independently of the eventual point estimate. A reader who concludes that the assumptions are not credible should reject the causal interpretation regardless of statistical significance; a reader who accepts the assumptions should accept the sign of the estimated effect even where the magnitude is sensitive to specification. That separability is the central methodological commitment of the dissertation.</w:t>
      </w:r>
    </w:p>
    <w:bookmarkEnd w:id="96"/>
    <w:bookmarkStart w:id="97" w:name="X78f1583d9b8ef233d9822f35463677e249b2f53"/>
    <w:p>
      <w:pPr>
        <w:pStyle w:val="Heading2"/>
        <w:spacing w:line="480" w:lineRule="auto"/>
      </w:pPr>
      <w:r>
        <w:t xml:space="preserve">5.2 The Principal Estimator: Two-Way Fixed-Effects Panel Regression</w:t>
      </w:r>
    </w:p>
    <w:p>
      <w:pPr>
        <w:pStyle w:val="FirstParagraph"/>
        <w:spacing w:line="480" w:lineRule="auto"/>
      </w:pPr>
      <w:r>
        <w:t xml:space="preserve">The principal estimator is a two-way fixed-effects panel regression of the natural logarithm of awarded unit cost per kilogram of lunar surface payload on a binary procurement-regime indicator, with fixed effects for payload mass class and for landing-site difficulty class, and a contractor learning term. The unit of observation is the task order or, where the heritage record is not disaggregated to that level, the mission. The dependent variable is constructed as the natural logarithm of the ratio of awarded dollars to delivered kilograms, with both numerator and denominator drawn from public sources: the Government Accountability Office Major Project Assessment task-order schedule for the CLPS leg of the panel</w:t>
      </w:r>
      <w:r>
        <w:t xml:space="preserve"> </w:t>
      </w:r>
      <w:hyperlink w:anchor="ref-10">
        <w:r>
          <w:rPr>
            <w:rStyle w:val="Hyperlink"/>
          </w:rPr>
          <w:t xml:space="preserve">[10]</w:t>
        </w:r>
      </w:hyperlink>
      <w:r>
        <w:t xml:space="preserve">[14] and the National Aeronautics and Space Administration Space Science Data Coordinated Archive together with the Deep Space Chronicle for the heritage leg</w:t>
      </w:r>
      <w:r>
        <w:t xml:space="preserve"> </w:t>
      </w:r>
      <w:hyperlink w:anchor="ref-12">
        <w:r>
          <w:rPr>
            <w:rStyle w:val="Hyperlink"/>
          </w:rPr>
          <w:t xml:space="preserve">[12]</w:t>
        </w:r>
      </w:hyperlink>
      <w:r>
        <w:t xml:space="preserve">[17][18]. Awarded dollars are deflated to fiscal year 2025 using the NASA New Start Inflation Index, with the deflation procedure documented in a reproducible accompanying script. The regime indicator takes the value zero for heritage cost-plus or cost-reimbursable lunar surface acquisitions, including Surveyor, the Apollo Lunar Surface Experiments Package, the cost-plus components of Resource Prospector, and the Volatiles Investigating Polar Exploration Rover</w:t>
      </w:r>
      <w:r>
        <w:t xml:space="preserve"> </w:t>
      </w:r>
      <w:hyperlink w:anchor="ref-11">
        <w:r>
          <w:rPr>
            <w:rStyle w:val="Hyperlink"/>
          </w:rPr>
          <w:t xml:space="preserve">[11]</w:t>
        </w:r>
      </w:hyperlink>
      <w:r>
        <w:t xml:space="preserve">, and the value unity for CLPS fixed-price task orders enumerated in the Major Project Assessment</w:t>
      </w:r>
      <w:r>
        <w:t xml:space="preserve"> </w:t>
      </w:r>
      <w:hyperlink w:anchor="ref-10">
        <w:r>
          <w:rPr>
            <w:rStyle w:val="Hyperlink"/>
          </w:rPr>
          <w:t xml:space="preserve">[10]</w:t>
        </w:r>
      </w:hyperlink>
      <w:r>
        <w:t xml:space="preserve">[14] and for the analogous fixed-price commercial deliveries that have been priced on a per-mission basis</w:t>
      </w:r>
      <w:r>
        <w:t xml:space="preserve"> </w:t>
      </w:r>
      <w:hyperlink w:anchor="ref-21">
        <w:r>
          <w:rPr>
            <w:rStyle w:val="Hyperlink"/>
          </w:rPr>
          <w:t xml:space="preserve">[21]</w:t>
        </w:r>
      </w:hyperlink>
      <w:r>
        <w:t xml:space="preserve">.</w:t>
      </w:r>
    </w:p>
    <w:p>
      <w:pPr>
        <w:pStyle w:val="BodyText"/>
        <w:spacing w:line="480" w:lineRule="auto"/>
        <w:ind w:firstLine="720"/>
      </w:pPr>
      <w:r>
        <w:t xml:space="preserve">The payload-mass-class fixed effect is constructed by binning observations into mass bands that are common across the two regimes, so that the regime contrast is identified within bins rather than across them. The bands are chosen so that each contains observations from both regimes wherever the manifest permits, and observations that lie outside the common support of the two regimes are dropped from the principal specification and reintroduced only in an extrapolation-robustness specification reported separately. This design choice is the panel-data analogue of the common-support condition in matching estimators and is the response to the composition-shift problem flagged in the second companion paper, where the pooled log-log Wright slope was identified primarily off the cross-regime mass-class shift rather than off within-provider learning.</w:t>
      </w:r>
    </w:p>
    <w:p>
      <w:pPr>
        <w:pStyle w:val="BodyText"/>
        <w:spacing w:line="480" w:lineRule="auto"/>
        <w:ind w:firstLine="720"/>
      </w:pPr>
      <w:r>
        <w:t xml:space="preserve">The landing-site-difficulty fixed effect is constructed from a discretization of the site characteristics that the technical lunar-surface literature has identified as the primary architectural cost drivers, principally latitude band, terrain class, and thermal regime</w:t>
      </w:r>
      <w:r>
        <w:t xml:space="preserve"> </w:t>
      </w:r>
      <w:hyperlink w:anchor="ref-15">
        <w:r>
          <w:rPr>
            <w:rStyle w:val="Hyperlink"/>
          </w:rPr>
          <w:t xml:space="preserve">[15]</w:t>
        </w:r>
      </w:hyperlink>
      <w:r>
        <w:t xml:space="preserve">[26]. The bands distinguish equatorial nearside, equatorial farside, mid-latitude, polar illuminated, and polar permanently shadowed regions, with the polar permanently shadowed bin further flagged where a mission targets resource-bearing volatile deposits, on the reasoning developed in the contemporary lunar-resources literature that volatile-target missions carry a separable cost premium attributable to in-situ resource utilization payload integration</w:t>
      </w:r>
      <w:r>
        <w:t xml:space="preserve"> </w:t>
      </w:r>
      <w:hyperlink w:anchor="ref-31">
        <w:r>
          <w:rPr>
            <w:rStyle w:val="Hyperlink"/>
          </w:rPr>
          <w:t xml:space="preserve">[31]</w:t>
        </w:r>
      </w:hyperlink>
      <w:r>
        <w:t xml:space="preserve">. The plume-surface interaction literature is treated as providing a continuous covariate on landing dispersion and dust environment that the discretized site bin is intended to summarize, rather than as an independent regressor in the principal specification, on the grounds that the published plume-impingement parameter values are not yet disaggregated to the mission level, so direct inclusion is not yet supportable</w:t>
      </w:r>
      <w:r>
        <w:t xml:space="preserve"> </w:t>
      </w:r>
      <w:hyperlink w:anchor="ref-33">
        <w:r>
          <w:rPr>
            <w:rStyle w:val="Hyperlink"/>
          </w:rPr>
          <w:t xml:space="preserve">[33]</w:t>
        </w:r>
      </w:hyperlink>
      <w:r>
        <w:t xml:space="preserve">[35][37].</w:t>
      </w:r>
    </w:p>
    <w:p>
      <w:pPr>
        <w:pStyle w:val="BodyText"/>
        <w:spacing w:line="480" w:lineRule="auto"/>
        <w:ind w:firstLine="720"/>
      </w:pPr>
      <w:r>
        <w:t xml:space="preserve">The contractor learning term is operationalized as the natural logarithm of one plus the cumulative count of awarded task orders to the contractor at the time of the focal award, with the unit-zero protection ensuring that first task orders enter the specification rather than being dropped to the log of zero. This operationalization preserves the Wright form for within-provider doublings while permitting first-unit observations to remain in the panel, which is essential given that the contemporary commercial cohort is dominated by first and second task orders.</w:t>
      </w:r>
    </w:p>
    <w:p>
      <w:pPr>
        <w:pStyle w:val="BodyText"/>
        <w:spacing w:line="480" w:lineRule="auto"/>
        <w:ind w:firstLine="720"/>
      </w:pPr>
      <w:r>
        <w:t xml:space="preserve">For the covariance structure the dissertation uses a contractor-clustered sandwich, on the rationale that within-contractor task orders are likely to share unobserved cost determinants that arise from common engineering heritage, common subcontracting relationships, and common management practice. The asymptotic clustered variance is reported as the principal inference, and a wild cluster bootstrap is reported alongside it for cases in which the number of clusters is small enough to call the asymptotic clustered standard error into question. The wild bootstrap is the recommended small-cluster correction in the recent econometrics literature and is the natural defense against the small-sample inference concern that the prospectus flagged as the fourth principal threat to validity.</w:t>
      </w:r>
    </w:p>
    <w:bookmarkEnd w:id="97"/>
    <w:bookmarkStart w:id="98" w:name="auxiliary-estimators"/>
    <w:p>
      <w:pPr>
        <w:pStyle w:val="Heading2"/>
        <w:spacing w:line="480" w:lineRule="auto"/>
      </w:pPr>
      <w:r>
        <w:t xml:space="preserve">5.3 Auxiliary Estimators</w:t>
      </w:r>
    </w:p>
    <w:p>
      <w:pPr>
        <w:pStyle w:val="FirstParagraph"/>
        <w:spacing w:line="480" w:lineRule="auto"/>
      </w:pPr>
      <w:r>
        <w:t xml:space="preserve">Three auxiliary estimators are reported alongside the principal specification, each designed to address a specific concern that the principal specification does not directly resolve.</w:t>
      </w:r>
    </w:p>
    <w:p>
      <w:pPr>
        <w:pStyle w:val="BodyText"/>
        <w:spacing w:line="480" w:lineRule="auto"/>
        <w:ind w:firstLine="720"/>
      </w:pPr>
      <w:r>
        <w:t xml:space="preserve">The first auxiliary estimator is a Wright learning-curve specification that restricts the panel to within-provider series of length two or greater, on the reasoning developed in the second companion paper that the pooled log-log slope is contaminated by provider-mix composition shifts and that a within-provider doubling test is the cliometrically clean test of the learning hypothesis. The within-provider specification regresses the natural logarithm of per-mission cost on the natural logarithm of the cumulative within-provider unit count, with provider fixed effects absorbing the across-provider level differences that drove the pooled positive slope. The Wright elasticity recovered from this specification is reported with a contractor-clustered standard error and is the dissertation’s principal answer to the question of whether the CLPS providers are descending the learning curve. The classical statement of the log-log learning relationship in Wright</w:t>
      </w:r>
      <w:r>
        <w:t xml:space="preserve"> </w:t>
      </w:r>
      <w:hyperlink w:anchor="ref-13">
        <w:r>
          <w:rPr>
            <w:rStyle w:val="Hyperlink"/>
          </w:rPr>
          <w:t xml:space="preserve">[13]</w:t>
        </w:r>
      </w:hyperlink>
      <w:r>
        <w:t xml:space="preserve"> </w:t>
      </w:r>
      <w:r>
        <w:t xml:space="preserve">is the theoretical anchor for this specification, and the broader space-economics framing of commercial-fixed-price transition in Weinzierl</w:t>
      </w:r>
      <w:r>
        <w:t xml:space="preserve"> </w:t>
      </w:r>
      <w:hyperlink w:anchor="ref-3">
        <w:r>
          <w:rPr>
            <w:rStyle w:val="Hyperlink"/>
          </w:rPr>
          <w:t xml:space="preserve">[3]</w:t>
        </w:r>
      </w:hyperlink>
      <w:r>
        <w:t xml:space="preserve">[7] supplies the policy context within which the within-provider Wright elasticity is to be interpreted.</w:t>
      </w:r>
    </w:p>
    <w:p>
      <w:pPr>
        <w:pStyle w:val="BodyText"/>
        <w:spacing w:line="480" w:lineRule="auto"/>
        <w:ind w:firstLine="720"/>
      </w:pPr>
      <w:r>
        <w:t xml:space="preserve">The second auxiliary estimator is a Bayesian specification with a weakly informative normal prior on the regime-treatment coefficient centered at zero with a standard deviation calibrated so that the prior assigns substantial mass to both the policy-claim sign and the null-effect sign. The Bayesian specification reports the full posterior distribution of the treatment coefficient and the posterior probability that the coefficient is negative, which is the inferential quantity that the prospectus identified as the natural complement to the frequentist confidence interval under small-sample conditions. The Bayesian posterior is reported alongside the frequentist point estimate and clustered confidence interval rather than in place of it, so that readers with either inferential preference can read the result without translation.</w:t>
      </w:r>
    </w:p>
    <w:p>
      <w:pPr>
        <w:pStyle w:val="BodyText"/>
        <w:spacing w:line="480" w:lineRule="auto"/>
        <w:ind w:firstLine="720"/>
      </w:pPr>
      <w:r>
        <w:t xml:space="preserve">Third among the auxiliary estimators is an event-study specification on the heritage panel alone, in which a placebo regime indicator is constructed at successive years through the cost-plus record and the coefficient on the placebo indicator is plotted across placebo years. The event-study coefficients are the empirical test of the parallel-trends assumption that underwrites the difference-in-differences interpretation of the principal specification. A pattern of placebo coefficients that is statistically indistinguishable from zero across the pre-CLPS heritage panel is consistent with parallel trends; a pattern that shows a pre-trend in the direction of the eventual estimated effect is grounds for either rejecting the parallel-trends assumption or adopting a corrected estimator that accommodates pre-trends, depending on the shape of the observed pattern.</w:t>
      </w:r>
    </w:p>
    <w:bookmarkEnd w:id="98"/>
    <w:bookmarkStart w:id="99" w:name="identification-strategy"/>
    <w:p>
      <w:pPr>
        <w:pStyle w:val="Heading2"/>
        <w:spacing w:line="480" w:lineRule="auto"/>
      </w:pPr>
      <w:r>
        <w:t xml:space="preserve">5.4 Identification Strategy</w:t>
      </w:r>
    </w:p>
    <w:p>
      <w:pPr>
        <w:pStyle w:val="FirstParagraph"/>
        <w:spacing w:line="480" w:lineRule="auto"/>
      </w:pPr>
      <w:r>
        <w:t xml:space="preserve">The identifying assumption of the principal specification is that, conditional on payload mass class, landing-site difficulty class, and contractor cumulative experience, the assignment of a given task order to a procurement regime is exogenous to the residual unit-cost determinants. The substantive justification for treating the regime assignment as exogenous is that the assignment was made by a policy decision at the program-architecture level, namely the establishment of the CLPS indefinite-delivery, indefinite-quantity master contract structure and the subsequent task-order awards under that structure, rather than by a task-order-level decision in which an individual payload was assigned to a regime based on its expected cost. The policy decision to substitute fixed-price commercial-services contracting for cost-plus contracting was made on the basis of the prior COTS-to-CRS experience in low Earth orbit</w:t>
      </w:r>
      <w:r>
        <w:t xml:space="preserve"> </w:t>
      </w:r>
      <w:hyperlink w:anchor="ref-3">
        <w:r>
          <w:rPr>
            <w:rStyle w:val="Hyperlink"/>
          </w:rPr>
          <w:t xml:space="preserve">[3]</w:t>
        </w:r>
      </w:hyperlink>
      <w:r>
        <w:t xml:space="preserve">[7] and on the projection that the same procurement-discipline mechanism would operate in the cislunar surface delivery regime. That projection is the substantive content of the policy claim that the dissertation tests, and the exogeneity of the regime assignment to the residual cost determinants is the identifying assumption that makes the test interpretable as a test of the policy claim rather than of some confounded combination of procurement and selection.</w:t>
      </w:r>
    </w:p>
    <w:p>
      <w:pPr>
        <w:pStyle w:val="BodyText"/>
        <w:spacing w:line="480" w:lineRule="auto"/>
        <w:ind w:firstLine="720"/>
      </w:pPr>
      <w:r>
        <w:t xml:space="preserve">The identification strategy carries three operational implications. First, the comparison is within payload-mass-class and site-difficulty-class cells rather than across them, which is the response to the cross-class composition shift that the second companion paper exhibited. Second, the comparison absorbs contractor-level cumulative experience through the learning term and the contractor-clustered covariance, which is the response to the concern that CLPS contractors are systematically newer entrants whose learning curves are still descending. Third, the comparison is identified off the regime contrast within cells that contain observations from both regimes, which means that observations outside the common support are not used in the principal estimate, and the principal estimate is therefore interpretable as an average treatment effect on the treated within the common support rather than as an average treatment effect across the full mass-and-site domain. The latter is reported as a separate extrapolation specification with appropriate caveats.</w:t>
      </w:r>
    </w:p>
    <w:p>
      <w:pPr>
        <w:pStyle w:val="BodyText"/>
        <w:spacing w:line="480" w:lineRule="auto"/>
        <w:ind w:firstLine="720"/>
      </w:pPr>
      <w:r>
        <w:t xml:space="preserve">The strategy is not a randomized-assignment strategy and the dissertation does not claim that it is. It is a conditional-independence strategy in which the conditional independence is defended on substantive policy grounds rather than on a design that produces independence by construction. The plausibility of the strategy is therefore the plausibility of the conditional-independence claim, and the dissertation accordingly devotes substantial attention to the threats to that claim and to the robustness specifications that bound each threat.</w:t>
      </w:r>
    </w:p>
    <w:bookmarkEnd w:id="99"/>
    <w:bookmarkStart w:id="100" w:name="Xc05f8cbbb8b0396a8decfb495a5420bba43235f"/>
    <w:p>
      <w:pPr>
        <w:pStyle w:val="Heading2"/>
        <w:spacing w:line="480" w:lineRule="auto"/>
      </w:pPr>
      <w:r>
        <w:t xml:space="preserve">5.5 Threats to Validity and Bounding Strategies</w:t>
      </w:r>
    </w:p>
    <w:p>
      <w:pPr>
        <w:pStyle w:val="FirstParagraph"/>
        <w:spacing w:line="480" w:lineRule="auto"/>
      </w:pPr>
      <w:r>
        <w:t xml:space="preserve">Six threats bear on the validity of the causal interpretation. Each is addressed by a specific bounding strategy.</w:t>
      </w:r>
    </w:p>
    <w:p>
      <w:pPr>
        <w:pStyle w:val="BodyText"/>
        <w:spacing w:line="480" w:lineRule="auto"/>
        <w:ind w:firstLine="720"/>
      </w:pPr>
      <w:r>
        <w:t xml:space="preserve">The first threat is selection on payload type, namely the possibility that the CLPS manifest is composed of systematically smaller, less complex, or less risk-tolerant payloads than the heritage record, so that the regime coefficient absorbs a payload-composition shift rather than a procurement-regime effect. This threat is the one that the second companion paper exhibited in its pooled log-log Wright specification, and it is the central methodological concern of the dissertation. The bounding strategy is the common-support restriction in the principal specification, which restricts the comparison to mass-and-site cells that contain observations from both regimes, and the within-provider specification in the first auxiliary estimator, which absorbs the across-provider level differences that drive the composition shift. The bounded estimate is the average treatment effect on the treated within the common support, which is a narrower quantity than the average treatment effect across the full domain but is the quantity that the data can identify without extrapolation.</w:t>
      </w:r>
    </w:p>
    <w:p>
      <w:pPr>
        <w:pStyle w:val="BodyText"/>
        <w:spacing w:line="480" w:lineRule="auto"/>
        <w:ind w:firstLine="720"/>
      </w:pPr>
      <w:r>
        <w:t xml:space="preserve">The second threat is contractor learning that is correlated with regime, namely the possibility that CLPS contractors are descending steep learning curves that would have produced unit-cost reductions even in the absence of the procurement-regime substitution. The bounding strategy is the contractor learning term in the principal specification and the within-provider Wright specification in the first auxiliary estimator. If the within-provider Wright elasticity is negative and statistically distinguishable from zero, the inference is that learning is operating within providers and that the principal regime coefficient is identified net of that learning. If the within-provider elasticity is statistically indistinguishable from zero or positive, the inference is that the contemporary commercial cohort has not yet produced the multi-unit series that would deliver a clean within-provider test, and the principal regime coefficient is interpreted as the joint effect of regime and any unmodeled learning, with the magnitude reported as an upper bound on the pure regime effect.</w:t>
      </w:r>
    </w:p>
    <w:p>
      <w:pPr>
        <w:pStyle w:val="BodyText"/>
        <w:spacing w:line="480" w:lineRule="auto"/>
        <w:ind w:firstLine="720"/>
      </w:pPr>
      <w:r>
        <w:t xml:space="preserve">The third threat is the divergence between awarded and realized cost, namely the possibility that awarded task-order values diverge from realized cost through descopes, re-prices, terminations, or cost growth that the as-awarded value does not reflect. The Government Accountability Office has flagged this concern in successive Major Project Assessments, and the Office of Inspector General report on the Volatiles Investigating Polar Exploration Rover documents a specific instance of cost growth and programmatic change</w:t>
      </w:r>
      <w:r>
        <w:t xml:space="preserve"> </w:t>
      </w:r>
      <w:hyperlink w:anchor="ref-11">
        <w:r>
          <w:rPr>
            <w:rStyle w:val="Hyperlink"/>
          </w:rPr>
          <w:t xml:space="preserve">[11]</w:t>
        </w:r>
      </w:hyperlink>
      <w:r>
        <w:t xml:space="preserve">. The bounding strategy is a sensitivity analysis that restricts the panel to completed and accepted deliveries, a second sensitivity analysis that uses the most recent Major Project Assessment value for each CLPS task order in place of the original award value where the two differ, and a third sensitivity analysis that adds an interaction between the regime indicator and a completion indicator, so that the regime coefficient is identified separately on completed and uncompleted task orders. A finding that the regime coefficient is materially different on completed than on uncompleted task orders is grounds for restricting the principal interpretation to the completed subset.</w:t>
      </w:r>
    </w:p>
    <w:p>
      <w:pPr>
        <w:pStyle w:val="BodyText"/>
        <w:spacing w:line="480" w:lineRule="auto"/>
        <w:ind w:firstLine="720"/>
      </w:pPr>
      <w:r>
        <w:t xml:space="preserve">The fourth threat is small-sample inference, namely the possibility that the asymptotic clustered standard errors do not deliver correct coverage when the number of contractors is small and the number of task orders per contractor is uneven. The bounding strategy is the wild cluster bootstrap reported alongside the asymptotic clustered standard error, exact-test inference on the regime indicator where the bootstrap distribution is sufficiently irregular to call the wild bootstrap into question, and the Bayesian specification in the second auxiliary estimator, which reports the full posterior distribution and does not rely on asymptotic approximations.</w:t>
      </w:r>
    </w:p>
    <w:p>
      <w:pPr>
        <w:pStyle w:val="BodyText"/>
        <w:spacing w:line="480" w:lineRule="auto"/>
        <w:ind w:firstLine="720"/>
      </w:pPr>
      <w:r>
        <w:t xml:space="preserve">The fifth threat is the cross-national heritage record, namely the possibility that the Soviet-era Luna program, the Chinese Chang program, the Indian Chandrayaan program, and the Japanese Smart Lander for Investigating Moon mission carry cost accounting conventions that are not directly comparable to the United States cost-plus record even after exchange-rate and inflation adjustment</w:t>
      </w:r>
      <w:r>
        <w:t xml:space="preserve"> </w:t>
      </w:r>
      <w:hyperlink w:anchor="ref-17">
        <w:r>
          <w:rPr>
            <w:rStyle w:val="Hyperlink"/>
          </w:rPr>
          <w:t xml:space="preserve">[17]</w:t>
        </w:r>
      </w:hyperlink>
      <w:r>
        <w:t xml:space="preserve">[18][19][20]. The bounding strategy is to flag the cross-national observations as illustrative in the dataset and to report a sensitivity specification that restricts the heritage leg to the United States cost-plus record only. A finding that the principal regime coefficient is materially the same on the restricted United States-only heritage panel as on the full cross-national panel is consistent with the cross-national observations contributing primarily to precision rather than to point estimate; a finding that the coefficient is materially different is grounds for restricting the principal interpretation to the United States-only heritage record.</w:t>
      </w:r>
    </w:p>
    <w:p>
      <w:pPr>
        <w:pStyle w:val="BodyText"/>
        <w:spacing w:line="480" w:lineRule="auto"/>
        <w:ind w:firstLine="720"/>
      </w:pPr>
      <w:r>
        <w:t xml:space="preserve">The sixth threat is the early-innings concern, namely the possibility that the CLPS manifest is still too young, too small, and too concentrated in first task orders to support a statistically powered estimate of the regime effect. The bounding strategy is a power calculation that reports the minimum detectable effect at conventional power as a function of the panel size, a rolling re-estimation that reports the regime coefficient as task orders are added to the panel in chronological order, and a pre-registration of the principal specification so that the eventual estimate is not subject to specification search as the manifest grows. The power calculation and the rolling re-estimation are reported in the empirical chapter; the pre-registration is included as an appendix to this chapter.</w:t>
      </w:r>
    </w:p>
    <w:bookmarkEnd w:id="100"/>
    <w:bookmarkStart w:id="101" w:name="synthesis-with-the-two-paper-antecedent"/>
    <w:p>
      <w:pPr>
        <w:pStyle w:val="Heading2"/>
        <w:spacing w:line="480" w:lineRule="auto"/>
      </w:pPr>
      <w:r>
        <w:t xml:space="preserve">5.6 Synthesis with the Two-Paper Antecedent</w:t>
      </w:r>
    </w:p>
    <w:p>
      <w:pPr>
        <w:pStyle w:val="FirstParagraph"/>
        <w:spacing w:line="480" w:lineRule="auto"/>
      </w:pPr>
      <w:r>
        <w:t xml:space="preserve">The two companion papers stand in a specific relationship to the panel framework defined in this chapter. The first paper’s ordinary least squares specification is nested within the principal panel specification as the case in which the mass-class fixed effect is replaced by a continuous log-mass term and the site-difficulty fixed effect and the contractor learning term are suppressed. The regime coefficient reported in the first paper is therefore interpretable as a pooled cross-section estimate that the principal panel specification refines by absorbing the within-cell variation that the pooled specification leaves unmodeled. The second paper’s pooled log-log Wright specification is nested within the first auxiliary estimator as the case in which the provider fixed effect is suppressed. The positive elasticity reported in the second paper is therefore interpretable as the across-provider composition slope that the within-provider auxiliary specification separates from the within-provider learning slope. The dissertation does not retract either of the two companion paper findings; it reinterprets them within the panel framework as boundary cases of the principal and first-auxiliary specifications.</w:t>
      </w:r>
    </w:p>
    <w:bookmarkEnd w:id="101"/>
    <w:bookmarkStart w:id="102" w:name="concluding-remarks"/>
    <w:p>
      <w:pPr>
        <w:pStyle w:val="Heading2"/>
        <w:spacing w:line="480" w:lineRule="auto"/>
      </w:pPr>
      <w:r>
        <w:t xml:space="preserve">5.7 Concluding Remarks</w:t>
      </w:r>
    </w:p>
    <w:p>
      <w:pPr>
        <w:pStyle w:val="FirstParagraph"/>
        <w:spacing w:line="480" w:lineRule="auto"/>
      </w:pPr>
      <w:r>
        <w:t xml:space="preserve">The methodological commitments of this chapter are that the regime contrast be identified within common support, that the contractor learning channel be modeled rather than assumed away, that inference be reported in both frequentist and Bayesian form, and that each threat to validity be paired with an explicit bounding specification. The chapter is intentionally conservative on the strength of the identification claim, treating the conditional-independence assumption as a substantive policy commitment whose plausibility the reader is invited to evaluate independently of the eventual point estimate. The empirical chapter that follows reports the principal and auxiliary estimates, the placebo and sensitivity specifications, the power calculation, and the rolling re-estimation, and concludes with the dissertation’s single falsifiable claim about the sign and magnitude of the CLPS treatment effect on lunar surface delivery unit cost.</w:t>
      </w:r>
    </w:p>
    <w:bookmarkEnd w:id="102"/>
    <w:bookmarkEnd w:id="103"/>
    <w:bookmarkStart w:id="108"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estimators that constitute the cliometric core of the dissertation. The first estimator is the conditional ordinary least squares specification reported in the first research paper, which regresses the natural log of per-mission lunar lander delivery cost on the natural log of payload mass and on a binary indicator for the fixed-price commercial procurement regime that the Commercial Lunar Payload Services initiative introduced. The second estimator is the pooled Wright learning curve reported in the second research paper, which regresses the natural log of per-mission delivery cost on the natural log of cumulative provider experience without conditioning on regime. The two estimators are complementary rather than redundant. The first asks whether the procurement-regime substitution that NASA executed in the second half of the 2010s carries a measurable cost signature on the assembled lunar lander record once payload mass is held constant. The second asks whether the same record, treated as a single pooled production history, exhibits the canonical Wright cost-doubling relationship that the mid-century industrial-organization literature established for airframes and that the subsequent aerospace literature has invoked for reusable launch and for small-satellite production</w:t>
      </w:r>
      <w:r>
        <w:t xml:space="preserve"> </w:t>
      </w:r>
      <w:hyperlink w:anchor="ref-13">
        <w:r>
          <w:rPr>
            <w:rStyle w:val="Hyperlink"/>
          </w:rPr>
          <w:t xml:space="preserve">[13]</w:t>
        </w:r>
      </w:hyperlink>
      <w:r>
        <w:t xml:space="preserve">. The two estimators speak to two different theoretical mechanisms of cost reduction, namely incentive-driven cost discipline under fixed-price commercial contracting</w:t>
      </w:r>
      <w:r>
        <w:t xml:space="preserve"> </w:t>
      </w:r>
      <w:hyperlink w:anchor="ref-7">
        <w:r>
          <w:rPr>
            <w:rStyle w:val="Hyperlink"/>
          </w:rPr>
          <w:t xml:space="preserve">[7]</w:t>
        </w:r>
      </w:hyperlink>
      <w:r>
        <w:t xml:space="preserve"> </w:t>
      </w:r>
      <w:r>
        <w:t xml:space="preserve">and within-provider experience accumulation</w:t>
      </w:r>
      <w:r>
        <w:t xml:space="preserve"> </w:t>
      </w:r>
      <w:hyperlink w:anchor="ref-13">
        <w:r>
          <w:rPr>
            <w:rStyle w:val="Hyperlink"/>
          </w:rPr>
          <w:t xml:space="preserve">[13]</w:t>
        </w:r>
      </w:hyperlink>
      <w:r>
        <w:t xml:space="preserve">, and the chapter reads their joint pattern as the dissertation’s central empirical contribution.</w:t>
      </w:r>
    </w:p>
    <w:p>
      <w:pPr>
        <w:pStyle w:val="BodyText"/>
        <w:spacing w:line="480" w:lineRule="auto"/>
        <w:ind w:firstLine="720"/>
      </w:pPr>
      <w:r>
        <w:t xml:space="preserve">The chapter is organized as follows. Section 6.1 reports the conditional OLS estimates from Paper One, including the point estimates, the heteroskedasticity-consistent standard errors, the p-values, the joint F-test, and the coefficient of determination, and interprets each in turn. Section 6.2 reports the pooled Wright learning-curve estimates from Paper Two on the same conventions and interprets the recovered elasticity, its progress ratio, and the substantively unexpected sign. Section 6.3 reads the two sets of estimates jointly and develops the composition-effect interpretation that reconciles a statistically distinguishable cost-reducing regime indicator in Paper One with a statistically distinguishable cost-increasing pooled elasticity in Paper Two. Section 6.4 lays out the inferential limits that the standard errors, the sample sizes, and the underlying provenance structure of the data jointly impose on the findings, in preparation for the discussion that follows in Chapter 7. The figures, tables, formulas, and underlying mission-level data that support the numerical claims of this chapter are reproduced in Appendix A and are not duplicated in the body of the chapter.</w:t>
      </w:r>
    </w:p>
    <w:bookmarkStart w:id="104" w:name="conditional-ols-paper-one"/>
    <w:p>
      <w:pPr>
        <w:pStyle w:val="Heading2"/>
        <w:spacing w:line="480" w:lineRule="auto"/>
      </w:pPr>
      <w:r>
        <w:t xml:space="preserve">6.1 Conditional OLS: Paper One</w:t>
      </w:r>
    </w:p>
    <w:p>
      <w:pPr>
        <w:pStyle w:val="FirstParagraph"/>
        <w:spacing w:line="480" w:lineRule="auto"/>
      </w:pPr>
      <w:r>
        <w:t xml:space="preserve">The first estimator was fit on twenty-six lunar lander missions flown or under firm award between 1966 and 2028, drawn from the NASA Space Science Data Coordinated Archive fact sheet record</w:t>
      </w:r>
      <w:r>
        <w:t xml:space="preserve"> </w:t>
      </w:r>
      <w:hyperlink w:anchor="ref-17">
        <w:r>
          <w:rPr>
            <w:rStyle w:val="Hyperlink"/>
          </w:rPr>
          <w:t xml:space="preserve">[17]</w:t>
        </w:r>
      </w:hyperlink>
      <w:r>
        <w:t xml:space="preserve">, the Deep Space Chronicle of Soviet-era and intervening missions [12, 18], the Indian Space Research Organisation Chandrayaan-3 budget disclosure</w:t>
      </w:r>
      <w:r>
        <w:t xml:space="preserve"> </w:t>
      </w:r>
      <w:hyperlink w:anchor="ref-19">
        <w:r>
          <w:rPr>
            <w:rStyle w:val="Hyperlink"/>
          </w:rPr>
          <w:t xml:space="preserve">[19]</w:t>
        </w:r>
      </w:hyperlink>
      <w:r>
        <w:t xml:space="preserve">, the Japan Aerospace Exploration Agency Small Lander for Investigating Moon press kit</w:t>
      </w:r>
      <w:r>
        <w:t xml:space="preserve"> </w:t>
      </w:r>
      <w:hyperlink w:anchor="ref-20">
        <w:r>
          <w:rPr>
            <w:rStyle w:val="Hyperlink"/>
          </w:rPr>
          <w:t xml:space="preserve">[20]</w:t>
        </w:r>
      </w:hyperlink>
      <w:r>
        <w:t xml:space="preserve">, the Commercial Lunar Payload Services task-order schedule reproduced in the United States Government Accountability Office assessment of major projects [10, 14], the NASA Office of Inspector General report on the Volatiles Investigating Polar Exploration Rover task order at Astrobotic Griffin</w:t>
      </w:r>
      <w:r>
        <w:t xml:space="preserve"> </w:t>
      </w:r>
      <w:hyperlink w:anchor="ref-11">
        <w:r>
          <w:rPr>
            <w:rStyle w:val="Hyperlink"/>
          </w:rPr>
          <w:t xml:space="preserve">[11]</w:t>
        </w:r>
      </w:hyperlink>
      <w:r>
        <w:t xml:space="preserve">, and the ispace HAKUTO-R Mission One and Mission Two prospectus and press disclosures</w:t>
      </w:r>
      <w:r>
        <w:t xml:space="preserve"> </w:t>
      </w:r>
      <w:hyperlink w:anchor="ref-21">
        <w:r>
          <w:rPr>
            <w:rStyle w:val="Hyperlink"/>
          </w:rPr>
          <w:t xml:space="preserve">[21]</w:t>
        </w:r>
      </w:hyperlink>
      <w:r>
        <w:t xml:space="preserve">. The dependent variable is the natural log of per-mission delivery cost in millions of fiscal year 2024 United States dollars. The continuous regressor is the natural log of payload mass to the lunar surface in kilograms. The binary regressor takes the value one for fixed-price commercial delivery, coded against the heritage cost-plus baseline. Standard errors are reported on the heteroskedasticity-consistent HC1 covariance estimator, which is the appropriate inference posture given the mass-heterogeneous panel.</w:t>
      </w:r>
    </w:p>
    <w:p>
      <w:pPr>
        <w:pStyle w:val="BodyText"/>
        <w:spacing w:line="480" w:lineRule="auto"/>
        <w:ind w:firstLine="720"/>
      </w:pPr>
      <w:r>
        <w:t xml:space="preserve">The fitted specification returns a coefficient of determination of 0.5198 and an adjusted coefficient of determination of 0.4780 on the twenty-six observations. The joint F-statistic on the two slope coefficients is 15.11 with an associated p-value of 0.0000646, which rejects the joint null of zero slope at any conventional significance level and confirms that the conditional specification has measurable explanatory content on the assembled panel. The intercept is estimated at 7.0327 in natural log millions of fiscal year 2024 United States dollars, with a heteroskedasticity-consistent standard error of 1.5341 and a p-value rounded to 0.0000. Exponentiated, the intercept corresponds to a baseline delivery cost of approximately 1,134 million fiscal year 2024 United States dollars at the zero-regressor reference point. The intercept is not the substantive estimand of interest, but its sharp statistical distinguishability from zero confirms that the level of the dependent variable is well identified on the panel and that the subsequent slope coefficients are estimated against a stable baseline.</w:t>
      </w:r>
    </w:p>
    <w:p>
      <w:pPr>
        <w:pStyle w:val="BodyText"/>
        <w:spacing w:line="480" w:lineRule="auto"/>
        <w:ind w:firstLine="720"/>
      </w:pPr>
      <w:r>
        <w:t xml:space="preserve">The coefficient on the natural log of payload mass is estimated at minus 0.1408, with a heteroskedasticity-consistent standard error of 0.2157 and a p-value of 0.5138. The estimate fails to reject the null of zero elasticity at any conventional significance level, and the standard error is one and one half times the magnitude of the point estimate, which is the signature of a coefficient that the data are simply unable to resolve at this sample size and panel composition. The substantive interpretation is not that payload mass is irrelevant to the cost of delivering a payload to the lunar surface, which would contradict the cost-estimating tradition that informs both the heritage NASA cost models and the contemporary commercial-lander mass-driven design literature [3, 15]. The substantive interpretation is that, conditional on the regime indicator, the residual cross-mission cost variation that the log-mass term might otherwise have absorbed has already been captured by the regime indicator, because the two regressors are highly collinear on this panel. The heritage cost-plus missions, including Surveyor, Luna, the Chang’e series, and the early Chandrayaan missions, are concentrated at payload masses well above one thousand kilograms, while the Commercial Lunar Payload Services missions are concentrated below five hundred kilograms. The log-mass regressor and the regime indicator therefore convey overlapping information about a mission’s position in the panel, and the OLS estimator distributes the explanatory weight between them in favor of the more parsimonious binary contrast. The wide standard error on the mass elasticity is the visible footprint of that collinearity. The methodological consequence is that the recovered mass elasticity should not be reported as evidence that payload mass is cost-neutral. The recovered mass elasticity should instead be read as an estimate that this panel, in this conditioned specification, cannot precisely separate from the regime indicator that travels alongside it.</w:t>
      </w:r>
    </w:p>
    <w:p>
      <w:pPr>
        <w:pStyle w:val="BodyText"/>
        <w:spacing w:line="480" w:lineRule="auto"/>
        <w:ind w:firstLine="720"/>
      </w:pPr>
      <w:r>
        <w:t xml:space="preserve">The coefficient on the fixed-price commercial regime indicator is estimated at minus 1.5306, with a heteroskedasticity-consistent standard error of 0.5029 and a p-value of 0.0023. The estimate rejects the null of zero treatment effect at the one percent level, and the sign of the point estimate is negative, which is the directional signature predicted by the policy hypothesis that motivated the Commercial Lunar Payload Services substitution</w:t>
      </w:r>
      <w:r>
        <w:t xml:space="preserve"> </w:t>
      </w:r>
      <w:hyperlink w:anchor="ref-7">
        <w:r>
          <w:rPr>
            <w:rStyle w:val="Hyperlink"/>
          </w:rPr>
          <w:t xml:space="preserve">[7]</w:t>
        </w:r>
      </w:hyperlink>
      <w:r>
        <w:t xml:space="preserve">. The magnitude of the estimate is substantively large. A coefficient of minus 1.5306 on the natural log dependent variable corresponds, when exponentiated, to a multiplicative cost factor of approximately 0.216, which is to say that the fitted specification associates the fixed-price commercial regime with a per-mission delivery cost of roughly twenty-two percent of the conditional heritage cost-plus counterfactual, or equivalently a reduction of approximately seventy-eight percent at the conditioned payload mass. The standard error of 0.5029 implies an approximate ninety-five percent confidence interval on the log-scale coefficient that runs from roughly minus 2.52 to roughly minus 0.55, which corresponds on the cost scale to a multiplicative factor confidence interval that runs from approximately 0.08 to approximately 0.58. The directional claim is therefore robust across the entire confidence interval, in the sense that even the upper bound of the interval associates the fixed-price commercial regime with a delivery cost no greater than fifty-eight percent of the conditioned heritage baseline. The magnitude claim, by contrast, is wide. The data permit a credible reading of the treatment effect as a cost reduction of as much as ninety-two percent at the conditioned mass and as a cost reduction of as little as forty-two percent at the same mass.</w:t>
      </w:r>
    </w:p>
    <w:p>
      <w:pPr>
        <w:pStyle w:val="BodyText"/>
        <w:spacing w:line="480" w:lineRule="auto"/>
        <w:ind w:firstLine="720"/>
      </w:pPr>
      <w:r>
        <w:t xml:space="preserve">The rejection of the null on the regime indicator is the empirical centerpiece of the first paper and one of the two empirical centerpieces of the dissertation as a whole. The result is consistent in sign and in approximate order of magnitude with the documented Commercial Orbital Transportation Services to Commercial Resupply Services experience in low Earth orbit that Weinzierl assembled in his treatment of fixed-price commercial-services contracting as a procurement instrument</w:t>
      </w:r>
      <w:r>
        <w:t xml:space="preserve"> </w:t>
      </w:r>
      <w:hyperlink w:anchor="ref-7">
        <w:r>
          <w:rPr>
            <w:rStyle w:val="Hyperlink"/>
          </w:rPr>
          <w:t xml:space="preserve">[7]</w:t>
        </w:r>
      </w:hyperlink>
      <w:r>
        <w:t xml:space="preserve">. It is also consistent with the technical lunar-surface literature that has documented commercial-lander mass and cost as the two dominant architectural drivers on the contemporary manifest [3, 15, 22]. It is inconsistent, on the other hand, with a reading of the lunar surface delivery market in which the Commercial Lunar Payload Services substitution carries no measurable unit-cost signature net of payload mass, which is the reading that the null hypothesis would have required.</w:t>
      </w:r>
    </w:p>
    <w:p>
      <w:pPr>
        <w:pStyle w:val="BodyText"/>
        <w:spacing w:line="480" w:lineRule="auto"/>
        <w:ind w:firstLine="720"/>
      </w:pPr>
      <w:r>
        <w:t xml:space="preserve">Two features of the conditional specification merit explicit interpretive caution before the chapter moves on. The first is that the coefficient of determination of 0.5198 indicates that the regression accounts for slightly more than half of the cross-mission variation in log per-mission delivery cost on the assembled panel. The remaining variation is absorbed by the residual, and the residual is on the order of the magnitude of the regime indicator itself. The OLS residual variance is therefore not a peripheral feature of the fit. It is, in this small-sample setting, a binding constraint on how confidently any single mission can be classified as on or off the fitted relationship. The second is that the heteroskedasticity-consistent standard errors on the slope coefficients are non-trivial fractions of the point estimates, particularly on the mass elasticity, which means that the precision of the conditional inference is materially limited by the panel size. A panel of twenty-six observations, on a procurement market whose contemporary commercial cohort is itself only beginning to populate, is a small panel in the cliometric sense. The inferential limits this imposes are discussed in detail in Section 6.4.</w:t>
      </w:r>
    </w:p>
    <w:bookmarkEnd w:id="104"/>
    <w:bookmarkStart w:id="105" w:name="pooled-wright-learning-curve-paper-two"/>
    <w:p>
      <w:pPr>
        <w:pStyle w:val="Heading2"/>
        <w:spacing w:line="480" w:lineRule="auto"/>
      </w:pPr>
      <w:r>
        <w:t xml:space="preserve">6.2 Pooled Wright Learning Curve: Paper Two</w:t>
      </w:r>
    </w:p>
    <w:p>
      <w:pPr>
        <w:pStyle w:val="FirstParagraph"/>
        <w:spacing w:line="480" w:lineRule="auto"/>
      </w:pPr>
      <w:r>
        <w:t xml:space="preserve">The second estimator was fit on thirty lunar lander missions flown or contracted between 1966 and 2027, drawn from a broadly similar provenance set as the first paper and extended to incorporate the additional providers and additional within-provider series points that the Wright estimator requires [14, 17, 18, 19, 20, 21]. The dependent variable is again the natural log of per-mission delivery cost in millions of fiscal year 2024 United States dollars. The independent variable is the natural log of cumulative provider unit count, computed within each provider series by year ordering, which is the variable that the Wright formulation requires as the engine of cost reduction</w:t>
      </w:r>
      <w:r>
        <w:t xml:space="preserve"> </w:t>
      </w:r>
      <w:hyperlink w:anchor="ref-13">
        <w:r>
          <w:rPr>
            <w:rStyle w:val="Hyperlink"/>
          </w:rPr>
          <w:t xml:space="preserve">[13]</w:t>
        </w:r>
      </w:hyperlink>
      <w:r>
        <w:t xml:space="preserve">. No procurement-regime indicator is included. The estimator is ordinary least squares with a constant intercept, with the heteroskedasticity-consistent HC1 covariance estimator on the standard errors, consistent with the inferential posture adopted in the first paper.</w:t>
      </w:r>
    </w:p>
    <w:p>
      <w:pPr>
        <w:pStyle w:val="BodyText"/>
        <w:spacing w:line="480" w:lineRule="auto"/>
        <w:ind w:firstLine="720"/>
      </w:pPr>
      <w:r>
        <w:t xml:space="preserve">The fitted specification returns a coefficient of determination of 0.1909 on the thirty observations. The intercept is estimated at 4.9459 in natural log millions of fiscal year 2024 United States dollars, with a heteroskedasticity-consistent standard error of 0.1880 and a p-value rounded to 0.0000. Exponentiated, the intercept corresponds to a baseline first-unit cost of approximately 141 million fiscal year 2024 United States dollars at the zero-regressor reference point. The intercept is again sharply distinguishable from zero, but the substantive interest in the second paper lies on the slope.</w:t>
      </w:r>
    </w:p>
    <w:p>
      <w:pPr>
        <w:pStyle w:val="BodyText"/>
        <w:spacing w:line="480" w:lineRule="auto"/>
        <w:ind w:firstLine="720"/>
      </w:pPr>
      <w:r>
        <w:t xml:space="preserve">The coefficient on the natural log of cumulative provider unit count, which is the Wright learning elasticity b, is estimated at 0.5678, with a heteroskedasticity-consistent standard error of 0.1986 and a p-value of 0.0042. The estimate rejects the null of zero elasticity at the one percent level. The sign of the recovered elasticity, however, is positive, which is the inverse of the sign that the canonical Wright formulation predicts. The conventional Wright relationship requires the elasticity b to be negative, with the per-doubling progress ratio computed as two raised to the elasticity falling below unity to express the proportional cost reduction with each doubling of cumulative output</w:t>
      </w:r>
      <w:r>
        <w:t xml:space="preserve"> </w:t>
      </w:r>
      <w:hyperlink w:anchor="ref-13">
        <w:r>
          <w:rPr>
            <w:rStyle w:val="Hyperlink"/>
          </w:rPr>
          <w:t xml:space="preserve">[13]</w:t>
        </w:r>
      </w:hyperlink>
      <w:r>
        <w:t xml:space="preserve">. On the present panel, the progress ratio two raised to the recovered elasticity of 0.5678 evaluates to 1.4823, which is to say that the pooled fit assigns a forty-eight percent cost increase with each doubling of cumulative provider experience. Read at face value, the estimate is a refutation of the canonical Wright hypothesis on the pooled lunar lander manifest. Read more carefully, the estimate is a refutation of the canonical Wright hypothesis on a panel that lacks the within-provider fixed effects that the canonical formulation requires for clean identification.</w:t>
      </w:r>
    </w:p>
    <w:p>
      <w:pPr>
        <w:pStyle w:val="BodyText"/>
        <w:spacing w:line="480" w:lineRule="auto"/>
        <w:ind w:firstLine="720"/>
      </w:pPr>
      <w:r>
        <w:t xml:space="preserve">The substantive interpretation of the positive pooled elasticity is a composition effect that the pooled OLS specification cannot separate from the within-provider Wright dynamic that the theory predicts. The composition effect arises from the historical structure of the manifest. The heritage Surveyor and Luna providers each built five-deep series at unit costs in the four-to-six-hundred million fiscal year 2024 United States dollar range, which loads the high end of the cumulative-experience axis with high-cost observations. The contemporary Commercial Lunar Payload Services providers, by contrast, entered the manifest with first-unit prices in the seventy-to-one-hundred-twenty million range and have so far produced second-and-third-unit prices that are flat or rising rather than descending, with the Astrobotic Griffin Mission One task order at three hundred twenty million</w:t>
      </w:r>
      <w:r>
        <w:t xml:space="preserve"> </w:t>
      </w:r>
      <w:hyperlink w:anchor="ref-11">
        <w:r>
          <w:rPr>
            <w:rStyle w:val="Hyperlink"/>
          </w:rPr>
          <w:t xml:space="preserve">[11]</w:t>
        </w:r>
      </w:hyperlink>
      <w:r>
        <w:t xml:space="preserve"> </w:t>
      </w:r>
      <w:r>
        <w:t xml:space="preserve">and the Firefly Blue Ghost Mission Two task order at one hundred twelve million</w:t>
      </w:r>
      <w:r>
        <w:t xml:space="preserve"> </w:t>
      </w:r>
      <w:hyperlink w:anchor="ref-14">
        <w:r>
          <w:rPr>
            <w:rStyle w:val="Hyperlink"/>
          </w:rPr>
          <w:t xml:space="preserve">[14]</w:t>
        </w:r>
      </w:hyperlink>
      <w:r>
        <w:t xml:space="preserve"> </w:t>
      </w:r>
      <w:r>
        <w:t xml:space="preserve">as the most visible cases. The pooled log-log specification, which has no instrument for distinguishing the cross-provider price level from the within-provider price trajectory, distributes the explanatory weight between these two patterns in favor of the cross-provider contrast and reads the resulting cross-section as a positive slope on cumulative experience. The fitted positive elasticity is therefore an artifact of the contemporaneous arrival of new low-first-unit-price entrants alongside the legacy high-unit-cost series, rather than a within-provider failure of the Wright mechanism.</w:t>
      </w:r>
    </w:p>
    <w:p>
      <w:pPr>
        <w:pStyle w:val="BodyText"/>
        <w:spacing w:line="480" w:lineRule="auto"/>
        <w:ind w:firstLine="720"/>
      </w:pPr>
      <w:r>
        <w:t xml:space="preserve">The R-squared of 0.1909 is consistent with this reading. The pooled specification accounts for only approximately nineteen percent of the cross-mission variation in log per-mission delivery cost, which is to say that the cumulative provider experience axis carries only a modest fraction of the cost variation that the panel contains. The bulk of the variation is absorbed by the residual, and the residual is structurally dominated by the cross-provider price-level shift that the regime-indicator specification of the first paper is built to capture. The contrast between the R-squared of 0.5198 in the conditional specification of the first paper and the R-squared of 0.1909 in the pooled specification of the second paper is itself an empirical finding. It identifies the procurement-regime axis as the more cost-explanatory axis on the present manifest, and identifies the cumulative-experience axis as a real but secondary explanatory axis whose clean identification awaits multi-unit within-provider series that the contemporary commercial cohort has not yet produced.</w:t>
      </w:r>
    </w:p>
    <w:bookmarkEnd w:id="105"/>
    <w:bookmarkStart w:id="106" w:name="joint-reading-of-the-two-estimators"/>
    <w:p>
      <w:pPr>
        <w:pStyle w:val="Heading2"/>
        <w:spacing w:line="480" w:lineRule="auto"/>
      </w:pPr>
      <w:r>
        <w:t xml:space="preserve">6.3 Joint Reading of the Two Estimators</w:t>
      </w:r>
    </w:p>
    <w:p>
      <w:pPr>
        <w:pStyle w:val="FirstParagraph"/>
        <w:spacing w:line="480" w:lineRule="auto"/>
      </w:pPr>
      <w:r>
        <w:t xml:space="preserve">The joint reading of the two estimators is the central interpretive contribution of this chapter. Read separately, the two results appear to be in tension. The first paper reports a statistically distinguishable cost-reducing regime indicator that, exponentiated, associates the fixed-price commercial regime with a delivery cost of approximately twenty-two percent of the conditioned heritage counterfactual at the conditioned payload mass. The second paper reports a statistically distinguishable cost-increasing pooled elasticity that, on its progress-ratio metric, associates each doubling of cumulative provider experience with a forty-eight percent cost increase on the pooled lunar lander record. A naive reading of the pair would read the second estimate as a refutation of the first, on the ground that the pooled record over the same approximate time span as the first paper’s panel exhibits a rising rather than a falling cost trajectory.</w:t>
      </w:r>
    </w:p>
    <w:p>
      <w:pPr>
        <w:pStyle w:val="BodyText"/>
        <w:spacing w:line="480" w:lineRule="auto"/>
        <w:ind w:firstLine="720"/>
      </w:pPr>
      <w:r>
        <w:t xml:space="preserve">The composition-effect interpretation rescues both results. The cost-reducing pattern that the first paper recovers is identified off the cross-regime contrast between heritage cost-plus and fixed-price commercial missions at conditioned payload mass. That contrast is real on the assembled panel, and the standard error supports the directional claim across the full confidence interval. The cost-increasing pattern that the second paper recovers is identified off the cross-provider price-level contrast that is correlated with cumulative experience but is not generated by within-provider learning. The two estimates are therefore not in tension. They are estimates of two different quantities on overlapping panels, and the second estimate is the visible footprint of the omitted regime indicator that the first paper includes and that the second paper, in keeping with the canonical Wright formulation, deliberately excludes.</w:t>
      </w:r>
    </w:p>
    <w:p>
      <w:pPr>
        <w:pStyle w:val="BodyText"/>
        <w:spacing w:line="480" w:lineRule="auto"/>
        <w:ind w:firstLine="720"/>
      </w:pPr>
      <w:r>
        <w:t xml:space="preserve">The reading of the two estimators that the dissertation will carry forward into Chapter 7 is as follows. The procurement-regime substitution that the Commercial Lunar Payload Services initiative executed has produced a measurable per-mission cost signature on the public-record lunar lander manifest assembled to date, and that signature is large, statistically distinguishable from zero on the conditioned specification, and directionally consistent with the policy hypothesis that motivated the substitution</w:t>
      </w:r>
      <w:r>
        <w:t xml:space="preserve"> </w:t>
      </w:r>
      <w:hyperlink w:anchor="ref-7">
        <w:r>
          <w:rPr>
            <w:rStyle w:val="Hyperlink"/>
          </w:rPr>
          <w:t xml:space="preserve">[7]</w:t>
        </w:r>
      </w:hyperlink>
      <w:r>
        <w:t xml:space="preserve">. The canonical Wright within-provider learning mechanism is not yet identifiable on the same manifest, because the contemporary commercial cohort has not yet produced the multi-unit within-provider series that a clean within-provider doubling requires. The substantive implication for NASA acquisition strategy, which Chapter 7 develops in detail, is that the early cost case for Commercial Lunar Payload Services rests on procurement-regime substitution rather than on within-provider learning, and that the second mechanism becomes empirically testable on the public record only as the Intuitive Machines IM-2 through IM-4 manifest, the Firefly Blue Ghost Mission One through Mission Three manifest, and the Astrobotic series mature toward 2028.</w:t>
      </w:r>
    </w:p>
    <w:p>
      <w:pPr>
        <w:pStyle w:val="BodyText"/>
        <w:spacing w:line="480" w:lineRule="auto"/>
        <w:ind w:firstLine="720"/>
      </w:pPr>
      <w:r>
        <w:t xml:space="preserve">A subsidiary reading concerns the mass-elasticity coefficient in the first paper. The recovered point estimate of minus 0.1408 fails to reject the null at any conventional level, and the standard error is one and one half times the magnitude of the point estimate. The interpretation that the conditioned panel cannot precisely separate the log-mass regressor from the regime indicator, because the two regressors are highly collinear on the panel as composed, is the interpretation that Section 6.1 develops above. The methodological consequence is that the dissertation does not report a substantive mass elasticity as a finding. The dissertation reports that, on this panel and in this conditioned specification, the mass elasticity is not identified to a precision that the data support. A separately identified mass elasticity, distinguishable from the regime indicator, would require either a larger panel or a panel composed to break the cross-regime mass concentration that the current heritage-versus-commercial composition imposes. The implication for the dissertation’s research program, and for the data-collection effort that the broader CLPS task-order ledger will support as the manifest accumulates [10, 14], is that the cross-regime collinearity will weaken as additional commercial task orders are awarded at heritage-class payload masses and as additional heritage-class observations are added at the low end of the mass axis. The mass elasticity is therefore an empirical estimand whose identification awaits an enlargement of the cliometric record rather than a refinement of the estimator.</w:t>
      </w:r>
    </w:p>
    <w:bookmarkEnd w:id="106"/>
    <w:bookmarkStart w:id="107" w:name="inferential-limits"/>
    <w:p>
      <w:pPr>
        <w:pStyle w:val="Heading2"/>
        <w:spacing w:line="480" w:lineRule="auto"/>
      </w:pPr>
      <w:r>
        <w:t xml:space="preserve">6.4 Inferential Limits</w:t>
      </w:r>
    </w:p>
    <w:p>
      <w:pPr>
        <w:pStyle w:val="FirstParagraph"/>
        <w:spacing w:line="480" w:lineRule="auto"/>
      </w:pPr>
      <w:r>
        <w:t xml:space="preserve">The findings reported in Sections 6.1 and 6.2 are constrained by three inferential limits that bear stating before the discussion of Chapter 7. The first is sample size. The conditional OLS specification was fit on twenty-six observations and the pooled Wright specification was fit on thirty observations. Both panels are small in the cliometric sense, and the heteroskedasticity-consistent standard errors carry the visible footprint of that smallness. The confidence interval on the regime indicator in the first paper, while excluding zero across its full range, spans an order of magnitude on the cost-scale multiplicative factor. The confidence interval on the pooled elasticity in the second paper, while excluding zero on the sign, is wide enough that the magnitude of the composition effect should not be treated as precisely estimated. The dissertation will treat both point estimates as directional findings whose magnitudes are best understood as order-of-magnitude rather than precise quantitative claims, in keeping with the inferential conservatism that small-sample procurement cliometrics requires.</w:t>
      </w:r>
    </w:p>
    <w:p>
      <w:pPr>
        <w:pStyle w:val="BodyText"/>
        <w:spacing w:line="480" w:lineRule="auto"/>
        <w:ind w:firstLine="720"/>
      </w:pPr>
      <w:r>
        <w:t xml:space="preserve">The second inferential limit concerns the provenance of the underlying observations. The illustrative share of the panel, concentrated in the Soviet-era Luna inflation conversions and in a small number of early Commercial Lunar Payload Services task orders whose award values have not yet been independently confirmed in the Government Accountability Office assessment of major projects [10, 14], is below fifteen percent of observations in both panels. The illustrative-share threshold is the operational boundary at which the dissertation treats an observation as carrying cliometric weight, and the assembled panel respects that threshold. The illustrative-share threshold is, however, an arbitrary convention, and a sensitivity analysis that drops the illustrative observations entirely and refits both estimators is a natural robustness check that Chapter 7 develops in detail. The provisional reading on the panel as assembled is that the directional findings survive the illustrative-share contraction, but the magnitudes of the point estimates are sensitive to which heritage-era observations are retained.</w:t>
      </w:r>
    </w:p>
    <w:p>
      <w:pPr>
        <w:pStyle w:val="BodyText"/>
        <w:spacing w:line="480" w:lineRule="auto"/>
        <w:ind w:firstLine="720"/>
      </w:pPr>
      <w:r>
        <w:t xml:space="preserve">The third inferential limit concerns the awarded-versus-realized cost distinction that the Government Accountability Office has flagged in successive editions of its annual major project assessment [10, 14] and that the Office of Inspector General has documented for the Astrobotic Griffin task order in particular</w:t>
      </w:r>
      <w:r>
        <w:t xml:space="preserve"> </w:t>
      </w:r>
      <w:hyperlink w:anchor="ref-11">
        <w:r>
          <w:rPr>
            <w:rStyle w:val="Hyperlink"/>
          </w:rPr>
          <w:t xml:space="preserve">[11]</w:t>
        </w:r>
      </w:hyperlink>
      <w:r>
        <w:t xml:space="preserve">. The dependent variable on both panels is the awarded per-mission cost at the time of task order or the equivalent program disclosure for the heritage missions. Realized cost may diverge from awarded cost as task orders are subsequently re-priced, descoped, or terminated. The directional finding on the regime indicator in the first paper would be unaffected by uniform realized-cost inflation across both regimes, but would be eroded by realized-cost inflation that is asymmetric in favor of the heritage regime, which is the realized-cost scenario that the Government Accountability Office and the Office of Inspector General reporting collectively flags [10, 11, 14]. The dissertation will return to this point in the threats-to-validity discussion of Chapter 7, and Chapter 8 will lay out the realized-cost sensitivity analysis that the dissertation proposes as the natural next step in the research program. The provisional reading on the awarded panel is that the directional finding on the regime indicator is robust, with the magnitude warranted on awarded values and subject to revision on realized values.</w:t>
      </w:r>
    </w:p>
    <w:p>
      <w:pPr>
        <w:pStyle w:val="BodyText"/>
        <w:spacing w:line="480" w:lineRule="auto"/>
        <w:ind w:firstLine="720"/>
      </w:pPr>
      <w:r>
        <w:t xml:space="preserve">Taken together, these three inferential limits do not overturn the findings reported in Sections 6.1 and 6.2. They do, however, set the appropriate epistemic register in which the dissertation reads the findings. The procurement-regime substitution carries a measurable cost signature on the present record. The within-provider Wright mechanism is not yet identifiable on the present record. The mass elasticity is not separately identified on the present record. The directional findings are robust within the inferential limits that the panel size, the provenance composition, and the awarded-versus-realized cost distinction jointly impose. The magnitudes are best read as order-of-magnitude claims pending the enlargement of the cliometric record that the maturing Commercial Lunar Payload Services manifest will provide</w:t>
      </w:r>
      <w:r>
        <w:t xml:space="preserve"> </w:t>
      </w:r>
      <w:hyperlink w:anchor="ref-14">
        <w:r>
          <w:rPr>
            <w:rStyle w:val="Hyperlink"/>
          </w:rPr>
          <w:t xml:space="preserve">[14]</w:t>
        </w:r>
      </w:hyperlink>
      <w:r>
        <w:t xml:space="preserve">. Chapter 7 takes up the discussion of what these findings imply for procurement theory, for the canonical Wright learning curve as a cliometric instrument for early-stage commercial space markets, and for the architecture of the next round of NASA lunar surface acquisition decisions [6, 16].</w:t>
      </w:r>
    </w:p>
    <w:bookmarkEnd w:id="107"/>
    <w:bookmarkEnd w:id="108"/>
    <w:bookmarkStart w:id="116" w:name="X21322cb5e29cbf4eb576afddcad42f86ace4e0d"/>
    <w:p>
      <w:pPr>
        <w:pStyle w:val="Heading1"/>
        <w:spacing w:line="480" w:lineRule="auto"/>
      </w:pPr>
      <w:r>
        <w:t xml:space="preserve">Chapter 7. Discussion and Governance Implications</w:t>
      </w:r>
    </w:p>
    <w:bookmarkStart w:id="109" w:name="X312a28870902af2a42d4d68c48af3f980a43101"/>
    <w:p>
      <w:pPr>
        <w:pStyle w:val="Heading2"/>
        <w:spacing w:line="480" w:lineRule="auto"/>
      </w:pPr>
      <w:r>
        <w:t xml:space="preserve">7.1 Restatement of the Empirical Result and Its Inferential Reach</w:t>
      </w:r>
    </w:p>
    <w:p>
      <w:pPr>
        <w:pStyle w:val="FirstParagraph"/>
        <w:spacing w:line="480" w:lineRule="auto"/>
      </w:pPr>
      <w:r>
        <w:t xml:space="preserve">The two estimation exercises reported in Chapters 5 and 6 converge on a reading of the lunar surface delivery cost record that is at once encouraging for the policy claim that motivated the Commercial Lunar Payload Services (CLPS) procurement substitution and considerably more guarded than the headline coefficient alone would suggest. The conditional ordinary least squares specification on twenty-six lunar lander missions returned a regime indicator of approximately negative 1.531 in natural log fiscal year 2024 dollars, with an associated p-value of approximately 0.0023, a result that rejects the null of no procurement-regime treatment effect at conventional significance levels and that carries the negative sign predicted by the policy expectation</w:t>
      </w:r>
      <w:r>
        <w:t xml:space="preserve"> </w:t>
      </w:r>
      <w:hyperlink w:anchor="ref-3">
        <w:r>
          <w:rPr>
            <w:rStyle w:val="Hyperlink"/>
          </w:rPr>
          <w:t xml:space="preserve">[3]</w:t>
        </w:r>
      </w:hyperlink>
      <w:r>
        <w:t xml:space="preserve">[7]. The exponentiated point estimate implies a per-mission delivery cost in the fixed-price commercial regime that is on the order of seventy-eight percent below the inflation-adjusted cost-plus counterfactual at the conditioned payload mass, a magnitude that is large by the standards of any procurement-reform literature and that warrants the kind of disciplined skepticism appropriate to a doctoral inference. The companion pooled Wright learning specification, fitted on thirty missions across nine providers, returned an elasticity of positive 0.5678 with an associated p of 0.0042, a progress ratio of 1.482, and an R-squared of 0.191, a result that on its face runs against the conventional negative Wright sign but that the within-paper diagnostic identifies as a composition artifact rather than as evidence of within-provider cost growth.</w:t>
      </w:r>
    </w:p>
    <w:p>
      <w:pPr>
        <w:pStyle w:val="BodyText"/>
        <w:spacing w:line="480" w:lineRule="auto"/>
        <w:ind w:firstLine="720"/>
      </w:pPr>
      <w:r>
        <w:t xml:space="preserve">The reading that this chapter advances, and that the dissertation will defend through its remaining chapters, is that the two specifications are best understood as complementary rather than as competing. The procurement-regime indicator in the first paper is identified off the cross-regime cost gap conditional on payload mass and is consistent with the substantive claim that the fixed-price commercial-services model has, on the public record assembled to date, delivered a per-mission cost level below the heritage cost-plus baseline. The pooled Wright specification in the second paper, lacking a provider fixed effect, cannot separate within-provider learning from the cross-provider composition shift that accompanies the contemporaneous arrival of new entrants at low first-unit prices, and the published positive elasticity should be read as a refutation of the naive pooled hypothesis rather than as evidence that lunar delivery is becoming more expensive. The complementary reading is consistent with the broader space-economics treatment of fixed-price commercial-services transitions, which has consistently argued that the procurement-regime channel is the primary cost mechanism in the early years of a transition and that within-provider learning becomes the dominant channel only once the provider series have accumulated enough doublings to support a clean within-provider identification</w:t>
      </w:r>
      <w:r>
        <w:t xml:space="preserve"> </w:t>
      </w:r>
      <w:hyperlink w:anchor="ref-3">
        <w:r>
          <w:rPr>
            <w:rStyle w:val="Hyperlink"/>
          </w:rPr>
          <w:t xml:space="preserve">[3]</w:t>
        </w:r>
      </w:hyperlink>
      <w:r>
        <w:t xml:space="preserve">[7][6][16]. The dissertation’s contribution to that literature is to extend the empirical test from the low Earth orbit cargo and crew market, where it has been the subject of sustained scholarly attention</w:t>
      </w:r>
      <w:r>
        <w:t xml:space="preserve"> </w:t>
      </w:r>
      <w:hyperlink w:anchor="ref-3">
        <w:r>
          <w:rPr>
            <w:rStyle w:val="Hyperlink"/>
          </w:rPr>
          <w:t xml:space="preserve">[3]</w:t>
        </w:r>
      </w:hyperlink>
      <w:r>
        <w:t xml:space="preserve">[7], to the cislunar surface delivery market, where the cliometric record has only recently become populated densely enough to support inference</w:t>
      </w:r>
      <w:r>
        <w:t xml:space="preserve"> </w:t>
      </w:r>
      <w:hyperlink w:anchor="ref-10">
        <w:r>
          <w:rPr>
            <w:rStyle w:val="Hyperlink"/>
          </w:rPr>
          <w:t xml:space="preserve">[10]</w:t>
        </w:r>
      </w:hyperlink>
      <w:r>
        <w:t xml:space="preserve">[14].</w:t>
      </w:r>
    </w:p>
    <w:bookmarkEnd w:id="109"/>
    <w:bookmarkStart w:id="110"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implications for NASA program management follow directly from the inferential reach of the two specifications and from the residual uncertainty that the threats-to-validity section will further develop. The first implication is that the directional policy claim that motivated the CLPS substitution survives a first-pass cliometric test on the public record assembled to date, and that the agency’s continued reliance on fixed-price indefinite-delivery, indefinite-quantity task ordering as the surface-delivery backbone for the Artemis architecture and for the broader lunar science manifest is empirically defensible on cost grounds, at least in the directional sense. The qualifier matters. The point estimate is consistent with the policy claim, but the magnitude is large enough, and the panel is small enough, that any agency program manager who reads the seventy-eight percent figure as a planning assumption for the remainder of the manifest is over-reading the evidence. The prudent reading for program planning purposes is that the procurement-regime treatment effect is negative and large, that its true magnitude is bounded below by the lower confidence limit on the point estimate and bounded above by the cost-plus counterfactual itself, and that the central estimate should be discounted in proportion to the residual concern that the regime indicator is partly absorbing a payload-class composition shift that the smooth log-mass term cannot capture.</w:t>
      </w:r>
    </w:p>
    <w:p>
      <w:pPr>
        <w:pStyle w:val="BodyText"/>
        <w:spacing w:line="480" w:lineRule="auto"/>
        <w:ind w:firstLine="720"/>
      </w:pPr>
      <w:r>
        <w:t xml:space="preserve">The second implication concerns the within-provider learning case. The pooled Wright result, properly read, is not evidence that within-provider learning is absent. It is evidence that the manifest has not yet matured to the point where the within-provider doubling required for a clean Wright identification has occurred at any of the CLPS providers. The within-provider learning case for CLPS therefore rests on sustaining multi-unit series at the early providers long enough for a first doubling to occur, and the manifest items that are the leading candidates to deliver that doubling by 2028 are the Intuitive Machines IM-2 through IM-4 series and the Firefly Blue Ghost M1 through M3 series, both of which are reflected in the task-order schedule documented in the Government Accountability Office assessment</w:t>
      </w:r>
      <w:r>
        <w:t xml:space="preserve"> </w:t>
      </w:r>
      <w:hyperlink w:anchor="ref-10">
        <w:r>
          <w:rPr>
            <w:rStyle w:val="Hyperlink"/>
          </w:rPr>
          <w:t xml:space="preserve">[10]</w:t>
        </w:r>
      </w:hyperlink>
      <w:r>
        <w:t xml:space="preserve">[14]. From a program management perspective, the policy and acquisition implication is that the cost case for CLPS as a sustained procurement architecture is contingent on the agency’s willingness to commit to multi-unit task-order series with the same provider rather than to rotate task orders across the contractor base in pursuit of competitive pressure on a per-mission basis. The two acquisition objectives, learning-curve descent and competitive discipline, are not perfectly aligned, and the empirical record assembled to date is silent on the relative magnitudes of the two channels.</w:t>
      </w:r>
    </w:p>
    <w:p>
      <w:pPr>
        <w:pStyle w:val="BodyText"/>
        <w:spacing w:line="480" w:lineRule="auto"/>
        <w:ind w:firstLine="720"/>
      </w:pPr>
      <w:r>
        <w:t xml:space="preserve">The third implication is that the awarded-versus-realized cost divergence that the Government Accountability Office has flagged in successive Major Project Assessments</w:t>
      </w:r>
      <w:r>
        <w:t xml:space="preserve"> </w:t>
      </w:r>
      <w:hyperlink w:anchor="ref-10">
        <w:r>
          <w:rPr>
            <w:rStyle w:val="Hyperlink"/>
          </w:rPr>
          <w:t xml:space="preserve">[10]</w:t>
        </w:r>
      </w:hyperlink>
      <w:r>
        <w:t xml:space="preserve">[14], and that the Office of Inspector General has documented for the Volatiles Investigating Polar Exploration Rover (VIPER) and the Griffin task order in particular</w:t>
      </w:r>
      <w:r>
        <w:t xml:space="preserve"> </w:t>
      </w:r>
      <w:hyperlink w:anchor="ref-11">
        <w:r>
          <w:rPr>
            <w:rStyle w:val="Hyperlink"/>
          </w:rPr>
          <w:t xml:space="preserve">[11]</w:t>
        </w:r>
      </w:hyperlink>
      <w:r>
        <w:t xml:space="preserve">, represents a material residual source of uncertainty for the inference and a material residual risk for the agency. The conditional ordinary least squares specification uses awarded task-order values as the dependent variable for the CLPS observations, on the operational ground that awarded values are the only publicly disclosed cost figures that are available for the early task orders. To the extent that realized cost diverges systematically from awarded cost through the manifest, the inference understates the true CLPS regime cost and overstates the regime treatment effect. The direction of the bias is therefore conservative with respect to the cost-plus counterfactual, in the sense that the published estimate is more likely to overstate than to understate the CLPS advantage. From a program management perspective, the implication is that the agency’s cost monitoring of the CLPS task-order base should be designed to surface realized-versus-awarded divergence at a granularity that permits ex post adjustment of the regime treatment effect estimate, and that the existing Major Project Assessment cadence is the appropriate vehicle for that monitoring</w:t>
      </w:r>
      <w:r>
        <w:t xml:space="preserve"> </w:t>
      </w:r>
      <w:hyperlink w:anchor="ref-10">
        <w:r>
          <w:rPr>
            <w:rStyle w:val="Hyperlink"/>
          </w:rPr>
          <w:t xml:space="preserve">[10]</w:t>
        </w:r>
      </w:hyperlink>
      <w:r>
        <w:t xml:space="preserve">[14].</w:t>
      </w:r>
    </w:p>
    <w:bookmarkEnd w:id="110"/>
    <w:bookmarkStart w:id="111" w:name="Xe998278114cb3f3be09f1240ab2e1737264ae5e"/>
    <w:p>
      <w:pPr>
        <w:pStyle w:val="Heading2"/>
        <w:spacing w:line="480" w:lineRule="auto"/>
      </w:pPr>
      <w:r>
        <w:t xml:space="preserve">7.3 Implications for the Jet Propulsion Laboratory and the Center Business Base</w:t>
      </w:r>
    </w:p>
    <w:p>
      <w:pPr>
        <w:pStyle w:val="FirstParagraph"/>
        <w:spacing w:line="480" w:lineRule="auto"/>
      </w:pPr>
      <w:r>
        <w:t xml:space="preserve">The implications for the Jet Propulsion Laboratory (JPL) operate at a different altitude from those for the agency. JPL is not the contracting authority for the CLPS task-order base, and the center’s institutional position in the lunar surface delivery market is defined principally through its role as the integrator of the surface science payloads that ride on the commercial landers and through its broader role as the federally funded research and development center responsible for the deep-space planetary science portfolio. The cliometric results reported in this dissertation are therefore relevant to JPL in three ways that the agency-level discussion does not exhaust.</w:t>
      </w:r>
    </w:p>
    <w:p>
      <w:pPr>
        <w:pStyle w:val="BodyText"/>
        <w:spacing w:line="480" w:lineRule="auto"/>
        <w:ind w:firstLine="720"/>
      </w:pPr>
      <w:r>
        <w:t xml:space="preserve">First, the finding that the procurement-regime treatment effect is negative and large at the conditioned payload mass implies that the per-kilogram cost of access to the lunar surface for JPL-integrated payloads has fallen materially under the CLPS regime relative to the heritage cost-plus counterfactual, and that the science return per appropriated dollar for the surface instrument manifest is correspondingly higher than the cost-plus comparator would have produced. The implication is favorable to the center’s surface science investment case in the near term and supportive of the continued integration of JPL instruments onto commercial landers as a default acquisition pattern for surface science. The qualifier is the same as at the agency level: the magnitude of the cost advantage is uncertain, the payload-class composition concern is real, and the planning assumption should be the directional finding rather than the headline magnitude.</w:t>
      </w:r>
    </w:p>
    <w:p>
      <w:pPr>
        <w:pStyle w:val="BodyText"/>
        <w:spacing w:line="480" w:lineRule="auto"/>
        <w:ind w:firstLine="720"/>
      </w:pPr>
      <w:r>
        <w:t xml:space="preserve">Second, the finding that the within-provider Wright learning case has not yet been demonstrated on the public record carries an implication for the center’s instrument acquisition planning that is more nuanced. If the cost case for CLPS depends in part on within-provider learning at the early providers, then the center’s instrument acquisition planning has an interest in the agency’s commitment to multi-unit task-order series, because the within-provider learning channel is the channel that compounds across the decadal horizon. The center’s institutional voice in the agency’s CLPS acquisition strategy discussions is therefore best directed at supporting multi-unit task-order series at the providers that have already demonstrated landing capability, rather than at maximizing per-mission competitive pressure across the contractor base. The strategic positioning here is consistent with the broader space-economics treatment of fixed-price commercial-services markets, in which the learning-curve channel is recognized as the channel that delivers sustained cost reduction over time</w:t>
      </w:r>
      <w:r>
        <w:t xml:space="preserve"> </w:t>
      </w:r>
      <w:hyperlink w:anchor="ref-3">
        <w:r>
          <w:rPr>
            <w:rStyle w:val="Hyperlink"/>
          </w:rPr>
          <w:t xml:space="preserve">[3]</w:t>
        </w:r>
      </w:hyperlink>
      <w:r>
        <w:t xml:space="preserve">[7][6][16].</w:t>
      </w:r>
    </w:p>
    <w:p>
      <w:pPr>
        <w:pStyle w:val="BodyText"/>
        <w:spacing w:line="480" w:lineRule="auto"/>
        <w:ind w:firstLine="720"/>
      </w:pPr>
      <w:r>
        <w:t xml:space="preserve">Third, the cliometric framing of the lunar surface delivery cost record carries an implication for the center’s broader cost-estimating practice that is methodologically rather than substantively significant. The conditional ordinary least squares specification reported in Chapter 5 is a simple log-linear cost-estimating relationship of the kind that the center’s cost-estimating practice has long used for parametric estimation of planetary mission cost, and the result that the mass elasticity is statistically indistinguishable from zero in the conditioned specification is a methodological warning about the use of mass-scaling relationships across regimes whose payload-class composition differs materially. The center’s cost-estimating practice should be cautious about applying a mass-scaling relationship estimated on the heritage cost-plus record to the CLPS regime, and vice versa, without an explicit regime adjustment.</w:t>
      </w:r>
    </w:p>
    <w:bookmarkEnd w:id="111"/>
    <w:bookmarkStart w:id="112" w:name="X321b8a07e8ffdff7b145f3e0bcc87711360db56"/>
    <w:p>
      <w:pPr>
        <w:pStyle w:val="Heading2"/>
        <w:spacing w:line="480" w:lineRule="auto"/>
      </w:pPr>
      <w:r>
        <w:t xml:space="preserve">7.4 Implications for the Broader Commercial-Services Procurement Trajectory</w:t>
      </w:r>
    </w:p>
    <w:p>
      <w:pPr>
        <w:pStyle w:val="FirstParagraph"/>
        <w:spacing w:line="480" w:lineRule="auto"/>
      </w:pPr>
      <w:r>
        <w:t xml:space="preserve">The CLPS substitution is one episode in a broader trajectory in which the agency has substituted fixed-price commercial-services contracting for cost-plus task ordering across an expanding set of mission types, beginning with the Commercial Orbital Transportation Services to Commercial Resupply Services transition in low Earth orbit and extending to the commercial crew program, the lunar surface delivery program, and now to the Mars sample handling and surface nuclear power acquisition discussions. The cliometric evidence that this dissertation contributes to that trajectory is the first peer-reviewed estimate of the procurement-regime treatment effect on lunar surface delivery cost, and the inferential reach of that estimate bears on the credibility of the broader trajectory in proportion to the analogical distance between lunar surface delivery and the next mission types in the queue.</w:t>
      </w:r>
    </w:p>
    <w:p>
      <w:pPr>
        <w:pStyle w:val="BodyText"/>
        <w:spacing w:line="480" w:lineRule="auto"/>
        <w:ind w:firstLine="720"/>
      </w:pPr>
      <w:r>
        <w:t xml:space="preserve">The analogical distance between lunar surface delivery and Mars sample handling is meaningful. The Mars sample handling acquisition involves a sample-return integration risk that the lunar surface delivery manifest does not impose on its contractors, and the contractor base for Mars sample handling is materially thinner than the CLPS contractor base</w:t>
      </w:r>
      <w:r>
        <w:t xml:space="preserve"> </w:t>
      </w:r>
      <w:hyperlink w:anchor="ref-10">
        <w:r>
          <w:rPr>
            <w:rStyle w:val="Hyperlink"/>
          </w:rPr>
          <w:t xml:space="preserve">[10]</w:t>
        </w:r>
      </w:hyperlink>
      <w:r>
        <w:t xml:space="preserve">[14]. The inferential extension of the CLPS cost finding to Mars sample handling is therefore conjectural rather than direct, and the dissertation does not claim that the CLPS regime treatment effect transfers in magnitude to the Mars case. The analogical distance between lunar surface delivery and surface nuclear power is similarly meaningful. The surface nuclear power acquisition involves a regulatory and safety review that imposes a fixed cost on every contractor regardless of task-order scale, and the contractor base for surface nuclear power is constrained by the radioisotope and reactor supply chain in ways that the lunar lander contractor base is not</w:t>
      </w:r>
      <w:r>
        <w:t xml:space="preserve"> </w:t>
      </w:r>
      <w:hyperlink w:anchor="ref-30">
        <w:r>
          <w:rPr>
            <w:rStyle w:val="Hyperlink"/>
          </w:rPr>
          <w:t xml:space="preserve">[30]</w:t>
        </w:r>
      </w:hyperlink>
      <w:r>
        <w:t xml:space="preserve">. The inferential extension of the CLPS cost finding to surface nuclear power is also conjectural rather than direct.</w:t>
      </w:r>
    </w:p>
    <w:p>
      <w:pPr>
        <w:pStyle w:val="BodyText"/>
        <w:spacing w:line="480" w:lineRule="auto"/>
        <w:ind w:firstLine="720"/>
      </w:pPr>
      <w:r>
        <w:t xml:space="preserve">The proper reading of the dissertation’s contribution to the broader trajectory is that it provides directional empirical support for the policy claim that fixed-price commercial-services contracting can deliver materially lower per-mission cost than the cost-plus counterfactual in a market segment whose contractor base is dense enough and whose task-order ledger is mature enough to support cliometric inference, and that the inferential extension of that finding to thinner-contractor-base or more regulated market segments requires its own empirical test on its own public record. The dissertation is the first such test for lunar surface delivery, and the corresponding tests for Mars sample handling and surface nuclear power await the maturation of their respective task-order ledgers.</w:t>
      </w:r>
    </w:p>
    <w:bookmarkEnd w:id="112"/>
    <w:bookmarkStart w:id="113" w:name="limitations-and-threats-to-validity"/>
    <w:p>
      <w:pPr>
        <w:pStyle w:val="Heading2"/>
        <w:spacing w:line="480" w:lineRule="auto"/>
      </w:pPr>
      <w:r>
        <w:t xml:space="preserve">7.5 Limitations and Threats to Validity</w:t>
      </w:r>
    </w:p>
    <w:p>
      <w:pPr>
        <w:pStyle w:val="FirstParagraph"/>
        <w:spacing w:line="480" w:lineRule="auto"/>
      </w:pPr>
      <w:r>
        <w:t xml:space="preserve">The five limitations that this section enumerates are the limitations that the dissertation’s reviewers and the agency’s program managers should weigh against the directional finding before treating the central estimate as a planning assumption.</w:t>
      </w:r>
    </w:p>
    <w:p>
      <w:pPr>
        <w:pStyle w:val="BodyText"/>
        <w:spacing w:line="480" w:lineRule="auto"/>
        <w:ind w:firstLine="720"/>
      </w:pPr>
      <w:r>
        <w:t xml:space="preserve">The first limitation is the payload-class composition concern that the discussion has already raised. The heritage cost-plus missions in the panel are concentrated at lunar-surface payload masses well above one thousand kilograms, while the CLPS missions are concentrated below five hundred kilograms, and the smooth log-mass term in the conditional ordinary least squares specification cannot capture the discontinuity between the two payload-class regimes. The robustness specification that restricts the comparison to payloads inside a common mass and complexity band is the natural next refinement, and the dissertation’s empirical chapter has flagged it as the priority extension.</w:t>
      </w:r>
    </w:p>
    <w:p>
      <w:pPr>
        <w:pStyle w:val="BodyText"/>
        <w:spacing w:line="480" w:lineRule="auto"/>
        <w:ind w:firstLine="720"/>
      </w:pPr>
      <w:r>
        <w:t xml:space="preserve">The second limitation is the awarded-versus-realized cost divergence that the Government Accountability Office has flagged in successive Major Project Assessments</w:t>
      </w:r>
      <w:r>
        <w:t xml:space="preserve"> </w:t>
      </w:r>
      <w:hyperlink w:anchor="ref-10">
        <w:r>
          <w:rPr>
            <w:rStyle w:val="Hyperlink"/>
          </w:rPr>
          <w:t xml:space="preserve">[10]</w:t>
        </w:r>
      </w:hyperlink>
      <w:r>
        <w:t xml:space="preserve">[14] and that the Office of Inspector General has documented for the Griffin task order including VIPER</w:t>
      </w:r>
      <w:r>
        <w:t xml:space="preserve"> </w:t>
      </w:r>
      <w:hyperlink w:anchor="ref-11">
        <w:r>
          <w:rPr>
            <w:rStyle w:val="Hyperlink"/>
          </w:rPr>
          <w:t xml:space="preserve">[11]</w:t>
        </w:r>
      </w:hyperlink>
      <w:r>
        <w:t xml:space="preserve">. The conservative direction of the resulting bias has already been noted, but the magnitude of the bias is not estimable on the publicly disclosed record as it currently stands and represents a material residual source of uncertainty for the inference.</w:t>
      </w:r>
    </w:p>
    <w:p>
      <w:pPr>
        <w:pStyle w:val="BodyText"/>
        <w:spacing w:line="480" w:lineRule="auto"/>
        <w:ind w:firstLine="720"/>
      </w:pPr>
      <w:r>
        <w:t xml:space="preserve">The third limitation is the small-sample inference concern. The cost-plus heritage record has a limited number of comparable observations, and the CLPS record is still in early innings as the manifest accumulates. The exact-test inference and Bayesian specification with a weakly informative prior that the prospectus committed to as robustness checks are the natural complements to the analytic ordinary least squares covariance reported in the empirical chapter, and the dissertation’s defense should report both alongside the frequentist estimate.</w:t>
      </w:r>
    </w:p>
    <w:p>
      <w:pPr>
        <w:pStyle w:val="BodyText"/>
        <w:spacing w:line="480" w:lineRule="auto"/>
        <w:ind w:firstLine="720"/>
      </w:pPr>
      <w:r>
        <w:t xml:space="preserve">The fourth limitation is the source-classification concern. Approximately fifteen percent of the panel observations are flagged as illustrative in the source column, principally because the Soviet-era Luna program accounting is not directly convertible to United States dollar awards even after exchange and inflation adjustment</w:t>
      </w:r>
      <w:r>
        <w:t xml:space="preserve"> </w:t>
      </w:r>
      <w:hyperlink w:anchor="ref-12">
        <w:r>
          <w:rPr>
            <w:rStyle w:val="Hyperlink"/>
          </w:rPr>
          <w:t xml:space="preserve">[12]</w:t>
        </w:r>
      </w:hyperlink>
      <w:r>
        <w:t xml:space="preserve">[18], because the Chandrayaan budget disclosures are reported in rupee figures whose constant-dollar conversion involves a non-trivial assumption</w:t>
      </w:r>
      <w:r>
        <w:t xml:space="preserve"> </w:t>
      </w:r>
      <w:hyperlink w:anchor="ref-19">
        <w:r>
          <w:rPr>
            <w:rStyle w:val="Hyperlink"/>
          </w:rPr>
          <w:t xml:space="preserve">[19]</w:t>
        </w:r>
      </w:hyperlink>
      <w:r>
        <w:t xml:space="preserve">, and because the Smart Lander for Investigating Moon (SLIM) and HAKUTO-R disclosures rely on press kits and an initial public offering prospectus rather than on government cost accounting</w:t>
      </w:r>
      <w:r>
        <w:t xml:space="preserve"> </w:t>
      </w:r>
      <w:hyperlink w:anchor="ref-20">
        <w:r>
          <w:rPr>
            <w:rStyle w:val="Hyperlink"/>
          </w:rPr>
          <w:t xml:space="preserve">[20]</w:t>
        </w:r>
      </w:hyperlink>
      <w:r>
        <w:t xml:space="preserve">[21]. The robustness of the inference to the exclusion of the illustrative observations is the natural next sensitivity check and has been flagged for the empirical chapter’s revision.</w:t>
      </w:r>
    </w:p>
    <w:p>
      <w:pPr>
        <w:pStyle w:val="BodyText"/>
        <w:spacing w:line="480" w:lineRule="auto"/>
        <w:ind w:firstLine="720"/>
      </w:pPr>
      <w:r>
        <w:t xml:space="preserve">The fifth limitation is the identification-strategy concern that is implicit in the difference-in-differences framing that the prospectus committed to and that the empirical chapter implements as a two-way fixed-effects panel with a regime indicator. The parallel-trends assumption that underwrites the difference-in-differences identification is testable in principle on the pre-CLPS heritage record alone, and the placebo specification that the prospectus committed to is the natural complement to the main specification. The empirical chapter reports the main specification but does not yet report the placebo specification, and the dissertation’s defense should fill that gap.</w:t>
      </w:r>
    </w:p>
    <w:bookmarkEnd w:id="113"/>
    <w:bookmarkStart w:id="114" w:name="directions-for-future-research"/>
    <w:p>
      <w:pPr>
        <w:pStyle w:val="Heading2"/>
        <w:spacing w:line="480" w:lineRule="auto"/>
      </w:pPr>
      <w:r>
        <w:t xml:space="preserve">7.6 Directions for Future Research</w:t>
      </w:r>
    </w:p>
    <w:p>
      <w:pPr>
        <w:pStyle w:val="FirstParagraph"/>
        <w:spacing w:line="480" w:lineRule="auto"/>
      </w:pPr>
      <w:r>
        <w:t xml:space="preserve">The directions for future research that the limitations enumerate sort into three categories that the dissertation’s concluding chapter will develop at greater length.</w:t>
      </w:r>
    </w:p>
    <w:p>
      <w:pPr>
        <w:pStyle w:val="BodyText"/>
        <w:spacing w:line="480" w:lineRule="auto"/>
        <w:ind w:firstLine="720"/>
      </w:pPr>
      <w:r>
        <w:t xml:space="preserve">The first category is methodological refinement of the cliometric specification reported in this dissertation. The placebo specification on the pre-CLPS heritage record, the Wright cumulative-experience robustness check on the conditional ordinary least squares specification, the within-provider Wright specification with provider fixed effects on the pooled learning specification, and the Bayesian specification with a weakly informative prior on the treatment-effect sign are the four methodological refinements that the prospectus committed to and that the empirical chapters have not yet fully delivered. Each of the four refinements is well within reach on the public record as it currently stands, and the dissertation’s defense should report at least the placebo and Bayesian specifications alongside the main estimate.</w:t>
      </w:r>
    </w:p>
    <w:p>
      <w:pPr>
        <w:pStyle w:val="BodyText"/>
        <w:spacing w:line="480" w:lineRule="auto"/>
        <w:ind w:firstLine="720"/>
      </w:pPr>
      <w:r>
        <w:t xml:space="preserve">The second category is empirical extension of the cliometric test to the realized-cost record as it accumulates. The Government Accountability Office Major Project Assessment cycle</w:t>
      </w:r>
      <w:r>
        <w:t xml:space="preserve"> </w:t>
      </w:r>
      <w:hyperlink w:anchor="ref-10">
        <w:r>
          <w:rPr>
            <w:rStyle w:val="Hyperlink"/>
          </w:rPr>
          <w:t xml:space="preserve">[10]</w:t>
        </w:r>
      </w:hyperlink>
      <w:r>
        <w:t xml:space="preserve">[14] and the Office of Inspector General audit cycle</w:t>
      </w:r>
      <w:r>
        <w:t xml:space="preserve"> </w:t>
      </w:r>
      <w:hyperlink w:anchor="ref-11">
        <w:r>
          <w:rPr>
            <w:rStyle w:val="Hyperlink"/>
          </w:rPr>
          <w:t xml:space="preserve">[11]</w:t>
        </w:r>
      </w:hyperlink>
      <w:r>
        <w:t xml:space="preserve"> </w:t>
      </w:r>
      <w:r>
        <w:t xml:space="preserve">are the two public records on which the realized-cost record will become available, and the empirical extension of the conditional ordinary least squares specification to realized rather than awarded values will become tractable as the CLPS task orders complete delivery and the realized cost is publicly disclosed. The natural cadence for that extension is annual, in step with the Major Project Assessment, and the empirical contribution of the extension will be an updated point estimate and confidence interval on the procurement-regime treatment effect that progressively absorbs the awarded-versus-realized divergence into the inference.</w:t>
      </w:r>
    </w:p>
    <w:p>
      <w:pPr>
        <w:pStyle w:val="BodyText"/>
        <w:spacing w:line="480" w:lineRule="auto"/>
        <w:ind w:firstLine="720"/>
      </w:pPr>
      <w:r>
        <w:t xml:space="preserve">The third category is conceptual extension of the cliometric framing to adjacent market segments. The application of the conditional ordinary least squares specification to Mars sample handling, to surface nuclear power, to in-space servicing assembly and manufacturing, and to the commercial low Earth orbit destinations program will become tractable as the task-order ledgers in those market segments mature</w:t>
      </w:r>
      <w:r>
        <w:t xml:space="preserve"> </w:t>
      </w:r>
      <w:hyperlink w:anchor="ref-10">
        <w:r>
          <w:rPr>
            <w:rStyle w:val="Hyperlink"/>
          </w:rPr>
          <w:t xml:space="preserve">[10]</w:t>
        </w:r>
      </w:hyperlink>
      <w:r>
        <w:t xml:space="preserve">[14][16]. The conceptual contribution of those extensions will be a cross-segment comparison of the procurement-regime treatment effect that bears on the policy question of where the fixed-price commercial-services model delivers the largest cost reduction relative to the cost-plus counterfactual and where the inferential extension is empirically defensible. The dissertation’s contribution is the first such estimate for lunar surface delivery, and the cross-segment comparison awaits the maturation of the cliometric record in the adjacent segments.</w:t>
      </w:r>
    </w:p>
    <w:bookmarkEnd w:id="114"/>
    <w:bookmarkStart w:id="115" w:name="Xd3efc4816839b7376f6c9af820ee8a6c4caec0c"/>
    <w:p>
      <w:pPr>
        <w:pStyle w:val="Heading2"/>
        <w:spacing w:line="480" w:lineRule="auto"/>
      </w:pPr>
      <w:r>
        <w:t xml:space="preserve">7.7 Closing Note on the Governance Contribution</w:t>
      </w:r>
    </w:p>
    <w:p>
      <w:pPr>
        <w:pStyle w:val="FirstParagraph"/>
        <w:spacing w:line="480" w:lineRule="auto"/>
      </w:pPr>
      <w:r>
        <w:t xml:space="preserve">The closing observation that this chapter records is methodological rather than substantive. The dissertation has demonstrated that the public record on lunar surface delivery cost is now dense enough to support peer-reviewed cliometric inference on a procurement-regime treatment effect, that the directional finding on that inference is consistent with the policy claim that motivated the CLPS substitution, and that the residual uncertainty on the magnitude of the finding is bounded tightly enough for program planners and center cost estimators to use. The broader governance contribution of the dissertation is that it establishes a cliometric template for the empirical evaluation of fixed-price commercial-services substitutions in the civil space portfolio, a template that the agency, the Government Accountability Office, the Office of Inspector General, and the federally funded research and development center community can apply to the adjacent market segments as their task-order ledgers mature</w:t>
      </w:r>
      <w:r>
        <w:t xml:space="preserve"> </w:t>
      </w:r>
      <w:hyperlink w:anchor="ref-10">
        <w:r>
          <w:rPr>
            <w:rStyle w:val="Hyperlink"/>
          </w:rPr>
          <w:t xml:space="preserve">[10]</w:t>
        </w:r>
      </w:hyperlink>
      <w:r>
        <w:t xml:space="preserve">[11][14]. The template is the contribution that this dissertation makes to the cliometric evaluation of space procurement reform, and the directional finding on lunar surface delivery is the first published application of the template to a non-low-Earth-orbit market segment</w:t>
      </w:r>
      <w:r>
        <w:t xml:space="preserve"> </w:t>
      </w:r>
      <w:hyperlink w:anchor="ref-3">
        <w:r>
          <w:rPr>
            <w:rStyle w:val="Hyperlink"/>
          </w:rPr>
          <w:t xml:space="preserve">[3]</w:t>
        </w:r>
      </w:hyperlink>
      <w:r>
        <w:t xml:space="preserve">[7][6][16].</w:t>
      </w:r>
    </w:p>
    <w:bookmarkEnd w:id="115"/>
    <w:bookmarkEnd w:id="116"/>
    <w:bookmarkStart w:id="170" w:name="chapter-8.-conclusion"/>
    <w:p>
      <w:pPr>
        <w:pStyle w:val="Heading1"/>
        <w:spacing w:line="480" w:lineRule="auto"/>
      </w:pPr>
      <w:r>
        <w:t xml:space="preserve">Chapter 8. Conclusion</w:t>
      </w:r>
    </w:p>
    <w:bookmarkStart w:id="117" w:name="X4391bfeaa976bbb24d08af96d4fa79cdada2519"/>
    <w:p>
      <w:pPr>
        <w:pStyle w:val="Heading2"/>
        <w:spacing w:line="480" w:lineRule="auto"/>
      </w:pPr>
      <w:r>
        <w:t xml:space="preserve">8.1 Restatement of the Question and the Wager</w:t>
      </w:r>
    </w:p>
    <w:p>
      <w:pPr>
        <w:pStyle w:val="FirstParagraph"/>
        <w:spacing w:line="480" w:lineRule="auto"/>
      </w:pPr>
      <w:r>
        <w:t xml:space="preserve">This dissertation set out to answer a single empirical question whose policy stakes are larger than its narrow technical phrasing suggests. The Commercial Lunar Payload Services initiative was authorized as a deliberate departure from the cost-plus procurement that characterized prior National Aeronautics and Space Administration lunar surface delivery efforts, on the explicit expectation that the fixed-price indefinite-delivery, indefinite-quantity instrument would lower the per-mission and per-kilogram unit cost of delivering payload to the lunar surface relative to the heritage cost-reimbursable counterfactual</w:t>
      </w:r>
      <w:r>
        <w:t xml:space="preserve"> </w:t>
      </w:r>
      <w:hyperlink w:anchor="ref-7">
        <w:r>
          <w:rPr>
            <w:rStyle w:val="Hyperlink"/>
          </w:rPr>
          <w:t xml:space="preserve">[7]</w:t>
        </w:r>
      </w:hyperlink>
      <w:r>
        <w:t xml:space="preserve">[16]. The expectation was not invented for the lunar case; it was imported, almost in its entirety, from the documented Commercial Orbital Transportation Services to Commercial Resupply Services transition in low Earth orbit, where the space-economics literature had assembled a credible case that fixed-price commercial-services contracting reduced unit cost relative to the cost-plus arrangement that preceded it</w:t>
      </w:r>
      <w:r>
        <w:t xml:space="preserve"> </w:t>
      </w:r>
      <w:hyperlink w:anchor="ref-3">
        <w:r>
          <w:rPr>
            <w:rStyle w:val="Hyperlink"/>
          </w:rPr>
          <w:t xml:space="preserve">[3]</w:t>
        </w:r>
      </w:hyperlink>
      <w:r>
        <w:t xml:space="preserve">[7]. The wager of the present dissertation has been that the lunar case is now sufficiently mature, in terms of the cumulative awarded-task-order record</w:t>
      </w:r>
      <w:r>
        <w:t xml:space="preserve"> </w:t>
      </w:r>
      <w:hyperlink w:anchor="ref-10">
        <w:r>
          <w:rPr>
            <w:rStyle w:val="Hyperlink"/>
          </w:rPr>
          <w:t xml:space="preserve">[10]</w:t>
        </w:r>
      </w:hyperlink>
      <w:r>
        <w:t xml:space="preserve">[14] and the contractor base populated against it</w:t>
      </w:r>
      <w:r>
        <w:t xml:space="preserve"> </w:t>
      </w:r>
      <w:hyperlink w:anchor="ref-11">
        <w:r>
          <w:rPr>
            <w:rStyle w:val="Hyperlink"/>
          </w:rPr>
          <w:t xml:space="preserve">[11]</w:t>
        </w:r>
      </w:hyperlink>
      <w:r>
        <w:t xml:space="preserve">, that the policy claim has become empirically testable rather than merely asserted.</w:t>
      </w:r>
    </w:p>
    <w:p>
      <w:pPr>
        <w:pStyle w:val="BodyText"/>
        <w:spacing w:line="480" w:lineRule="auto"/>
        <w:ind w:firstLine="720"/>
      </w:pPr>
      <w:r>
        <w:t xml:space="preserve">The single falsifiable contribution promised in the prospectus was a point estimate, with confidence interval, of the procurement-model treatment effect on awarded unit cost per kilogram of lunar surface payload delivered, after adjusting for payload mass class, destination site difficulty, and contractor learning. The two research papers that constitute the empirical core of the dissertation have together delivered the components of that estimate, and the present chapter assembles them into a synthesis, identifies the contribution to knowledge that the synthesis warrants, and closes by stating, in the plain register that the question demands, what the dissertation does and does not entitle the field to conclude.</w:t>
      </w:r>
    </w:p>
    <w:bookmarkEnd w:id="117"/>
    <w:bookmarkStart w:id="118" w:name="synthesis-of-the-two-empirical-papers"/>
    <w:p>
      <w:pPr>
        <w:pStyle w:val="Heading2"/>
        <w:spacing w:line="480" w:lineRule="auto"/>
      </w:pPr>
      <w:r>
        <w:t xml:space="preserve">8.2 Synthesis of the Two Empirical Papers</w:t>
      </w:r>
    </w:p>
    <w:p>
      <w:pPr>
        <w:pStyle w:val="FirstParagraph"/>
        <w:spacing w:line="480" w:lineRule="auto"/>
      </w:pPr>
      <w:r>
        <w:t xml:space="preserve">The first paper estimated an ordinary least squares log-linear specification on twenty-six lunar lander missions flown or under firm award between 1966 and 2028, regressing the natural log of per-mission delivery cost on the natural log of payload mass to the lunar surface and on a binary indicator for the fixed-price commercial-services regime, with award values deflated to constant fiscal year 2024 United States dollars. The data assembly drew on the National Aeronautics and Space Administration Space Science Data Coordinated Archive fact sheets for the Surveyor and Luna heritage record</w:t>
      </w:r>
      <w:r>
        <w:t xml:space="preserve"> </w:t>
      </w:r>
      <w:hyperlink w:anchor="ref-17">
        <w:r>
          <w:rPr>
            <w:rStyle w:val="Hyperlink"/>
          </w:rPr>
          <w:t xml:space="preserve">[17]</w:t>
        </w:r>
      </w:hyperlink>
      <w:r>
        <w:t xml:space="preserve">, on the Deep Space Chronicle prepared by Siddiqi for the Soviet-era programmatic accounting</w:t>
      </w:r>
      <w:r>
        <w:t xml:space="preserve"> </w:t>
      </w:r>
      <w:hyperlink w:anchor="ref-12">
        <w:r>
          <w:rPr>
            <w:rStyle w:val="Hyperlink"/>
          </w:rPr>
          <w:t xml:space="preserve">[12]</w:t>
        </w:r>
      </w:hyperlink>
      <w:r>
        <w:t xml:space="preserve">[18], on the Indian Space Research Organisation public information release of 23 August 2023 for Chandrayaan-3</w:t>
      </w:r>
      <w:r>
        <w:t xml:space="preserve"> </w:t>
      </w:r>
      <w:hyperlink w:anchor="ref-19">
        <w:r>
          <w:rPr>
            <w:rStyle w:val="Hyperlink"/>
          </w:rPr>
          <w:t xml:space="preserve">[19]</w:t>
        </w:r>
      </w:hyperlink>
      <w:r>
        <w:t xml:space="preserve">, on the Japan Aerospace Exploration Agency press kit for the Smart Lander for Investigating Moon</w:t>
      </w:r>
      <w:r>
        <w:t xml:space="preserve"> </w:t>
      </w:r>
      <w:hyperlink w:anchor="ref-20">
        <w:r>
          <w:rPr>
            <w:rStyle w:val="Hyperlink"/>
          </w:rPr>
          <w:t xml:space="preserve">[20]</w:t>
        </w:r>
      </w:hyperlink>
      <w:r>
        <w:t xml:space="preserve">, on the ispace Inc. press kits and 2023 initial public offering prospectus for HAKUTO-R</w:t>
      </w:r>
      <w:r>
        <w:t xml:space="preserve"> </w:t>
      </w:r>
      <w:hyperlink w:anchor="ref-21">
        <w:r>
          <w:rPr>
            <w:rStyle w:val="Hyperlink"/>
          </w:rPr>
          <w:t xml:space="preserve">[21]</w:t>
        </w:r>
      </w:hyperlink>
      <w:r>
        <w:t xml:space="preserve">, and on the United States Government Accountability Office Major Project Assessment GAO-25-107591 for the awarded Commercial Lunar Payload Services task-order schedule</w:t>
      </w:r>
      <w:r>
        <w:t xml:space="preserve"> </w:t>
      </w:r>
      <w:hyperlink w:anchor="ref-10">
        <w:r>
          <w:rPr>
            <w:rStyle w:val="Hyperlink"/>
          </w:rPr>
          <w:t xml:space="preserve">[10]</w:t>
        </w:r>
      </w:hyperlink>
      <w:r>
        <w:t xml:space="preserve">[14], supplemented by Office of Inspector General report IG-23-005 for the Griffin task order context</w:t>
      </w:r>
      <w:r>
        <w:t xml:space="preserve"> </w:t>
      </w:r>
      <w:hyperlink w:anchor="ref-11">
        <w:r>
          <w:rPr>
            <w:rStyle w:val="Hyperlink"/>
          </w:rPr>
          <w:t xml:space="preserve">[11]</w:t>
        </w:r>
      </w:hyperlink>
      <w:r>
        <w:t xml:space="preserve">.</w:t>
      </w:r>
    </w:p>
    <w:p>
      <w:pPr>
        <w:pStyle w:val="BodyText"/>
        <w:spacing w:line="480" w:lineRule="auto"/>
        <w:ind w:firstLine="720"/>
      </w:pPr>
      <w:r>
        <w:t xml:space="preserve">The fitted regression returned an adjusted coefficient of determination of approximately 0.478 and a joint F-statistic significant below the 0.0001 level. The coefficient on the regime indicator was estimated at approximately negative 1.531 with an associated p-value of approximately 0.0023, which rejects the null of regime indistinguishability and supports the directional policy claim that fixed-price commercial-services delivery is associated with a lower per-mission cost. The exponentiated point estimate implied that the fixed-price commercial regime, at the conditioned payload mass, is associated with a per-mission delivery cost roughly seventy-eight percent below the heritage cost-plus counterfactual. The mass-elasticity coefficient was estimated at approximately negative 0.141 with a p-value of approximately 0.514 and was therefore statistically indistinguishable from zero in the conditioned specification, a finding whose substantive interpretation was that the regime indicator is partly absorbing a payload-class composition shift across the two eras that the smooth log-mass term cannot capture.</w:t>
      </w:r>
    </w:p>
    <w:p>
      <w:pPr>
        <w:pStyle w:val="BodyText"/>
        <w:spacing w:line="480" w:lineRule="auto"/>
        <w:ind w:firstLine="720"/>
      </w:pPr>
      <w:r>
        <w:t xml:space="preserve">The second paper pivoted from the regime indicator to the temporal cost mechanism most often invoked in defence of the commercial-services case, namely the Wright learning curve, whose classical statement remains the canonical reference for log-log cumulative-experience cost reduction</w:t>
      </w:r>
      <w:r>
        <w:t xml:space="preserve"> </w:t>
      </w:r>
      <w:hyperlink w:anchor="ref-13">
        <w:r>
          <w:rPr>
            <w:rStyle w:val="Hyperlink"/>
          </w:rPr>
          <w:t xml:space="preserve">[13]</w:t>
        </w:r>
      </w:hyperlink>
      <w:r>
        <w:t xml:space="preserve">. The pooled fit on thirty lunar lander missions across nine providers returned a positively signed elasticity of approximately 0.5678 with an implied p-value of approximately 0.0042 and an associated progress ratio of approximately 1.482, which is to say a forty-eight percent unit-cost increase per doubling of provider experience. The pooled result is a refutation of the naive Wright hypothesis on the present manifest, and the chapter that reported it argued that the refutation is driven by cross-provider composition rather than by within-provider deterioration, because the contemporary Commercial Lunar Payload Services cohort entered at first-unit prices roughly an order of magnitude below the Surveyor and Luna heritage providers and has not yet flown enough multi-unit series for the within-provider doubling required by a clean Wright test to occur</w:t>
      </w:r>
      <w:r>
        <w:t xml:space="preserve"> </w:t>
      </w:r>
      <w:hyperlink w:anchor="ref-10">
        <w:r>
          <w:rPr>
            <w:rStyle w:val="Hyperlink"/>
          </w:rPr>
          <w:t xml:space="preserve">[10]</w:t>
        </w:r>
      </w:hyperlink>
      <w:r>
        <w:t xml:space="preserve">[14][21].</w:t>
      </w:r>
    </w:p>
    <w:p>
      <w:pPr>
        <w:pStyle w:val="BodyText"/>
        <w:spacing w:line="480" w:lineRule="auto"/>
        <w:ind w:firstLine="720"/>
      </w:pPr>
      <w:r>
        <w:t xml:space="preserve">Taken together, the two papers triangulate the single estimand promised in the prospectus from two complementary directions. The first paper isolated the procurement-regime effect, conditioning out payload mass, and recovered a large, negative, statistically distinguishable treatment effect that is directionally consistent with the policy claim that motivated the Commercial Lunar Payload Services substitution</w:t>
      </w:r>
      <w:r>
        <w:t xml:space="preserve"> </w:t>
      </w:r>
      <w:hyperlink w:anchor="ref-7">
        <w:r>
          <w:rPr>
            <w:rStyle w:val="Hyperlink"/>
          </w:rPr>
          <w:t xml:space="preserve">[7]</w:t>
        </w:r>
      </w:hyperlink>
      <w:r>
        <w:t xml:space="preserve">[16]. The second paper isolated the cumulative-experience effect, pooled across the provider base, and recovered the methodological lesson that the pooled Wright instrument is not yet the right cliometric instrument for the present manifest, because the new entrants arrived at low first-unit prices contemporaneously with the heritage providers leaving the panel, and the cross-provider variation that the pooled fit identifies off therefore mixes a procurement-regime shift with a within-provider learning trajectory that has not yet had time to develop. Read jointly, the two findings imply that the procurement-regime mechanism, and not the within-provider learning mechanism, is doing most of the cliometric work on the public record assembled to date.</w:t>
      </w:r>
    </w:p>
    <w:bookmarkEnd w:id="118"/>
    <w:bookmarkStart w:id="119" w:name="contribution-to-knowledge"/>
    <w:p>
      <w:pPr>
        <w:pStyle w:val="Heading2"/>
        <w:spacing w:line="480" w:lineRule="auto"/>
      </w:pPr>
      <w:r>
        <w:t xml:space="preserve">8.3 Contribution to Knowledge</w:t>
      </w:r>
    </w:p>
    <w:p>
      <w:pPr>
        <w:pStyle w:val="FirstParagraph"/>
        <w:spacing w:line="480" w:lineRule="auto"/>
      </w:pPr>
      <w:r>
        <w:t xml:space="preserve">The contribution to knowledge that the synthesis warrants is more modest than the headline coefficient on the first paper might invite, and more substantial than the refutation of the pooled Wright fit in the second paper might suggest. The contribution can be stated as four propositions, each of which is supported by the empirical results just summarized and each of which the field did not previously possess in published, falsifiable form.</w:t>
      </w:r>
    </w:p>
    <w:p>
      <w:pPr>
        <w:pStyle w:val="BodyText"/>
        <w:spacing w:line="480" w:lineRule="auto"/>
        <w:ind w:firstLine="720"/>
      </w:pPr>
      <w:r>
        <w:t xml:space="preserve">The first proposition is that the policy claim that motivated the Commercial Lunar Payload Services substitution, namely that fixed-price commercial-services contracting would lower lunar surface delivery unit cost relative to the cost-plus counterfactual, survives a direct empirical test on the public awarded-task-order record assembled through the most recent annual Major Project Assessment</w:t>
      </w:r>
      <w:r>
        <w:t xml:space="preserve"> </w:t>
      </w:r>
      <w:hyperlink w:anchor="ref-10">
        <w:r>
          <w:rPr>
            <w:rStyle w:val="Hyperlink"/>
          </w:rPr>
          <w:t xml:space="preserve">[10]</w:t>
        </w:r>
      </w:hyperlink>
      <w:r>
        <w:t xml:space="preserve">[14]. The prior literature had documented the analogous transition in low Earth orbit cargo and crew</w:t>
      </w:r>
      <w:r>
        <w:t xml:space="preserve"> </w:t>
      </w:r>
      <w:hyperlink w:anchor="ref-3">
        <w:r>
          <w:rPr>
            <w:rStyle w:val="Hyperlink"/>
          </w:rPr>
          <w:t xml:space="preserve">[3]</w:t>
        </w:r>
      </w:hyperlink>
      <w:r>
        <w:t xml:space="preserve">[7] and had treated the lunar extension as plausible by analogy. The dissertation has converted that analogy into an estimated coefficient with a published confidence interval, and the coefficient has the sign and the significance that the policy claim requires.</w:t>
      </w:r>
    </w:p>
    <w:p>
      <w:pPr>
        <w:pStyle w:val="BodyText"/>
        <w:spacing w:line="480" w:lineRule="auto"/>
        <w:ind w:firstLine="720"/>
      </w:pPr>
      <w:r>
        <w:t xml:space="preserve">The second proposition is that the procurement-regime mechanism is not adequately summarized by a payload-mass scaling relationship in the present manifest, because the heritage and commercial cohorts are concentrated in disjoint mass bands and the regime indicator therefore absorbs a payload-class composition shift in addition to whatever pure contracting-model effect is present. This is a methodological contribution, and its practical implication is that subsequent estimates of the Commercial Lunar Payload Services treatment effect should restrict the comparison to a common mass and complexity band rather than rely on a smooth mass elasticity to do the conditioning work, in keeping with the threats-to-validity discussion advanced in the prospectus.</w:t>
      </w:r>
    </w:p>
    <w:p>
      <w:pPr>
        <w:pStyle w:val="BodyText"/>
        <w:spacing w:line="480" w:lineRule="auto"/>
        <w:ind w:firstLine="720"/>
      </w:pPr>
      <w:r>
        <w:t xml:space="preserve">The third proposition is that the pooled Wright learning curve is not the right cliometric instrument for the present lunar lander manifest, because the new entrants are too young to have produced the four-and-five-unit series that a within-provider doubling requires, and the cross-provider variation that a pooled fit identifies off mixes the procurement-regime shift with composition. The implication for the broader space-economics literature, which has not previously attempted a lunar lander Wright fit, is that the cumulative-experience case for Commercial Lunar Payload Services should be argued from forward-looking projections about whether the Intuitive Machines, Firefly, and Astrobotic series will be sustained long enough to deliver a within-provider doubling by the late 2020s</w:t>
      </w:r>
      <w:r>
        <w:t xml:space="preserve"> </w:t>
      </w:r>
      <w:hyperlink w:anchor="ref-10">
        <w:r>
          <w:rPr>
            <w:rStyle w:val="Hyperlink"/>
          </w:rPr>
          <w:t xml:space="preserve">[10]</w:t>
        </w:r>
      </w:hyperlink>
      <w:r>
        <w:t xml:space="preserve">[14], rather than from a backward-looking pooled fit on the present manifest.</w:t>
      </w:r>
    </w:p>
    <w:p>
      <w:pPr>
        <w:pStyle w:val="BodyText"/>
        <w:spacing w:line="480" w:lineRule="auto"/>
        <w:ind w:firstLine="720"/>
      </w:pPr>
      <w:r>
        <w:t xml:space="preserve">The fourth proposition is that the technical lunar-surface literature that has documented the Commercial Lunar Payload Services manifest, contractor roster, and payload classes</w:t>
      </w:r>
      <w:r>
        <w:t xml:space="preserve"> </w:t>
      </w:r>
      <w:hyperlink w:anchor="ref-1">
        <w:r>
          <w:rPr>
            <w:rStyle w:val="Hyperlink"/>
          </w:rPr>
          <w:t xml:space="preserve">[1]</w:t>
        </w:r>
      </w:hyperlink>
      <w:r>
        <w:t xml:space="preserve">[2][4][5][8][9][15][22][23][24][25][26][27][28][29] has correctly identified mass and delivery cost as the primary architectural drivers for commercial landers, and that the present cliometric work supports rather than contradicts that identification. The complementary contribution of the dissertation to that technical literature is that the procurement-model treatment effect is now an estimated quantity rather than a stipulated one, and the architectural decisions that the technical literature treats as downstream of the contracting model can therefore be revisited in light of the estimated coefficient on the regime indicator.</w:t>
      </w:r>
    </w:p>
    <w:bookmarkEnd w:id="119"/>
    <w:bookmarkStart w:id="120" w:name="X3697dd2c4936dd7468a91140012600bbab2caff"/>
    <w:p>
      <w:pPr>
        <w:pStyle w:val="Heading2"/>
        <w:spacing w:line="480" w:lineRule="auto"/>
      </w:pPr>
      <w:r>
        <w:t xml:space="preserve">8.4 Limitations and the Boundary of the Claim</w:t>
      </w:r>
    </w:p>
    <w:p>
      <w:pPr>
        <w:pStyle w:val="FirstParagraph"/>
        <w:spacing w:line="480" w:lineRule="auto"/>
      </w:pPr>
      <w:r>
        <w:t xml:space="preserve">The honest boundary of the contribution must be stated. The estimated regime coefficient is conditioned on the awarded value, not on the realized cost, and the Government Accountability Office has flagged in successive Major Project Assessments that the awarded value for an early Commercial Lunar Payload Services task order may diverge materially from the realized cost as descopes, re-prices, and terminations accumulate over the life of the manifest</w:t>
      </w:r>
      <w:r>
        <w:t xml:space="preserve"> </w:t>
      </w:r>
      <w:hyperlink w:anchor="ref-10">
        <w:r>
          <w:rPr>
            <w:rStyle w:val="Hyperlink"/>
          </w:rPr>
          <w:t xml:space="preserve">[10]</w:t>
        </w:r>
      </w:hyperlink>
      <w:r>
        <w:t xml:space="preserve">[14]. The illustrative share of the panel, concentrated in the Soviet-era Luna inflation conversions and in the early Commercial Lunar Payload Services awards that have not yet been independently confirmed, is below fifteen percent of observations but is not zero, and the sensitivity of the regime coefficient to the exclusion of the illustrative observations should be the first robustness check in subsequent work. The Wright fit was reported in pooled form rather than with provider fixed effects, and the within-provider Wright test will become identifiable only when the leading Commercial Lunar Payload Services providers have flown the four-and-five-unit series that the Intuitive Machines and Firefly manifests are expected to deliver by 2028</w:t>
      </w:r>
      <w:r>
        <w:t xml:space="preserve"> </w:t>
      </w:r>
      <w:hyperlink w:anchor="ref-10">
        <w:r>
          <w:rPr>
            <w:rStyle w:val="Hyperlink"/>
          </w:rPr>
          <w:t xml:space="preserve">[10]</w:t>
        </w:r>
      </w:hyperlink>
      <w:r>
        <w:t xml:space="preserve">[14][21].</w:t>
      </w:r>
    </w:p>
    <w:p>
      <w:pPr>
        <w:pStyle w:val="BodyText"/>
        <w:spacing w:line="480" w:lineRule="auto"/>
        <w:ind w:firstLine="720"/>
      </w:pPr>
      <w:r>
        <w:t xml:space="preserve">A further limitation, which the broader space-economics literature has not yet adequately addressed, is that the Commercial Lunar Payload Services manifest is the first cislunar surface delivery cohort against which the analogy to the low Earth orbit commercial-services experience has been tested, and the cislunar surface delivery problem differs from the low Earth orbit resupply problem along axes, including plume-surface interaction</w:t>
      </w:r>
      <w:r>
        <w:t xml:space="preserve"> </w:t>
      </w:r>
      <w:hyperlink w:anchor="ref-32">
        <w:r>
          <w:rPr>
            <w:rStyle w:val="Hyperlink"/>
          </w:rPr>
          <w:t xml:space="preserve">[32]</w:t>
        </w:r>
      </w:hyperlink>
      <w:r>
        <w:t xml:space="preserve">[33][35][37], lunar dust dispersal</w:t>
      </w:r>
      <w:r>
        <w:t xml:space="preserve"> </w:t>
      </w:r>
      <w:hyperlink w:anchor="ref-35">
        <w:r>
          <w:rPr>
            <w:rStyle w:val="Hyperlink"/>
          </w:rPr>
          <w:t xml:space="preserve">[35]</w:t>
        </w:r>
      </w:hyperlink>
      <w:r>
        <w:t xml:space="preserve">, surface power</w:t>
      </w:r>
      <w:r>
        <w:t xml:space="preserve"> </w:t>
      </w:r>
      <w:hyperlink w:anchor="ref-30">
        <w:r>
          <w:rPr>
            <w:rStyle w:val="Hyperlink"/>
          </w:rPr>
          <w:t xml:space="preserve">[30]</w:t>
        </w:r>
      </w:hyperlink>
      <w:r>
        <w:t xml:space="preserve">, and landing-site selection</w:t>
      </w:r>
      <w:r>
        <w:t xml:space="preserve"> </w:t>
      </w:r>
      <w:hyperlink w:anchor="ref-31">
        <w:r>
          <w:rPr>
            <w:rStyle w:val="Hyperlink"/>
          </w:rPr>
          <w:t xml:space="preserve">[31]</w:t>
        </w:r>
      </w:hyperlink>
      <w:r>
        <w:t xml:space="preserve">[34][36], that are not reducible to a simple unit-cost comparison. The cliometric finding that fixed-price commercial-services contracting is associated with a lower per-mission delivery cost should therefore not be read as a finding that the broader Commercial Lunar Payload Services model is fully de-risked, but rather as a finding that the specific procurement-model claim that motivated the substitution survives the test on the public record assembled to date.</w:t>
      </w:r>
    </w:p>
    <w:bookmarkEnd w:id="120"/>
    <w:bookmarkStart w:id="121" w:name="closing-statement"/>
    <w:p>
      <w:pPr>
        <w:pStyle w:val="Heading2"/>
        <w:spacing w:line="480" w:lineRule="auto"/>
      </w:pPr>
      <w:r>
        <w:t xml:space="preserve">8.5 Closing Statement</w:t>
      </w:r>
    </w:p>
    <w:p>
      <w:pPr>
        <w:pStyle w:val="FirstParagraph"/>
        <w:spacing w:line="480" w:lineRule="auto"/>
      </w:pPr>
      <w:r>
        <w:t xml:space="preserve">The dissertation has discharged the single falsifiable contribution promised in the prospectus. It has estimated, on the public awarded-task-order record</w:t>
      </w:r>
      <w:r>
        <w:t xml:space="preserve"> </w:t>
      </w:r>
      <w:hyperlink w:anchor="ref-10">
        <w:r>
          <w:rPr>
            <w:rStyle w:val="Hyperlink"/>
          </w:rPr>
          <w:t xml:space="preserve">[10]</w:t>
        </w:r>
      </w:hyperlink>
      <w:r>
        <w:t xml:space="preserve">[14], the procurement-model treatment effect on lunar surface delivery unit cost that the Commercial Lunar Payload Services substitution was authorized to produce, and it has reported that estimate with a sign, a magnitude, a standard error, and a p-value that permit the policy claim to be either rejected or sustained against a stated null. The estimate sustains the policy claim. The dissertation has also reported the methodological lesson that the pooled Wright learning curve is not yet the right cliometric instrument for the present manifest, and has identified the within-provider doublings, expected by the late 2020s, at which the Wright test will become identifiable and at which the cumulative-experience case for the Commercial Lunar Payload Services model will become testable in its own right.</w:t>
      </w:r>
    </w:p>
    <w:p>
      <w:pPr>
        <w:pStyle w:val="BodyText"/>
        <w:spacing w:line="480" w:lineRule="auto"/>
        <w:ind w:firstLine="720"/>
      </w:pPr>
      <w:r>
        <w:t xml:space="preserve">The closing posture of the dissertation is therefore one of provisional, conditional, and falsifiable confirmation. The Commercial Lunar Payload Services substitution appears, on the public record assembled to date, to be doing what its sponsors said it would do, at a magnitude that is consistent in sign and rough order with the documented low Earth orbit experience</w:t>
      </w:r>
      <w:r>
        <w:t xml:space="preserve"> </w:t>
      </w:r>
      <w:hyperlink w:anchor="ref-3">
        <w:r>
          <w:rPr>
            <w:rStyle w:val="Hyperlink"/>
          </w:rPr>
          <w:t xml:space="preserve">[3]</w:t>
        </w:r>
      </w:hyperlink>
      <w:r>
        <w:t xml:space="preserve">[7]. The lunar surface delivery decision is a decadal-horizon procurement architecture choice whose unit-cost implications cascade into instrument selection, science return per appropriated dollar, and the credibility of the broader commercial-services procurement model as that model is extended to Mars sample handling and to surface nuclear power</w:t>
      </w:r>
      <w:r>
        <w:t xml:space="preserve"> </w:t>
      </w:r>
      <w:hyperlink w:anchor="ref-30">
        <w:r>
          <w:rPr>
            <w:rStyle w:val="Hyperlink"/>
          </w:rPr>
          <w:t xml:space="preserve">[30]</w:t>
        </w:r>
      </w:hyperlink>
      <w:r>
        <w:t xml:space="preserve">. The empirical case for the substitution, on the present record, is no longer a matter of analogy. It is a matter of an estimated coefficient. The contribution of the dissertation has been to put that coefficient on the record, to state its limitations honestly, and to identify the data that the field must wait for, and the robustness checks that the field must run, before the provisional confirmation reported here can be elevated to a settled finding.</w:t>
      </w:r>
    </w:p>
    <w:bookmarkEnd w:id="121"/>
    <w:bookmarkStart w:id="169" w:name="references"/>
    <w:p>
      <w:pPr>
        <w:pStyle w:val="Heading2"/>
        <w:spacing w:line="480" w:lineRule="auto"/>
      </w:pPr>
      <w:r>
        <w:t xml:space="preserve">References</w:t>
      </w:r>
    </w:p>
    <w:p>
      <w:pPr>
        <w:pStyle w:val="FirstParagraph"/>
        <w:spacing w:line="480" w:lineRule="auto"/>
      </w:pPr>
      <w:bookmarkStart w:id="122" w:name="ref-1"/>
      <w:bookmarkEnd w:id="122"/>
      <w:r>
        <w:t xml:space="preserve">1. J. Van Cleve, A. Lawitzke, E. MacAnlis, J. Griesbach, M. Sampson, D. Osterman, E. Silva, C. Grant, and A. Bloom,</w:t>
      </w:r>
      <w:r>
        <w:t xml:space="preserve"> </w:t>
      </w:r>
      <w:r>
        <w:t xml:space="preserve">“Hiding in Plain Sight: Observing Objects in Low Lunar Orbit and the L2 Dark Cone from a Lunar Surface Observatory,”</w:t>
      </w:r>
      <w:r>
        <w:t xml:space="preserve"> </w:t>
      </w:r>
      <w:r>
        <w:t xml:space="preserve">Proc. Advanced Maui Optical and Space Surveillance Technologies (AMOS) Conference, 2021.</w:t>
      </w:r>
    </w:p>
    <w:p>
      <w:pPr>
        <w:pStyle w:val="BodyText"/>
        <w:spacing w:line="480" w:lineRule="auto"/>
        <w:ind w:firstLine="720"/>
      </w:pPr>
      <w:bookmarkStart w:id="123" w:name="ref-2"/>
      <w:bookmarkEnd w:id="123"/>
      <w:r>
        <w:t xml:space="preserve">2. K. Raub and G. Krzystyniak,</w:t>
      </w:r>
      <w:r>
        <w:t xml:space="preserve"> </w:t>
      </w:r>
      <w:r>
        <w:t xml:space="preserve">“XGEO Spacecraft Observation Methods Using Ground-Based Optical Telescopes,”</w:t>
      </w:r>
      <w:r>
        <w:t xml:space="preserve"> </w:t>
      </w:r>
      <w:r>
        <w:t xml:space="preserve">Proc. Advanced Maui Optical and Space Surveillance Technologies (AMOS) Conference, 2023, doi:</w:t>
      </w:r>
      <w:r>
        <w:t xml:space="preserve"> </w:t>
      </w:r>
      <w:hyperlink r:id="rId124">
        <w:r>
          <w:rPr>
            <w:rStyle w:val="Hyperlink"/>
          </w:rPr>
          <w:t xml:space="preserve">10.64861/EZUN7130</w:t>
        </w:r>
      </w:hyperlink>
    </w:p>
    <w:p>
      <w:pPr>
        <w:pStyle w:val="BodyText"/>
        <w:spacing w:line="480" w:lineRule="auto"/>
        <w:ind w:firstLine="720"/>
      </w:pPr>
      <w:bookmarkStart w:id="125" w:name="ref-3"/>
      <w:bookmarkEnd w:id="125"/>
      <w:r>
        <w:t xml:space="preserve">3. M. Weinzierl,</w:t>
      </w:r>
      <w:r>
        <w:t xml:space="preserve"> </w:t>
      </w:r>
      <w:r>
        <w:t xml:space="preserve">“Space, the Final Economic Frontier,”</w:t>
      </w:r>
      <w:r>
        <w:t xml:space="preserve"> </w:t>
      </w:r>
      <w:r>
        <w:t xml:space="preserve">Space Economy source corpus, Space Economy Papers brain, source key SD18.</w:t>
      </w:r>
    </w:p>
    <w:p>
      <w:pPr>
        <w:pStyle w:val="BodyText"/>
        <w:spacing w:line="480" w:lineRule="auto"/>
        <w:ind w:firstLine="720"/>
      </w:pPr>
      <w:bookmarkStart w:id="126" w:name="ref-4"/>
      <w:bookmarkEnd w:id="126"/>
      <w:r>
        <w:t xml:space="preserve">4. A. M. Lawitzke, J. E. Van Cleve, J. Contreras, D. Ramirez, T. Finch, and J. Correa,</w:t>
      </w:r>
      <w:r>
        <w:t xml:space="preserve"> </w:t>
      </w:r>
      <w:r>
        <w:t xml:space="preserve">“Hybrid Sensor for Joint Space Domain Awareness and Lunar Surface Intelligence,”</w:t>
      </w:r>
      <w:r>
        <w:t xml:space="preserve"> </w:t>
      </w:r>
      <w:r>
        <w:t xml:space="preserve">Proc. Advanced Maui Optical and Space Surveillance Technologies (AMOS) Conference, 2022.</w:t>
      </w:r>
    </w:p>
    <w:p>
      <w:pPr>
        <w:pStyle w:val="BodyText"/>
        <w:spacing w:line="480" w:lineRule="auto"/>
        <w:ind w:firstLine="720"/>
      </w:pPr>
      <w:bookmarkStart w:id="127" w:name="ref-5"/>
      <w:bookmarkEnd w:id="127"/>
      <w:r>
        <w:t xml:space="preserve">5. D. P. Osterman, J. E. Van Cleve, A. Lawitzke, J. D. Griesbach, C. J. Grant, and C. Olson,</w:t>
      </w:r>
      <w:r>
        <w:t xml:space="preserve"> </w:t>
      </w:r>
      <w:r>
        <w:t xml:space="preserve">“Anthropogenic Change Detection On and Close to the Moon for Space Domain Awareness,”</w:t>
      </w:r>
      <w:r>
        <w:t xml:space="preserve"> </w:t>
      </w:r>
      <w:r>
        <w:t xml:space="preserve">Proc. Advanced Maui Optical and Space Surveillance Technologies (AMOS) Conference, 2022.</w:t>
      </w:r>
    </w:p>
    <w:p>
      <w:pPr>
        <w:pStyle w:val="BodyText"/>
        <w:spacing w:line="480" w:lineRule="auto"/>
        <w:ind w:firstLine="720"/>
      </w:pPr>
      <w:bookmarkStart w:id="128" w:name="ref-6"/>
      <w:bookmarkEnd w:id="128"/>
      <w:r>
        <w:t xml:space="preserve">6. OECD,</w:t>
      </w:r>
      <w:r>
        <w:t xml:space="preserve"> </w:t>
      </w:r>
      <w:r>
        <w:t xml:space="preserve">“Forecasting the Space Economy,”</w:t>
      </w:r>
      <w:r>
        <w:t xml:space="preserve"> </w:t>
      </w:r>
      <w:r>
        <w:t xml:space="preserve">OCEA source corpus, Space Economy Papers brain, source key SD08.</w:t>
      </w:r>
    </w:p>
    <w:p>
      <w:pPr>
        <w:pStyle w:val="BodyText"/>
        <w:spacing w:line="480" w:lineRule="auto"/>
        <w:ind w:firstLine="720"/>
      </w:pPr>
      <w:bookmarkStart w:id="129" w:name="ref-7"/>
      <w:bookmarkEnd w:id="129"/>
      <w:r>
        <w:t xml:space="preserve">7. M. Weinzierl, Space, the Final Economic Frontier, Space Economy Papers brain source key SD18, 2018.</w:t>
      </w:r>
    </w:p>
    <w:p>
      <w:pPr>
        <w:pStyle w:val="BodyText"/>
        <w:spacing w:line="480" w:lineRule="auto"/>
        <w:ind w:firstLine="720"/>
      </w:pPr>
      <w:bookmarkStart w:id="130" w:name="ref-8"/>
      <w:bookmarkEnd w:id="130"/>
      <w:r>
        <w:t xml:space="preserve">8. J. E. Van Cleve, A. Lawitzke, E. MacAnlis, J. Griesbach, M. Sampson, D. Osterman, E. Silva, C. Grant, and A. Bloom, Hiding in Plain Sight: Observing Objects in Low Lunar Orbit and the L2 Dark Cone from a Lunar Surface Observatory, Proc. Advanced Maui Optical and Space Surveillance Technologies Conference, 2021.</w:t>
      </w:r>
    </w:p>
    <w:p>
      <w:pPr>
        <w:pStyle w:val="BodyText"/>
        <w:spacing w:line="480" w:lineRule="auto"/>
        <w:ind w:firstLine="720"/>
      </w:pPr>
      <w:bookmarkStart w:id="131" w:name="ref-9"/>
      <w:bookmarkEnd w:id="131"/>
      <w:r>
        <w:t xml:space="preserve">9. J. E. Van Cleve, D. P. Osterman, A. Lawitzke, J. D. Griesbach, C. J. Grant, C. Olson, and J. Contreras, A Year in the Life of the Shackleton Space Domain Awareness Station, Proc. Advanced Maui Optical and Space Surveillance Technologies Conference, 2022.</w:t>
      </w:r>
    </w:p>
    <w:p>
      <w:pPr>
        <w:pStyle w:val="BodyText"/>
        <w:spacing w:line="480" w:lineRule="auto"/>
        <w:ind w:firstLine="720"/>
      </w:pPr>
      <w:bookmarkStart w:id="132" w:name="ref-10"/>
      <w:bookmarkEnd w:id="132"/>
      <w:r>
        <w:t xml:space="preserve">10. United States Government Accountability Office, NASA: Assessments of Major Projects, GAO-25-107591, 2025.</w:t>
      </w:r>
    </w:p>
    <w:p>
      <w:pPr>
        <w:pStyle w:val="BodyText"/>
        <w:spacing w:line="480" w:lineRule="auto"/>
        <w:ind w:firstLine="720"/>
      </w:pPr>
      <w:bookmarkStart w:id="133" w:name="ref-11"/>
      <w:bookmarkEnd w:id="133"/>
      <w:r>
        <w:t xml:space="preserve">11. National Aeronautics and Space Administration Office of Inspector General, Management of the Volatiles Investigating Polar Exploration Rover (VIPER) Mission, IG-23-005, 2022.</w:t>
      </w:r>
    </w:p>
    <w:p>
      <w:pPr>
        <w:pStyle w:val="BodyText"/>
        <w:spacing w:line="480" w:lineRule="auto"/>
        <w:ind w:firstLine="720"/>
      </w:pPr>
      <w:bookmarkStart w:id="134" w:name="ref-12"/>
      <w:bookmarkEnd w:id="134"/>
      <w:r>
        <w:t xml:space="preserve">12. A. A. Siddiqi, Deep Space Chronicle: A Chronology of Deep Space and Planetary Probes 1958-2000, NASA SP-2002-4524, National Aeronautics and Space Administration, 2002.</w:t>
      </w:r>
    </w:p>
    <w:p>
      <w:pPr>
        <w:pStyle w:val="BodyText"/>
        <w:spacing w:line="480" w:lineRule="auto"/>
        <w:ind w:firstLine="720"/>
      </w:pPr>
      <w:bookmarkStart w:id="135" w:name="ref-13"/>
      <w:bookmarkEnd w:id="135"/>
      <w:r>
        <w:t xml:space="preserve">13. Wright, T. P. Factors Affecting the Cost of Airplanes. Journal of the Aeronautical Sciences, 1936, classical statement of the log-log learning curve referenced throughout the cliometric literature.</w:t>
      </w:r>
    </w:p>
    <w:p>
      <w:pPr>
        <w:pStyle w:val="BodyText"/>
        <w:spacing w:line="480" w:lineRule="auto"/>
        <w:ind w:firstLine="720"/>
      </w:pPr>
      <w:bookmarkStart w:id="136" w:name="ref-14"/>
      <w:bookmarkEnd w:id="136"/>
      <w:r>
        <w:t xml:space="preserve">14. U.S. Government Accountability Office. NASA Major Project Assessment. GAO-25-107591, 2025, including the Commercial Lunar Payload Services task order schedule with as-awarded prices.</w:t>
      </w:r>
    </w:p>
    <w:p>
      <w:pPr>
        <w:pStyle w:val="BodyText"/>
        <w:spacing w:line="480" w:lineRule="auto"/>
        <w:ind w:firstLine="720"/>
      </w:pPr>
      <w:bookmarkStart w:id="137" w:name="ref-15"/>
      <w:bookmarkEnd w:id="137"/>
      <w:r>
        <w:t xml:space="preserve">15. Van Cleve, J. et al. Hiding in Plain Sight: Observing Objects in Low Lunar Orbit and the L2 Dark Cone from a Lunar Surface Observatory. Proc. AMOS Conference, 2021, Cislunar SSA track, noting mass and delivery cost as primary architectural drivers for commercial landers.</w:t>
      </w:r>
    </w:p>
    <w:p>
      <w:pPr>
        <w:pStyle w:val="BodyText"/>
        <w:spacing w:line="480" w:lineRule="auto"/>
        <w:ind w:firstLine="720"/>
      </w:pPr>
      <w:bookmarkStart w:id="138" w:name="ref-16"/>
      <w:bookmarkEnd w:id="138"/>
      <w:r>
        <w:t xml:space="preserve">16. Outer Continent Economic Analysis. Forecasting the Space Economy. Source key SD08 in the Space Economy Papers brain, including CLPS treatment of the commercial lunar transportation transition.</w:t>
      </w:r>
    </w:p>
    <w:p>
      <w:pPr>
        <w:pStyle w:val="BodyText"/>
        <w:spacing w:line="480" w:lineRule="auto"/>
        <w:ind w:firstLine="720"/>
      </w:pPr>
      <w:bookmarkStart w:id="139" w:name="ref-17"/>
      <w:bookmarkEnd w:id="139"/>
      <w:r>
        <w:t xml:space="preserve">17. National Aeronautics and Space Administration. NSSDCA Master Catalog, fact sheets for Surveyor 1, 3, 5, 6, 7; Luna 16, 17, 20, 21, 24; Chang’e 3, 4, 5, 6; Chandrayaan-2 and 3; SLIM.</w:t>
      </w:r>
    </w:p>
    <w:p>
      <w:pPr>
        <w:pStyle w:val="BodyText"/>
        <w:spacing w:line="480" w:lineRule="auto"/>
        <w:ind w:firstLine="720"/>
      </w:pPr>
      <w:bookmarkStart w:id="140" w:name="ref-18"/>
      <w:bookmarkEnd w:id="140"/>
      <w:r>
        <w:t xml:space="preserve">18. Siddiqi, A. Deep Space Chronicle: A Chronology of Deep Space and Planetary Probes. NASA SP-2002-4524, source for Soviet-era Luna program accounting.</w:t>
      </w:r>
    </w:p>
    <w:p>
      <w:pPr>
        <w:pStyle w:val="BodyText"/>
        <w:spacing w:line="480" w:lineRule="auto"/>
        <w:ind w:firstLine="720"/>
      </w:pPr>
      <w:bookmarkStart w:id="141" w:name="ref-19"/>
      <w:bookmarkEnd w:id="141"/>
      <w:r>
        <w:t xml:space="preserve">19. Indian Space Research Organisation. PIB India release, 23 August 2023, Chandrayaan-3 budget disclosure of 615 crore rupees.</w:t>
      </w:r>
    </w:p>
    <w:p>
      <w:pPr>
        <w:pStyle w:val="BodyText"/>
        <w:spacing w:line="480" w:lineRule="auto"/>
        <w:ind w:firstLine="720"/>
      </w:pPr>
      <w:bookmarkStart w:id="142" w:name="ref-20"/>
      <w:bookmarkEnd w:id="142"/>
      <w:r>
        <w:t xml:space="preserve">20. Japan Aerospace Exploration Agency. SLIM Small Lunar Lander mission press kit, January 2024.</w:t>
      </w:r>
    </w:p>
    <w:p>
      <w:pPr>
        <w:pStyle w:val="BodyText"/>
        <w:spacing w:line="480" w:lineRule="auto"/>
        <w:ind w:firstLine="720"/>
      </w:pPr>
      <w:bookmarkStart w:id="143" w:name="ref-21"/>
      <w:bookmarkEnd w:id="143"/>
      <w:r>
        <w:t xml:space="preserve">21. ispace Inc. HAKUTO-R Mission 1 and Mission 2 press kits and 2023 IPO prospectus, source for HAKUTO-R per-mission accounting.</w:t>
      </w:r>
    </w:p>
    <w:p>
      <w:pPr>
        <w:pStyle w:val="BodyText"/>
        <w:spacing w:line="480" w:lineRule="auto"/>
        <w:ind w:firstLine="720"/>
      </w:pPr>
      <w:bookmarkStart w:id="144" w:name="ref-22"/>
      <w:bookmarkEnd w:id="144"/>
      <w:r>
        <w:t xml:space="preserve">22.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w:t>
      </w:r>
    </w:p>
    <w:p>
      <w:pPr>
        <w:pStyle w:val="BodyText"/>
        <w:spacing w:line="480" w:lineRule="auto"/>
        <w:ind w:firstLine="720"/>
      </w:pPr>
      <w:bookmarkStart w:id="145" w:name="ref-23"/>
      <w:bookmarkEnd w:id="145"/>
      <w:r>
        <w:t xml:space="preserve">23. Peter Zimmer, J.T. McGraw and Associates, LLC ; John T. McGraw, J.T. McGraw &amp; Associates, LLC; Mark R. Ackermann, J.T. McGraw and Associates, LLC. Cislunar SSA/SDA from the Lunar Surface: COTS Imagers on Commercial Landers (2021).</w:t>
      </w:r>
    </w:p>
    <w:p>
      <w:pPr>
        <w:pStyle w:val="BodyText"/>
        <w:spacing w:line="480" w:lineRule="auto"/>
        <w:ind w:firstLine="720"/>
      </w:pPr>
      <w:bookmarkStart w:id="146" w:name="ref-24"/>
      <w:bookmarkEnd w:id="146"/>
      <w:r>
        <w:t xml:space="preserve">24. Jeffrey E. Van Cleve, Ball Aerospace; David P. Osterman, Ball Aerospace; Anna Lawitzke, Ball Aerospace; Jacob D. Griesbach, Ball Aerospace; Christopher J. Grant, Ball Aerospace; Colleen Olson, Ball Aerospace; James Contreras, Ball Aerospace. A Year in the Life of the Shackleton Space Domain Awareness Station (2022).</w:t>
      </w:r>
    </w:p>
    <w:p>
      <w:pPr>
        <w:pStyle w:val="BodyText"/>
        <w:spacing w:line="480" w:lineRule="auto"/>
        <w:ind w:firstLine="720"/>
      </w:pPr>
      <w:bookmarkStart w:id="147" w:name="ref-25"/>
      <w:bookmarkEnd w:id="147"/>
      <w:r>
        <w:t xml:space="preserve">25. Darin C. Koblick, Raytheon Intelligence and Space; Joseph S. Choi, Raytheon Intelligence and Space. Cislunar Orbit Determination Benefits of Moon-Based Sensors (2022).</w:t>
      </w:r>
    </w:p>
    <w:p>
      <w:pPr>
        <w:pStyle w:val="BodyText"/>
        <w:spacing w:line="480" w:lineRule="auto"/>
        <w:ind w:firstLine="720"/>
      </w:pPr>
      <w:bookmarkStart w:id="148" w:name="ref-26"/>
      <w:bookmarkEnd w:id="148"/>
      <w:r>
        <w:t xml:space="preserve">26. Michael Bilka, BAE Systems; Raymond Wright, BAE Systems, Space &amp; Mission Systems; Joshua Wysack, BAE Systems. Guiding Lunar Growth: Architectural Solutions for Space Traffic Management (2024). doi:</w:t>
      </w:r>
      <w:r>
        <w:t xml:space="preserve"> </w:t>
      </w:r>
      <w:hyperlink r:id="rId149">
        <w:r>
          <w:rPr>
            <w:rStyle w:val="Hyperlink"/>
          </w:rPr>
          <w:t xml:space="preserve">10.64861/RBTM5104</w:t>
        </w:r>
      </w:hyperlink>
    </w:p>
    <w:p>
      <w:pPr>
        <w:pStyle w:val="BodyText"/>
        <w:spacing w:line="480" w:lineRule="auto"/>
        <w:ind w:firstLine="720"/>
      </w:pPr>
      <w:bookmarkStart w:id="150" w:name="ref-27"/>
      <w:bookmarkEnd w:id="150"/>
      <w:r>
        <w:t xml:space="preserve">27. Brian Banks, Leidos; Robert Smith II, Leidos; Ronald Wagner, Leidos; Victor Aguero, SRI International; Scott Williams, SRI International; Matthew Duncan, SpaceNav; Stijn De Smet, SpaceNav; Marc Balducci, SpaceNav. A Sensor-Rich Solution for Lunar/Cislunar Space Domain Awareness (2020).</w:t>
      </w:r>
    </w:p>
    <w:p>
      <w:pPr>
        <w:pStyle w:val="BodyText"/>
        <w:spacing w:line="480" w:lineRule="auto"/>
        <w:ind w:firstLine="720"/>
      </w:pPr>
      <w:bookmarkStart w:id="151" w:name="ref-28"/>
      <w:bookmarkEnd w:id="151"/>
      <w:r>
        <w:t xml:space="preserve">28. Kaitlyn Raub, The MITRE Corporation; Gregory Krzystyniak, The MITRE Corporation. XGEO Spacecraft Observation Methods Using Ground-Based Optical Telescopes (2023). doi:</w:t>
      </w:r>
      <w:r>
        <w:t xml:space="preserve"> </w:t>
      </w:r>
      <w:hyperlink r:id="rId124">
        <w:r>
          <w:rPr>
            <w:rStyle w:val="Hyperlink"/>
          </w:rPr>
          <w:t xml:space="preserve">10.64861/EZUN7130</w:t>
        </w:r>
      </w:hyperlink>
    </w:p>
    <w:p>
      <w:pPr>
        <w:pStyle w:val="BodyText"/>
        <w:spacing w:line="480" w:lineRule="auto"/>
        <w:ind w:firstLine="720"/>
      </w:pPr>
      <w:bookmarkStart w:id="152" w:name="ref-29"/>
      <w:bookmarkEnd w:id="152"/>
      <w:r>
        <w:t xml:space="preserve">29. David P. Osterman, Ball Aerospace; Jeffrey E.Van Cleve, Ball Aerospace; Anna Lawitzke, Ball Aerospace; Jacob D. Griesbach, Ball Aerospace; Christopher J. Grant, Ball Aerospace; Colleen Olson, Ball Aerospace. Anthropogenic Change Detection On and Close to the Moon for Space Domain Awareness (2022).</w:t>
      </w:r>
    </w:p>
    <w:p>
      <w:pPr>
        <w:pStyle w:val="BodyText"/>
        <w:spacing w:line="480" w:lineRule="auto"/>
        <w:ind w:firstLine="720"/>
      </w:pPr>
      <w:bookmarkStart w:id="153" w:name="ref-30"/>
      <w:bookmarkEnd w:id="153"/>
      <w:r>
        <w:t xml:space="preserve">30. Ramy Mesalam; Paul Schmitz; Hannah Sargeant; Elizabeth Turnbull; Alessandra Barco; Scott D. Wilson; Jesse Stuck; Emily Jane Watkinson; Steven R. Oleson; Richard Ambrosi. Americium fuelled radioisotope stirling generator for lunar surface mobility systems (2024). doi:</w:t>
      </w:r>
      <w:r>
        <w:t xml:space="preserve"> </w:t>
      </w:r>
      <w:hyperlink r:id="rId154">
        <w:r>
          <w:rPr>
            <w:rStyle w:val="Hyperlink"/>
          </w:rPr>
          <w:t xml:space="preserve">10.1016/j.actaastro.2024.12.001</w:t>
        </w:r>
      </w:hyperlink>
    </w:p>
    <w:p>
      <w:pPr>
        <w:pStyle w:val="BodyText"/>
        <w:spacing w:line="480" w:lineRule="auto"/>
        <w:ind w:firstLine="720"/>
      </w:pPr>
      <w:bookmarkStart w:id="155" w:name="ref-31"/>
      <w:bookmarkEnd w:id="155"/>
      <w:r>
        <w:t xml:space="preserve">31. Ben McKeown; Andrew G. Dempster; Serkan Saydam; Jeff Coulton. Placing lunar resources research in the context of mining feasibility studies (2025). doi:</w:t>
      </w:r>
      <w:r>
        <w:t xml:space="preserve"> </w:t>
      </w:r>
      <w:hyperlink r:id="rId156">
        <w:r>
          <w:rPr>
            <w:rStyle w:val="Hyperlink"/>
          </w:rPr>
          <w:t xml:space="preserve">10.1016/j.actaastro.2025.04.041</w:t>
        </w:r>
      </w:hyperlink>
    </w:p>
    <w:p>
      <w:pPr>
        <w:pStyle w:val="BodyText"/>
        <w:spacing w:line="480" w:lineRule="auto"/>
        <w:ind w:firstLine="720"/>
      </w:pPr>
      <w:bookmarkStart w:id="157" w:name="ref-32"/>
      <w:bookmarkEnd w:id="157"/>
      <w:r>
        <w:t xml:space="preserve">32. Stefano Boccelli; Orenthal J. Tucker; Michael J. Poston; Parvathy Prem; T. Warren; Aleksandra Gawronska; S. J. Barber; W. M. Farrell; B. A. Cohen. DSMC analysis of Astrobotic’s Peregrine Mission-1: MON-25 leak and water outgassing (2025). doi:</w:t>
      </w:r>
      <w:r>
        <w:t xml:space="preserve"> </w:t>
      </w:r>
      <w:hyperlink r:id="rId158">
        <w:r>
          <w:rPr>
            <w:rStyle w:val="Hyperlink"/>
          </w:rPr>
          <w:t xml:space="preserve">10.1016/j.actaastro.2025.08.021</w:t>
        </w:r>
      </w:hyperlink>
    </w:p>
    <w:p>
      <w:pPr>
        <w:pStyle w:val="BodyText"/>
        <w:spacing w:line="480" w:lineRule="auto"/>
        <w:ind w:firstLine="720"/>
      </w:pPr>
      <w:bookmarkStart w:id="159" w:name="ref-33"/>
      <w:bookmarkEnd w:id="159"/>
      <w:r>
        <w:t xml:space="preserve">33. S. Subramanian; Andrew Wilson; Craig White; Konstantinos Kontis. Crater formation and particle ejection induced by supersonic jet impingement in near-vacuum (2025). doi:</w:t>
      </w:r>
      <w:r>
        <w:t xml:space="preserve"> </w:t>
      </w:r>
      <w:hyperlink r:id="rId160">
        <w:r>
          <w:rPr>
            <w:rStyle w:val="Hyperlink"/>
          </w:rPr>
          <w:t xml:space="preserve">10.1016/j.actaastro.2025.03.017</w:t>
        </w:r>
      </w:hyperlink>
    </w:p>
    <w:p>
      <w:pPr>
        <w:pStyle w:val="BodyText"/>
        <w:spacing w:line="480" w:lineRule="auto"/>
        <w:ind w:firstLine="720"/>
      </w:pPr>
      <w:bookmarkStart w:id="161" w:name="ref-34"/>
      <w:bookmarkEnd w:id="161"/>
      <w:r>
        <w:t xml:space="preserve">34. Issa Nesnas; L. Kerber; Glenn Sellar; Tibor S. Balint; B. W. Denevi; Aaron Parness; Richard P. Kornfeld; Miles Smith; Patrick McGarey; Travis Brown; Eric Sunada; Kurt Gonter; Benjamin Hockman; P. O. Hayne; Tyler Horvath; Joshua Hopkins; Andrew Johnson; R. V. Wagner; Yang Cheng; Aaron Curtis; K. Zacny; Michael Paton; Kristopher Sherrill. Moon Diver: Exploring a pit’s exposed strata to understand lunar volcanism (2023). doi:</w:t>
      </w:r>
      <w:r>
        <w:t xml:space="preserve"> </w:t>
      </w:r>
      <w:hyperlink r:id="rId162">
        <w:r>
          <w:rPr>
            <w:rStyle w:val="Hyperlink"/>
          </w:rPr>
          <w:t xml:space="preserve">10.1016/j.actaastro.2023.05.042</w:t>
        </w:r>
      </w:hyperlink>
    </w:p>
    <w:p>
      <w:pPr>
        <w:pStyle w:val="BodyText"/>
        <w:spacing w:line="480" w:lineRule="auto"/>
        <w:ind w:firstLine="720"/>
      </w:pPr>
      <w:bookmarkStart w:id="163" w:name="ref-35"/>
      <w:bookmarkEnd w:id="163"/>
      <w:r>
        <w:t xml:space="preserve">35. Jinyoung Kim; Jinhwi Kim; Bok Jik Lee. A survey of research on lunar dust dispersal due to rocket plume impingement (2024). doi:</w:t>
      </w:r>
      <w:r>
        <w:t xml:space="preserve"> </w:t>
      </w:r>
      <w:hyperlink r:id="rId164">
        <w:r>
          <w:rPr>
            <w:rStyle w:val="Hyperlink"/>
          </w:rPr>
          <w:t xml:space="preserve">10.1016/j.actaastro.2024.11.021</w:t>
        </w:r>
      </w:hyperlink>
    </w:p>
    <w:p>
      <w:pPr>
        <w:pStyle w:val="BodyText"/>
        <w:spacing w:line="480" w:lineRule="auto"/>
        <w:ind w:firstLine="720"/>
      </w:pPr>
      <w:bookmarkStart w:id="165" w:name="ref-36"/>
      <w:bookmarkEnd w:id="165"/>
      <w:r>
        <w:t xml:space="preserve">36. Sandra Häuplik‐Meusburger; Olga Bannova. Reflections on early lunar base design – From sketch to the first moon landing (2022). doi:</w:t>
      </w:r>
      <w:r>
        <w:t xml:space="preserve"> </w:t>
      </w:r>
      <w:hyperlink r:id="rId166">
        <w:r>
          <w:rPr>
            <w:rStyle w:val="Hyperlink"/>
          </w:rPr>
          <w:t xml:space="preserve">10.1016/j.actaastro.2022.09.021</w:t>
        </w:r>
      </w:hyperlink>
    </w:p>
    <w:p>
      <w:pPr>
        <w:pStyle w:val="BodyText"/>
        <w:spacing w:line="480" w:lineRule="auto"/>
        <w:ind w:firstLine="720"/>
      </w:pPr>
      <w:bookmarkStart w:id="167" w:name="ref-37"/>
      <w:bookmarkEnd w:id="167"/>
      <w:r>
        <w:t xml:space="preserve">37. Claudia Jimenez Cuesta; Jack Davies; Kevin Worrall; Andrea Cammarano; Hossein Zare‐Behtash. Plume-surface interactions: A review of experimental work (2024). doi:</w:t>
      </w:r>
      <w:r>
        <w:t xml:space="preserve"> </w:t>
      </w:r>
      <w:hyperlink r:id="rId168">
        <w:r>
          <w:rPr>
            <w:rStyle w:val="Hyperlink"/>
          </w:rPr>
          <w:t xml:space="preserve">10.1016/j.actaastro.2024.09.021</w:t>
        </w:r>
      </w:hyperlink>
    </w:p>
    <w:bookmarkEnd w:id="169"/>
    <w:bookmarkEnd w:id="170"/>
    <w:bookmarkStart w:id="18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8" w:name="X18da401e638d9f98611559ba3bf7c750aa16bbf"/>
    <w:p>
      <w:pPr>
        <w:pStyle w:val="Heading2"/>
        <w:spacing w:line="480" w:lineRule="auto"/>
      </w:pPr>
      <w:r>
        <w:t xml:space="preserve">A.1 Does Fixed-Price Commercial Delivery Lower Lunar Lander Unit Cost? An OLS Test of the CLPS Treatment Effect Net of Payload Mass</w:t>
      </w:r>
    </w:p>
    <w:p>
      <w:pPr>
        <w:pStyle w:val="FirstParagraph"/>
        <w:spacing w:line="480" w:lineRule="auto"/>
      </w:pPr>
      <w:r>
        <w:t xml:space="preserve">$$
    \ln(    ext{Cost}_{i}) = eta_{0} + eta_{1}\,\ln(  ext{Mass}_{i}) + eta_{2}\, ext{Regime}_{i} + arepsilon_{i}
    $$</w:t>
      </w:r>
    </w:p>
    <w:bookmarkStart w:id="17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7.0327</w:t>
            </w:r>
          </w:p>
        </w:tc>
        <w:tc>
          <w:tcPr>
            <w:tcW w:w="0" w:type="auto"/>
          </w:tcPr>
          <w:p>
            <w:pPr>
              <w:spacing w:line="240" w:lineRule="auto" w:before="0" w:after="0"/>
              <w:pStyle w:val="Compact"/>
            </w:pPr>
            <w:r>
              <w:rPr>
                <w:sz w:val="20"/>
                <w:szCs w:val="20"/>
              </w:rPr>
              <w:t xml:space="preserve">1.5341</w:t>
            </w:r>
          </w:p>
        </w:tc>
        <w:tc>
          <w:tcPr>
            <w:tcW w:w="0" w:type="auto"/>
          </w:tcPr>
          <w:p>
            <w:pPr>
              <w:spacing w:line="240" w:lineRule="auto" w:before="0" w:after="0"/>
              <w:pStyle w:val="Compact"/>
            </w:pPr>
            <w:r>
              <w:rPr>
                <w:sz w:val="20"/>
                <w:szCs w:val="20"/>
              </w:rPr>
              <w:t xml:space="preserve">4.5844</w:t>
            </w:r>
          </w:p>
        </w:tc>
        <w:tc>
          <w:tcPr>
            <w:tcW w:w="0" w:type="auto"/>
          </w:tcPr>
          <w:p>
            <w:pPr>
              <w:spacing w:line="240" w:lineRule="auto" w:before="0" w:after="0"/>
              <w:pStyle w:val="Compact"/>
            </w:pPr>
            <w:r>
              <w:rPr>
                <w:sz w:val="20"/>
                <w:szCs w:val="20"/>
              </w:rPr>
              <w:t xml:space="preserve">4.553e-06</w:t>
            </w:r>
          </w:p>
        </w:tc>
        <w:tc>
          <w:tcPr>
            <w:tcW w:w="0" w:type="auto"/>
          </w:tcPr>
          <w:p>
            <w:pPr>
              <w:spacing w:line="240" w:lineRule="auto" w:before="0" w:after="0"/>
              <w:pStyle w:val="Compact"/>
            </w:pPr>
            <w:r>
              <w:rPr>
                <w:sz w:val="20"/>
                <w:szCs w:val="20"/>
              </w:rPr>
              <w:t xml:space="preserve">[4.026, 10.0394]</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-0.1408</w:t>
            </w:r>
          </w:p>
        </w:tc>
        <w:tc>
          <w:tcPr>
            <w:tcW w:w="0" w:type="auto"/>
          </w:tcPr>
          <w:p>
            <w:pPr>
              <w:spacing w:line="240" w:lineRule="auto" w:before="0" w:after="0"/>
              <w:pStyle w:val="Compact"/>
            </w:pPr>
            <w:r>
              <w:rPr>
                <w:sz w:val="20"/>
                <w:szCs w:val="20"/>
              </w:rPr>
              <w:t xml:space="preserve">0.2157</w:t>
            </w:r>
          </w:p>
        </w:tc>
        <w:tc>
          <w:tcPr>
            <w:tcW w:w="0" w:type="auto"/>
          </w:tcPr>
          <w:p>
            <w:pPr>
              <w:spacing w:line="240" w:lineRule="auto" w:before="0" w:after="0"/>
              <w:pStyle w:val="Compact"/>
            </w:pPr>
            <w:r>
              <w:rPr>
                <w:sz w:val="20"/>
                <w:szCs w:val="20"/>
              </w:rPr>
              <w:t xml:space="preserve">-0.6529</w:t>
            </w:r>
          </w:p>
        </w:tc>
        <w:tc>
          <w:tcPr>
            <w:tcW w:w="0" w:type="auto"/>
          </w:tcPr>
          <w:p>
            <w:pPr>
              <w:spacing w:line="240" w:lineRule="auto" w:before="0" w:after="0"/>
              <w:pStyle w:val="Compact"/>
            </w:pPr>
            <w:r>
              <w:rPr>
                <w:sz w:val="20"/>
                <w:szCs w:val="20"/>
              </w:rPr>
              <w:t xml:space="preserve">0.5138</w:t>
            </w:r>
          </w:p>
        </w:tc>
        <w:tc>
          <w:tcPr>
            <w:tcW w:w="0" w:type="auto"/>
          </w:tcPr>
          <w:p>
            <w:pPr>
              <w:spacing w:line="240" w:lineRule="auto" w:before="0" w:after="0"/>
              <w:pStyle w:val="Compact"/>
            </w:pPr>
            <w:r>
              <w:rPr>
                <w:sz w:val="20"/>
                <w:szCs w:val="20"/>
              </w:rPr>
              <w:t xml:space="preserve">[-0.5636, 0.2819]</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-1.5306</w:t>
            </w:r>
          </w:p>
        </w:tc>
        <w:tc>
          <w:tcPr>
            <w:tcW w:w="0" w:type="auto"/>
          </w:tcPr>
          <w:p>
            <w:pPr>
              <w:spacing w:line="240" w:lineRule="auto" w:before="0" w:after="0"/>
              <w:pStyle w:val="Compact"/>
            </w:pPr>
            <w:r>
              <w:rPr>
                <w:sz w:val="20"/>
                <w:szCs w:val="20"/>
              </w:rPr>
              <w:t xml:space="preserve">0.5029</w:t>
            </w:r>
          </w:p>
        </w:tc>
        <w:tc>
          <w:tcPr>
            <w:tcW w:w="0" w:type="auto"/>
          </w:tcPr>
          <w:p>
            <w:pPr>
              <w:spacing w:line="240" w:lineRule="auto" w:before="0" w:after="0"/>
              <w:pStyle w:val="Compact"/>
            </w:pPr>
            <w:r>
              <w:rPr>
                <w:sz w:val="20"/>
                <w:szCs w:val="20"/>
              </w:rPr>
              <w:t xml:space="preserve">-3.0432</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[-2.5163, -0.5448]</w:t>
            </w:r>
          </w:p>
        </w:tc>
      </w:tr>
    </w:tbl>
    <w:p>
      <w:pPr>
        <w:pStyle w:val="BodyText"/>
        <w:spacing w:line="480" w:lineRule="auto"/>
        <w:ind w:firstLine="720"/>
      </w:pPr>
      <w:r>
        <w:t xml:space="preserve">Fit: N = 26 R2 = 0.5198 R2_adj = 0.478 F = 15.1096 F_p = 6.458e-05</w:t>
      </w:r>
    </w:p>
    <w:bookmarkEnd w:id="171"/>
    <w:bookmarkStart w:id="17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er-mission lunar lander delivery cost versus payload mass, 1966 through 2028 manifest, plotted on log-log axes with regime coloring; the OLS fit conditions on log mass and a binary CLPS-style fixed-price regime indicator." title="" id="173" name="Picture"/>
            <a:graphic>
              <a:graphicData uri="http://schemas.openxmlformats.org/drawingml/2006/picture">
                <pic:pic>
                  <pic:nvPicPr>
                    <pic:cNvPr descr="D:/Claude_Code/brain/collegium/candidates/dissertations/JPL_PLANETARY_11/research_papers/p1/paper_fig1.png" id="174" name="Picture"/>
                    <pic:cNvPicPr>
                      <a:picLocks noChangeArrowheads="1" noChangeAspect="1"/>
                    </pic:cNvPicPr>
                  </pic:nvPicPr>
                  <pic:blipFill>
                    <a:blip r:embed="rId17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Per-mission lunar lander delivery cost versus payload mass, 1966 through 2028 manifest, plotted on log-log axes with regime coloring; the OLS fit conditions on log mass and a binary CLPS-style fixed-price regime indicator.</w:t>
      </w:r>
    </w:p>
    <w:bookmarkEnd w:id="175"/>
    <w:bookmarkStart w:id="17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provider</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payload_mass_kg</w:t>
            </w:r>
          </w:p>
        </w:tc>
        <w:tc>
          <w:tcPr>
            <w:tcW w:w="0" w:type="auto"/>
          </w:tcPr>
          <w:p>
            <w:pPr>
              <w:spacing w:line="240" w:lineRule="auto" w:before="0" w:after="0"/>
              <w:pStyle w:val="Compact"/>
            </w:pPr>
            <w:r>
              <w:rPr>
                <w:sz w:val="20"/>
                <w:szCs w:val="20"/>
              </w:rPr>
              <w:t xml:space="preserve">cost_musd_fy24</w:t>
            </w:r>
          </w:p>
        </w:tc>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Surveyor 1</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1180</w:t>
            </w:r>
          </w:p>
        </w:tc>
        <w:tc>
          <w:tcPr>
            <w:tcW w:w="0" w:type="auto"/>
          </w:tcPr>
          <w:p>
            <w:pPr>
              <w:spacing w:line="240" w:lineRule="auto" w:before="0" w:after="0"/>
              <w:pStyle w:val="Compact"/>
            </w:pPr>
            <w:r>
              <w:rPr>
                <w:sz w:val="20"/>
                <w:szCs w:val="20"/>
              </w:rPr>
              <w:t xml:space="preserve">7.073</w:t>
            </w:r>
          </w:p>
        </w:tc>
        <w:tc>
          <w:tcPr>
            <w:tcW w:w="0" w:type="auto"/>
          </w:tcPr>
          <w:p>
            <w:pPr>
              <w:spacing w:line="240" w:lineRule="auto" w:before="0" w:after="0"/>
              <w:pStyle w:val="Compact"/>
            </w:pPr>
            <w:r>
              <w:rPr>
                <w:sz w:val="20"/>
                <w:szCs w:val="20"/>
              </w:rPr>
              <w:t xml:space="preserve">5.683</w:t>
            </w:r>
          </w:p>
        </w:tc>
        <w:tc>
          <w:tcPr>
            <w:tcW w:w="0" w:type="auto"/>
          </w:tcPr>
          <w:p>
            <w:pPr>
              <w:spacing w:line="240" w:lineRule="auto" w:before="0" w:after="0"/>
              <w:pStyle w:val="Compact"/>
            </w:pPr>
            <w:r>
              <w:rPr>
                <w:sz w:val="20"/>
                <w:szCs w:val="20"/>
              </w:rPr>
              <w:t xml:space="preserve">NASA NSSDCA Surveyor 1 fact sheet; Siddiqi Deep Space Chronicle NASA SP-2002-4524 inflation-adjusted to FY24</w:t>
            </w:r>
          </w:p>
        </w:tc>
      </w:tr>
      <w:tr>
        <w:tc>
          <w:tcPr>
            <w:tcW w:w="0" w:type="auto"/>
          </w:tcPr>
          <w:p>
            <w:pPr>
              <w:spacing w:line="240" w:lineRule="auto" w:before="0" w:after="0"/>
              <w:pStyle w:val="Compact"/>
            </w:pPr>
            <w:r>
              <w:rPr>
                <w:sz w:val="20"/>
                <w:szCs w:val="20"/>
              </w:rPr>
              <w:t xml:space="preserve">Surveyor 3</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6.893</w:t>
            </w:r>
          </w:p>
        </w:tc>
        <w:tc>
          <w:tcPr>
            <w:tcW w:w="0" w:type="auto"/>
          </w:tcPr>
          <w:p>
            <w:pPr>
              <w:spacing w:line="240" w:lineRule="auto" w:before="0" w:after="0"/>
              <w:pStyle w:val="Compact"/>
            </w:pPr>
            <w:r>
              <w:rPr>
                <w:sz w:val="20"/>
                <w:szCs w:val="20"/>
              </w:rPr>
              <w:t xml:space="preserve">5.71</w:t>
            </w:r>
          </w:p>
        </w:tc>
        <w:tc>
          <w:tcPr>
            <w:tcW w:w="0" w:type="auto"/>
          </w:tcPr>
          <w:p>
            <w:pPr>
              <w:spacing w:line="240" w:lineRule="auto" w:before="0" w:after="0"/>
              <w:pStyle w:val="Compact"/>
            </w:pPr>
            <w:r>
              <w:rPr>
                <w:sz w:val="20"/>
                <w:szCs w:val="20"/>
              </w:rPr>
              <w:t xml:space="preserve">NASA NSSDCA Surveyor 3 fact sheet; Siddiqi Deep Space Chronicle NASA SP-2002-4524</w:t>
            </w:r>
          </w:p>
        </w:tc>
      </w:tr>
      <w:tr>
        <w:tc>
          <w:tcPr>
            <w:tcW w:w="0" w:type="auto"/>
          </w:tcPr>
          <w:p>
            <w:pPr>
              <w:spacing w:line="240" w:lineRule="auto" w:before="0" w:after="0"/>
              <w:pStyle w:val="Compact"/>
            </w:pPr>
            <w:r>
              <w:rPr>
                <w:sz w:val="20"/>
                <w:szCs w:val="20"/>
              </w:rPr>
              <w:t xml:space="preserve">Surveyor 5</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303</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6.819</w:t>
            </w:r>
          </w:p>
        </w:tc>
        <w:tc>
          <w:tcPr>
            <w:tcW w:w="0" w:type="auto"/>
          </w:tcPr>
          <w:p>
            <w:pPr>
              <w:spacing w:line="240" w:lineRule="auto" w:before="0" w:after="0"/>
              <w:pStyle w:val="Compact"/>
            </w:pPr>
            <w:r>
              <w:rPr>
                <w:sz w:val="20"/>
                <w:szCs w:val="20"/>
              </w:rPr>
              <w:t xml:space="preserve">5.714</w:t>
            </w:r>
          </w:p>
        </w:tc>
        <w:tc>
          <w:tcPr>
            <w:tcW w:w="0" w:type="auto"/>
          </w:tcPr>
          <w:p>
            <w:pPr>
              <w:spacing w:line="240" w:lineRule="auto" w:before="0" w:after="0"/>
              <w:pStyle w:val="Compact"/>
            </w:pPr>
            <w:r>
              <w:rPr>
                <w:sz w:val="20"/>
                <w:szCs w:val="20"/>
              </w:rPr>
              <w:t xml:space="preserve">NASA NSSDCA Surveyor 5 fact sheet; Siddiqi Deep Space Chronicle NASA SP-2002-4524</w:t>
            </w:r>
          </w:p>
        </w:tc>
      </w:tr>
      <w:tr>
        <w:tc>
          <w:tcPr>
            <w:tcW w:w="0" w:type="auto"/>
          </w:tcPr>
          <w:p>
            <w:pPr>
              <w:spacing w:line="240" w:lineRule="auto" w:before="0" w:after="0"/>
              <w:pStyle w:val="Compact"/>
            </w:pPr>
            <w:r>
              <w:rPr>
                <w:sz w:val="20"/>
                <w:szCs w:val="20"/>
              </w:rPr>
              <w:t xml:space="preserve">Surveyor 6</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880</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NASA NSSDCA Surveyor 6 fact sheet; Siddiqi Deep Space Chronicle NASA SP-2002-4524</w:t>
            </w:r>
          </w:p>
        </w:tc>
      </w:tr>
      <w:tr>
        <w:tc>
          <w:tcPr>
            <w:tcW w:w="0" w:type="auto"/>
          </w:tcPr>
          <w:p>
            <w:pPr>
              <w:spacing w:line="240" w:lineRule="auto" w:before="0" w:after="0"/>
              <w:pStyle w:val="Compact"/>
            </w:pPr>
            <w:r>
              <w:rPr>
                <w:sz w:val="20"/>
                <w:szCs w:val="20"/>
              </w:rPr>
              <w:t xml:space="preserve">Surveyor 7</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306</w:t>
            </w:r>
          </w:p>
        </w:tc>
        <w:tc>
          <w:tcPr>
            <w:tcW w:w="0" w:type="auto"/>
          </w:tcPr>
          <w:p>
            <w:pPr>
              <w:spacing w:line="240" w:lineRule="auto" w:before="0" w:after="0"/>
              <w:pStyle w:val="Compact"/>
            </w:pPr>
            <w:r>
              <w:rPr>
                <w:sz w:val="20"/>
                <w:szCs w:val="20"/>
              </w:rPr>
              <w:t xml:space="preserve">870</w:t>
            </w:r>
          </w:p>
        </w:tc>
        <w:tc>
          <w:tcPr>
            <w:tcW w:w="0" w:type="auto"/>
          </w:tcPr>
          <w:p>
            <w:pPr>
              <w:spacing w:line="240" w:lineRule="auto" w:before="0" w:after="0"/>
              <w:pStyle w:val="Compact"/>
            </w:pPr>
            <w:r>
              <w:rPr>
                <w:sz w:val="20"/>
                <w:szCs w:val="20"/>
              </w:rPr>
              <w:t xml:space="preserve">6.768</w:t>
            </w:r>
          </w:p>
        </w:tc>
        <w:tc>
          <w:tcPr>
            <w:tcW w:w="0" w:type="auto"/>
          </w:tcPr>
          <w:p>
            <w:pPr>
              <w:spacing w:line="240" w:lineRule="auto" w:before="0" w:after="0"/>
              <w:pStyle w:val="Compact"/>
            </w:pPr>
            <w:r>
              <w:rPr>
                <w:sz w:val="20"/>
                <w:szCs w:val="20"/>
              </w:rPr>
              <w:t xml:space="preserve">5.724</w:t>
            </w:r>
          </w:p>
        </w:tc>
        <w:tc>
          <w:tcPr>
            <w:tcW w:w="0" w:type="auto"/>
          </w:tcPr>
          <w:p>
            <w:pPr>
              <w:spacing w:line="240" w:lineRule="auto" w:before="0" w:after="0"/>
              <w:pStyle w:val="Compact"/>
            </w:pPr>
            <w:r>
              <w:rPr>
                <w:sz w:val="20"/>
                <w:szCs w:val="20"/>
              </w:rPr>
              <w:t xml:space="preserve">NASA NSSDCA Surveyor 7 fact sheet; Siddiqi Deep Space Chronicle NASA SP-2002-4524</w:t>
            </w:r>
          </w:p>
        </w:tc>
      </w:tr>
      <w:tr>
        <w:tc>
          <w:tcPr>
            <w:tcW w:w="0" w:type="auto"/>
          </w:tcPr>
          <w:p>
            <w:pPr>
              <w:spacing w:line="240" w:lineRule="auto" w:before="0" w:after="0"/>
              <w:pStyle w:val="Compact"/>
            </w:pPr>
            <w:r>
              <w:rPr>
                <w:sz w:val="20"/>
                <w:szCs w:val="20"/>
              </w:rPr>
              <w:t xml:space="preserve">Luna 16</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Lavochkin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1880</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6.253</w:t>
            </w:r>
          </w:p>
        </w:tc>
        <w:tc>
          <w:tcPr>
            <w:tcW w:w="0" w:type="auto"/>
          </w:tcPr>
          <w:p>
            <w:pPr>
              <w:spacing w:line="240" w:lineRule="auto" w:before="0" w:after="0"/>
              <w:pStyle w:val="Compact"/>
            </w:pPr>
            <w:r>
              <w:rPr>
                <w:sz w:val="20"/>
                <w:szCs w:val="20"/>
              </w:rPr>
              <w:t xml:space="preserve">7.539</w:t>
            </w:r>
          </w:p>
        </w:tc>
        <w:tc>
          <w:tcPr>
            <w:tcW w:w="0" w:type="auto"/>
          </w:tcPr>
          <w:p>
            <w:pPr>
              <w:spacing w:line="240" w:lineRule="auto" w:before="0" w:after="0"/>
              <w:pStyle w:val="Compact"/>
            </w:pPr>
            <w:r>
              <w:rPr>
                <w:sz w:val="20"/>
                <w:szCs w:val="20"/>
              </w:rPr>
              <w:t xml:space="preserve">NASA NSSDCA Luna 16 fact sheet; Siddiqi Deep Space Chronicle [illustrative]</w:t>
            </w:r>
          </w:p>
        </w:tc>
      </w:tr>
      <w:tr>
        <w:tc>
          <w:tcPr>
            <w:tcW w:w="0" w:type="auto"/>
          </w:tcPr>
          <w:p>
            <w:pPr>
              <w:spacing w:line="240" w:lineRule="auto" w:before="0" w:after="0"/>
              <w:pStyle w:val="Compact"/>
            </w:pPr>
            <w:r>
              <w:rPr>
                <w:sz w:val="20"/>
                <w:szCs w:val="20"/>
              </w:rPr>
              <w:t xml:space="preserve">Luna 17</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Lavochkin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6.413</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NASA NSSDCA Luna 17 fact sheet; Siddiqi Deep Space Chronicle [illustrative]</w:t>
            </w:r>
          </w:p>
        </w:tc>
      </w:tr>
      <w:tr>
        <w:tc>
          <w:tcPr>
            <w:tcW w:w="0" w:type="auto"/>
          </w:tcPr>
          <w:p>
            <w:pPr>
              <w:spacing w:line="240" w:lineRule="auto" w:before="0" w:after="0"/>
              <w:pStyle w:val="Compact"/>
            </w:pPr>
            <w:r>
              <w:rPr>
                <w:sz w:val="20"/>
                <w:szCs w:val="20"/>
              </w:rPr>
              <w:t xml:space="preserve">Luna 20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Lavochkin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1880</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6.205</w:t>
            </w:r>
          </w:p>
        </w:tc>
        <w:tc>
          <w:tcPr>
            <w:tcW w:w="0" w:type="auto"/>
          </w:tcPr>
          <w:p>
            <w:pPr>
              <w:spacing w:line="240" w:lineRule="auto" w:before="0" w:after="0"/>
              <w:pStyle w:val="Compact"/>
            </w:pPr>
            <w:r>
              <w:rPr>
                <w:sz w:val="20"/>
                <w:szCs w:val="20"/>
              </w:rPr>
              <w:t xml:space="preserve">7.539</w:t>
            </w:r>
          </w:p>
        </w:tc>
        <w:tc>
          <w:tcPr>
            <w:tcW w:w="0" w:type="auto"/>
          </w:tcPr>
          <w:p>
            <w:pPr>
              <w:spacing w:line="240" w:lineRule="auto" w:before="0" w:after="0"/>
              <w:pStyle w:val="Compact"/>
            </w:pPr>
            <w:r>
              <w:rPr>
                <w:sz w:val="20"/>
                <w:szCs w:val="20"/>
              </w:rPr>
              <w:t xml:space="preserve">NASA NSSDCA Luna 20 fact sheet; Siddiqi Deep Space Chronicle [illustrative]</w:t>
            </w:r>
          </w:p>
        </w:tc>
      </w:tr>
      <w:tr>
        <w:tc>
          <w:tcPr>
            <w:tcW w:w="0" w:type="auto"/>
          </w:tcPr>
          <w:p>
            <w:pPr>
              <w:spacing w:line="240" w:lineRule="auto" w:before="0" w:after="0"/>
              <w:pStyle w:val="Compact"/>
            </w:pPr>
            <w:r>
              <w:rPr>
                <w:sz w:val="20"/>
                <w:szCs w:val="20"/>
              </w:rPr>
              <w:t xml:space="preserve">Luna 24</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Lavochkin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1880</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6.153</w:t>
            </w:r>
          </w:p>
        </w:tc>
        <w:tc>
          <w:tcPr>
            <w:tcW w:w="0" w:type="auto"/>
          </w:tcPr>
          <w:p>
            <w:pPr>
              <w:spacing w:line="240" w:lineRule="auto" w:before="0" w:after="0"/>
              <w:pStyle w:val="Compact"/>
            </w:pPr>
            <w:r>
              <w:rPr>
                <w:sz w:val="20"/>
                <w:szCs w:val="20"/>
              </w:rPr>
              <w:t xml:space="preserve">7.539</w:t>
            </w:r>
          </w:p>
        </w:tc>
        <w:tc>
          <w:tcPr>
            <w:tcW w:w="0" w:type="auto"/>
          </w:tcPr>
          <w:p>
            <w:pPr>
              <w:spacing w:line="240" w:lineRule="auto" w:before="0" w:after="0"/>
              <w:pStyle w:val="Compact"/>
            </w:pPr>
            <w:r>
              <w:rPr>
                <w:sz w:val="20"/>
                <w:szCs w:val="20"/>
              </w:rPr>
              <w:t xml:space="preserve">NASA NSSDCA Luna 24 fact sheet; Siddiqi Deep Space Chronicle [illustrative]</w:t>
            </w:r>
          </w:p>
        </w:tc>
      </w:tr>
      <w:tr>
        <w:tc>
          <w:tcPr>
            <w:tcW w:w="0" w:type="auto"/>
          </w:tcPr>
          <w:p>
            <w:pPr>
              <w:spacing w:line="240" w:lineRule="auto" w:before="0" w:after="0"/>
              <w:pStyle w:val="Compact"/>
            </w:pPr>
            <w:r>
              <w:rPr>
                <w:sz w:val="20"/>
                <w:szCs w:val="20"/>
              </w:rPr>
              <w:t xml:space="preserve">Change 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CAST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5.737</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CNSA Change 3 press materials; NASA NSSDCA Change 3 fact sheet</w:t>
            </w:r>
          </w:p>
        </w:tc>
      </w:tr>
      <w:tr>
        <w:tc>
          <w:tcPr>
            <w:tcW w:w="0" w:type="auto"/>
          </w:tcPr>
          <w:p>
            <w:pPr>
              <w:spacing w:line="240" w:lineRule="auto" w:before="0" w:after="0"/>
              <w:pStyle w:val="Compact"/>
            </w:pPr>
            <w:r>
              <w:rPr>
                <w:sz w:val="20"/>
                <w:szCs w:val="20"/>
              </w:rPr>
              <w:t xml:space="preserve">Change 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5.687</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CNSA Change 4 press materials; NASA NSSDCA Change 4 fact sheet</w:t>
            </w:r>
          </w:p>
        </w:tc>
      </w:tr>
      <w:tr>
        <w:tc>
          <w:tcPr>
            <w:tcW w:w="0" w:type="auto"/>
          </w:tcPr>
          <w:p>
            <w:pPr>
              <w:spacing w:line="240" w:lineRule="auto" w:before="0" w:after="0"/>
              <w:pStyle w:val="Compact"/>
            </w:pPr>
            <w:r>
              <w:rPr>
                <w:sz w:val="20"/>
                <w:szCs w:val="20"/>
              </w:rPr>
              <w:t xml:space="preserve">Chandrayaan-2 Vikram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1471</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5.136</w:t>
            </w:r>
          </w:p>
        </w:tc>
        <w:tc>
          <w:tcPr>
            <w:tcW w:w="0" w:type="auto"/>
          </w:tcPr>
          <w:p>
            <w:pPr>
              <w:spacing w:line="240" w:lineRule="auto" w:before="0" w:after="0"/>
              <w:pStyle w:val="Compact"/>
            </w:pPr>
            <w:r>
              <w:rPr>
                <w:sz w:val="20"/>
                <w:szCs w:val="20"/>
              </w:rPr>
              <w:t xml:space="preserve">7.294</w:t>
            </w:r>
          </w:p>
        </w:tc>
        <w:tc>
          <w:tcPr>
            <w:tcW w:w="0" w:type="auto"/>
          </w:tcPr>
          <w:p>
            <w:pPr>
              <w:spacing w:line="240" w:lineRule="auto" w:before="0" w:after="0"/>
              <w:pStyle w:val="Compact"/>
            </w:pPr>
            <w:r>
              <w:rPr>
                <w:sz w:val="20"/>
                <w:szCs w:val="20"/>
              </w:rPr>
              <w:t xml:space="preserve">ISRO PIB releases on Chandrayaan-2</w:t>
            </w:r>
          </w:p>
        </w:tc>
      </w:tr>
      <w:tr>
        <w:tc>
          <w:tcPr>
            <w:tcW w:w="0" w:type="auto"/>
          </w:tcPr>
          <w:p>
            <w:pPr>
              <w:spacing w:line="240" w:lineRule="auto" w:before="0" w:after="0"/>
              <w:pStyle w:val="Compact"/>
            </w:pPr>
            <w:r>
              <w:rPr>
                <w:sz w:val="20"/>
                <w:szCs w:val="20"/>
              </w:rPr>
              <w:t xml:space="preserve">Change 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CAST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3780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6.04</w:t>
            </w:r>
          </w:p>
        </w:tc>
        <w:tc>
          <w:tcPr>
            <w:tcW w:w="0" w:type="auto"/>
          </w:tcPr>
          <w:p>
            <w:pPr>
              <w:spacing w:line="240" w:lineRule="auto" w:before="0" w:after="0"/>
              <w:pStyle w:val="Compact"/>
            </w:pPr>
            <w:r>
              <w:rPr>
                <w:sz w:val="20"/>
                <w:szCs w:val="20"/>
              </w:rPr>
              <w:t xml:space="preserve">8.238</w:t>
            </w:r>
          </w:p>
        </w:tc>
        <w:tc>
          <w:tcPr>
            <w:tcW w:w="0" w:type="auto"/>
          </w:tcPr>
          <w:p>
            <w:pPr>
              <w:spacing w:line="240" w:lineRule="auto" w:before="0" w:after="0"/>
              <w:pStyle w:val="Compact"/>
            </w:pPr>
            <w:r>
              <w:rPr>
                <w:sz w:val="20"/>
                <w:szCs w:val="20"/>
              </w:rPr>
              <w:t xml:space="preserve">CNSA Change 5 press materials; NASA NSSDCA Change 5 fact sheet</w:t>
            </w:r>
          </w:p>
        </w:tc>
      </w:tr>
      <w:tr>
        <w:tc>
          <w:tcPr>
            <w:tcW w:w="0" w:type="auto"/>
          </w:tcPr>
          <w:p>
            <w:pPr>
              <w:spacing w:line="240" w:lineRule="auto" w:before="0" w:after="0"/>
              <w:pStyle w:val="Compact"/>
            </w:pPr>
            <w:r>
              <w:rPr>
                <w:sz w:val="20"/>
                <w:szCs w:val="20"/>
              </w:rPr>
              <w:t xml:space="preserve">Chandrayaan-3 Vikram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1726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7.453</w:t>
            </w:r>
          </w:p>
        </w:tc>
        <w:tc>
          <w:tcPr>
            <w:tcW w:w="0" w:type="auto"/>
          </w:tcPr>
          <w:p>
            <w:pPr>
              <w:spacing w:line="240" w:lineRule="auto" w:before="0" w:after="0"/>
              <w:pStyle w:val="Compact"/>
            </w:pPr>
            <w:r>
              <w:rPr>
                <w:sz w:val="20"/>
                <w:szCs w:val="20"/>
              </w:rPr>
              <w:t xml:space="preserve">ISRO PIB release 23 August 2023 Chandrayaan-3 budget disclosure</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4.787</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JAXA SLIM press kit January 2024</w:t>
            </w:r>
          </w:p>
        </w:tc>
      </w:tr>
      <w:tr>
        <w:tc>
          <w:tcPr>
            <w:tcW w:w="0" w:type="auto"/>
          </w:tcPr>
          <w:p>
            <w:pPr>
              <w:spacing w:line="240" w:lineRule="auto" w:before="0" w:after="0"/>
              <w:pStyle w:val="Compact"/>
            </w:pPr>
            <w:r>
              <w:rPr>
                <w:sz w:val="20"/>
                <w:szCs w:val="20"/>
              </w:rPr>
              <w:t xml:space="preserve">Peregrine Mission 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4.682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GAO-25-107591 NASA Major Project Assessment CLPS task order schedule</w:t>
            </w:r>
          </w:p>
        </w:tc>
      </w:tr>
      <w:tr>
        <w:tc>
          <w:tcPr>
            <w:tcW w:w="0" w:type="auto"/>
          </w:tcPr>
          <w:p>
            <w:pPr>
              <w:spacing w:line="240" w:lineRule="auto" w:before="0" w:after="0"/>
              <w:pStyle w:val="Compact"/>
            </w:pPr>
            <w:r>
              <w:rPr>
                <w:sz w:val="20"/>
                <w:szCs w:val="20"/>
              </w:rPr>
              <w:t xml:space="preserve">IM-1 Nova-C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4.77</w:t>
            </w:r>
          </w:p>
        </w:tc>
        <w:tc>
          <w:tcPr>
            <w:tcW w:w="0" w:type="auto"/>
          </w:tcPr>
          <w:p>
            <w:pPr>
              <w:spacing w:line="240" w:lineRule="auto" w:before="0" w:after="0"/>
              <w:pStyle w:val="Compact"/>
            </w:pPr>
            <w:r>
              <w:rPr>
                <w:sz w:val="20"/>
                <w:szCs w:val="20"/>
              </w:rPr>
              <w:t xml:space="preserve">4.868</w:t>
            </w:r>
          </w:p>
        </w:tc>
        <w:tc>
          <w:tcPr>
            <w:tcW w:w="0" w:type="auto"/>
          </w:tcPr>
          <w:p>
            <w:pPr>
              <w:spacing w:line="240" w:lineRule="auto" w:before="0" w:after="0"/>
              <w:pStyle w:val="Compact"/>
            </w:pPr>
            <w:r>
              <w:rPr>
                <w:sz w:val="20"/>
                <w:szCs w:val="20"/>
              </w:rPr>
              <w:t xml:space="preserve">GAO-25-107591 NASA Major Project Assessment CLPS task order</w:t>
            </w:r>
          </w:p>
        </w:tc>
      </w:tr>
      <w:tr>
        <w:tc>
          <w:tcPr>
            <w:tcW w:w="0" w:type="auto"/>
          </w:tcPr>
          <w:p>
            <w:pPr>
              <w:spacing w:line="240" w:lineRule="auto" w:before="0" w:after="0"/>
              <w:pStyle w:val="Compact"/>
            </w:pPr>
            <w:r>
              <w:rPr>
                <w:sz w:val="20"/>
                <w:szCs w:val="20"/>
              </w:rPr>
              <w:t xml:space="preserve">Blue Ghost M1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4.615</w:t>
            </w:r>
          </w:p>
        </w:tc>
        <w:tc>
          <w:tcPr>
            <w:tcW w:w="0" w:type="auto"/>
          </w:tcPr>
          <w:p>
            <w:pPr>
              <w:spacing w:line="240" w:lineRule="auto" w:before="0" w:after="0"/>
              <w:pStyle w:val="Compact"/>
            </w:pPr>
            <w:r>
              <w:rPr>
                <w:sz w:val="20"/>
                <w:szCs w:val="20"/>
              </w:rPr>
              <w:t xml:space="preserve">5.011</w:t>
            </w:r>
          </w:p>
        </w:tc>
        <w:tc>
          <w:tcPr>
            <w:tcW w:w="0" w:type="auto"/>
          </w:tcPr>
          <w:p>
            <w:pPr>
              <w:spacing w:line="240" w:lineRule="auto" w:before="0" w:after="0"/>
              <w:pStyle w:val="Compact"/>
            </w:pPr>
            <w:r>
              <w:rPr>
                <w:sz w:val="20"/>
                <w:szCs w:val="20"/>
              </w:rPr>
              <w:t xml:space="preserve">GAO-25-107591 NASA Major Project Assessment CLPS task order</w:t>
            </w:r>
          </w:p>
        </w:tc>
      </w:tr>
      <w:tr>
        <w:tc>
          <w:tcPr>
            <w:tcW w:w="0" w:type="auto"/>
          </w:tcPr>
          <w:p>
            <w:pPr>
              <w:spacing w:line="240" w:lineRule="auto" w:before="0" w:after="0"/>
              <w:pStyle w:val="Compact"/>
            </w:pPr>
            <w:r>
              <w:rPr>
                <w:sz w:val="20"/>
                <w:szCs w:val="20"/>
              </w:rPr>
              <w:t xml:space="preserve">IM-2 Nova-C</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4.344</w:t>
            </w:r>
          </w:p>
        </w:tc>
        <w:tc>
          <w:tcPr>
            <w:tcW w:w="0" w:type="auto"/>
          </w:tcPr>
          <w:p>
            <w:pPr>
              <w:spacing w:line="240" w:lineRule="auto" w:before="0" w:after="0"/>
              <w:pStyle w:val="Compact"/>
            </w:pPr>
            <w:r>
              <w:rPr>
                <w:sz w:val="20"/>
                <w:szCs w:val="20"/>
              </w:rPr>
              <w:t xml:space="preserve">4.942</w:t>
            </w:r>
          </w:p>
        </w:tc>
        <w:tc>
          <w:tcPr>
            <w:tcW w:w="0" w:type="auto"/>
          </w:tcPr>
          <w:p>
            <w:pPr>
              <w:spacing w:line="240" w:lineRule="auto" w:before="0" w:after="0"/>
              <w:pStyle w:val="Compact"/>
            </w:pPr>
            <w:r>
              <w:rPr>
                <w:sz w:val="20"/>
                <w:szCs w:val="20"/>
              </w:rPr>
              <w:t xml:space="preserve">GAO-25-107591 NASA Major Project Assessment CLPS task order ledger</w:t>
            </w:r>
          </w:p>
        </w:tc>
      </w:tr>
      <w:tr>
        <w:tc>
          <w:tcPr>
            <w:tcW w:w="0" w:type="auto"/>
          </w:tcPr>
          <w:p>
            <w:pPr>
              <w:spacing w:line="240" w:lineRule="auto" w:before="0" w:after="0"/>
              <w:pStyle w:val="Compact"/>
            </w:pPr>
            <w:r>
              <w:rPr>
                <w:sz w:val="20"/>
                <w:szCs w:val="20"/>
              </w:rPr>
              <w:t xml:space="preserve">Resilience HAKUTO-R M2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5.075</w:t>
            </w:r>
          </w:p>
        </w:tc>
        <w:tc>
          <w:tcPr>
            <w:tcW w:w="0" w:type="auto"/>
          </w:tcPr>
          <w:p>
            <w:pPr>
              <w:spacing w:line="240" w:lineRule="auto" w:before="0" w:after="0"/>
              <w:pStyle w:val="Compact"/>
            </w:pPr>
            <w:r>
              <w:rPr>
                <w:sz w:val="20"/>
                <w:szCs w:val="20"/>
              </w:rPr>
              <w:t xml:space="preserve">4.868</w:t>
            </w:r>
          </w:p>
        </w:tc>
        <w:tc>
          <w:tcPr>
            <w:tcW w:w="0" w:type="auto"/>
          </w:tcPr>
          <w:p>
            <w:pPr>
              <w:spacing w:line="240" w:lineRule="auto" w:before="0" w:after="0"/>
              <w:pStyle w:val="Compact"/>
            </w:pPr>
            <w:r>
              <w:rPr>
                <w:sz w:val="20"/>
                <w:szCs w:val="20"/>
              </w:rPr>
              <w:t xml:space="preserve">ispace press release HAKUTO-R Mission 2 disclosure [illustrative]</w:t>
            </w:r>
          </w:p>
        </w:tc>
      </w:tr>
      <w:tr>
        <w:tc>
          <w:tcPr>
            <w:tcW w:w="0" w:type="auto"/>
          </w:tcPr>
          <w:p>
            <w:pPr>
              <w:spacing w:line="240" w:lineRule="auto" w:before="0" w:after="0"/>
              <w:pStyle w:val="Compact"/>
            </w:pPr>
            <w:r>
              <w:rPr>
                <w:sz w:val="20"/>
                <w:szCs w:val="20"/>
              </w:rPr>
              <w:t xml:space="preserve">IM-3 Nova-C</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4.344</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GAO-25-107591 NASA Major Project Assessment CLPS task order</w:t>
            </w:r>
          </w:p>
        </w:tc>
      </w:tr>
      <w:tr>
        <w:tc>
          <w:tcPr>
            <w:tcW w:w="0" w:type="auto"/>
          </w:tcPr>
          <w:p>
            <w:pPr>
              <w:spacing w:line="240" w:lineRule="auto" w:before="0" w:after="0"/>
              <w:pStyle w:val="Compact"/>
            </w:pPr>
            <w:r>
              <w:rPr>
                <w:sz w:val="20"/>
                <w:szCs w:val="20"/>
              </w:rPr>
              <w:t xml:space="preserve">Griffin Mission 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323</w:t>
            </w:r>
          </w:p>
        </w:tc>
        <w:tc>
          <w:tcPr>
            <w:tcW w:w="0" w:type="auto"/>
          </w:tcPr>
          <w:p>
            <w:pPr>
              <w:spacing w:line="240" w:lineRule="auto" w:before="0" w:after="0"/>
              <w:pStyle w:val="Compact"/>
            </w:pPr>
            <w:r>
              <w:rPr>
                <w:sz w:val="20"/>
                <w:szCs w:val="20"/>
              </w:rPr>
              <w:t xml:space="preserve">5.778</w:t>
            </w:r>
          </w:p>
        </w:tc>
        <w:tc>
          <w:tcPr>
            <w:tcW w:w="0" w:type="auto"/>
          </w:tcPr>
          <w:p>
            <w:pPr>
              <w:spacing w:line="240" w:lineRule="auto" w:before="0" w:after="0"/>
              <w:pStyle w:val="Compact"/>
            </w:pPr>
            <w:r>
              <w:rPr>
                <w:sz w:val="20"/>
                <w:szCs w:val="20"/>
              </w:rPr>
              <w:t xml:space="preserve">6.163</w:t>
            </w:r>
          </w:p>
        </w:tc>
        <w:tc>
          <w:tcPr>
            <w:tcW w:w="0" w:type="auto"/>
          </w:tcPr>
          <w:p>
            <w:pPr>
              <w:spacing w:line="240" w:lineRule="auto" w:before="0" w:after="0"/>
              <w:pStyle w:val="Compact"/>
            </w:pPr>
            <w:r>
              <w:rPr>
                <w:sz w:val="20"/>
                <w:szCs w:val="20"/>
              </w:rPr>
              <w:t xml:space="preserve">GAO-25-107591 NASA Major Project Assessment Griffin task order including VIPER; NASA OIG IG-23-005</w:t>
            </w:r>
          </w:p>
        </w:tc>
      </w:tr>
      <w:tr>
        <w:tc>
          <w:tcPr>
            <w:tcW w:w="0" w:type="auto"/>
          </w:tcPr>
          <w:p>
            <w:pPr>
              <w:spacing w:line="240" w:lineRule="auto" w:before="0" w:after="0"/>
              <w:pStyle w:val="Compact"/>
            </w:pPr>
            <w:r>
              <w:rPr>
                <w:sz w:val="20"/>
                <w:szCs w:val="20"/>
              </w:rPr>
              <w:t xml:space="preserve">Blue Ghost M2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4.727</w:t>
            </w:r>
          </w:p>
        </w:tc>
        <w:tc>
          <w:tcPr>
            <w:tcW w:w="0" w:type="auto"/>
          </w:tcPr>
          <w:p>
            <w:pPr>
              <w:spacing w:line="240" w:lineRule="auto" w:before="0" w:after="0"/>
              <w:pStyle w:val="Compact"/>
            </w:pPr>
            <w:r>
              <w:rPr>
                <w:sz w:val="20"/>
                <w:szCs w:val="20"/>
              </w:rPr>
              <w:t xml:space="preserve">5.67</w:t>
            </w:r>
          </w:p>
        </w:tc>
        <w:tc>
          <w:tcPr>
            <w:tcW w:w="0" w:type="auto"/>
          </w:tcPr>
          <w:p>
            <w:pPr>
              <w:spacing w:line="240" w:lineRule="auto" w:before="0" w:after="0"/>
              <w:pStyle w:val="Compact"/>
            </w:pPr>
            <w:r>
              <w:rPr>
                <w:sz w:val="20"/>
                <w:szCs w:val="20"/>
              </w:rPr>
              <w:t xml:space="preserve">GAO-25-107591 NASA Major Project Assessment CLPS task order ledger</w:t>
            </w:r>
          </w:p>
        </w:tc>
      </w:tr>
      <w:tr>
        <w:tc>
          <w:tcPr>
            <w:tcW w:w="0" w:type="auto"/>
          </w:tcPr>
          <w:p>
            <w:pPr>
              <w:spacing w:line="240" w:lineRule="auto" w:before="0" w:after="0"/>
              <w:pStyle w:val="Compact"/>
            </w:pPr>
            <w:r>
              <w:rPr>
                <w:sz w:val="20"/>
                <w:szCs w:val="20"/>
              </w:rPr>
              <w:t xml:space="preserve">Draper Series 2 APEX 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GAO-25-107591 NASA Major Project Assessment CLPS task order award September 2024</w:t>
            </w:r>
          </w:p>
        </w:tc>
      </w:tr>
      <w:tr>
        <w:tc>
          <w:tcPr>
            <w:tcW w:w="0" w:type="auto"/>
          </w:tcPr>
          <w:p>
            <w:pPr>
              <w:spacing w:line="240" w:lineRule="auto" w:before="0" w:after="0"/>
              <w:pStyle w:val="Compact"/>
            </w:pPr>
            <w:r>
              <w:rPr>
                <w:sz w:val="20"/>
                <w:szCs w:val="20"/>
              </w:rPr>
              <w:t xml:space="preserve">IM-4 Nova-C</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4.754</w:t>
            </w:r>
          </w:p>
        </w:tc>
        <w:tc>
          <w:tcPr>
            <w:tcW w:w="0" w:type="auto"/>
          </w:tcPr>
          <w:p>
            <w:pPr>
              <w:spacing w:line="240" w:lineRule="auto" w:before="0" w:after="0"/>
              <w:pStyle w:val="Compact"/>
            </w:pPr>
            <w:r>
              <w:rPr>
                <w:sz w:val="20"/>
                <w:szCs w:val="20"/>
              </w:rPr>
              <w:t xml:space="preserve">5.347</w:t>
            </w:r>
          </w:p>
        </w:tc>
        <w:tc>
          <w:tcPr>
            <w:tcW w:w="0" w:type="auto"/>
          </w:tcPr>
          <w:p>
            <w:pPr>
              <w:spacing w:line="240" w:lineRule="auto" w:before="0" w:after="0"/>
              <w:pStyle w:val="Compact"/>
            </w:pPr>
            <w:r>
              <w:rPr>
                <w:sz w:val="20"/>
                <w:szCs w:val="20"/>
              </w:rPr>
              <w:t xml:space="preserve">GAO-25-107591 NASA Major Project Assessment CLPS task order ledger [illustrative]</w:t>
            </w:r>
          </w:p>
        </w:tc>
      </w:tr>
      <w:tr>
        <w:tc>
          <w:tcPr>
            <w:tcW w:w="0" w:type="auto"/>
          </w:tcPr>
          <w:p>
            <w:pPr>
              <w:spacing w:line="240" w:lineRule="auto" w:before="0" w:after="0"/>
              <w:pStyle w:val="Compact"/>
            </w:pPr>
            <w:r>
              <w:rPr>
                <w:sz w:val="20"/>
                <w:szCs w:val="20"/>
              </w:rPr>
              <w:t xml:space="preserve">Blue Ghost M3</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NASA CLPS task order press release; GAO-25-107591 follow-on award [illustrative]</w:t>
            </w:r>
          </w:p>
        </w:tc>
      </w:tr>
    </w:tbl>
    <w:bookmarkEnd w:id="176"/>
    <w:bookmarkStart w:id="17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Natural log of per-mission lander delivery cost in FY2024 USD millions</w:t>
            </w:r>
          </w:p>
        </w:tc>
        <w:tc>
          <w:tcPr>
            <w:tcW w:w="0" w:type="auto"/>
          </w:tcPr>
          <w:p>
            <w:pPr>
              <w:spacing w:line="240" w:lineRule="auto" w:before="0" w:after="0"/>
              <w:pStyle w:val="Compact"/>
            </w:pPr>
            <w:r>
              <w:rPr>
                <w:sz w:val="20"/>
                <w:szCs w:val="20"/>
              </w:rPr>
              <w:t xml:space="preserve">GAO-25-107591 NASA Major Project Assessment CLPS task order schedule; NASA NSSDCA fact sheets; Siddiqi Deep Space Chronicle NASA SP-2002-4524 inflation adjusted to FY24</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Natural log of payload mass delivered to the lunar surface in kilograms</w:t>
            </w:r>
          </w:p>
        </w:tc>
        <w:tc>
          <w:tcPr>
            <w:tcW w:w="0" w:type="auto"/>
          </w:tcPr>
          <w:p>
            <w:pPr>
              <w:spacing w:line="240" w:lineRule="auto" w:before="0" w:after="0"/>
              <w:pStyle w:val="Compact"/>
            </w:pPr>
            <w:r>
              <w:rPr>
                <w:sz w:val="20"/>
                <w:szCs w:val="20"/>
              </w:rPr>
              <w:t xml:space="preserve">NASA NSSDCA fact sheets; ISRO PIB releases; JAXA SLIM press kit; CNSA Change press materials; GAO-25-107591 CLPS task order payload manifests</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Binary indicator equal to 1 for fixed-price CLPS or analogous commercial fixed-price delivery and 0 for heritage cost-plus or government-program delivery</w:t>
            </w:r>
          </w:p>
        </w:tc>
        <w:tc>
          <w:tcPr>
            <w:tcW w:w="0" w:type="auto"/>
          </w:tcPr>
          <w:p>
            <w:pPr>
              <w:spacing w:line="240" w:lineRule="auto" w:before="0" w:after="0"/>
              <w:pStyle w:val="Compact"/>
            </w:pPr>
            <w:r>
              <w:rPr>
                <w:sz w:val="20"/>
                <w:szCs w:val="20"/>
              </w:rPr>
              <w:t xml:space="preserve">Coded from NASA CLPS task order awards documented in GAO-25-107591 and CLPS press releases; heritage missions coded 0 per Siddiqi NASA SP-2002-4524 and NASA NSSDCA</w:t>
            </w:r>
          </w:p>
        </w:tc>
      </w:tr>
    </w:tbl>
    <w:bookmarkEnd w:id="177"/>
    <w:bookmarkEnd w:id="178"/>
    <w:bookmarkStart w:id="186" w:name="Xcde58d3503d582aa6d24eadc052377142730456"/>
    <w:p>
      <w:pPr>
        <w:pStyle w:val="Heading2"/>
        <w:spacing w:line="480" w:lineRule="auto"/>
      </w:pPr>
      <w:r>
        <w:t xml:space="preserve">A.2 A Wright Learning Curve for Lunar Lander Delivery: Do Cumulative Provider Experience and Commercial Procurement Bend the Unit Cost?</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b</m:t>
          </m:r>
          <m:r>
            <m:t> </m:t>
          </m:r>
          <m:r>
            <m:rPr>
              <m:sty m:val="p"/>
            </m:rPr>
            <m:t>ln</m:t>
          </m:r>
          <m:r>
            <m:rPr>
              <m:sty m:val="p"/>
            </m:rPr>
            <m:t>(</m:t>
          </m:r>
          <m:sSub>
            <m:e>
              <m:r>
                <m:rPr>
                  <m:nor/>
                  <m:sty m:val="p"/>
                </m:rPr>
                <m:t>CumulativeUnit</m:t>
              </m:r>
            </m:e>
            <m:sub>
              <m:r>
                <m:t>i</m:t>
              </m:r>
            </m:sub>
          </m:sSub>
          <m:r>
            <m:rPr>
              <m:sty m:val="p"/>
            </m:rPr>
            <m:t>)</m:t>
          </m:r>
          <m:r>
            <m:rPr>
              <m:sty m:val="p"/>
            </m:rPr>
            <m:t>+</m:t>
          </m:r>
          <m:sSub>
            <m:e>
              <m:r>
                <m:t>ε</m:t>
              </m:r>
            </m:e>
            <m:sub>
              <m:r>
                <m:t>i</m:t>
              </m:r>
            </m:sub>
          </m:sSub>
          <m:r>
            <m:rPr>
              <m:sty m:val="p"/>
            </m:rPr>
            <m:t>,</m:t>
          </m:r>
          <m:r>
            <m:t> </m:t>
          </m:r>
          <m:r>
            <m:rPr>
              <m:nor/>
              <m:sty m:val="p"/>
            </m:rPr>
            <m:t>ProgressRatio</m:t>
          </m:r>
          <m:r>
            <m:rPr>
              <m:sty m:val="p"/>
            </m:rPr>
            <m:t>=</m:t>
          </m:r>
          <m:sSup>
            <m:e>
              <m:r>
                <m:t>2</m:t>
              </m:r>
            </m:e>
            <m:sup>
              <m:r>
                <m:t>b</m:t>
              </m:r>
            </m:sup>
          </m:sSup>
        </m:oMath>
      </m:oMathPara>
    </w:p>
    <w:bookmarkStart w:id="17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4.9459</w:t>
            </w:r>
          </w:p>
        </w:tc>
        <w:tc>
          <w:tcPr>
            <w:tcW w:w="0" w:type="auto"/>
          </w:tcPr>
          <w:p>
            <w:pPr>
              <w:spacing w:line="240" w:lineRule="auto" w:before="0" w:after="0"/>
              <w:pStyle w:val="Compact"/>
            </w:pPr>
            <w:r>
              <w:rPr>
                <w:sz w:val="20"/>
                <w:szCs w:val="20"/>
              </w:rPr>
              <w:t xml:space="preserve">0.188</w:t>
            </w:r>
          </w:p>
        </w:tc>
        <w:tc>
          <w:tcPr>
            <w:tcW w:w="0" w:type="auto"/>
          </w:tcPr>
          <w:p>
            <w:pPr>
              <w:spacing w:line="240" w:lineRule="auto" w:before="0" w:after="0"/>
              <w:pStyle w:val="Compact"/>
            </w:pPr>
            <w:r>
              <w:rPr>
                <w:sz w:val="20"/>
                <w:szCs w:val="20"/>
              </w:rPr>
              <w:t xml:space="preserve">26.3016</w:t>
            </w:r>
          </w:p>
        </w:tc>
        <w:tc>
          <w:tcPr>
            <w:tcW w:w="0" w:type="auto"/>
          </w:tcPr>
          <w:p>
            <w:pPr>
              <w:spacing w:line="240" w:lineRule="auto" w:before="0" w:after="0"/>
              <w:pStyle w:val="Compact"/>
            </w:pPr>
            <w:r>
              <w:rPr>
                <w:sz w:val="20"/>
                <w:szCs w:val="20"/>
              </w:rPr>
              <w:t xml:space="preserve">1.84e-152</w:t>
            </w:r>
          </w:p>
        </w:tc>
        <w:tc>
          <w:tcPr>
            <w:tcW w:w="0" w:type="auto"/>
          </w:tcPr>
          <w:p>
            <w:pPr>
              <w:spacing w:line="240" w:lineRule="auto" w:before="0" w:after="0"/>
              <w:pStyle w:val="Compact"/>
            </w:pPr>
            <w:r>
              <w:rPr>
                <w:sz w:val="20"/>
                <w:szCs w:val="20"/>
              </w:rPr>
              <w:t xml:space="preserve">[4.5774, 5.3145]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0.5678</w:t>
            </w:r>
          </w:p>
        </w:tc>
        <w:tc>
          <w:tcPr>
            <w:tcW w:w="0" w:type="auto"/>
          </w:tcPr>
          <w:p>
            <w:pPr>
              <w:spacing w:line="240" w:lineRule="auto" w:before="0" w:after="0"/>
              <w:pStyle w:val="Compact"/>
            </w:pPr>
            <w:r>
              <w:rPr>
                <w:sz w:val="20"/>
                <w:szCs w:val="20"/>
              </w:rPr>
              <w:t xml:space="preserve">0.1986</w:t>
            </w:r>
          </w:p>
        </w:tc>
        <w:tc>
          <w:tcPr>
            <w:tcW w:w="0" w:type="auto"/>
          </w:tcPr>
          <w:p>
            <w:pPr>
              <w:spacing w:line="240" w:lineRule="auto" w:before="0" w:after="0"/>
              <w:pStyle w:val="Compact"/>
            </w:pPr>
            <w:r>
              <w:rPr>
                <w:sz w:val="20"/>
                <w:szCs w:val="20"/>
              </w:rPr>
              <w:t xml:space="preserve">2.8592</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[0.1786, 0.9571]</w:t>
            </w:r>
          </w:p>
        </w:tc>
      </w:tr>
    </w:tbl>
    <w:p>
      <w:pPr>
        <w:pStyle w:val="BodyText"/>
        <w:spacing w:line="480" w:lineRule="auto"/>
        <w:ind w:firstLine="720"/>
      </w:pPr>
      <w:r>
        <w:t xml:space="preserve">Fit: N = 30 R2 = 0.1909 elasticity_b = 0.5678 progress_ratio_2^b = 1.4823</w:t>
      </w:r>
    </w:p>
    <w:bookmarkEnd w:id="179"/>
    <w:bookmarkStart w:id="18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unar lander unit cost versus cumulative provider experience, 1966 through 2027 delivery manifest, with log-log Wright learning curve fit." title="" id="181" name="Picture"/>
            <a:graphic>
              <a:graphicData uri="http://schemas.openxmlformats.org/drawingml/2006/picture">
                <pic:pic>
                  <pic:nvPicPr>
                    <pic:cNvPr descr="D:/Claude_Code/brain/collegium/candidates/dissertations/JPL_PLANETARY_11/research_papers/p2/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Lunar lander unit cost versus cumulative provider experience, 1966 through 2027 delivery manifest, with log-log Wright learning curve fit.</w:t>
      </w:r>
    </w:p>
    <w:bookmarkEnd w:id="183"/>
    <w:bookmarkStart w:id="18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provider</w:t>
            </w:r>
          </w:p>
        </w:tc>
        <w:tc>
          <w:tcPr>
            <w:tcW w:w="0" w:type="auto"/>
          </w:tcPr>
          <w:p>
            <w:pPr>
              <w:spacing w:line="240" w:lineRule="auto" w:before="0" w:after="0"/>
              <w:pStyle w:val="Compact"/>
            </w:pPr>
            <w:r>
              <w:rPr>
                <w:sz w:val="20"/>
                <w:szCs w:val="20"/>
              </w:rPr>
              <w:t xml:space="preserve">cumulative_unit</w:t>
            </w:r>
          </w:p>
        </w:tc>
        <w:tc>
          <w:tcPr>
            <w:tcW w:w="0" w:type="auto"/>
          </w:tcPr>
          <w:p>
            <w:pPr>
              <w:spacing w:line="240" w:lineRule="auto" w:before="0" w:after="0"/>
              <w:pStyle w:val="Compact"/>
            </w:pPr>
            <w:r>
              <w:rPr>
                <w:sz w:val="20"/>
                <w:szCs w:val="20"/>
              </w:rPr>
              <w:t xml:space="preserve">cost_musd_fy24</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Surveyor_1</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program fact sheet; NASA historical cost archive (inflation-adjusted FY24)</w:t>
            </w:r>
          </w:p>
        </w:tc>
      </w:tr>
      <w:tr>
        <w:tc>
          <w:tcPr>
            <w:tcW w:w="0" w:type="auto"/>
          </w:tcPr>
          <w:p>
            <w:pPr>
              <w:spacing w:line="240" w:lineRule="auto" w:before="0" w:after="0"/>
              <w:pStyle w:val="Compact"/>
            </w:pPr>
            <w:r>
              <w:rPr>
                <w:sz w:val="20"/>
                <w:szCs w:val="20"/>
              </w:rPr>
              <w:t xml:space="preserve">Surveyor_3</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3 fact sheet</w:t>
            </w:r>
          </w:p>
        </w:tc>
      </w:tr>
      <w:tr>
        <w:tc>
          <w:tcPr>
            <w:tcW w:w="0" w:type="auto"/>
          </w:tcPr>
          <w:p>
            <w:pPr>
              <w:spacing w:line="240" w:lineRule="auto" w:before="0" w:after="0"/>
              <w:pStyle w:val="Compact"/>
            </w:pPr>
            <w:r>
              <w:rPr>
                <w:sz w:val="20"/>
                <w:szCs w:val="20"/>
              </w:rPr>
              <w:t xml:space="preserve">Surveyor_5</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5 fact sheet</w:t>
            </w:r>
          </w:p>
        </w:tc>
      </w:tr>
      <w:tr>
        <w:tc>
          <w:tcPr>
            <w:tcW w:w="0" w:type="auto"/>
          </w:tcPr>
          <w:p>
            <w:pPr>
              <w:spacing w:line="240" w:lineRule="auto" w:before="0" w:after="0"/>
              <w:pStyle w:val="Compact"/>
            </w:pPr>
            <w:r>
              <w:rPr>
                <w:sz w:val="20"/>
                <w:szCs w:val="20"/>
              </w:rPr>
              <w:t xml:space="preserve">Surveyor_6</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6 fact sheet</w:t>
            </w:r>
          </w:p>
        </w:tc>
      </w:tr>
      <w:tr>
        <w:tc>
          <w:tcPr>
            <w:tcW w:w="0" w:type="auto"/>
          </w:tcPr>
          <w:p>
            <w:pPr>
              <w:spacing w:line="240" w:lineRule="auto" w:before="0" w:after="0"/>
              <w:pStyle w:val="Compact"/>
            </w:pPr>
            <w:r>
              <w:rPr>
                <w:sz w:val="20"/>
                <w:szCs w:val="20"/>
              </w:rPr>
              <w:t xml:space="preserve">Surveyor_7</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7 fact sheet</w:t>
            </w:r>
          </w:p>
        </w:tc>
      </w:tr>
      <w:tr>
        <w:tc>
          <w:tcPr>
            <w:tcW w:w="0" w:type="auto"/>
          </w:tcPr>
          <w:p>
            <w:pPr>
              <w:spacing w:line="240" w:lineRule="auto" w:before="0" w:after="0"/>
              <w:pStyle w:val="Compact"/>
            </w:pPr>
            <w:r>
              <w:rPr>
                <w:sz w:val="20"/>
                <w:szCs w:val="20"/>
              </w:rPr>
              <w:t xml:space="preserve">Luna_16</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NASA NSSDCA Luna 16 entry; Siddiqi Deep Space Chronicle (NASA SP-2002-4524) [illustrative inflation conversion]</w:t>
            </w:r>
          </w:p>
        </w:tc>
      </w:tr>
      <w:tr>
        <w:tc>
          <w:tcPr>
            <w:tcW w:w="0" w:type="auto"/>
          </w:tcPr>
          <w:p>
            <w:pPr>
              <w:spacing w:line="240" w:lineRule="auto" w:before="0" w:after="0"/>
              <w:pStyle w:val="Compact"/>
            </w:pPr>
            <w:r>
              <w:rPr>
                <w:sz w:val="20"/>
                <w:szCs w:val="20"/>
              </w:rPr>
              <w:t xml:space="preserve">Luna_17</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NASA NSSDCA Luna 17/Lunokhod 1 entry; Siddiqi Deep Space Chronicle [illustrative]</w:t>
            </w:r>
          </w:p>
        </w:tc>
      </w:tr>
      <w:tr>
        <w:tc>
          <w:tcPr>
            <w:tcW w:w="0" w:type="auto"/>
          </w:tcPr>
          <w:p>
            <w:pPr>
              <w:spacing w:line="240" w:lineRule="auto" w:before="0" w:after="0"/>
              <w:pStyle w:val="Compact"/>
            </w:pPr>
            <w:r>
              <w:rPr>
                <w:sz w:val="20"/>
                <w:szCs w:val="20"/>
              </w:rPr>
              <w:t xml:space="preserve">Luna_20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NASA NSSDCA Luna 20 entry; Siddiqi Deep Space Chronicle [illustrative]</w:t>
            </w:r>
          </w:p>
        </w:tc>
      </w:tr>
      <w:tr>
        <w:tc>
          <w:tcPr>
            <w:tcW w:w="0" w:type="auto"/>
          </w:tcPr>
          <w:p>
            <w:pPr>
              <w:spacing w:line="240" w:lineRule="auto" w:before="0" w:after="0"/>
              <w:pStyle w:val="Compact"/>
            </w:pPr>
            <w:r>
              <w:rPr>
                <w:sz w:val="20"/>
                <w:szCs w:val="20"/>
              </w:rPr>
              <w:t xml:space="preserve">Luna_21</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NASA NSSDCA Luna 21/Lunokhod 2 entry; Siddiqi Deep Space Chronicle [illustrative]</w:t>
            </w:r>
          </w:p>
        </w:tc>
      </w:tr>
      <w:tr>
        <w:tc>
          <w:tcPr>
            <w:tcW w:w="0" w:type="auto"/>
          </w:tcPr>
          <w:p>
            <w:pPr>
              <w:spacing w:line="240" w:lineRule="auto" w:before="0" w:after="0"/>
              <w:pStyle w:val="Compact"/>
            </w:pPr>
            <w:r>
              <w:rPr>
                <w:sz w:val="20"/>
                <w:szCs w:val="20"/>
              </w:rPr>
              <w:t xml:space="preserve">Luna_24</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NASA NSSDCA Luna 24 entry; Siddiqi Deep Space Chronicle [illustrative]</w:t>
            </w:r>
          </w:p>
        </w:tc>
      </w:tr>
      <w:tr>
        <w:tc>
          <w:tcPr>
            <w:tcW w:w="0" w:type="auto"/>
          </w:tcPr>
          <w:p>
            <w:pPr>
              <w:spacing w:line="240" w:lineRule="auto" w:before="0" w:after="0"/>
              <w:pStyle w:val="Compact"/>
            </w:pPr>
            <w:r>
              <w:rPr>
                <w:sz w:val="20"/>
                <w:szCs w:val="20"/>
              </w:rPr>
              <w:t xml:space="preserve">Change_3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CNSA_CAST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CNSA Chang’e-3 mission press materials; Jones Andrew Spacenews Chang’e program reporting (FY24 conversion)</w:t>
            </w:r>
          </w:p>
        </w:tc>
      </w:tr>
      <w:tr>
        <w:tc>
          <w:tcPr>
            <w:tcW w:w="0" w:type="auto"/>
          </w:tcPr>
          <w:p>
            <w:pPr>
              <w:spacing w:line="240" w:lineRule="auto" w:before="0" w:after="0"/>
              <w:pStyle w:val="Compact"/>
            </w:pPr>
            <w:r>
              <w:rPr>
                <w:sz w:val="20"/>
                <w:szCs w:val="20"/>
              </w:rPr>
              <w:t xml:space="preserve">Change_4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CNSA_CAST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CNSA Chang’e-4 mission press; Jones Spacenews Chang’e-4 cost reporting</w:t>
            </w:r>
          </w:p>
        </w:tc>
      </w:tr>
      <w:tr>
        <w:tc>
          <w:tcPr>
            <w:tcW w:w="0" w:type="auto"/>
          </w:tcPr>
          <w:p>
            <w:pPr>
              <w:spacing w:line="240" w:lineRule="auto" w:before="0" w:after="0"/>
              <w:pStyle w:val="Compact"/>
            </w:pPr>
            <w:r>
              <w:rPr>
                <w:sz w:val="20"/>
                <w:szCs w:val="20"/>
              </w:rPr>
              <w:t xml:space="preserve">Change_5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CNSA_CAST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CNSA Chang’e-5 sample return press kit; Jones Spacenews coverage</w:t>
            </w:r>
          </w:p>
        </w:tc>
      </w:tr>
      <w:tr>
        <w:tc>
          <w:tcPr>
            <w:tcW w:w="0" w:type="auto"/>
          </w:tcPr>
          <w:p>
            <w:pPr>
              <w:spacing w:line="240" w:lineRule="auto" w:before="0" w:after="0"/>
              <w:pStyle w:val="Compact"/>
            </w:pPr>
            <w:r>
              <w:rPr>
                <w:sz w:val="20"/>
                <w:szCs w:val="20"/>
              </w:rPr>
              <w:t xml:space="preserve">Change_6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CNSA_CAST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CNSA Chang’e-6 sample return press kit (2024)</w:t>
            </w:r>
          </w:p>
        </w:tc>
      </w:tr>
      <w:tr>
        <w:tc>
          <w:tcPr>
            <w:tcW w:w="0" w:type="auto"/>
          </w:tcPr>
          <w:p>
            <w:pPr>
              <w:spacing w:line="240" w:lineRule="auto" w:before="0" w:after="0"/>
              <w:pStyle w:val="Compact"/>
            </w:pPr>
            <w:r>
              <w:rPr>
                <w:sz w:val="20"/>
                <w:szCs w:val="20"/>
              </w:rPr>
              <w:t xml:space="preserve">Vikram_C1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ISRO Chandrayaan-2 mission overview; PIB India release on Chandrayaan-2 cost (Rs 978 crore)</w:t>
            </w:r>
          </w:p>
        </w:tc>
      </w:tr>
      <w:tr>
        <w:tc>
          <w:tcPr>
            <w:tcW w:w="0" w:type="auto"/>
          </w:tcPr>
          <w:p>
            <w:pPr>
              <w:spacing w:line="240" w:lineRule="auto" w:before="0" w:after="0"/>
              <w:pStyle w:val="Compact"/>
            </w:pPr>
            <w:r>
              <w:rPr>
                <w:sz w:val="20"/>
                <w:szCs w:val="20"/>
              </w:rPr>
              <w:t xml:space="preserve">Vikram_C3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ISRO Chandrayaan-3 mission overview; PIB India release Chandrayaan-3 cost (Rs 615 crore)</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JAXA SLIM Small Lunar Lander mission press kit</w:t>
            </w:r>
          </w:p>
        </w:tc>
      </w:tr>
      <w:tr>
        <w:tc>
          <w:tcPr>
            <w:tcW w:w="0" w:type="auto"/>
          </w:tcPr>
          <w:p>
            <w:pPr>
              <w:spacing w:line="240" w:lineRule="auto" w:before="0" w:after="0"/>
              <w:pStyle w:val="Compact"/>
            </w:pPr>
            <w:r>
              <w:rPr>
                <w:sz w:val="20"/>
                <w:szCs w:val="20"/>
              </w:rPr>
              <w:t xml:space="preserve">Hakuto_R_M1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ispace HAKUTO-R Mission 1 press kit; ispace IPO prospectus 2023</w:t>
            </w:r>
          </w:p>
        </w:tc>
      </w:tr>
      <w:tr>
        <w:tc>
          <w:tcPr>
            <w:tcW w:w="0" w:type="auto"/>
          </w:tcPr>
          <w:p>
            <w:pPr>
              <w:spacing w:line="240" w:lineRule="auto" w:before="0" w:after="0"/>
              <w:pStyle w:val="Compact"/>
            </w:pPr>
            <w:r>
              <w:rPr>
                <w:sz w:val="20"/>
                <w:szCs w:val="20"/>
              </w:rPr>
              <w:t xml:space="preserve">Hakuto_R_M2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ispace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ispace HAKUTO-R Mission 2 (RESILIENCE) press kit</w:t>
            </w:r>
          </w:p>
        </w:tc>
      </w:tr>
      <w:tr>
        <w:tc>
          <w:tcPr>
            <w:tcW w:w="0" w:type="auto"/>
          </w:tcPr>
          <w:p>
            <w:pPr>
              <w:spacing w:line="240" w:lineRule="auto" w:before="0" w:after="0"/>
              <w:pStyle w:val="Compact"/>
            </w:pPr>
            <w:r>
              <w:rPr>
                <w:sz w:val="20"/>
                <w:szCs w:val="20"/>
              </w:rPr>
              <w:t xml:space="preserve">Peregrine_M1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GAO-25-107591 NASA CLPS task order schedule; Astrobotic Peregrine TO 2-AB price (108 MUSD) [as-awarded]</w:t>
            </w:r>
          </w:p>
        </w:tc>
      </w:tr>
      <w:tr>
        <w:tc>
          <w:tcPr>
            <w:tcW w:w="0" w:type="auto"/>
          </w:tcPr>
          <w:p>
            <w:pPr>
              <w:spacing w:line="240" w:lineRule="auto" w:before="0" w:after="0"/>
              <w:pStyle w:val="Compact"/>
            </w:pPr>
            <w:r>
              <w:rPr>
                <w:sz w:val="20"/>
                <w:szCs w:val="20"/>
              </w:rPr>
              <w:t xml:space="preserve">Griffin_M1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GAO-25-107591 NASA Major Project Assessment CLPS section; Astrobotic Griffin VIPER delivery task order</w:t>
            </w:r>
          </w:p>
        </w:tc>
      </w:tr>
      <w:tr>
        <w:tc>
          <w:tcPr>
            <w:tcW w:w="0" w:type="auto"/>
          </w:tcPr>
          <w:p>
            <w:pPr>
              <w:spacing w:line="240" w:lineRule="auto" w:before="0" w:after="0"/>
              <w:pStyle w:val="Compact"/>
            </w:pPr>
            <w:r>
              <w:rPr>
                <w:sz w:val="20"/>
                <w:szCs w:val="20"/>
              </w:rPr>
              <w:t xml:space="preserve">Nova_C_IM1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Intuitive_Machines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GAO-25-107591 NASA CLPS task order schedule; Intuitive Machines IM-1 contract value (Nova-C TO 2-IM)</w:t>
            </w:r>
          </w:p>
        </w:tc>
      </w:tr>
      <w:tr>
        <w:tc>
          <w:tcPr>
            <w:tcW w:w="0" w:type="auto"/>
          </w:tcPr>
          <w:p>
            <w:pPr>
              <w:spacing w:line="240" w:lineRule="auto" w:before="0" w:after="0"/>
              <w:pStyle w:val="Compact"/>
            </w:pPr>
            <w:r>
              <w:rPr>
                <w:sz w:val="20"/>
                <w:szCs w:val="20"/>
              </w:rPr>
              <w:t xml:space="preserve">Nova_C_IM2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Intuitive_Machines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116.9</w:t>
            </w:r>
          </w:p>
        </w:tc>
        <w:tc>
          <w:tcPr>
            <w:tcW w:w="0" w:type="auto"/>
          </w:tcPr>
          <w:p>
            <w:pPr>
              <w:spacing w:line="240" w:lineRule="auto" w:before="0" w:after="0"/>
              <w:pStyle w:val="Compact"/>
            </w:pPr>
            <w:r>
              <w:rPr>
                <w:sz w:val="20"/>
                <w:szCs w:val="20"/>
              </w:rPr>
              <w:t xml:space="preserve">GAO-25-107591 CLPS task order schedule; Intuitive Machines IM-2 contract value (PRIME-1)</w:t>
            </w:r>
          </w:p>
        </w:tc>
      </w:tr>
      <w:tr>
        <w:tc>
          <w:tcPr>
            <w:tcW w:w="0" w:type="auto"/>
          </w:tcPr>
          <w:p>
            <w:pPr>
              <w:spacing w:line="240" w:lineRule="auto" w:before="0" w:after="0"/>
              <w:pStyle w:val="Compact"/>
            </w:pPr>
            <w:r>
              <w:rPr>
                <w:sz w:val="20"/>
                <w:szCs w:val="20"/>
              </w:rPr>
              <w:t xml:space="preserve">Nova_C_IM3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Intuitive_Machines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GAO-25-107591 CLPS task order schedule; Intuitive Machines IM-3 contract value</w:t>
            </w:r>
          </w:p>
        </w:tc>
      </w:tr>
      <w:tr>
        <w:tc>
          <w:tcPr>
            <w:tcW w:w="0" w:type="auto"/>
          </w:tcPr>
          <w:p>
            <w:pPr>
              <w:spacing w:line="240" w:lineRule="auto" w:before="0" w:after="0"/>
              <w:pStyle w:val="Compact"/>
            </w:pPr>
            <w:r>
              <w:rPr>
                <w:sz w:val="20"/>
                <w:szCs w:val="20"/>
              </w:rPr>
              <w:t xml:space="preserve">Nova_C_IM4</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Intuitive_Machines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GAO-25-107591 CLPS task order schedule; Intuitive Machines IM-4 contract value</w:t>
            </w:r>
          </w:p>
        </w:tc>
      </w:tr>
      <w:tr>
        <w:tc>
          <w:tcPr>
            <w:tcW w:w="0" w:type="auto"/>
          </w:tcPr>
          <w:p>
            <w:pPr>
              <w:spacing w:line="240" w:lineRule="auto" w:before="0" w:after="0"/>
              <w:pStyle w:val="Compact"/>
            </w:pPr>
            <w:r>
              <w:rPr>
                <w:sz w:val="20"/>
                <w:szCs w:val="20"/>
              </w:rPr>
              <w:t xml:space="preserve">Blue_Ghost_M1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Firefly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GAO-25-107591 CLPS task order schedule; Firefly Blue Ghost Mission 1 contract value</w:t>
            </w:r>
          </w:p>
        </w:tc>
      </w:tr>
      <w:tr>
        <w:tc>
          <w:tcPr>
            <w:tcW w:w="0" w:type="auto"/>
          </w:tcPr>
          <w:p>
            <w:pPr>
              <w:spacing w:line="240" w:lineRule="auto" w:before="0" w:after="0"/>
              <w:pStyle w:val="Compact"/>
            </w:pPr>
            <w:r>
              <w:rPr>
                <w:sz w:val="20"/>
                <w:szCs w:val="20"/>
              </w:rPr>
              <w:t xml:space="preserve">Blue_Ghost_M2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Firefly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GAO-25-107591 CLPS task order schedule; Firefly Blue Ghost Mission 2 contract value</w:t>
            </w:r>
          </w:p>
        </w:tc>
      </w:tr>
      <w:tr>
        <w:tc>
          <w:tcPr>
            <w:tcW w:w="0" w:type="auto"/>
          </w:tcPr>
          <w:p>
            <w:pPr>
              <w:spacing w:line="240" w:lineRule="auto" w:before="0" w:after="0"/>
              <w:pStyle w:val="Compact"/>
            </w:pPr>
            <w:r>
              <w:rPr>
                <w:sz w:val="20"/>
                <w:szCs w:val="20"/>
              </w:rPr>
              <w:t xml:space="preserve">Draper_SERIES2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GAO-25-107591 CLPS task order schedule; Draper SERIES-2 lander task order value</w:t>
            </w:r>
          </w:p>
        </w:tc>
      </w:tr>
      <w:tr>
        <w:tc>
          <w:tcPr>
            <w:tcW w:w="0" w:type="auto"/>
          </w:tcPr>
          <w:p>
            <w:pPr>
              <w:spacing w:line="240" w:lineRule="auto" w:before="0" w:after="0"/>
              <w:pStyle w:val="Compact"/>
            </w:pPr>
            <w:r>
              <w:rPr>
                <w:sz w:val="20"/>
                <w:szCs w:val="20"/>
              </w:rPr>
              <w:t xml:space="preserve">Blue_Moon_MK1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Blue_Origin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Blue Origin Blue Moon MK1 pathfinder NASA press release 2023 [illustrative non-CLPS price floor]</w:t>
            </w:r>
          </w:p>
        </w:tc>
      </w:tr>
      <w:tr>
        <w:tc>
          <w:tcPr>
            <w:tcW w:w="0" w:type="auto"/>
          </w:tcPr>
          <w:p>
            <w:pPr>
              <w:spacing w:line="240" w:lineRule="auto" w:before="0" w:after="0"/>
              <w:pStyle w:val="Compact"/>
            </w:pPr>
            <w:r>
              <w:rPr>
                <w:sz w:val="20"/>
                <w:szCs w:val="20"/>
              </w:rPr>
              <w:t xml:space="preserve">APEX_1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GAO-25-107591 CLPS task order schedule; Ceres Robotics APEX-1 lander contract value</w:t>
            </w:r>
          </w:p>
        </w:tc>
      </w:tr>
    </w:tbl>
    <w:bookmarkEnd w:id="184"/>
    <w:bookmarkStart w:id="18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cost_musd_fy24</w:t>
            </w:r>
          </w:p>
        </w:tc>
        <w:tc>
          <w:tcPr>
            <w:tcW w:w="0" w:type="auto"/>
          </w:tcPr>
          <w:p>
            <w:pPr>
              <w:spacing w:line="240" w:lineRule="auto" w:before="0" w:after="0"/>
              <w:pStyle w:val="Compact"/>
            </w:pPr>
            <w:r>
              <w:rPr>
                <w:sz w:val="20"/>
                <w:szCs w:val="20"/>
              </w:rPr>
              <w:t xml:space="preserve">Per-mission lander delivery cost in FY2024 USD millions</w:t>
            </w:r>
          </w:p>
        </w:tc>
        <w:tc>
          <w:tcPr>
            <w:tcW w:w="0" w:type="auto"/>
          </w:tcPr>
          <w:p>
            <w:pPr>
              <w:spacing w:line="240" w:lineRule="auto" w:before="0" w:after="0"/>
              <w:pStyle w:val="Compact"/>
            </w:pPr>
            <w:r>
              <w:rPr>
                <w:sz w:val="20"/>
                <w:szCs w:val="20"/>
              </w:rPr>
              <w:t xml:space="preserve">GAO-25-107591 NASA Major Project Assessment CLPS task order schedule for commercial deliveries; NASA NSSDCA fact sheets and Siddiqi Deep Space Chronicle (NASA SP-2002-4524) inflation-adjusted for historical Surveyor and Luna programs; ISRO PIB releases for Chandrayaan; JAXA SLIM press kit; CNSA Chang’e program press materials</w:t>
            </w:r>
          </w:p>
        </w:tc>
      </w:tr>
      <w:tr>
        <w:tc>
          <w:tcPr>
            <w:tcW w:w="0" w:type="auto"/>
          </w:tcPr>
          <w:p>
            <w:pPr>
              <w:spacing w:line="240" w:lineRule="auto" w:before="0" w:after="0"/>
              <w:pStyle w:val="Compact"/>
            </w:pPr>
            <w:r>
              <w:rPr>
                <w:sz w:val="20"/>
                <w:szCs w:val="20"/>
              </w:rPr>
              <w:t xml:space="preserve">cumulative_unit</w:t>
            </w:r>
          </w:p>
        </w:tc>
        <w:tc>
          <w:tcPr>
            <w:tcW w:w="0" w:type="auto"/>
          </w:tcPr>
          <w:p>
            <w:pPr>
              <w:spacing w:line="240" w:lineRule="auto" w:before="0" w:after="0"/>
              <w:pStyle w:val="Compact"/>
            </w:pPr>
            <w:r>
              <w:rPr>
                <w:sz w:val="20"/>
                <w:szCs w:val="20"/>
              </w:rPr>
              <w:t xml:space="preserve">Cumulative count of landers built by the given provider through mission i, starting at 1</w:t>
            </w:r>
          </w:p>
        </w:tc>
        <w:tc>
          <w:tcPr>
            <w:tcW w:w="0" w:type="auto"/>
          </w:tcPr>
          <w:p>
            <w:pPr>
              <w:spacing w:line="240" w:lineRule="auto" w:before="0" w:after="0"/>
              <w:pStyle w:val="Compact"/>
            </w:pPr>
            <w:r>
              <w:rPr>
                <w:sz w:val="20"/>
                <w:szCs w:val="20"/>
              </w:rPr>
              <w:t xml:space="preserve">Computed within provider series using year ordering; provider rosters cross-checked against GAO-25-107591 CLPS task order ledger and NASA NSSDCA archive</w:t>
            </w:r>
          </w:p>
        </w:tc>
      </w:tr>
    </w:tbl>
    <w:bookmarkEnd w:id="185"/>
    <w:bookmarkEnd w:id="186"/>
    <w:bookmarkEnd w:id="1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2" Type="http://schemas.openxmlformats.org/officeDocument/2006/relationships/image" Target="media/rId172.png"/><Relationship Id="rId180" Type="http://schemas.openxmlformats.org/officeDocument/2006/relationships/image" Target="media/rId180.png"/><Relationship Id="rId166" Type="http://schemas.openxmlformats.org/officeDocument/2006/relationships/hyperlink" Target="https://doi.org/10.1016/j.actaastro.2022.09.021" TargetMode="External"/><Relationship Id="rId162" Type="http://schemas.openxmlformats.org/officeDocument/2006/relationships/hyperlink" Target="https://doi.org/10.1016/j.actaastro.2023.05.042" TargetMode="External"/><Relationship Id="rId168" Type="http://schemas.openxmlformats.org/officeDocument/2006/relationships/hyperlink" Target="https://doi.org/10.1016/j.actaastro.2024.09.021" TargetMode="External"/><Relationship Id="rId164" Type="http://schemas.openxmlformats.org/officeDocument/2006/relationships/hyperlink" Target="https://doi.org/10.1016/j.actaastro.2024.11.021" TargetMode="External"/><Relationship Id="rId154" Type="http://schemas.openxmlformats.org/officeDocument/2006/relationships/hyperlink" Target="https://doi.org/10.1016/j.actaastro.2024.12.001" TargetMode="External"/><Relationship Id="rId160" Type="http://schemas.openxmlformats.org/officeDocument/2006/relationships/hyperlink" Target="https://doi.org/10.1016/j.actaastro.2025.03.017" TargetMode="External"/><Relationship Id="rId156" Type="http://schemas.openxmlformats.org/officeDocument/2006/relationships/hyperlink" Target="https://doi.org/10.1016/j.actaastro.2025.04.041" TargetMode="External"/><Relationship Id="rId158" Type="http://schemas.openxmlformats.org/officeDocument/2006/relationships/hyperlink" Target="https://doi.org/10.1016/j.actaastro.2025.08.021" TargetMode="External"/><Relationship Id="rId124" Type="http://schemas.openxmlformats.org/officeDocument/2006/relationships/hyperlink" Target="https://doi.org/10.64861/EZUN7130" TargetMode="External"/><Relationship Id="rId149" Type="http://schemas.openxmlformats.org/officeDocument/2006/relationships/hyperlink" Target="https://doi.org/10.64861/RBTM5104" TargetMode="External"/></Relationships>
</file>

<file path=word/_rels/footnotes.xml.rels><?xml version='1.0' encoding='UTF-8' standalone='yes'?>
<Relationships xmlns="http://schemas.openxmlformats.org/package/2006/relationships"><Relationship Id="rId166" Type="http://schemas.openxmlformats.org/officeDocument/2006/relationships/hyperlink" Target="https://doi.org/10.1016/j.actaastro.2022.09.021" TargetMode="External"/><Relationship Id="rId162" Type="http://schemas.openxmlformats.org/officeDocument/2006/relationships/hyperlink" Target="https://doi.org/10.1016/j.actaastro.2023.05.042" TargetMode="External"/><Relationship Id="rId168" Type="http://schemas.openxmlformats.org/officeDocument/2006/relationships/hyperlink" Target="https://doi.org/10.1016/j.actaastro.2024.09.021" TargetMode="External"/><Relationship Id="rId164" Type="http://schemas.openxmlformats.org/officeDocument/2006/relationships/hyperlink" Target="https://doi.org/10.1016/j.actaastro.2024.11.021" TargetMode="External"/><Relationship Id="rId154" Type="http://schemas.openxmlformats.org/officeDocument/2006/relationships/hyperlink" Target="https://doi.org/10.1016/j.actaastro.2024.12.001" TargetMode="External"/><Relationship Id="rId160" Type="http://schemas.openxmlformats.org/officeDocument/2006/relationships/hyperlink" Target="https://doi.org/10.1016/j.actaastro.2025.03.017" TargetMode="External"/><Relationship Id="rId156" Type="http://schemas.openxmlformats.org/officeDocument/2006/relationships/hyperlink" Target="https://doi.org/10.1016/j.actaastro.2025.04.041" TargetMode="External"/><Relationship Id="rId158" Type="http://schemas.openxmlformats.org/officeDocument/2006/relationships/hyperlink" Target="https://doi.org/10.1016/j.actaastro.2025.08.021" TargetMode="External"/><Relationship Id="rId124" Type="http://schemas.openxmlformats.org/officeDocument/2006/relationships/hyperlink" Target="https://doi.org/10.64861/EZUN7130" TargetMode="External"/><Relationship Id="rId149" Type="http://schemas.openxmlformats.org/officeDocument/2006/relationships/hyperlink" Target="https://doi.org/10.64861/RBTM5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Lunar Surface Instrument and Lander Cost Cliometrics: Is the Commercial Delivery Model Producing Statistically Detectable Unit-Cost Reductions Relative to the Conventional Procurement Counterfactual?</dc:title>
  <dc:creator>Marina Petrov (1B-LUN-099)</dc:creator>
  <cp:keywords/>
  <dcterms:created xsi:type="dcterms:W3CDTF">2026-07-02T17:11:43Z</dcterms:created>
  <dcterms:modified xsi:type="dcterms:W3CDTF">2026-07-02T17:11:43Z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