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03e0db3836260a1817c00260b9fccdf8c4ab0b0"/>
    <w:p>
      <w:pPr>
        <w:pStyle w:val="Heading1"/>
      </w:pPr>
      <w:r>
        <w:t xml:space="preserve">Diseconomies of Patience: A Learning-Curve Estimate of How Deep Space Technology Maturation Cost Scales with Accumulated Development Time</w:t>
      </w:r>
    </w:p>
    <w:bookmarkStart w:id="61" w:name="introduction"/>
    <w:p>
      <w:pPr>
        <w:pStyle w:val="Heading2"/>
      </w:pPr>
      <w:r>
        <w:t xml:space="preserve">1. Introduction</w:t>
      </w:r>
    </w:p>
    <w:p>
      <w:pPr>
        <w:pStyle w:val="FirstParagraph"/>
      </w:pPr>
      <w:r>
        <w:t xml:space="preserve">Deep space and interstellar precursor capabilities are bought twice: once in dollars and once in years. Program managers tend to treat the second currency as a free amplifier of the first, assuming that a maturation campaign held open across additional fiscal years simply spends at a steady annual rate. If that assumption holds, then schedule and budget are interchangeable, and a program that takes twice as long to reach its readiness milestone should cost roughly twice as much. The premise behind this paper is that the assumption may be wrong in a specific and consequential direction. Standing armies of engineers, test facilities held on retainer, requirements that drift while the calendar advances, and the compounding integration burden of a longer program may all conspire to make accumulated development time a more than proportional driver of cost.</w:t>
      </w:r>
    </w:p>
    <w:p>
      <w:pPr>
        <w:pStyle w:val="BodyText"/>
      </w:pPr>
      <w:r>
        <w:t xml:space="preserve">This paper estimates the elasticity of technology maturation cost with respect to cumulative funded development duration across a documented sample of deep space and interstellar precursor technology programs. The estimand is the learning-curve slope in a log-log specification: a single number that says, for a one percent increase in the time a program has been funded, by what percent its total maturation cost rises. A slope of one is the scale-neutral baseline. A slope above one is the diseconomy of patience, the hypothesis that calendar time amplifies rather than merely accompanies cost.</w:t>
      </w:r>
    </w:p>
    <w:p>
      <w:pPr>
        <w:pStyle w:val="BodyText"/>
      </w:pPr>
      <w:r>
        <w:t xml:space="preserve">The contribution is empirical rather than theoretical. Learning-curve and cost-estimating-relationship methods are mature in aerospace, but they are most often applied to unit production cost as a function of cumulative units produced. Here the experience axis is calendar time rather than production quantity, because precursor technologies are typically one-off or few-off articles for which a production learning curve does not exist. The question is whether the familiar log-log machinery, repointed at development duration, recovers a stable and interpretable elasticity for the deep space technology portfolio.</w:t>
      </w:r>
    </w:p>
    <w:bookmarkEnd w:id="61"/>
    <w:bookmarkStart w:id="62" w:name="theory-and-hypotheses"/>
    <w:p>
      <w:pPr>
        <w:pStyle w:val="Heading2"/>
      </w:pPr>
      <w:r>
        <w:t xml:space="preserve">2. Theory and Hypotheses</w:t>
      </w:r>
    </w:p>
    <w:p>
      <w:pPr>
        <w:pStyle w:val="FirstParagraph"/>
      </w:pPr>
      <w:r>
        <w:t xml:space="preserve">The classical learning curve holds that cost declines as cumulative experience accumulates, with a constant fractional reduction per doubling of experience</w:t>
      </w:r>
      <w:r>
        <w:t xml:space="preserve"> </w:t>
      </w:r>
      <w:hyperlink w:anchor="ref-1">
        <m:oMathPara>
          <m:oMathParaPr>
            <m:jc m:val="center"/>
          </m:oMathParaPr>
          <m:oMath>
            <m:r>
              <m:t>1</m:t>
            </m:r>
          </m:oMath>
        </m:oMathPara>
      </w:hyperlink>
      <w:r>
        <w:t xml:space="preserve">. That formulation assumes repeated production of the same article, where each unit teaches the workforce something that lowers the cost of the next. Deep space precursor technologies invert the usual setting. There is rarely a second unit to learn from, and the accumulating quantity is not articles produced but months funded. In this setting the log-log slope no longer measures a manufacturing learning rate; it measures how the cost of a maturation campaign scales with the duration over which that campaign is sustained.</w:t>
      </w:r>
    </w:p>
    <w:p>
      <w:pPr>
        <w:pStyle w:val="FirstParagraph"/>
      </w:pPr>
      <w:r>
        <w:t xml:space="preserve">Two competing accounts predict opposite signs for the departure of the elasticity from one. The first, drawn from the economics of project management, anticipates a diseconomy. Long-running development programs carry a fixed institutional overhead that does not decline with time, sustain larger standing teams as integration complexity grows, and absorb requirements churn and technology obsolescence that each additional year invites</w:t>
      </w:r>
      <w:r>
        <w:t xml:space="preserve"> </w:t>
      </w:r>
      <w:hyperlink w:anchor="ref-2">
        <m:oMathPara>
          <m:oMathParaPr>
            <m:jc m:val="center"/>
          </m:oMathParaPr>
          <m:oMath>
            <m:r>
              <m:t>2</m:t>
            </m:r>
          </m:oMath>
        </m:oMathPara>
      </w:hyperlink>
      <w:r>
        <w:t xml:space="preserve">. Under this account the marginal year of a maturation program is more expensive than the average year that preceded it, and the elasticity exceeds one. The second account anticipates an economy: programs that proceed deliberately may avoid the rework and concurrency penalties that afflict schedule-compressed efforts, so that cost rises less than proportionally with patient development</w:t>
      </w:r>
      <w:r>
        <w:t xml:space="preserve"> </w:t>
      </w:r>
      <w:hyperlink w:anchor="ref-3">
        <m:oMathPara>
          <m:oMathParaPr>
            <m:jc m:val="center"/>
          </m:oMathParaPr>
          <m:oMath>
            <m:r>
              <m:t>3</m:t>
            </m:r>
          </m:oMath>
        </m:oMathPara>
      </w:hyperlink>
      <w:r>
        <w:t xml:space="preserve">. The empirical sign is therefore not settled a priori.</w:t>
      </w:r>
    </w:p>
    <w:p>
      <w:pPr>
        <w:pStyle w:val="FirstParagraph"/>
      </w:pPr>
      <w:r>
        <w:t xml:space="preserve">The deep space technology record supplies reasons to expect the diseconomy to dominate. Technology readiness assessment practice treats the final increments toward flight readiness as the most resource-intensive, because relevant-environment demonstration and qualification testing concentrate near the end of a maturation campaign and lengthen it disproportionately</w:t>
      </w:r>
      <w:r>
        <w:t xml:space="preserve"> </w:t>
      </w:r>
      <w:hyperlink w:anchor="ref-4">
        <m:oMathPara>
          <m:oMathParaPr>
            <m:jc m:val="center"/>
          </m:oMathParaPr>
          <m:oMath>
            <m:r>
              <m:t>4</m:t>
            </m:r>
          </m:oMath>
        </m:oMathPara>
      </w:hyperlink>
      <w:r>
        <w:t xml:space="preserve">. Program-status reporting for flagship deep space missions documents that schedule slips and cost growth co-move, with each additional development year associated with new overruns rather than with a constant burn</w:t>
      </w:r>
      <w:r>
        <w:t xml:space="preserve"> </w:t>
      </w:r>
      <w:hyperlink w:anchor="ref-5">
        <m:oMathPara>
          <m:oMathParaPr>
            <m:jc m:val="center"/>
          </m:oMathParaPr>
          <m:oMath>
            <m:r>
              <m:t>5</m:t>
            </m:r>
          </m:oMath>
        </m:oMathPara>
      </w:hyperlink>
      <w:r>
        <w:t xml:space="preserve">. Cross-program assessments of the portfolio note that the longest-running formulation efforts are also among the most expensive, a pattern consistent with calendar time as a cost amplifier rather than a neutral input</w:t>
      </w:r>
      <w:r>
        <w:t xml:space="preserve"> </w:t>
      </w:r>
      <w:hyperlink w:anchor="ref-2">
        <m:oMathPara>
          <m:oMathParaPr>
            <m:jc m:val="center"/>
          </m:oMathParaPr>
          <m:oMath>
            <m:r>
              <m:t>2</m:t>
            </m:r>
          </m:oMath>
        </m:oMathPara>
      </w:hyperlink>
      <w:r>
        <w:t xml:space="preserve">.</w:t>
      </w:r>
    </w:p>
    <w:p>
      <w:pPr>
        <w:pStyle w:val="FirstParagraph"/>
      </w:pPr>
      <w:r>
        <w:t xml:space="preserve">This yields the central hypothesis pair. H0, the constant-returns baseline, holds that the cost-time elasticity equals one, so maturation cost rises proportionally with accumulated development duration and time is scale-neutral. H1, the diseconomy of patience, holds that the elasticity exceeds one, so each doubling of accumulated development time more than doubles cost, identifying calendar time as a structural cost driver that program planning should price explicitly.</w:t>
      </w:r>
    </w:p>
    <w:bookmarkEnd w:id="62"/>
    <w:bookmarkStart w:id="63" w:name="data"/>
    <w:p>
      <w:pPr>
        <w:pStyle w:val="Heading2"/>
      </w:pPr>
      <w:r>
        <w:t xml:space="preserve">3. Data</w:t>
      </w:r>
    </w:p>
    <w:p>
      <w:pPr>
        <w:pStyle w:val="FirstParagraph"/>
      </w:pPr>
      <w:r>
        <w:t xml:space="preserve">The dataset comprises eighteen deep space and interstellar precursor technology programs for which both a total inflation-adjusted maturation cost and a cumulative funded development duration could be documented from named sources. Programs span electric propulsion (NSTAR, NEXT-C, AEPS, the X3 nested Hall thruster, VASIMR, the Psyche-class SPT-140, and the nuclear electric propulsion maturation effort), space nuclear and radioisotope power (the KRUSTY Kilopower reactor, MMRTG, and the cancelled Advanced Stirling Radioisotope Generator, whose program costs are documented in NASA Radioisotope Power Systems reporting</w:t>
      </w:r>
      <w:r>
        <w:t xml:space="preserve"> </w:t>
      </w:r>
      <w:hyperlink w:anchor="ref-6">
        <m:oMathPara>
          <m:oMathParaPr>
            <m:jc m:val="center"/>
          </m:oMathParaPr>
          <m:oMath>
            <m:r>
              <m:t>6</m:t>
            </m:r>
          </m:oMath>
        </m:oMathPara>
      </w:hyperlink>
      <w:r>
        <w:t xml:space="preserve">), photovoltaic power (the Roll-Out Solar Array), optical and exoplanet instrumentation (the S5 Starshade occulter), in situ resource utilization (MOXIE), and integrated flagship instrument and mobility systems (the Europa Clipper radar, the Dragonfly rotorcraft, the NEO Surveyor survey telescope, and the DART kinetic impactor).</w:t>
      </w:r>
    </w:p>
    <w:p>
      <w:pPr>
        <w:pStyle w:val="FirstParagraph"/>
      </w:pPr>
      <w:r>
        <w:t xml:space="preserve">The dependent variable is total maturation or program cost in FY2025 USD millions. Each figure derives from a documented nominal cost reported by NASA program records, NASA TechPort, the NASA Technical Reports Server, GAO Major-Project assessments</w:t>
      </w:r>
      <w:r>
        <w:t xml:space="preserve"> </w:t>
      </w:r>
      <w:hyperlink w:anchor="ref-2">
        <m:oMathPara>
          <m:oMathParaPr>
            <m:jc m:val="center"/>
          </m:oMathParaPr>
          <m:oMath>
            <m:r>
              <m:t>2</m:t>
            </m:r>
          </m:oMath>
        </m:oMathPara>
      </w:hyperlink>
      <w:r>
        <w:t xml:space="preserve">, JPL press kits</w:t>
      </w:r>
      <w:r>
        <w:t xml:space="preserve"> </w:t>
      </w:r>
      <w:hyperlink w:anchor="ref-5">
        <m:oMathPara>
          <m:oMathParaPr>
            <m:jc m:val="center"/>
          </m:oMathParaPr>
          <m:oMath>
            <m:r>
              <m:t>5</m:t>
            </m:r>
          </m:oMath>
        </m:oMathPara>
      </w:hyperlink>
      <w:r>
        <w:t xml:space="preserve">, peer-reviewed program-status papers, or The Planetary Society cost analyses, adjusted to FY2025. The independent variable is cumulative funded development duration in months, measured from documented program initiation to the documented terminal readiness milestone. Costs range across more than two orders of magnitude, from roughly twenty million dollars for the Kilopower reactor demonstration to several billion for the flagship-embedded systems, and durations range from under four years to fifteen years. Of the eighteen observations, a single cost figure is marked illustrative where the program-level maturation slice was not separately published; this is under six percent of the sample. The complete row-level provenance is carried in the source column of the accompanying dataset.</w:t>
      </w:r>
    </w:p>
    <w:p>
      <w:pPr>
        <w:pStyle w:val="FirstParagraph"/>
      </w:pPr>
      <w:r>
        <w:t xml:space="preserve">The sample is heterogeneous by design. It mixes standalone technology demonstrations whose published cost is the maturation cost directly with flagship-embedded subsystems whose reported figure is the broader mission life-cycle cost. This heterogeneity widens the dispersion of the dependent variable and is discussed as a limitation in Section 6.</w:t>
      </w:r>
    </w:p>
    <w:bookmarkEnd w:id="63"/>
    <w:bookmarkStart w:id="64" w:name="method"/>
    <w:p>
      <w:pPr>
        <w:pStyle w:val="Heading2"/>
      </w:pPr>
      <w:r>
        <w:t xml:space="preserve">4. Method</w:t>
      </w:r>
    </w:p>
    <w:p>
      <w:pPr>
        <w:pStyle w:val="FirstParagraph"/>
      </w:pPr>
      <w:r>
        <w:t xml:space="preserve">The estimator is a log-log ordinary least squares regression, the canonical learning-curve specification. Natural log maturation cost is regressed on natural log development duration, so that the single slope coefficient is a constant elasticity that holds across the full range of program scale. The intercept locates the curve and the slope is the object of inference. Heteroskedasticity-robust standard errors are used because the variance of log cost plausibly differs across the propulsion, power, and instrument families.</w:t>
      </w:r>
    </w:p>
    <w:p>
      <w:pPr>
        <w:pStyle w:val="BodyText"/>
      </w:pPr>
      <w:r>
        <w:t xml:space="preserve">The slope admits two equivalent readings. As an elasticity it states the percent change in cost associated with a one percent change in development duration. As a progress ratio, computed as two raised to the slope, it states the multiplicative change in cost associated with each doubling of accumulated development time. A slope of one corresponds to a progress ratio of two, the scale-neutral case in which doubling the time doubles the cost. The hypothesis test of interest is whether the slope exceeds one, which is read directly from the coefficient and its robust standard error.</w:t>
      </w:r>
    </w:p>
    <w:bookmarkEnd w:id="64"/>
    <w:bookmarkStart w:id="65" w:name="findings"/>
    <w:p>
      <w:pPr>
        <w:pStyle w:val="Heading2"/>
      </w:pPr>
      <w:r>
        <w:t xml:space="preserve">5. Findings</w:t>
      </w:r>
    </w:p>
    <w:p>
      <w:pPr>
        <w:pStyle w:val="FirstParagraph"/>
      </w:pPr>
      <w:r>
        <w:t xml:space="preserve">The estimated cost-time elasticity is 1.79, with a robust standard error of 1.28 and a t-statistic of 1.40. The point estimate sits squarely in the H1 region: it is well above the constant-returns value of one, and the implied progress ratio of two raised to 1.79, which equals 3.46, says that each doubling of accumulated development time is associated with roughly a three-and-a-half-fold increase in maturation cost rather than the two-fold increase that proportional scaling would predict. Read literally, the point estimate describes calendar time as a strong cost amplifier in the deep space technology portfolio.</w:t>
      </w:r>
    </w:p>
    <w:p>
      <w:pPr>
        <w:pStyle w:val="BodyText"/>
      </w:pPr>
      <w:r>
        <w:t xml:space="preserve">The precision of that estimate, however, does not support a confident rejection of the baseline. The slope carries a p-value of 0.162, so it is not distinguishable from either the constant-returns value of one or from zero at conventional significance levels, and its ninety-five percent confidence interval runs from -0.72 to 4.31. The interval contains one, which means the data are consistent with the diseconomy of patience but cannot rule out scale neutrality, and it also contains zero and negative values, which means the data cannot even rule out the possibility that accumulated time is unrelated to cost in this sample. The intercept is estimated at -2.90 with a robust standard error of 5.50 and a p-value of 0.598, statistically indistinguishable from zero and carrying little interpretive weight on its own given the long extrapolation back to a one-month program. The model explains a modest share of the variation, with an R-squared of 0.14 across the eighteen programs.</w:t>
      </w:r>
    </w:p>
    <w:p>
      <w:pPr>
        <w:pStyle w:val="BodyText"/>
      </w:pPr>
      <w:r>
        <w:t xml:space="preserve">The honest summary is a directional finding without statistical confirmation. The central tendency of the deep space technology sample leans toward diseconomy: programs that accumulate more development time tend to cost more than proportionally more, the point estimate of the elasticity is well above one, and the progress ratio is well above the neutral value of two. But the dispersion in the eighteen-program sample is large enough that the slope is imprecisely estimated, and the constant-returns null cannot be rejected. The result motivates the diseconomy hypothesis and quantifies its candidate magnitude; it does not establish it.</w:t>
      </w:r>
    </w:p>
    <w:bookmarkEnd w:id="65"/>
    <w:bookmarkStart w:id="66" w:name="discussion"/>
    <w:p>
      <w:pPr>
        <w:pStyle w:val="Heading2"/>
      </w:pPr>
      <w:r>
        <w:t xml:space="preserve">6. Discussion</w:t>
      </w:r>
    </w:p>
    <w:p>
      <w:pPr>
        <w:pStyle w:val="FirstParagraph"/>
      </w:pPr>
      <w:r>
        <w:t xml:space="preserve">The value of an imprecise estimate of this kind lies in what it disciplines. A point elasticity of 1.79 with a progress ratio near 3.5 is a concrete, falsifiable claim about the cost behavior of the deep space technology portfolio, and it points planning attention toward the cost consequences of schedule rather than treating time as a free amplifier of budget. If even part of this elasticity survives a better-identified study, the planning implication is direct: holding a maturation campaign open for additional years is not a neutral way to spread cost but a structural driver of it, and schedule discipline becomes a cost-control instrument rather than a separate concern.</w:t>
      </w:r>
    </w:p>
    <w:p>
      <w:pPr>
        <w:pStyle w:val="BodyText"/>
      </w:pPr>
      <w:r>
        <w:t xml:space="preserve">The wide confidence interval is the headline limitation, and its sources are identifiable. The sample is small and structurally heterogeneous, mixing standalone demonstrations whose published cost is genuinely the maturation cost with flagship-embedded subsystems whose reported figure is a far larger mission life-cycle cost. The flagship observations sit at the top of the cost range and exert substantial leverage on a log-log slope, inflating both the point estimate and its standard error. A cleaner design would restrict the sample to standalone technology demonstrations with separately reported maturation budgets, or would add a control for whether a program is a standalone effort or a flagship-embedded subsystem, so that the elasticity is estimated within rather than across that distinction. The measurement of development duration is also coarse, resting on documented initiation and milestone dates that compress the funding history of multi-phase programs into a single interval.</w:t>
      </w:r>
    </w:p>
    <w:p>
      <w:pPr>
        <w:pStyle w:val="BodyText"/>
      </w:pPr>
      <w:r>
        <w:t xml:space="preserve">Three extensions follow. First, enlarging the sample with additional documented technology-demonstration budgets, particularly from NASA TechPort project records and Game Changing Development reporting, would tighten the interval and may move the slope into significance. Second, distinguishing the experience axis between calendar duration and cumulative obligated funding would separate the question of whether time amplifies cost from the question of whether money does. Third, a stratified estimation by technology family would test whether the diseconomy of patience is uniform across propulsion, power, and instrument programs or concentrated in the families whose qualification campaigns are longest. Each extension sharpens an estimate that, in its present form, names a plausible and policy-relevant relationship and quantifies its likely magnitude while honestly reporting that the deep space technology record is not yet rich enough to confirm it.</w:t>
      </w:r>
    </w:p>
    <w:bookmarkEnd w:id="66"/>
    <w:bookmarkStart w:id="73" w:name="references"/>
    <w:p>
      <w:pPr>
        <w:pStyle w:val="Heading2"/>
      </w:pPr>
      <w:r>
        <w:t xml:space="preserve">References</w:t>
      </w:r>
    </w:p>
    <w:p>
      <w:pPr>
        <w:pStyle w:val="FirstParagraph"/>
      </w:pPr>
      <w:bookmarkStart w:id="67" w:name="ref-1"/>
      <w:bookmarkEnd w:id="67"/>
      <w:r>
        <w:t xml:space="preserve">1. T. P. Wright,</w:t>
      </w:r>
      <w:r>
        <w:t xml:space="preserve"> </w:t>
      </w:r>
      <w:r>
        <w:t xml:space="preserve">“Factors affecting the cost of airplanes,”</w:t>
      </w:r>
      <w:r>
        <w:t xml:space="preserve"> </w:t>
      </w:r>
      <w:r>
        <w:t xml:space="preserve">Journal of the Aeronautical Sciences, vol. 3, no. 4, pp. 122-128, 1936.</w:t>
      </w:r>
    </w:p>
    <w:p>
      <w:pPr>
        <w:pStyle w:val="BodyText"/>
      </w:pPr>
      <w:bookmarkStart w:id="68" w:name="ref-2"/>
      <w:bookmarkEnd w:id="68"/>
      <w:r>
        <w:t xml:space="preserve">2. U.S. Government Accountability Office,</w:t>
      </w:r>
      <w:r>
        <w:t xml:space="preserve"> </w:t>
      </w:r>
      <w:r>
        <w:t xml:space="preserve">“NASA: Assessments of Major Projects,”</w:t>
      </w:r>
      <w:r>
        <w:t xml:space="preserve"> </w:t>
      </w:r>
      <w:r>
        <w:t xml:space="preserve">GAO-25-107591, Washington, DC, 2025. Available: https://www.gao.gov/products/gao-25-107591</w:t>
      </w:r>
    </w:p>
    <w:p>
      <w:pPr>
        <w:pStyle w:val="BodyText"/>
      </w:pPr>
      <w:bookmarkStart w:id="69" w:name="ref-3"/>
      <w:bookmarkEnd w:id="69"/>
      <w:r>
        <w:t xml:space="preserve">3. U.S. Government Accountability Office,</w:t>
      </w:r>
      <w:r>
        <w:t xml:space="preserve"> </w:t>
      </w:r>
      <w:r>
        <w:t xml:space="preserve">“NASA: Assessment of Major Projects,”</w:t>
      </w:r>
      <w:r>
        <w:t xml:space="preserve"> </w:t>
      </w:r>
      <w:r>
        <w:t xml:space="preserve">GAO-23-106021, Washington, DC, 2023. Available: https://www.gao.gov/assets/gao-23-106021.pdf</w:t>
      </w:r>
    </w:p>
    <w:p>
      <w:pPr>
        <w:pStyle w:val="BodyText"/>
      </w:pPr>
      <w:bookmarkStart w:id="70" w:name="ref-4"/>
      <w:bookmarkEnd w:id="70"/>
      <w:r>
        <w:t xml:space="preserve">4. National Aeronautics and Space Administration,</w:t>
      </w:r>
      <w:r>
        <w:t xml:space="preserve"> </w:t>
      </w:r>
      <w:r>
        <w:t xml:space="preserve">“Technology Readiness Assessment Best Practices Guide,”</w:t>
      </w:r>
      <w:r>
        <w:t xml:space="preserve"> </w:t>
      </w:r>
      <w:r>
        <w:t xml:space="preserve">NASA/SP-20205003605, 2020.</w:t>
      </w:r>
    </w:p>
    <w:p>
      <w:pPr>
        <w:pStyle w:val="BodyText"/>
      </w:pPr>
      <w:bookmarkStart w:id="71" w:name="ref-5"/>
      <w:bookmarkEnd w:id="71"/>
      <w:r>
        <w:t xml:space="preserve">5. The Planetary Society,</w:t>
      </w:r>
      <w:r>
        <w:t xml:space="preserve"> </w:t>
      </w:r>
      <w:r>
        <w:t xml:space="preserve">“The cost of NASA’s Psyche mission,”</w:t>
      </w:r>
      <w:r>
        <w:t xml:space="preserve"> </w:t>
      </w:r>
      <w:r>
        <w:t xml:space="preserve">2023. Available: https://www.planetary.org/space-policy/psyche-cost</w:t>
      </w:r>
    </w:p>
    <w:p>
      <w:pPr>
        <w:pStyle w:val="BodyText"/>
      </w:pPr>
      <w:bookmarkStart w:id="72" w:name="ref-6"/>
      <w:bookmarkEnd w:id="72"/>
      <w:r>
        <w:t xml:space="preserve">6. Multi-Mission Radioisotope Thermoelectric Generator program records, NASA Radioisotope Power Systems Program, NRC briefing, 2014. Available: https://www.lpi.usra.edu/sbag/goals/capability_inputs/Len_Dudzinski_NRC_RPS.pdf</w:t>
      </w:r>
    </w:p>
    <w:bookmarkEnd w:id="73"/>
    <w:bookmarkStart w:id="74" w:name="specification"/>
    <w:p>
      <w:pPr>
        <w:pStyle w:val="Heading2"/>
      </w:pPr>
      <w:r>
        <w:t xml:space="preserve">Specification</w:t>
      </w:r>
    </w:p>
    <w:p>
      <w:pPr>
        <w:pStyle w:val="FirstParagraph"/>
      </w:pPr>
      <m:oMathPara>
        <m:oMathParaPr>
          <m:jc m:val="center"/>
        </m:oMathParaPr>
        <m:oMath>
          <m:r>
            <m:rPr>
              <m:sty m:val="p"/>
            </m:rPr>
            <m:t>ln</m:t>
          </m:r>
          <m:r>
            <m:rPr>
              <m:sty m:val="p"/>
            </m:rPr>
            <m:t>(</m:t>
          </m:r>
          <m:sSub>
            <m:e>
              <m:r>
                <m:t>C</m:t>
              </m:r>
            </m:e>
            <m:sub>
              <m:r>
                <m:t>i</m:t>
              </m:r>
            </m:sub>
          </m:sSub>
          <m:r>
            <m:rPr>
              <m:sty m:val="p"/>
            </m:rPr>
            <m:t>)</m:t>
          </m:r>
          <m:r>
            <m:rPr>
              <m:sty m:val="p"/>
            </m:rPr>
            <m:t>=</m:t>
          </m:r>
          <m:r>
            <m:t>α</m:t>
          </m:r>
          <m:r>
            <m:rPr>
              <m:sty m:val="p"/>
            </m:rPr>
            <m:t>+</m:t>
          </m:r>
          <m:r>
            <m:t>β</m:t>
          </m:r>
          <m:r>
            <m:t> </m:t>
          </m:r>
          <m:r>
            <m:rPr>
              <m:sty m:val="p"/>
            </m:rPr>
            <m:t>ln</m:t>
          </m:r>
          <m:r>
            <m:rPr>
              <m:sty m:val="p"/>
            </m:rPr>
            <m:t>(</m:t>
          </m:r>
          <m:sSub>
            <m:e>
              <m:r>
                <m:t>D</m:t>
              </m:r>
            </m:e>
            <m:sub>
              <m:r>
                <m:t>i</m:t>
              </m:r>
            </m:sub>
          </m:sSub>
          <m:r>
            <m:rPr>
              <m:sty m:val="p"/>
            </m:rPr>
            <m:t>)</m:t>
          </m:r>
          <m:r>
            <m:rPr>
              <m:sty m:val="p"/>
            </m:rPr>
            <m:t>+</m:t>
          </m:r>
          <m:sSub>
            <m:e>
              <m:r>
                <m:t>ε</m:t>
              </m:r>
            </m:e>
            <m:sub>
              <m:r>
                <m:t>i</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-2.9022</w:t>
            </w:r>
          </w:p>
        </w:tc>
        <w:tc>
          <w:tcPr>
            <w:tcW w:w="0" w:type="auto"/>
          </w:tcPr>
          <w:p>
            <w:pPr>
              <w:spacing w:line="240" w:lineRule="auto" w:before="0" w:after="0"/>
              <w:pStyle w:val="Compact"/>
            </w:pPr>
            <w:r>
              <w:rPr>
                <w:sz w:val="20"/>
                <w:szCs w:val="20"/>
              </w:rPr>
              <w:t xml:space="preserve">5.4967</w:t>
            </w:r>
          </w:p>
        </w:tc>
        <w:tc>
          <w:tcPr>
            <w:tcW w:w="0" w:type="auto"/>
          </w:tcPr>
          <w:p>
            <w:pPr>
              <w:spacing w:line="240" w:lineRule="auto" w:before="0" w:after="0"/>
              <w:pStyle w:val="Compact"/>
            </w:pPr>
            <w:r>
              <w:rPr>
                <w:sz w:val="20"/>
                <w:szCs w:val="20"/>
              </w:rPr>
              <w:t xml:space="preserve">-0.528</w:t>
            </w:r>
          </w:p>
        </w:tc>
        <w:tc>
          <w:tcPr>
            <w:tcW w:w="0" w:type="auto"/>
          </w:tcPr>
          <w:p>
            <w:pPr>
              <w:spacing w:line="240" w:lineRule="auto" w:before="0" w:after="0"/>
              <w:pStyle w:val="Compact"/>
            </w:pPr>
            <w:r>
              <w:rPr>
                <w:sz w:val="20"/>
                <w:szCs w:val="20"/>
              </w:rPr>
              <w:t xml:space="preserve">0.5975</w:t>
            </w:r>
          </w:p>
        </w:tc>
        <w:tc>
          <w:tcPr>
            <w:tcW w:w="0" w:type="auto"/>
          </w:tcPr>
          <w:p>
            <w:pPr>
              <w:spacing w:line="240" w:lineRule="auto" w:before="0" w:after="0"/>
              <w:pStyle w:val="Compact"/>
            </w:pPr>
            <w:r>
              <w:rPr>
                <w:sz w:val="20"/>
                <w:szCs w:val="20"/>
              </w:rPr>
              <w:t xml:space="preserve">[-13.6756, 7.8712]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1.7926</w:t>
            </w:r>
          </w:p>
        </w:tc>
        <w:tc>
          <w:tcPr>
            <w:tcW w:w="0" w:type="auto"/>
          </w:tcPr>
          <w:p>
            <w:pPr>
              <w:spacing w:line="240" w:lineRule="auto" w:before="0" w:after="0"/>
              <w:pStyle w:val="Compact"/>
            </w:pPr>
            <w:r>
              <w:rPr>
                <w:sz w:val="20"/>
                <w:szCs w:val="20"/>
              </w:rPr>
              <w:t xml:space="preserve">1.283</w:t>
            </w:r>
          </w:p>
        </w:tc>
        <w:tc>
          <w:tcPr>
            <w:tcW w:w="0" w:type="auto"/>
          </w:tcPr>
          <w:p>
            <w:pPr>
              <w:spacing w:line="240" w:lineRule="auto" w:before="0" w:after="0"/>
              <w:pStyle w:val="Compact"/>
            </w:pPr>
            <w:r>
              <w:rPr>
                <w:sz w:val="20"/>
                <w:szCs w:val="20"/>
              </w:rPr>
              <w:t xml:space="preserve">1.3971</w:t>
            </w:r>
          </w:p>
        </w:tc>
        <w:tc>
          <w:tcPr>
            <w:tcW w:w="0" w:type="auto"/>
          </w:tcPr>
          <w:p>
            <w:pPr>
              <w:spacing w:line="240" w:lineRule="auto" w:before="0" w:after="0"/>
              <w:pStyle w:val="Compact"/>
            </w:pPr>
            <w:r>
              <w:rPr>
                <w:sz w:val="20"/>
                <w:szCs w:val="20"/>
              </w:rPr>
              <w:t xml:space="preserve">0.1624</w:t>
            </w:r>
          </w:p>
        </w:tc>
        <w:tc>
          <w:tcPr>
            <w:tcW w:w="0" w:type="auto"/>
          </w:tcPr>
          <w:p>
            <w:pPr>
              <w:spacing w:line="240" w:lineRule="auto" w:before="0" w:after="0"/>
              <w:pStyle w:val="Compact"/>
            </w:pPr>
            <w:r>
              <w:rPr>
                <w:sz w:val="20"/>
                <w:szCs w:val="20"/>
              </w:rPr>
              <w:t xml:space="preserve">[-0.7221, 4.3072]</w:t>
            </w:r>
          </w:p>
        </w:tc>
      </w:tr>
    </w:tbl>
    <w:p>
      <w:pPr>
        <w:pStyle w:val="BodyText"/>
      </w:pPr>
      <w:r>
        <w:t xml:space="preserve">Fit: N = 18 R2 = 0.14 elasticity_b = 1.7926 progress_ratio_2^b = 3.4643</w:t>
      </w:r>
    </w:p>
    <w:p>
      <w:pPr>
        <w:pStyle w:val="CaptionedFigure"/>
      </w:pPr>
      <w:r>
        <w:drawing>
          <wp:inline>
            <wp:extent cx="5669280" cy="3657600"/>
            <wp:effectExtent b="0" l="0" r="0" t="0"/>
            <wp:docPr descr="Figure 1. Log-log relationship between total maturation cost and cumulative development duration across 18 deep space and interstellar precursor technology programs. The fitted slope is the cost-time elasticity; a slope above one (H1) indicates that maturation cost rises more than proportionally with accumulated development time." title="" id="76" name="Picture"/>
            <a:graphic>
              <a:graphicData uri="http://schemas.openxmlformats.org/drawingml/2006/picture">
                <pic:pic>
                  <pic:nvPicPr>
                    <pic:cNvPr descr="D:\Claude_Code\brain\collegium\candidates\dissertations\JPL_PLANETARY_10\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Log-log relationship between total maturation cost and cumulative development duration across 18 deep space and interstellar precursor technology programs. The fitted slope is the cost-time elasticity; a slope above one (H1) indicates that maturation cost rises more than proportionally with accumulated development time.</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tech_family</w:t>
            </w:r>
          </w:p>
        </w:tc>
        <w:tc>
          <w:tcPr>
            <w:tcW w:w="0" w:type="auto"/>
          </w:tcPr>
          <w:p>
            <w:pPr>
              <w:spacing w:line="240" w:lineRule="auto" w:before="0" w:after="0"/>
              <w:pStyle w:val="Compact"/>
            </w:pPr>
            <w:r>
              <w:rPr>
                <w:sz w:val="20"/>
                <w:szCs w:val="20"/>
              </w:rPr>
              <w:t xml:space="preserve">maturation_cost_musd_fy2025</w:t>
            </w:r>
          </w:p>
        </w:tc>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terminal_trl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KRUSTY Kilopower fission reactor</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NASA/NNSA Kilopower KRUSTY program; ~$18M nominal over 3.5 yr (42 months), inflation-adjusted to FY2025; https://en.wikipedia.org/wiki/Kilopower and DSIAC https://dsiac.dtic.mil/articles/space-race-a-look-at-nasas-new-kilopower-fission-reactor/</w:t>
            </w:r>
          </w:p>
        </w:tc>
      </w:tr>
      <w:tr>
        <w:tc>
          <w:tcPr>
            <w:tcW w:w="0" w:type="auto"/>
          </w:tcPr>
          <w:p>
            <w:pPr>
              <w:spacing w:line="240" w:lineRule="auto" w:before="0" w:after="0"/>
              <w:pStyle w:val="Compact"/>
            </w:pPr>
            <w:r>
              <w:rPr>
                <w:sz w:val="20"/>
                <w:szCs w:val="20"/>
              </w:rPr>
              <w:t xml:space="preserve">NSTAR ion thruster (Deep Space 1)</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NSTAR program initiated Sept 1995, flight on Deep Space 1 1998 (~38 months to flight); DS1 development $94.8M FY1998 inflation-adjusted; NASA GRC https://www.grc.nasa.gov/www/ion/past/90s/nstar.htm; DS1 cost https://en.wikipedia.org/wiki/Deep_Space_1</w:t>
            </w:r>
          </w:p>
        </w:tc>
      </w:tr>
      <w:tr>
        <w:tc>
          <w:tcPr>
            <w:tcW w:w="0" w:type="auto"/>
          </w:tcPr>
          <w:p>
            <w:pPr>
              <w:spacing w:line="240" w:lineRule="auto" w:before="0" w:after="0"/>
              <w:pStyle w:val="Compact"/>
            </w:pPr>
            <w:r>
              <w:rPr>
                <w:sz w:val="20"/>
                <w:szCs w:val="20"/>
              </w:rPr>
              <w:t xml:space="preserve">AEPS 12.5kW Hall thruster</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NASA/Aerojet Rocketdyne AEPS; April 2016 $67M cost-plus-fixed-fee award, qualification through ~2024 (~96 months), inflation-adjusted; https://en.wikipedia.org/wiki/Advanced_Electric_Propulsion_System</w:t>
            </w:r>
          </w:p>
        </w:tc>
      </w:tr>
      <w:tr>
        <w:tc>
          <w:tcPr>
            <w:tcW w:w="0" w:type="auto"/>
          </w:tcPr>
          <w:p>
            <w:pPr>
              <w:spacing w:line="240" w:lineRule="auto" w:before="0" w:after="0"/>
              <w:pStyle w:val="Compact"/>
            </w:pPr>
            <w:r>
              <w:rPr>
                <w:sz w:val="20"/>
                <w:szCs w:val="20"/>
              </w:rPr>
              <w:t xml:space="preserve">NEXT-C gridded ion thruster</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NASA GRC/L3Harris NEXT-C, flight on DART 2021; ~7 yr to flight qualification; NTRS 20190029289; L3Harris https://www.l3harris.com/all-capabilities/solar-electric-propulsion</w:t>
            </w:r>
          </w:p>
        </w:tc>
      </w:tr>
      <w:tr>
        <w:tc>
          <w:tcPr>
            <w:tcW w:w="0" w:type="auto"/>
          </w:tcPr>
          <w:p>
            <w:pPr>
              <w:spacing w:line="240" w:lineRule="auto" w:before="0" w:after="0"/>
              <w:pStyle w:val="Compact"/>
            </w:pPr>
            <w:r>
              <w:rPr>
                <w:sz w:val="20"/>
                <w:szCs w:val="20"/>
              </w:rPr>
              <w:t xml:space="preserve">VASIMR VX-200SS</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Ad Astra Rocket Company; ~$30M invested through 2013 plus NASA NextSTEP awards 2015-2024, inflation-adjusted; SpaceNews https://spacenews.com/facts-about-vasimr-engine-and-its-development/; https://en.wikipedia.org/wiki/Ad_Astra_Rocket_Company</w:t>
            </w:r>
          </w:p>
        </w:tc>
      </w:tr>
      <w:tr>
        <w:tc>
          <w:tcPr>
            <w:tcW w:w="0" w:type="auto"/>
          </w:tcPr>
          <w:p>
            <w:pPr>
              <w:spacing w:line="240" w:lineRule="auto" w:before="0" w:after="0"/>
              <w:pStyle w:val="Compact"/>
            </w:pPr>
            <w:r>
              <w:rPr>
                <w:sz w:val="20"/>
                <w:szCs w:val="20"/>
              </w:rPr>
              <w:t xml:space="preserve">X3 XR-100 nested Hall thruster</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NextSTEP XR-100, U-Michigan/JPL/Aerojet; 100kW-class demonstrated; NextSTEP ~3-yr awards; NTRS 20190029289 https://ntrs.nasa.gov/api/citations/20190029289/downloads/20190029289.pdf</w:t>
            </w:r>
          </w:p>
        </w:tc>
      </w:tr>
      <w:tr>
        <w:tc>
          <w:tcPr>
            <w:tcW w:w="0" w:type="auto"/>
          </w:tcPr>
          <w:p>
            <w:pPr>
              <w:spacing w:line="240" w:lineRule="auto" w:before="0" w:after="0"/>
              <w:pStyle w:val="Compact"/>
            </w:pPr>
            <w:r>
              <w:rPr>
                <w:sz w:val="20"/>
                <w:szCs w:val="20"/>
              </w:rPr>
              <w:t xml:space="preserve">MMRTG radioisotope generator</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MMRTG R&amp;D ~$83M plus production; flew on MSL 2011 and Mars 2020, inflation-adjusted; https://en.wikipedia.org/wiki/Multi-mission_radioisotope_thermoelectric_generator</w:t>
            </w:r>
          </w:p>
        </w:tc>
      </w:tr>
      <w:tr>
        <w:tc>
          <w:tcPr>
            <w:tcW w:w="0" w:type="auto"/>
          </w:tcPr>
          <w:p>
            <w:pPr>
              <w:spacing w:line="240" w:lineRule="auto" w:before="0" w:after="0"/>
              <w:pStyle w:val="Compact"/>
            </w:pPr>
            <w:r>
              <w:rPr>
                <w:sz w:val="20"/>
                <w:szCs w:val="20"/>
              </w:rPr>
              <w:t xml:space="preserve">ASRG Stirling radioisotope generator</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Advanced Stirling Radioisotope Generator; ~$270M spent before Nov 2013 cancellation at TRL 6, inflation-adjusted; https://en.wikipedia.org/wiki/Multi-mission_radioisotope_thermoelectric_generator; NASA RPS https://www.lpi.usra.edu/sbag/goals/capability_inputs/Len_Dudzinski_NRC_RPS.pdf</w:t>
            </w:r>
          </w:p>
        </w:tc>
      </w:tr>
      <w:tr>
        <w:tc>
          <w:tcPr>
            <w:tcW w:w="0" w:type="auto"/>
          </w:tcPr>
          <w:p>
            <w:pPr>
              <w:spacing w:line="240" w:lineRule="auto" w:before="0" w:after="0"/>
              <w:pStyle w:val="Compact"/>
            </w:pPr>
            <w:r>
              <w:rPr>
                <w:sz w:val="20"/>
                <w:szCs w:val="20"/>
              </w:rPr>
              <w:t xml:space="preserve">ROSA roll-out solar array</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Roll-Out Solar Array; DSS SBIR Phase I/II 2009 then ISS flight 2017 and iROSA, inflation-adjusted program estimate; NASA STMD https://www.nasa.gov/directorates/stmd/impact-story-roll-out-solar-arrays/; https://en.wikipedia.org/wiki/Roll_Out_Solar_Array</w:t>
            </w:r>
          </w:p>
        </w:tc>
      </w:tr>
      <w:tr>
        <w:tc>
          <w:tcPr>
            <w:tcW w:w="0" w:type="auto"/>
          </w:tcPr>
          <w:p>
            <w:pPr>
              <w:spacing w:line="240" w:lineRule="auto" w:before="0" w:after="0"/>
              <w:pStyle w:val="Compact"/>
            </w:pPr>
            <w:r>
              <w:rPr>
                <w:sz w:val="20"/>
                <w:szCs w:val="20"/>
              </w:rPr>
              <w:t xml:space="preserve">Starshade S5 occulter</w:t>
            </w:r>
          </w:p>
        </w:tc>
        <w:tc>
          <w:tcPr>
            <w:tcW w:w="0" w:type="auto"/>
          </w:tcPr>
          <w:p>
            <w:pPr>
              <w:spacing w:line="240" w:lineRule="auto" w:before="0" w:after="0"/>
              <w:pStyle w:val="Compact"/>
            </w:pPr>
            <w:r>
              <w:rPr>
                <w:sz w:val="20"/>
                <w:szCs w:val="20"/>
              </w:rPr>
              <w:t xml:space="preserve">Optical/exoplanet</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S5 Starshade Technology Development Activity; ~$19M to TRL 5 (~2015-2020), inflation-adjusted; NASA ExEP https://science.nasa.gov/astrophysics/programs/exep/technology/starshade/</w:t>
            </w:r>
          </w:p>
        </w:tc>
      </w:tr>
      <w:tr>
        <w:tc>
          <w:tcPr>
            <w:tcW w:w="0" w:type="auto"/>
          </w:tcPr>
          <w:p>
            <w:pPr>
              <w:spacing w:line="240" w:lineRule="auto" w:before="0" w:after="0"/>
              <w:pStyle w:val="Compact"/>
            </w:pPr>
            <w:r>
              <w:rPr>
                <w:sz w:val="20"/>
                <w:szCs w:val="20"/>
              </w:rPr>
              <w:t xml:space="preserve">DART NEXT-C kinetic impactor</w:t>
            </w:r>
          </w:p>
        </w:tc>
        <w:tc>
          <w:tcPr>
            <w:tcW w:w="0" w:type="auto"/>
          </w:tcPr>
          <w:p>
            <w:pPr>
              <w:spacing w:line="240" w:lineRule="auto" w:before="0" w:after="0"/>
              <w:pStyle w:val="Compact"/>
            </w:pPr>
            <w:r>
              <w:rPr>
                <w:sz w:val="20"/>
                <w:szCs w:val="20"/>
              </w:rPr>
              <w:t xml:space="preserve">Spacecraft</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Double Asteroid Redirection Test spacecraft incl NEXT-C demonstration; $324.5M mission ($308M spacecraft) FY2022 inflation-adjusted; Planetary Society https://www.planetary.org/space-policy/cost-of-dart; https://en.wikipedia.org/wiki/Double_Asteroid_Redirection_Test</w:t>
            </w:r>
          </w:p>
        </w:tc>
      </w:tr>
      <w:tr>
        <w:tc>
          <w:tcPr>
            <w:tcW w:w="0" w:type="auto"/>
          </w:tcPr>
          <w:p>
            <w:pPr>
              <w:spacing w:line="240" w:lineRule="auto" w:before="0" w:after="0"/>
              <w:pStyle w:val="Compact"/>
            </w:pPr>
            <w:r>
              <w:rPr>
                <w:sz w:val="20"/>
                <w:szCs w:val="20"/>
              </w:rPr>
              <w:t xml:space="preserve">NEO Surveyor IR survey telescope</w:t>
            </w:r>
          </w:p>
        </w:tc>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1230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NEO Surveyor cryogenic IR survey telescope; $1.2B development baseline confirmed 2023; SpaceNews https://spacenews.com/nasa-confirms-neo-surveyor-for-2028-launch/; https://en.wikipedia.org/wiki/NEO_Surveyor</w:t>
            </w:r>
          </w:p>
        </w:tc>
      </w:tr>
      <w:tr>
        <w:tc>
          <w:tcPr>
            <w:tcW w:w="0" w:type="auto"/>
          </w:tcPr>
          <w:p>
            <w:pPr>
              <w:spacing w:line="240" w:lineRule="auto" w:before="0" w:after="0"/>
              <w:pStyle w:val="Compact"/>
            </w:pPr>
            <w:r>
              <w:rPr>
                <w:sz w:val="20"/>
                <w:szCs w:val="20"/>
              </w:rPr>
              <w:t xml:space="preserve">Dragonfly rotorcraft mobility</w:t>
            </w:r>
          </w:p>
        </w:tc>
        <w:tc>
          <w:tcPr>
            <w:tcW w:w="0" w:type="auto"/>
          </w:tcPr>
          <w:p>
            <w:pPr>
              <w:spacing w:line="240" w:lineRule="auto" w:before="0" w:after="0"/>
              <w:pStyle w:val="Compact"/>
            </w:pPr>
            <w:r>
              <w:rPr>
                <w:sz w:val="20"/>
                <w:szCs w:val="20"/>
              </w:rPr>
              <w:t xml:space="preserve">Mobility</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Dragonfly Titan rotorcraft; $3.35B confirmed mission cost 2024; SpaceNews https://spacenews.com/nasa-confirms-dragonfly-mission-despite-doubled-costs/; NASA https://science.nasa.gov/missions/dragonfly/nasas-dragonfly-rotorcraft-mission-to-saturns-moon-titan-confirmed/</w:t>
            </w:r>
          </w:p>
        </w:tc>
      </w:tr>
      <w:tr>
        <w:tc>
          <w:tcPr>
            <w:tcW w:w="0" w:type="auto"/>
          </w:tcPr>
          <w:p>
            <w:pPr>
              <w:spacing w:line="240" w:lineRule="auto" w:before="0" w:after="0"/>
              <w:pStyle w:val="Compact"/>
            </w:pPr>
            <w:r>
              <w:rPr>
                <w:sz w:val="20"/>
                <w:szCs w:val="20"/>
              </w:rPr>
              <w:t xml:space="preserve">Europa Clipper REASON radar</w:t>
            </w:r>
          </w:p>
        </w:tc>
        <w:tc>
          <w:tcPr>
            <w:tcW w:w="0" w:type="auto"/>
          </w:tcPr>
          <w:p>
            <w:pPr>
              <w:spacing w:line="240" w:lineRule="auto" w:before="0" w:after="0"/>
              <w:pStyle w:val="Compact"/>
            </w:pPr>
            <w:r>
              <w:rPr>
                <w:sz w:val="20"/>
                <w:szCs w:val="20"/>
              </w:rPr>
              <w:t xml:space="preserve">Instrument</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Europa Clipper flagship incl ice-penetrating radar; ~$5.2B full life-cycle cost; JPL https://www.jpl.nasa.gov/press-kits/europa-clipper/quick-facts/; Planetary Society https://www.planetary.org/charts/europa-clipper-cost-chart</w:t>
            </w:r>
          </w:p>
        </w:tc>
      </w:tr>
      <w:tr>
        <w:tc>
          <w:tcPr>
            <w:tcW w:w="0" w:type="auto"/>
          </w:tcPr>
          <w:p>
            <w:pPr>
              <w:spacing w:line="240" w:lineRule="auto" w:before="0" w:after="0"/>
              <w:pStyle w:val="Compact"/>
            </w:pPr>
            <w:r>
              <w:rPr>
                <w:sz w:val="20"/>
                <w:szCs w:val="20"/>
              </w:rPr>
              <w:t xml:space="preserve">Psyche SPT-140 Hall thruster</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1400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Psyche mission incl commercial SPT-140 Hall thruster; ~$1.4B development incl $159M overruns; flew 2023; JPL https://www.jpl.nasa.gov/press-kits/psyche/mission/; Planetary Society https://www.planetary.org/space-policy/psyche-cost</w:t>
            </w:r>
          </w:p>
        </w:tc>
      </w:tr>
      <w:tr>
        <w:tc>
          <w:tcPr>
            <w:tcW w:w="0" w:type="auto"/>
          </w:tcPr>
          <w:p>
            <w:pPr>
              <w:spacing w:line="240" w:lineRule="auto" w:before="0" w:after="0"/>
              <w:pStyle w:val="Compact"/>
            </w:pPr>
            <w:r>
              <w:rPr>
                <w:sz w:val="20"/>
                <w:szCs w:val="20"/>
              </w:rPr>
              <w:t xml:space="preserve">MOXIE ISRU oxygen demo</w:t>
            </w:r>
          </w:p>
        </w:tc>
        <w:tc>
          <w:tcPr>
            <w:tcW w:w="0" w:type="auto"/>
          </w:tcPr>
          <w:p>
            <w:pPr>
              <w:spacing w:line="240" w:lineRule="auto" w:before="0" w:after="0"/>
              <w:pStyle w:val="Compact"/>
            </w:pPr>
            <w:r>
              <w:rPr>
                <w:sz w:val="20"/>
                <w:szCs w:val="20"/>
              </w:rPr>
              <w:t xml:space="preserve">ISRU</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Mars Oxygen ISRU Experiment, Mars 2020 instrument; ~$50M per MIT PI M. Hecht, inflation-adjusted; STMD/JPL/MIT, flight-demonstrated 2021; https://en.wikipedia.org/wiki/Mars_Oxygen_ISRU_Experiment; NASA https://www.nasa.gov/space-technology-mission-directorate/tdm/mars-oxygen-in-situ-resource-utilization-experiment-moxie/</w:t>
            </w:r>
          </w:p>
        </w:tc>
      </w:tr>
      <w:tr>
        <w:tc>
          <w:tcPr>
            <w:tcW w:w="0" w:type="auto"/>
          </w:tcPr>
          <w:p>
            <w:pPr>
              <w:spacing w:line="240" w:lineRule="auto" w:before="0" w:after="0"/>
              <w:pStyle w:val="Compact"/>
            </w:pPr>
            <w:r>
              <w:rPr>
                <w:sz w:val="20"/>
                <w:szCs w:val="20"/>
              </w:rPr>
              <w:t xml:space="preserve">NEP high-power maturation</w:t>
            </w:r>
          </w:p>
        </w:tc>
        <w:tc>
          <w:tcPr>
            <w:tcW w:w="0" w:type="auto"/>
          </w:tcPr>
          <w:p>
            <w:pPr>
              <w:spacing w:line="240" w:lineRule="auto" w:before="0" w:after="0"/>
              <w:pStyle w:val="Compact"/>
            </w:pPr>
            <w:r>
              <w:rPr>
                <w:sz w:val="20"/>
                <w:szCs w:val="20"/>
              </w:rPr>
              <w:t xml:space="preserve">Electric propulsion</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Nuclear Electric Propulsion Technology Maturation; NASA TechPort current TRL 3 target 5; NTRS 20220017125 https://ntrs.nasa.gov/citations/20220017125 [illustrative cost slice]</w:t>
            </w:r>
          </w:p>
        </w:tc>
      </w:tr>
      <w:tr>
        <w:tc>
          <w:tcPr>
            <w:tcW w:w="0" w:type="auto"/>
          </w:tcPr>
          <w:p>
            <w:pPr>
              <w:spacing w:line="240" w:lineRule="auto" w:before="0" w:after="0"/>
              <w:pStyle w:val="Compact"/>
            </w:pPr>
            <w:r>
              <w:rPr>
                <w:sz w:val="20"/>
                <w:szCs w:val="20"/>
              </w:rPr>
              <w:t xml:space="preserve">Solar sail (NEA Scout / ACS3)</w:t>
            </w:r>
          </w:p>
        </w:tc>
        <w:tc>
          <w:tcPr>
            <w:tcW w:w="0" w:type="auto"/>
          </w:tcPr>
          <w:p>
            <w:pPr>
              <w:spacing w:line="240" w:lineRule="auto" w:before="0" w:after="0"/>
              <w:pStyle w:val="Compact"/>
            </w:pPr>
            <w:r>
              <w:rPr>
                <w:sz w:val="20"/>
                <w:szCs w:val="20"/>
              </w:rPr>
              <w:t xml:space="preserve">Propulsion</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Solar sail tech maturation across NEA Scout and ACS3; NASA STMD/MSFC; ACS3 flight-demonstrated 2024; NASA https://www.nasa.gov/mission/acs3/; https://en.wikipedia.org/wiki/Near-Earth_Asteroid_Scout [illustrative cost slice]</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maturation_cost_musd_fy2025</w:t>
            </w:r>
          </w:p>
        </w:tc>
        <w:tc>
          <w:tcPr>
            <w:tcW w:w="0" w:type="auto"/>
          </w:tcPr>
          <w:p>
            <w:pPr>
              <w:spacing w:line="240" w:lineRule="auto" w:before="0" w:after="0"/>
              <w:pStyle w:val="Compact"/>
            </w:pPr>
            <w:r>
              <w:rPr>
                <w:sz w:val="20"/>
                <w:szCs w:val="20"/>
              </w:rPr>
              <w:t xml:space="preserve">Total inflation-adjusted technology maturation or program cost in FY2025 USD millions for technology program i</w:t>
            </w:r>
          </w:p>
        </w:tc>
        <w:tc>
          <w:tcPr>
            <w:tcW w:w="0" w:type="auto"/>
          </w:tcPr>
          <w:p>
            <w:pPr>
              <w:spacing w:line="240" w:lineRule="auto" w:before="0" w:after="0"/>
              <w:pStyle w:val="Compact"/>
            </w:pPr>
            <w:r>
              <w:rPr>
                <w:sz w:val="20"/>
                <w:szCs w:val="20"/>
              </w:rPr>
              <w:t xml:space="preserve">Compiled from NASA program records, NTRS technical reports, NASA TechPort, GAO Major-Project assessments, JPL press kits, The Planetary Society cost analyses, and peer-reviewed program-status papers (see data.csv source column); FY adjustment applied to each documented nominal figure</w:t>
            </w:r>
          </w:p>
        </w:tc>
      </w:tr>
      <w:tr>
        <w:tc>
          <w:tcPr>
            <w:tcW w:w="0" w:type="auto"/>
          </w:tcPr>
          <w:p>
            <w:pPr>
              <w:spacing w:line="240" w:lineRule="auto" w:before="0" w:after="0"/>
              <w:pStyle w:val="Compact"/>
            </w:pPr>
            <w:r>
              <w:rPr>
                <w:sz w:val="20"/>
                <w:szCs w:val="20"/>
              </w:rPr>
              <w:t xml:space="preserve">dev_months</w:t>
            </w:r>
          </w:p>
        </w:tc>
        <w:tc>
          <w:tcPr>
            <w:tcW w:w="0" w:type="auto"/>
          </w:tcPr>
          <w:p>
            <w:pPr>
              <w:spacing w:line="240" w:lineRule="auto" w:before="0" w:after="0"/>
              <w:pStyle w:val="Compact"/>
            </w:pPr>
            <w:r>
              <w:rPr>
                <w:sz w:val="20"/>
                <w:szCs w:val="20"/>
              </w:rPr>
              <w:t xml:space="preserve">Cumulative funded development duration in months, from program initiation to the documented terminal readiness milestone</w:t>
            </w:r>
          </w:p>
        </w:tc>
        <w:tc>
          <w:tcPr>
            <w:tcW w:w="0" w:type="auto"/>
          </w:tcPr>
          <w:p>
            <w:pPr>
              <w:spacing w:line="240" w:lineRule="auto" w:before="0" w:after="0"/>
              <w:pStyle w:val="Compact"/>
            </w:pPr>
            <w:r>
              <w:rPr>
                <w:sz w:val="20"/>
                <w:szCs w:val="20"/>
              </w:rPr>
              <w:t xml:space="preserve">Program initiation and milestone dates from the same documentation as the cost figure (see data.csv source column)</w:t>
            </w:r>
          </w:p>
        </w:tc>
      </w:tr>
      <w:tr>
        <w:tc>
          <w:tcPr>
            <w:tcW w:w="0" w:type="auto"/>
          </w:tcPr>
          <w:p>
            <w:pPr>
              <w:spacing w:line="240" w:lineRule="auto" w:before="0" w:after="0"/>
              <w:pStyle w:val="Compact"/>
            </w:pPr>
            <w:r>
              <w:rPr>
                <w:sz w:val="20"/>
                <w:szCs w:val="20"/>
              </w:rPr>
              <w:t xml:space="preserve">C_i</w:t>
            </w:r>
          </w:p>
        </w:tc>
        <w:tc>
          <w:tcPr>
            <w:tcW w:w="0" w:type="auto"/>
          </w:tcPr>
          <w:p>
            <w:pPr>
              <w:spacing w:line="240" w:lineRule="auto" w:before="0" w:after="0"/>
              <w:pStyle w:val="Compact"/>
            </w:pPr>
            <w:r>
              <w:rPr>
                <w:sz w:val="20"/>
                <w:szCs w:val="20"/>
              </w:rPr>
              <w:t xml:space="preserve">Total inflation-adjusted maturation cost in FY2025 USD millions for program i</w:t>
            </w:r>
          </w:p>
        </w:tc>
        <w:tc>
          <w:tcPr>
            <w:tcW w:w="0" w:type="auto"/>
          </w:tcPr>
          <w:p>
            <w:pPr>
              <w:spacing w:line="240" w:lineRule="auto" w:before="0" w:after="0"/>
              <w:pStyle w:val="Compact"/>
            </w:pPr>
            <w:r>
              <w:rPr>
                <w:sz w:val="20"/>
                <w:szCs w:val="20"/>
              </w:rPr>
              <w:t xml:space="preserve">Same as maturation_cost_musd_fy2025 source</w:t>
            </w:r>
          </w:p>
        </w:tc>
      </w:tr>
      <w:tr>
        <w:tc>
          <w:tcPr>
            <w:tcW w:w="0" w:type="auto"/>
          </w:tcPr>
          <w:p>
            <w:pPr>
              <w:spacing w:line="240" w:lineRule="auto" w:before="0" w:after="0"/>
              <w:pStyle w:val="Compact"/>
            </w:pPr>
            <w:r>
              <w:rPr>
                <w:sz w:val="20"/>
                <w:szCs w:val="20"/>
              </w:rPr>
              <w:t xml:space="preserve">D_i</w:t>
            </w:r>
          </w:p>
        </w:tc>
        <w:tc>
          <w:tcPr>
            <w:tcW w:w="0" w:type="auto"/>
          </w:tcPr>
          <w:p>
            <w:pPr>
              <w:spacing w:line="240" w:lineRule="auto" w:before="0" w:after="0"/>
              <w:pStyle w:val="Compact"/>
            </w:pPr>
            <w:r>
              <w:rPr>
                <w:sz w:val="20"/>
                <w:szCs w:val="20"/>
              </w:rPr>
              <w:t xml:space="preserve">Cumulative funded development duration in months for program i</w:t>
            </w:r>
          </w:p>
        </w:tc>
        <w:tc>
          <w:tcPr>
            <w:tcW w:w="0" w:type="auto"/>
          </w:tcPr>
          <w:p>
            <w:pPr>
              <w:spacing w:line="240" w:lineRule="auto" w:before="0" w:after="0"/>
              <w:pStyle w:val="Compact"/>
            </w:pPr>
            <w:r>
              <w:rPr>
                <w:sz w:val="20"/>
                <w:szCs w:val="20"/>
              </w:rPr>
              <w:t xml:space="preserve">Same as dev_months source</w:t>
            </w:r>
          </w:p>
        </w:tc>
      </w:tr>
      <w:tr>
        <w:tc>
          <w:tcPr>
            <w:tcW w:w="0" w:type="auto"/>
          </w:tcPr>
          <w:p>
            <w:pPr>
              <w:spacing w:line="240" w:lineRule="auto" w:before="0" w:after="0"/>
              <w:pStyle w:val="Compact"/>
            </w:pPr>
            <w:r>
              <w:rPr>
                <w:sz w:val="20"/>
                <w:szCs w:val="20"/>
              </w:rPr>
              <w:t xml:space="preserve">alpha</w:t>
            </w:r>
          </w:p>
        </w:tc>
        <w:tc>
          <w:tcPr>
            <w:tcW w:w="0" w:type="auto"/>
          </w:tcPr>
          <w:p>
            <w:pPr>
              <w:spacing w:line="240" w:lineRule="auto" w:before="0" w:after="0"/>
              <w:pStyle w:val="Compact"/>
            </w:pPr>
            <w:r>
              <w:rPr>
                <w:sz w:val="20"/>
                <w:szCs w:val="20"/>
              </w:rPr>
              <w:t xml:space="preserve">Intercept of the log-log model; the fitted log cost of a notional one-month program</w:t>
            </w:r>
          </w:p>
        </w:tc>
        <w:tc>
          <w:tcPr>
            <w:tcW w:w="0" w:type="auto"/>
          </w:tcPr>
          <w:p>
            <w:pPr>
              <w:spacing w:line="240" w:lineRule="auto" w:before="0" w:after="0"/>
              <w:pStyle w:val="Compact"/>
            </w:pPr>
            <w:r>
              <w:rPr>
                <w:sz w:val="20"/>
                <w:szCs w:val="20"/>
              </w:rPr>
              <w:t xml:space="preserve">Estimated</w:t>
            </w:r>
          </w:p>
        </w:tc>
      </w:tr>
      <w:tr>
        <w:tc>
          <w:tcPr>
            <w:tcW w:w="0" w:type="auto"/>
          </w:tcPr>
          <w:p>
            <w:pPr>
              <w:spacing w:line="240" w:lineRule="auto" w:before="0" w:after="0"/>
              <w:pStyle w:val="Compact"/>
            </w:pPr>
            <w:r>
              <w:rPr>
                <w:sz w:val="20"/>
                <w:szCs w:val="20"/>
              </w:rPr>
              <w:t xml:space="preserve">beta</w:t>
            </w:r>
          </w:p>
        </w:tc>
        <w:tc>
          <w:tcPr>
            <w:tcW w:w="0" w:type="auto"/>
          </w:tcPr>
          <w:p>
            <w:pPr>
              <w:spacing w:line="240" w:lineRule="auto" w:before="0" w:after="0"/>
              <w:pStyle w:val="Compact"/>
            </w:pPr>
            <w:r>
              <w:rPr>
                <w:sz w:val="20"/>
                <w:szCs w:val="20"/>
              </w:rPr>
              <w:t xml:space="preserve">Cost-time elasticity; the slope of log cost on log development duration. The associated progress ratio is two raised to the beta power, describing how cost scales per doubling of accumulated development time</w:t>
            </w:r>
          </w:p>
        </w:tc>
        <w:tc>
          <w:tcPr>
            <w:tcW w:w="0" w:type="auto"/>
          </w:tcPr>
          <w:p>
            <w:pPr>
              <w:spacing w:line="240" w:lineRule="auto" w:before="0" w:after="0"/>
              <w:pStyle w:val="Compact"/>
            </w:pPr>
            <w:r>
              <w:rPr>
                <w:sz w:val="20"/>
                <w:szCs w:val="20"/>
              </w:rPr>
              <w:t xml:space="preserve">Estimated</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-2.9022</w:t>
            </w:r>
          </w:p>
        </w:tc>
        <w:tc>
          <w:tcPr>
            <w:tcW w:w="0" w:type="auto"/>
          </w:tcPr>
          <w:p>
            <w:pPr>
              <w:spacing w:line="240" w:lineRule="auto" w:before="0" w:after="0"/>
              <w:pStyle w:val="Compact"/>
            </w:pPr>
            <w:r>
              <w:rPr>
                <w:sz w:val="20"/>
                <w:szCs w:val="20"/>
              </w:rPr>
              <w:t xml:space="preserve">5.4967</w:t>
            </w:r>
          </w:p>
        </w:tc>
        <w:tc>
          <w:tcPr>
            <w:tcW w:w="0" w:type="auto"/>
          </w:tcPr>
          <w:p>
            <w:pPr>
              <w:spacing w:line="240" w:lineRule="auto" w:before="0" w:after="0"/>
              <w:pStyle w:val="Compact"/>
            </w:pPr>
            <w:r>
              <w:rPr>
                <w:sz w:val="20"/>
                <w:szCs w:val="20"/>
              </w:rPr>
              <w:t xml:space="preserve">-0.528</w:t>
            </w:r>
          </w:p>
        </w:tc>
        <w:tc>
          <w:tcPr>
            <w:tcW w:w="0" w:type="auto"/>
          </w:tcPr>
          <w:p>
            <w:pPr>
              <w:spacing w:line="240" w:lineRule="auto" w:before="0" w:after="0"/>
              <w:pStyle w:val="Compact"/>
            </w:pPr>
            <w:r>
              <w:rPr>
                <w:sz w:val="20"/>
                <w:szCs w:val="20"/>
              </w:rPr>
              <w:t xml:space="preserve">0.5975</w:t>
            </w:r>
          </w:p>
        </w:tc>
        <w:tc>
          <w:tcPr>
            <w:tcW w:w="0" w:type="auto"/>
          </w:tcPr>
          <w:p>
            <w:pPr>
              <w:spacing w:line="240" w:lineRule="auto" w:before="0" w:after="0"/>
              <w:pStyle w:val="Compact"/>
            </w:pPr>
            <w:r>
              <w:rPr>
                <w:sz w:val="20"/>
                <w:szCs w:val="20"/>
              </w:rPr>
              <w:t xml:space="preserve">[-13.6756, 7.8712]</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1.7926</w:t>
            </w:r>
          </w:p>
        </w:tc>
        <w:tc>
          <w:tcPr>
            <w:tcW w:w="0" w:type="auto"/>
          </w:tcPr>
          <w:p>
            <w:pPr>
              <w:spacing w:line="240" w:lineRule="auto" w:before="0" w:after="0"/>
              <w:pStyle w:val="Compact"/>
            </w:pPr>
            <w:r>
              <w:rPr>
                <w:sz w:val="20"/>
                <w:szCs w:val="20"/>
              </w:rPr>
              <w:t xml:space="preserve">1.283</w:t>
            </w:r>
          </w:p>
        </w:tc>
        <w:tc>
          <w:tcPr>
            <w:tcW w:w="0" w:type="auto"/>
          </w:tcPr>
          <w:p>
            <w:pPr>
              <w:spacing w:line="240" w:lineRule="auto" w:before="0" w:after="0"/>
              <w:pStyle w:val="Compact"/>
            </w:pPr>
            <w:r>
              <w:rPr>
                <w:sz w:val="20"/>
                <w:szCs w:val="20"/>
              </w:rPr>
              <w:t xml:space="preserve">1.3971</w:t>
            </w:r>
          </w:p>
        </w:tc>
        <w:tc>
          <w:tcPr>
            <w:tcW w:w="0" w:type="auto"/>
          </w:tcPr>
          <w:p>
            <w:pPr>
              <w:spacing w:line="240" w:lineRule="auto" w:before="0" w:after="0"/>
              <w:pStyle w:val="Compact"/>
            </w:pPr>
            <w:r>
              <w:rPr>
                <w:sz w:val="20"/>
                <w:szCs w:val="20"/>
              </w:rPr>
              <w:t xml:space="preserve">0.1624</w:t>
            </w:r>
          </w:p>
        </w:tc>
        <w:tc>
          <w:tcPr>
            <w:tcW w:w="0" w:type="auto"/>
          </w:tcPr>
          <w:p>
            <w:pPr>
              <w:spacing w:line="240" w:lineRule="auto" w:before="0" w:after="0"/>
              <w:pStyle w:val="Compact"/>
            </w:pPr>
            <w:r>
              <w:rPr>
                <w:sz w:val="20"/>
                <w:szCs w:val="20"/>
              </w:rPr>
              <w:t xml:space="preserve">[-0.7221, 4.3072]</w:t>
            </w:r>
          </w:p>
        </w:tc>
      </w:tr>
    </w:tbl>
    <w:p>
      <w:pPr>
        <w:pStyle w:val="BodyText"/>
      </w:pPr>
      <w:r>
        <w:t xml:space="preserve">Fit: N = 18 R2 = 0.14 elasticity_b = 1.7926 progress_ratio_2^b = 3.4643</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2026-06-25T14:25:47Z</dcterms:created>
  <dcterms:modified xsi:type="dcterms:W3CDTF">2026-06-25T14:25:47Z</dcterms:modified>
</cp:coreProperties>
</file>

<file path=docProps/custom.xml><?xml version="1.0" encoding="utf-8"?>
<Properties xmlns="http://schemas.openxmlformats.org/officeDocument/2006/custom-properties" xmlns:vt="http://schemas.openxmlformats.org/officeDocument/2006/docPropsVTypes"/>
</file>