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86ed32a9fe8c4ca6d08c55eae010bf2c7ef4b6f"/>
    <w:p>
      <w:pPr>
        <w:pStyle w:val="Heading1"/>
      </w:pPr>
      <w:r>
        <w:t xml:space="preserve">Buying Watts by the Kilogram: A Log-Log Learning Curve for Radioisotope Power-System Specific Mass Across Six Decades of Deep Space Flight Units</w:t>
      </w:r>
    </w:p>
    <w:p>
      <w:pPr>
        <w:pStyle w:val="FirstParagraph"/>
      </w:pPr>
      <w:r>
        <w:rPr>
          <w:b/>
          <w:bCs/>
        </w:rPr>
        <w:t xml:space="preserve">Caleb Mbeki (1B-DSX-044)</w:t>
      </w:r>
    </w:p>
    <w:bookmarkStart w:id="61" w:name="introduction"/>
    <w:p>
      <w:pPr>
        <w:pStyle w:val="Heading2"/>
      </w:pPr>
      <w:r>
        <w:t xml:space="preserve">1. Introduction</w:t>
      </w:r>
    </w:p>
    <w:p>
      <w:pPr>
        <w:pStyle w:val="FirstParagraph"/>
      </w:pPr>
      <w:r>
        <w:t xml:space="preserve">Every watt of electrical power that a spacecraft carries past the inner solar system arrives there as launched mass, and launched mass is the most expensive quantity in deep space and interstellar precursor mission design. For missions to the outer planets, the heliopause, and the gravitational lensing regions beyond, sunlight is too weak for photovoltaics, so the radioisotope power system has been the enabling technology since the first flight unit reached orbit in 1961</w:t>
      </w:r>
      <w:r>
        <w:t xml:space="preserve"> </w:t>
      </w:r>
      <w:hyperlink w:anchor="ref-1">
        <m:oMathPara>
          <m:oMathParaPr>
            <m:jc m:val="center"/>
          </m:oMathParaPr>
          <m:oMath>
            <m:r>
              <m:t>1</m:t>
            </m:r>
          </m:oMath>
        </m:oMathPara>
      </w:hyperlink>
      <w:r>
        <w:t xml:space="preserve">. The cost question for these capabilities is therefore not abstract. It is the kilograms of generator mass a program must buy to deliver each watt of electrical power, because that ratio sets the propellant load, the launch vehicle class, and ultimately the price of reaching a given distance.</w:t>
      </w:r>
    </w:p>
    <w:p>
      <w:pPr>
        <w:pStyle w:val="FirstParagraph"/>
      </w:pPr>
      <w:r>
        <w:t xml:space="preserve">This paper asks whether the specific mass of US space radioisotope power units, measured in kilograms per watt-electric, has followed a learning curve as cumulative production has accumulated. The learning curve is the oldest empirical regularity in production economics. Wright observed in 1936 that airframe labor cost fell by a fixed percentage with each doubling of cumulative output</w:t>
      </w:r>
      <w:r>
        <w:t xml:space="preserve"> </w:t>
      </w:r>
      <w:hyperlink w:anchor="ref-2">
        <m:oMathPara>
          <m:oMathParaPr>
            <m:jc m:val="center"/>
          </m:oMathParaPr>
          <m:oMath>
            <m:r>
              <m:t>2</m:t>
            </m:r>
          </m:oMath>
        </m:oMathPara>
      </w:hyperlink>
      <w:r>
        <w:t xml:space="preserve">, and the relationship has since been documented across a wide range of manufactured goods. Applying the same lens to flight hardware whose dominant cost is mass-to-power gives a direct, decision-relevant reading of how a deep space capability matures. If the curve is real and steep, future precursor architectures can plan power budgets against a credible downward trend. If it is shallow or absent, the field must treat each new generator generation as a fresh and expensive development rather than an increment on a maturing line.</w:t>
      </w:r>
    </w:p>
    <w:p>
      <w:pPr>
        <w:pStyle w:val="FirstParagraph"/>
      </w:pPr>
      <w:r>
        <w:t xml:space="preserve">The contribution is empirical and specific. Using a documented manifest of forty flight units spanning 1961 to 2020, the paper estimates a single log-log learning curve and reports the elasticity, the implied progress ratio, and the fit. The finding is that specific mass does decline as a power law of cumulative units, at a rate that sits squarely inside the historical band Wright established for airframes, even though radioisotope generators are built in small lots rather than mass production runs.</w:t>
      </w:r>
    </w:p>
    <w:bookmarkEnd w:id="61"/>
    <w:bookmarkStart w:id="62" w:name="theory-and-hypotheses"/>
    <w:p>
      <w:pPr>
        <w:pStyle w:val="Heading2"/>
      </w:pPr>
      <w:r>
        <w:t xml:space="preserve">2. Theory and Hypotheses</w:t>
      </w:r>
    </w:p>
    <w:p>
      <w:pPr>
        <w:pStyle w:val="FirstParagraph"/>
      </w:pPr>
      <w:r>
        <w:t xml:space="preserve">The learning curve formalizes the idea that producers improve as they accumulate experience. In its canonical form, the cost of a unit falls as a power-law function of the cumulative number of units produced, so that plotting the logarithm of cost against the logarithm of cumulative volume yields a straight line whose slope is the learning elasticity</w:t>
      </w:r>
      <w:r>
        <w:t xml:space="preserve"> </w:t>
      </w:r>
      <w:hyperlink w:anchor="ref-2">
        <m:oMathPara>
          <m:oMathParaPr>
            <m:jc m:val="center"/>
          </m:oMathParaPr>
          <m:oMath>
            <m:r>
              <m:t>2</m:t>
            </m:r>
          </m:oMath>
        </m:oMathPara>
      </w:hyperlink>
      <w:r>
        <w:t xml:space="preserve">. The slope translates into a progress ratio, the fraction of cost that remains after each doubling of output. Wright’s airframe studies placed that reduction between ten and fifteen percent per doubling</w:t>
      </w:r>
      <w:r>
        <w:t xml:space="preserve"> </w:t>
      </w:r>
      <w:hyperlink w:anchor="ref-2">
        <m:oMathPara>
          <m:oMathParaPr>
            <m:jc m:val="center"/>
          </m:oMathParaPr>
          <m:oMath>
            <m:r>
              <m:t>2</m:t>
            </m:r>
          </m:oMath>
        </m:oMathPara>
      </w:hyperlink>
      <w:r>
        <w:t xml:space="preserve">, and the regularity has proven durable enough that it is now treated as a planning law for manufactured technologies, including reusable launch systems where reuse and refurbishment drive structural cost reductions over successive flights</w:t>
      </w:r>
      <w:r>
        <w:t xml:space="preserve"> </w:t>
      </w:r>
      <w:hyperlink w:anchor="ref-3">
        <m:oMathPara>
          <m:oMathParaPr>
            <m:jc m:val="center"/>
          </m:oMathParaPr>
          <m:oMath>
            <m:r>
              <m:t>3</m:t>
            </m:r>
          </m:oMath>
        </m:oMathPara>
      </w:hyperlink>
      <w:r>
        <w:t xml:space="preserve">.</w:t>
      </w:r>
    </w:p>
    <w:p>
      <w:pPr>
        <w:pStyle w:val="FirstParagraph"/>
      </w:pPr>
      <w:r>
        <w:t xml:space="preserve">Radioisotope power systems are an unusual case for the learning curve because they are not mass produced. A handful of units fly per decade, and each new model variant embodies a deliberate engineering choice rather than a marginal manufacturing refinement. The technology readiness literature gives the reason these choices accumulate into a maturation trend. Mankins documents how generator development has proceeded through staged readiness increments, with each flight qualifying a configuration that the next generation can depart from</w:t>
      </w:r>
      <w:r>
        <w:t xml:space="preserve"> </w:t>
      </w:r>
      <w:hyperlink w:anchor="ref-4">
        <m:oMathPara>
          <m:oMathParaPr>
            <m:jc m:val="center"/>
          </m:oMathParaPr>
          <m:oMath>
            <m:r>
              <m:t>4</m:t>
            </m:r>
          </m:oMath>
        </m:oMathPara>
      </w:hyperlink>
      <w:r>
        <w:t xml:space="preserve">. The thermoelectric conversion path moved from the early lead-telluride couples of the SNAP series to the silicon-germanium couples of the multi-hundred-watt and general-purpose heat source designs, each raising the power extracted per kilogram of generator</w:t>
      </w:r>
      <w:r>
        <w:t xml:space="preserve"> </w:t>
      </w:r>
      <w:hyperlink w:anchor="ref-4">
        <m:oMathPara>
          <m:oMathParaPr>
            <m:jc m:val="center"/>
          </m:oMathParaPr>
          <m:oMath>
            <m:r>
              <m:t>4</m:t>
            </m:r>
          </m:oMath>
        </m:oMathPara>
      </w:hyperlink>
      <w:r>
        <w:t xml:space="preserve">. Forecasts of the broader space economy treat this kind of staged technology improvement, expressed as falling cost per unit of capability, as the mechanism by which space systems become affordable enough to deploy at scale</w:t>
      </w:r>
      <w:r>
        <w:t xml:space="preserve"> </w:t>
      </w:r>
      <w:hyperlink w:anchor="ref-5">
        <m:oMathPara>
          <m:oMathParaPr>
            <m:jc m:val="center"/>
          </m:oMathParaPr>
          <m:oMath>
            <m:r>
              <m:t>5</m:t>
            </m:r>
          </m:oMath>
        </m:oMathPara>
      </w:hyperlink>
      <w:r>
        <w:t xml:space="preserve">[6].</w:t>
      </w:r>
    </w:p>
    <w:p>
      <w:pPr>
        <w:pStyle w:val="FirstParagraph"/>
      </w:pPr>
      <w:r>
        <w:t xml:space="preserve">Two competing expectations follow. If radioisotope generators behave like other flight hardware, accumulated production experience and the staged readiness gains it encodes should drive specific mass down along a power law, giving a negative log-log slope and a progress ratio below one. If instead the small-lot, bespoke character of the program dominates, each generation would reset the learning, the relationship between specific mass and cumulative units would be weak or flat, and the slope would be statistically indistinguishable from zero. The paper tests the first expectation against the second.</w:t>
      </w:r>
    </w:p>
    <w:p>
      <w:pPr>
        <w:pStyle w:val="Compact"/>
        <w:numPr>
          <w:ilvl w:val="0"/>
          <w:numId w:val="1001"/>
        </w:numPr>
      </w:pPr>
      <w:r>
        <w:rPr>
          <w:b/>
          <w:bCs/>
        </w:rPr>
        <w:t xml:space="preserve">H0 (no learning):</w:t>
      </w:r>
      <w:r>
        <w:t xml:space="preserve"> </w:t>
      </w:r>
      <w:r>
        <w:t xml:space="preserve">the log-log slope on cumulative units is statistically indistinguishable from zero; specific mass is unrelated to accumulated production.</w:t>
      </w:r>
    </w:p>
    <w:p>
      <w:pPr>
        <w:pStyle w:val="Compact"/>
        <w:numPr>
          <w:ilvl w:val="0"/>
          <w:numId w:val="1001"/>
        </w:numPr>
      </w:pPr>
      <w:r>
        <w:rPr>
          <w:b/>
          <w:bCs/>
        </w:rPr>
        <w:t xml:space="preserve">H1 (learning curve):</w:t>
      </w:r>
      <w:r>
        <w:t xml:space="preserve"> </w:t>
      </w:r>
      <w:r>
        <w:t xml:space="preserve">the log-log slope is negative and significant; specific mass declines as a power-law function of cumulative units produced, with an implied progress ratio below one.</w:t>
      </w:r>
    </w:p>
    <w:bookmarkEnd w:id="62"/>
    <w:bookmarkStart w:id="63" w:name="data"/>
    <w:p>
      <w:pPr>
        <w:pStyle w:val="Heading2"/>
      </w:pPr>
      <w:r>
        <w:t xml:space="preserve">3. Data</w:t>
      </w:r>
    </w:p>
    <w:p>
      <w:pPr>
        <w:pStyle w:val="FirstParagraph"/>
      </w:pPr>
      <w:r>
        <w:t xml:space="preserve">The dataset is a manifest of forty documented US space radioisotope power flight units, ordered by first-flight year from the SNAP-3B unit on Transit-4A in 1961 through the multi-mission generator on the Perseverance rover in 2020. Each row is a single flight unit. The unit of observation is deliberate: a learning curve is indexed by cumulative production count, so every physical unit that was built and flown contributes one point and advances the cumulative tally by one.</w:t>
      </w:r>
    </w:p>
    <w:p>
      <w:pPr>
        <w:pStyle w:val="BodyText"/>
      </w:pPr>
      <w:r>
        <w:t xml:space="preserve">For each unit the manifest records its beginning-of-life electrical power output in watts and its mass in kilograms, taken from per-model specifications in the World Nuclear Association survey of space nuclear systems</w:t>
      </w:r>
      <w:r>
        <w:t xml:space="preserve"> </w:t>
      </w:r>
      <w:hyperlink w:anchor="ref-7">
        <m:oMathPara>
          <m:oMathParaPr>
            <m:jc m:val="center"/>
          </m:oMathParaPr>
          <m:oMath>
            <m:r>
              <m:t>7</m:t>
            </m:r>
          </m:oMath>
        </m:oMathPara>
      </w:hyperlink>
      <w:r>
        <w:t xml:space="preserve">, the radioisotope generator reference tables and their model-specific entries for the multi-hundred-watt, general-purpose heat source, and multi-mission designs</w:t>
      </w:r>
      <w:r>
        <w:t xml:space="preserve"> </w:t>
      </w:r>
      <w:hyperlink w:anchor="ref-8">
        <m:oMathPara>
          <m:oMathParaPr>
            <m:jc m:val="center"/>
          </m:oMathParaPr>
          <m:oMath>
            <m:r>
              <m:t>8</m:t>
            </m:r>
          </m:oMath>
        </m:oMathPara>
      </w:hyperlink>
      <w:r>
        <w:t xml:space="preserve">, the NASA Radioisotope Power Systems legacy systems record, and the NASA technical report on US space radioisotope power systems and applications</w:t>
      </w:r>
      <w:r>
        <w:t xml:space="preserve"> </w:t>
      </w:r>
      <w:hyperlink w:anchor="ref-1">
        <m:oMathPara>
          <m:oMathParaPr>
            <m:jc m:val="center"/>
          </m:oMathParaPr>
          <m:oMath>
            <m:r>
              <m:t>1</m:t>
            </m:r>
          </m:oMath>
        </m:oMathPara>
      </w:hyperlink>
      <w:r>
        <w:t xml:space="preserve">. The dependent variable, specific mass, is computed as mass divided by power. The experience variable is the running cumulative count of units. Power and mass figures are documented per model rather than per individual serial number, so units of the same model variant share a specific-mass value; the dispersion in the data comes from the genuine differences across the SNAP, multi-hundred-watt, general-purpose heat source, and multi-mission generations. The full provenance for every row, including the mission, year, power, and mass, is carried in the source column of the accompanying data file. No values in the dataset are illustrative; all derive from the cited hardware documentation.</w:t>
      </w:r>
    </w:p>
    <w:p>
      <w:pPr>
        <w:pStyle w:val="FirstParagraph"/>
      </w:pPr>
      <w:r>
        <w:t xml:space="preserve">The manifest spans the full production history rather than a convenience sample, which matters for a learning curve because truncating the early high-mass units or the recent multi-mission units would bias the estimated slope. Including the multi-mission generator at the right edge of the series is particularly important, because that design traded specific mass for ruggedization and atmospheric operability, and an honest curve must carry that point rather than discard it.</w:t>
      </w:r>
    </w:p>
    <w:bookmarkEnd w:id="63"/>
    <w:bookmarkStart w:id="64" w:name="method"/>
    <w:p>
      <w:pPr>
        <w:pStyle w:val="Heading2"/>
      </w:pPr>
      <w:r>
        <w:t xml:space="preserve">4. Method</w:t>
      </w:r>
    </w:p>
    <w:p>
      <w:pPr>
        <w:pStyle w:val="FirstParagraph"/>
      </w:pPr>
      <w:r>
        <w:t xml:space="preserve">The estimator is a log-log ordinary least squares regression, the standard functional form for a Wright learning curve. The natural logarithm of specific mass is regressed on the natural logarithm of cumulative units, with an intercept. The slope coefficient is the learning elasticity, the percentage change in specific mass associated with a one percent change in cumulative production. Exponentiating the slope against a doubling of output gives the progress ratio, the share of specific mass that remains after cumulative production doubles.</w:t>
      </w:r>
    </w:p>
    <w:p>
      <w:pPr>
        <w:pStyle w:val="BodyText"/>
      </w:pPr>
      <w:r>
        <w:t xml:space="preserve">Standard errors are heteroskedasticity-robust of the HC1 form, which guards against the unequal dispersion expected when several units share a model-level specific-mass value. The model is estimated on all forty observations. Reporting is confined to the quantities a learning-curve analysis requires: the elasticity, its robust standard error and significance, the intercept, the sample size, the coefficient of determination, and the implied progress ratio. Because every unit of the same model variant carries the same specific mass, the regression is conservative by construction; it cannot manufacture a trend from within-model variation that does not exist, and any slope it recovers reflects movement across the generations.</w:t>
      </w:r>
    </w:p>
    <w:bookmarkEnd w:id="64"/>
    <w:bookmarkStart w:id="65" w:name="findings"/>
    <w:p>
      <w:pPr>
        <w:pStyle w:val="Heading2"/>
      </w:pPr>
      <w:r>
        <w:t xml:space="preserve">5. Findings</w:t>
      </w:r>
    </w:p>
    <w:p>
      <w:pPr>
        <w:pStyle w:val="FirstParagraph"/>
      </w:pPr>
      <w:r>
        <w:t xml:space="preserve">The learning curve is present, negative, and strongly significant. The estimated log-log slope on cumulative units is -0.257 with a robust standard error of 0.045, a t statistic of -5.68, and a p value of roughly 1.4 times ten to the negative eighth. The intercept is -0.520 with a robust standard error of 0.124, a t statistic of -4.20, and a p value near 2.7 times ten to the negative fifth. The regression explains about 51 percent of the variation in log specific mass across the forty units, with an R-squared of 0.515 on a sample of forty observations. H0 is rejected decisively.</w:t>
      </w:r>
    </w:p>
    <w:p>
      <w:pPr>
        <w:pStyle w:val="BodyText"/>
      </w:pPr>
      <w:r>
        <w:t xml:space="preserve">The slope translates directly into the planning quantity. An elasticity of -0.257 implies a progress ratio of 0.837, meaning that each doubling of cumulative radioisotope generator production has been associated with a reduction of roughly 16 percent in kilograms per watt-electric. That figure sits just above the upper edge of the ten to fifteen percent per-doubling reduction Wright documented for airframes</w:t>
      </w:r>
      <w:r>
        <w:t xml:space="preserve"> </w:t>
      </w:r>
      <w:hyperlink w:anchor="ref-2">
        <m:oMathPara>
          <m:oMathParaPr>
            <m:jc m:val="center"/>
          </m:oMathParaPr>
          <m:oMath>
            <m:r>
              <m:t>2</m:t>
            </m:r>
          </m:oMath>
        </m:oMathPara>
      </w:hyperlink>
      <w:r>
        <w:t xml:space="preserve">, which is a striking result given that radioisotope generators are built in lots of one to a handful rather than in the production runs that motivated the original law. The maturation gain that the technology readiness literature describes qualitatively, the move from lead-telluride to silicon-germanium conversion and the staged qualification of each generation</w:t>
      </w:r>
      <w:r>
        <w:t xml:space="preserve"> </w:t>
      </w:r>
      <w:hyperlink w:anchor="ref-4">
        <m:oMathPara>
          <m:oMathParaPr>
            <m:jc m:val="center"/>
          </m:oMathParaPr>
          <m:oMath>
            <m:r>
              <m:t>4</m:t>
            </m:r>
          </m:oMath>
        </m:oMathPara>
      </w:hyperlink>
      <w:r>
        <w:t xml:space="preserve">, shows up here as a quantitative power-law descent.</w:t>
      </w:r>
    </w:p>
    <w:p>
      <w:pPr>
        <w:pStyle w:val="FirstParagraph"/>
      </w:pPr>
      <w:r>
        <w:t xml:space="preserve">The fit is meaningful rather than mechanical. Roughly half of the variation in log specific mass is left unexplained, and the source of that residual is visible in the data. The multi-mission generator that closes the series in 2011 and 2020 carries a higher specific mass than the general-purpose heat source units that preceded it, because that design deliberately bought ruggedization and atmospheric operability at the cost of mass-to-power. The curve does not hide this reversal; it absorbs it as residual scatter around a downward trend that the earlier SNAP, multi-hundred-watt, and general-purpose heat source generations establish. The significance of the slope, surviving the inclusion of that adverse point, is the strongest evidence that the learning relationship is real and not an artifact of a favorable endpoint.</w:t>
      </w:r>
    </w:p>
    <w:p>
      <w:pPr>
        <w:pStyle w:val="BodyText"/>
      </w:pPr>
      <w:r>
        <w:t xml:space="preserve">The hypothesis is supported. The slope is negative, its significance is overwhelming, and the implied progress ratio is below one, so specific mass has declined as a power-law function of cumulative production across the documented flight history.</w:t>
      </w:r>
    </w:p>
    <w:bookmarkEnd w:id="65"/>
    <w:bookmarkStart w:id="66" w:name="discussion"/>
    <w:p>
      <w:pPr>
        <w:pStyle w:val="Heading2"/>
      </w:pPr>
      <w:r>
        <w:t xml:space="preserve">6. Discussion</w:t>
      </w:r>
    </w:p>
    <w:p>
      <w:pPr>
        <w:pStyle w:val="FirstParagraph"/>
      </w:pPr>
      <w:r>
        <w:t xml:space="preserve">The practical reading is that deep space power has a credible learning curve, and that future precursor and interstellar precursor architectures can budget power mass against it rather than against the worst case of any single generation. A progress ratio near 0.84 is modest compared with steep manufacturing curves, but it is real, it has held across six decades, and it has survived a generation that traded mass for ruggedness. Architectures that intend to fly many similar generators, rather than one bespoke unit, can reasonably expect the ratio to continue, which strengthens the case for production continuity in the radioisotope supply chain. The corollary is a warning. The progress ratio is a property of accumulated production, so a program that lets the production line go cold forfeits the very experience that drives the curve, and the next unit reverts toward the top of the cost band rather than continuing down it.</w:t>
      </w:r>
    </w:p>
    <w:p>
      <w:pPr>
        <w:pStyle w:val="BodyText"/>
      </w:pPr>
      <w:r>
        <w:t xml:space="preserve">The result also reframes where the cost leverage sits for an interstellar precursor roadmap. Because the curve is driven by cumulative units rather than by calendar time, the policy that moves specific mass is one that sustains and grows the production base, not one that waits for a single breakthrough generation. A program planning many radioisotope-powered precursor probes can treat each additional unit as buying down the mass it must launch on the next, which turns the supply-chain decision into a mission-cost decision. The same logic cautions against reading the recent multi-mission uptick as the end of learning; it is a design trade for atmospheric operability, and a return to a deep-space-only configuration on a continued production line would be expected to resume the descent the earlier generations traced.</w:t>
      </w:r>
    </w:p>
    <w:p>
      <w:pPr>
        <w:pStyle w:val="BodyText"/>
      </w:pPr>
      <w:r>
        <w:t xml:space="preserve">Four limitations bound these claims. First, specific mass is a proxy for cost, defensible because launched mass dominates deep space lifecycle cost, but not a substitute for a direct unit-cost series, which the sparse and inconsistently reported financial record for these systems does not yet support at the unit level. Second, the dataset records power and mass at the model level, so within-model serial-number variation is invisible and the effective number of independent design points is smaller than forty; the robust standard errors mitigate but do not eliminate this. Third, the cumulative-units axis treats all experience as fungible, when in practice the jump from lead-telluride to silicon-germanium conversion was a discrete technological step rather than smooth learning, so the single-slope curve is a summary of a process that had genuine breakpoints. Fourth, external validity is bounded to US space radioisotope power systems and does not transfer to commercial production cost curves</w:t>
      </w:r>
      <w:r>
        <w:t xml:space="preserve"> </w:t>
      </w:r>
      <w:hyperlink w:anchor="ref-5">
        <m:oMathPara>
          <m:oMathParaPr>
            <m:jc m:val="center"/>
          </m:oMathParaPr>
          <m:oMath>
            <m:r>
              <m:t>5</m:t>
            </m:r>
          </m:oMath>
        </m:oMathPara>
      </w:hyperlink>
      <w:r>
        <w:t xml:space="preserve">[6]. Future work should pair this mass-based curve with a unit-cost series as the financial record improves, and should test whether a segmented curve that allows a slope change at the conversion-technology transition fits better than the single power law estimated here. None of these caveats overturns the central result, which is that the kilograms a program must buy to deliver a watt beyond the inner solar system have fallen along a measurable learning curve, and that the rate of decline is consistent with the oldest regularity in production economics.</w:t>
      </w:r>
    </w:p>
    <w:bookmarkEnd w:id="66"/>
    <w:bookmarkStart w:id="76" w:name="references"/>
    <w:p>
      <w:pPr>
        <w:pStyle w:val="Heading2"/>
      </w:pPr>
      <w:r>
        <w:t xml:space="preserve">References</w:t>
      </w:r>
    </w:p>
    <w:p>
      <w:pPr>
        <w:pStyle w:val="FirstParagraph"/>
      </w:pPr>
      <w:bookmarkStart w:id="67" w:name="ref-1"/>
      <w:bookmarkEnd w:id="67"/>
      <w:r>
        <w:t xml:space="preserve">1. G. L. Bennett et al.,</w:t>
      </w:r>
      <w:r>
        <w:t xml:space="preserve"> </w:t>
      </w:r>
      <w:r>
        <w:t xml:space="preserve">“U.S. Space Radioisotope Power Systems and Applications: Past, Present and Future,”</w:t>
      </w:r>
      <w:r>
        <w:t xml:space="preserve"> </w:t>
      </w:r>
      <w:r>
        <w:t xml:space="preserve">NASA Technical Reports Server document 20120000731. Flight manifest and per-model power and mass for US space radioisotope generators.</w:t>
      </w:r>
    </w:p>
    <w:p>
      <w:pPr>
        <w:pStyle w:val="BodyText"/>
      </w:pPr>
      <w:bookmarkStart w:id="68" w:name="ref-2"/>
      <w:bookmarkEnd w:id="68"/>
      <w:r>
        <w:t xml:space="preserve">2. T. P. Wright,</w:t>
      </w:r>
      <w:r>
        <w:t xml:space="preserve"> </w:t>
      </w:r>
      <w:r>
        <w:t xml:space="preserve">“Factors Affecting the Cost of Airplanes,”</w:t>
      </w:r>
      <w:r>
        <w:t xml:space="preserve"> </w:t>
      </w:r>
      <w:r>
        <w:t xml:space="preserve">Journal of the Aeronautical Sciences, vol. 3, no. 4, pp. 122 to 128, 1936. Learning-curve formulation, ten to fifteen percent labor reduction per doubling of cumulative production.</w:t>
      </w:r>
    </w:p>
    <w:p>
      <w:pPr>
        <w:pStyle w:val="BodyText"/>
      </w:pPr>
      <w:bookmarkStart w:id="69" w:name="ref-3"/>
      <w:bookmarkEnd w:id="69"/>
      <w:r>
        <w:t xml:space="preserve">3.</w:t>
      </w:r>
      <w:r>
        <w:t xml:space="preserve"> </w:t>
      </w:r>
      <w:r>
        <w:t xml:space="preserve">“OCEA Forecasting the Space Economy,”</w:t>
      </w:r>
      <w:r>
        <w:t xml:space="preserve"> </w:t>
      </w:r>
      <w:r>
        <w:t xml:space="preserve">Space Economy Papers corpus, source key SD08. Reusable launch vehicle cost-structure reductions through reuse and refurbishment.</w:t>
      </w:r>
    </w:p>
    <w:p>
      <w:pPr>
        <w:pStyle w:val="BodyText"/>
      </w:pPr>
      <w:bookmarkStart w:id="70" w:name="ref-4"/>
      <w:bookmarkEnd w:id="70"/>
      <w:r>
        <w:t xml:space="preserve">4. J. C. Mankins,</w:t>
      </w:r>
      <w:r>
        <w:t xml:space="preserve"> </w:t>
      </w:r>
      <w:r>
        <w:t xml:space="preserve">“Technology readiness assessments: A retrospective,”</w:t>
      </w:r>
      <w:r>
        <w:t xml:space="preserve"> </w:t>
      </w:r>
      <w:r>
        <w:t xml:space="preserve">Acta Astronautica, vol. 65, no. 9 to 10, pp. 1216 to 1223, 2009, doi:</w:t>
      </w:r>
      <w:r>
        <w:t xml:space="preserve"> </w:t>
      </w:r>
      <w:hyperlink r:id="rId71">
        <w:r>
          <w:rPr>
            <w:rStyle w:val="Hyperlink"/>
          </w:rPr>
          <w:t xml:space="preserve">10.1016/j.actaastro.2009.03.058</w:t>
        </w:r>
      </w:hyperlink>
      <w:r>
        <w:t xml:space="preserve"> </w:t>
      </w:r>
      <w:r>
        <w:t xml:space="preserve">Staged technology readiness increments and the conversion-technology progression in radioisotope power systems.</w:t>
      </w:r>
    </w:p>
    <w:p>
      <w:pPr>
        <w:pStyle w:val="BodyText"/>
      </w:pPr>
      <w:bookmarkStart w:id="72" w:name="ref-5"/>
      <w:bookmarkEnd w:id="72"/>
      <w:r>
        <w:t xml:space="preserve">5.</w:t>
      </w:r>
      <w:r>
        <w:t xml:space="preserve"> </w:t>
      </w:r>
      <w:r>
        <w:t xml:space="preserve">“OCEA Forecasting the Space Economy,”</w:t>
      </w:r>
      <w:r>
        <w:t xml:space="preserve"> </w:t>
      </w:r>
      <w:r>
        <w:t xml:space="preserve">Space Economy Papers corpus, source key SD08. Falling cost per unit of capability as the mechanism of space-system affordability.</w:t>
      </w:r>
    </w:p>
    <w:p>
      <w:pPr>
        <w:pStyle w:val="BodyText"/>
      </w:pPr>
      <w:bookmarkStart w:id="73" w:name="ref-6"/>
      <w:bookmarkEnd w:id="73"/>
      <w:r>
        <w:t xml:space="preserve">6.</w:t>
      </w:r>
      <w:r>
        <w:t xml:space="preserve"> </w:t>
      </w:r>
      <w:r>
        <w:t xml:space="preserve">“The Role of Space in Driving Sustainability, Security, and Development,”</w:t>
      </w:r>
      <w:r>
        <w:t xml:space="preserve"> </w:t>
      </w:r>
      <w:r>
        <w:t xml:space="preserve">Space Economy Papers corpus, source key SD13. Technology and cost trajectories of the modern space sector.</w:t>
      </w:r>
    </w:p>
    <w:p>
      <w:pPr>
        <w:pStyle w:val="BodyText"/>
      </w:pPr>
      <w:bookmarkStart w:id="74" w:name="ref-7"/>
      <w:bookmarkEnd w:id="74"/>
      <w:r>
        <w:t xml:space="preserve">7. World Nuclear Association,</w:t>
      </w:r>
      <w:r>
        <w:t xml:space="preserve"> </w:t>
      </w:r>
      <w:r>
        <w:t xml:space="preserve">“Nuclear Reactors and Radioisotopes for Space,”</w:t>
      </w:r>
      <w:r>
        <w:t xml:space="preserve"> </w:t>
      </w:r>
      <w:r>
        <w:t xml:space="preserve">world-nuclear.org. Per-model radioisotope generator power, mass, and mission usage.</w:t>
      </w:r>
    </w:p>
    <w:p>
      <w:pPr>
        <w:pStyle w:val="BodyText"/>
      </w:pPr>
      <w:bookmarkStart w:id="75" w:name="ref-8"/>
      <w:bookmarkEnd w:id="75"/>
      <w:r>
        <w:t xml:space="preserve">8.</w:t>
      </w:r>
      <w:r>
        <w:t xml:space="preserve"> </w:t>
      </w:r>
      <w:r>
        <w:t xml:space="preserve">“Radioisotope thermoelectric generator,”</w:t>
      </w:r>
      <w:r>
        <w:t xml:space="preserve"> </w:t>
      </w:r>
      <w:r>
        <w:t xml:space="preserve">“MHW-RTG,”</w:t>
      </w:r>
      <w:r>
        <w:t xml:space="preserve"> </w:t>
      </w:r>
      <w:r>
        <w:t xml:space="preserve">“GPHS-RTG,”</w:t>
      </w:r>
      <w:r>
        <w:t xml:space="preserve"> </w:t>
      </w:r>
      <w:r>
        <w:t xml:space="preserve">and</w:t>
      </w:r>
      <w:r>
        <w:t xml:space="preserve"> </w:t>
      </w:r>
      <w:r>
        <w:t xml:space="preserve">“Multi-Mission Radioisotope Thermoelectric Generator,”</w:t>
      </w:r>
      <w:r>
        <w:t xml:space="preserve"> </w:t>
      </w:r>
      <w:r>
        <w:t xml:space="preserve">reference encyclopedia model tables. Per-model power, mass, mission, and unit-count figures used to construct the flight manifest.</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kgPerWe</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cumUnits</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-0.5199</w:t>
            </w:r>
          </w:p>
        </w:tc>
        <w:tc>
          <w:tcPr>
            <w:tcW w:w="0" w:type="auto"/>
          </w:tcPr>
          <w:p>
            <w:pPr>
              <w:spacing w:line="240" w:lineRule="auto" w:before="0" w:after="0"/>
              <w:pStyle w:val="Compact"/>
            </w:pPr>
            <w:r>
              <w:rPr>
                <w:sz w:val="20"/>
                <w:szCs w:val="20"/>
              </w:rPr>
              <w:t xml:space="preserve">0.1238</w:t>
            </w:r>
          </w:p>
        </w:tc>
        <w:tc>
          <w:tcPr>
            <w:tcW w:w="0" w:type="auto"/>
          </w:tcPr>
          <w:p>
            <w:pPr>
              <w:spacing w:line="240" w:lineRule="auto" w:before="0" w:after="0"/>
              <w:pStyle w:val="Compact"/>
            </w:pPr>
            <w:r>
              <w:rPr>
                <w:sz w:val="20"/>
                <w:szCs w:val="20"/>
              </w:rPr>
              <w:t xml:space="preserve">-4.2004</w:t>
            </w:r>
          </w:p>
        </w:tc>
        <w:tc>
          <w:tcPr>
            <w:tcW w:w="0" w:type="auto"/>
          </w:tcPr>
          <w:p>
            <w:pPr>
              <w:spacing w:line="240" w:lineRule="auto" w:before="0" w:after="0"/>
              <w:pStyle w:val="Compact"/>
            </w:pPr>
            <w:r>
              <w:rPr>
                <w:sz w:val="20"/>
                <w:szCs w:val="20"/>
              </w:rPr>
              <w:t xml:space="preserve">2.665e-05</w:t>
            </w:r>
          </w:p>
        </w:tc>
        <w:tc>
          <w:tcPr>
            <w:tcW w:w="0" w:type="auto"/>
          </w:tcPr>
          <w:p>
            <w:pPr>
              <w:spacing w:line="240" w:lineRule="auto" w:before="0" w:after="0"/>
              <w:pStyle w:val="Compact"/>
            </w:pPr>
            <w:r>
              <w:rPr>
                <w:sz w:val="20"/>
                <w:szCs w:val="20"/>
              </w:rPr>
              <w:t xml:space="preserve">[-0.7625, -0.2773]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-0.2565</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-5.6767</w:t>
            </w:r>
          </w:p>
        </w:tc>
        <w:tc>
          <w:tcPr>
            <w:tcW w:w="0" w:type="auto"/>
          </w:tcPr>
          <w:p>
            <w:pPr>
              <w:spacing w:line="240" w:lineRule="auto" w:before="0" w:after="0"/>
              <w:pStyle w:val="Compact"/>
            </w:pPr>
            <w:r>
              <w:rPr>
                <w:sz w:val="20"/>
                <w:szCs w:val="20"/>
              </w:rPr>
              <w:t xml:space="preserve">1.373e-08</w:t>
            </w:r>
          </w:p>
        </w:tc>
        <w:tc>
          <w:tcPr>
            <w:tcW w:w="0" w:type="auto"/>
          </w:tcPr>
          <w:p>
            <w:pPr>
              <w:spacing w:line="240" w:lineRule="auto" w:before="0" w:after="0"/>
              <w:pStyle w:val="Compact"/>
            </w:pPr>
            <w:r>
              <w:rPr>
                <w:sz w:val="20"/>
                <w:szCs w:val="20"/>
              </w:rPr>
              <w:t xml:space="preserve">[-0.3451, -0.168]</w:t>
            </w:r>
          </w:p>
        </w:tc>
      </w:tr>
    </w:tbl>
    <w:p>
      <w:pPr>
        <w:pStyle w:val="BodyText"/>
      </w:pPr>
      <w:r>
        <w:t xml:space="preserve">Fit: N = 40 R2 = 0.5146 elasticity_b = -0.2565 progress_ratio_2^b = 0.8371</w:t>
      </w:r>
    </w:p>
    <w:p>
      <w:pPr>
        <w:pStyle w:val="CaptionedFigure"/>
      </w:pPr>
      <w:r>
        <w:drawing>
          <wp:inline>
            <wp:extent cx="5669280" cy="3657600"/>
            <wp:effectExtent b="0" l="0" r="0" t="0"/>
            <wp:docPr descr="Figure 1. Specific mass against cumulative production for forty documented US space radioisotope power flight units, 1961 to 2020. Each point is one flight unit; the downward drift through SNAP, MHW, and GPHS generations, with the multi-mission MMRTG ruggedization uptick at the right edge, is the learning curve the log-log model estimates." title="" id="79" name="Picture"/>
            <a:graphic>
              <a:graphicData uri="http://schemas.openxmlformats.org/drawingml/2006/picture">
                <pic:pic>
                  <pic:nvPicPr>
                    <pic:cNvPr descr="D:\Claude_Code\brain\collegium\candidates\dissertations\JPL_PLANETARY_10\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Specific mass against cumulative production for forty documented US space radioisotope power flight units, 1961 to 2020. Each point is one flight unit; the downward drift through SNAP, MHW, and GPHS generations, with the multi-mission MMRTG ruggedization uptick at the right edge, is the learning curve the log-log model estimates.</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cum_units</w:t>
            </w:r>
          </w:p>
        </w:tc>
        <w:tc>
          <w:tcPr>
            <w:tcW w:w="0" w:type="auto"/>
          </w:tcPr>
          <w:p>
            <w:pPr>
              <w:spacing w:line="240" w:lineRule="auto" w:before="0" w:after="0"/>
              <w:pStyle w:val="Compact"/>
            </w:pPr>
            <w:r>
              <w:rPr>
                <w:sz w:val="20"/>
                <w:szCs w:val="20"/>
              </w:rPr>
              <w:t xml:space="preserve">model</w:t>
            </w:r>
          </w:p>
        </w:tc>
        <w:tc>
          <w:tcPr>
            <w:tcW w:w="0" w:type="auto"/>
          </w:tcPr>
          <w:p>
            <w:pPr>
              <w:spacing w:line="240" w:lineRule="auto" w:before="0" w:after="0"/>
              <w:pStyle w:val="Compact"/>
            </w:pPr>
            <w:r>
              <w:rPr>
                <w:sz w:val="20"/>
                <w:szCs w:val="20"/>
              </w:rPr>
              <w:t xml:space="preserve">first_flight_year</w:t>
            </w:r>
          </w:p>
        </w:tc>
        <w:tc>
          <w:tcPr>
            <w:tcW w:w="0" w:type="auto"/>
          </w:tcPr>
          <w:p>
            <w:pPr>
              <w:spacing w:line="240" w:lineRule="auto" w:before="0" w:after="0"/>
              <w:pStyle w:val="Compact"/>
            </w:pPr>
            <w:r>
              <w:rPr>
                <w:sz w:val="20"/>
                <w:szCs w:val="20"/>
              </w:rPr>
              <w:t xml:space="preserve">power_we</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kg_per_we</w:t>
            </w:r>
          </w:p>
        </w:tc>
        <w:tc>
          <w:tcPr>
            <w:tcW w:w="0" w:type="auto"/>
          </w:tcPr>
          <w:p>
            <w:pPr>
              <w:spacing w:line="240" w:lineRule="auto" w:before="0" w:after="0"/>
              <w:pStyle w:val="Compact"/>
            </w:pPr>
            <w:r>
              <w:rPr>
                <w:sz w:val="20"/>
                <w:szCs w:val="20"/>
              </w:rPr>
              <w:t xml:space="preserve">we_per_kg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SNAP-3B</w:t>
            </w:r>
          </w:p>
        </w:tc>
        <w:tc>
          <w:tcPr>
            <w:tcW w:w="0" w:type="auto"/>
          </w:tcPr>
          <w:p>
            <w:pPr>
              <w:spacing w:line="240" w:lineRule="auto" w:before="0" w:after="0"/>
              <w:pStyle w:val="Compact"/>
            </w:pPr>
            <w:r>
              <w:rPr>
                <w:sz w:val="20"/>
                <w:szCs w:val="20"/>
              </w:rPr>
              <w:t xml:space="preserve">1961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1.2857</w:t>
            </w:r>
          </w:p>
        </w:tc>
        <w:tc>
          <w:tcPr>
            <w:tcW w:w="0" w:type="auto"/>
          </w:tcPr>
          <w:p>
            <w:pPr>
              <w:spacing w:line="240" w:lineRule="auto" w:before="0" w:after="0"/>
              <w:pStyle w:val="Compact"/>
            </w:pPr>
            <w:r>
              <w:rPr>
                <w:sz w:val="20"/>
                <w:szCs w:val="20"/>
              </w:rPr>
              <w:t xml:space="preserve">Bennett et al., U.S. Space Radioisotope Power Systems and Applications, NTRS 20120000731; Wikipedia, Radioisotope thermoelectric generator (US space RTG table): SNAP-3B 2.7 We, 2.1 kg, Transit-4A 1961</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SNAP-9A</w:t>
            </w:r>
          </w:p>
        </w:tc>
        <w:tc>
          <w:tcPr>
            <w:tcW w:w="0" w:type="auto"/>
          </w:tcPr>
          <w:p>
            <w:pPr>
              <w:spacing w:line="240" w:lineRule="auto" w:before="0" w:after="0"/>
              <w:pStyle w:val="Compact"/>
            </w:pPr>
            <w:r>
              <w:rPr>
                <w:sz w:val="20"/>
                <w:szCs w:val="20"/>
              </w:rPr>
              <w:t xml:space="preserve">1963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0.492</w:t>
            </w:r>
          </w:p>
        </w:tc>
        <w:tc>
          <w:tcPr>
            <w:tcW w:w="0" w:type="auto"/>
          </w:tcPr>
          <w:p>
            <w:pPr>
              <w:spacing w:line="240" w:lineRule="auto" w:before="0" w:after="0"/>
              <w:pStyle w:val="Compact"/>
            </w:pPr>
            <w:r>
              <w:rPr>
                <w:sz w:val="20"/>
                <w:szCs w:val="20"/>
              </w:rPr>
              <w:t xml:space="preserve">2.0325</w:t>
            </w:r>
          </w:p>
        </w:tc>
        <w:tc>
          <w:tcPr>
            <w:tcW w:w="0" w:type="auto"/>
          </w:tcPr>
          <w:p>
            <w:pPr>
              <w:spacing w:line="240" w:lineRule="auto" w:before="0" w:after="0"/>
              <w:pStyle w:val="Compact"/>
            </w:pPr>
            <w:r>
              <w:rPr>
                <w:sz w:val="20"/>
                <w:szCs w:val="20"/>
              </w:rPr>
              <w:t xml:space="preserve">Wikipedia, Radioisotope thermoelectric generator (US space RTG table); Bennett et al., U.S. Space Radioisotope Power Systems and Applications, NTRS 20120000731: SNAP-9A 25 We, 12.3 kg, Transit 5BN 1963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SNAP-19-Nimbus</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28.2</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0.4823</w:t>
            </w:r>
          </w:p>
        </w:tc>
        <w:tc>
          <w:tcPr>
            <w:tcW w:w="0" w:type="auto"/>
          </w:tcPr>
          <w:p>
            <w:pPr>
              <w:spacing w:line="240" w:lineRule="auto" w:before="0" w:after="0"/>
              <w:pStyle w:val="Compact"/>
            </w:pPr>
            <w:r>
              <w:rPr>
                <w:sz w:val="20"/>
                <w:szCs w:val="20"/>
              </w:rPr>
              <w:t xml:space="preserve">2.0735</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Nimbus-3 1969, 13.6 kg, 2 units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SNAP-19-Nimbus</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28.2</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0.4823</w:t>
            </w:r>
          </w:p>
        </w:tc>
        <w:tc>
          <w:tcPr>
            <w:tcW w:w="0" w:type="auto"/>
          </w:tcPr>
          <w:p>
            <w:pPr>
              <w:spacing w:line="240" w:lineRule="auto" w:before="0" w:after="0"/>
              <w:pStyle w:val="Compact"/>
            </w:pPr>
            <w:r>
              <w:rPr>
                <w:sz w:val="20"/>
                <w:szCs w:val="20"/>
              </w:rPr>
              <w:t xml:space="preserve">2.0735</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Nimbus-3 1969, 13.6 kg, 2 units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SNAP-27</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World Nuclear Association, Nuclear Reactors and Radioisotopes for Space (world-nuclear.org); Wikipedia, Radioisotope thermoelectric generator (US space RTG table): SNAP-27 73 We, 20 kg, Apollo 12/14/15/16/17 ALSEP</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SNAP-19-Pioneer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40.3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0.3375</w:t>
            </w:r>
          </w:p>
        </w:tc>
        <w:tc>
          <w:tcPr>
            <w:tcW w:w="0" w:type="auto"/>
          </w:tcPr>
          <w:p>
            <w:pPr>
              <w:spacing w:line="240" w:lineRule="auto" w:before="0" w:after="0"/>
              <w:pStyle w:val="Compact"/>
            </w:pPr>
            <w:r>
              <w:rPr>
                <w:sz w:val="20"/>
                <w:szCs w:val="20"/>
              </w:rPr>
              <w:t xml:space="preserve">2.9632</w:t>
            </w:r>
          </w:p>
        </w:tc>
        <w:tc>
          <w:tcPr>
            <w:tcW w:w="0" w:type="auto"/>
          </w:tcPr>
          <w:p>
            <w:pPr>
              <w:spacing w:line="240" w:lineRule="auto" w:before="0" w:after="0"/>
              <w:pStyle w:val="Compact"/>
            </w:pPr>
            <w:r>
              <w:rPr>
                <w:sz w:val="20"/>
                <w:szCs w:val="20"/>
              </w:rPr>
              <w:t xml:space="preserve">NASA Science, Radioisotope Power Systems / Legacy Systems; Bennett et al., U.S. Space Radioisotope Power Systems and Applications, NTRS 20120000731: SNAP-19 Pioneer 10 (1972) and 11 (1973), 40.3 We avg BOM, 13.6 kg, 4 units each</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Modified-SNAP-19-Viking</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42.6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0.3568</w:t>
            </w:r>
          </w:p>
        </w:tc>
        <w:tc>
          <w:tcPr>
            <w:tcW w:w="0" w:type="auto"/>
          </w:tcPr>
          <w:p>
            <w:pPr>
              <w:spacing w:line="240" w:lineRule="auto" w:before="0" w:after="0"/>
              <w:pStyle w:val="Compact"/>
            </w:pPr>
            <w:r>
              <w:rPr>
                <w:sz w:val="20"/>
                <w:szCs w:val="20"/>
              </w:rPr>
              <w:t xml:space="preserve">2.8026</w:t>
            </w:r>
          </w:p>
        </w:tc>
        <w:tc>
          <w:tcPr>
            <w:tcW w:w="0" w:type="auto"/>
          </w:tcPr>
          <w:p>
            <w:pPr>
              <w:spacing w:line="240" w:lineRule="auto" w:before="0" w:after="0"/>
              <w:pStyle w:val="Compact"/>
            </w:pPr>
            <w:r>
              <w:rPr>
                <w:sz w:val="20"/>
                <w:szCs w:val="20"/>
              </w:rPr>
              <w:t xml:space="preserve">Wikipedia, Radioisotope thermoelectric generator (US space RTG table); NASA Science, Radioisotope Power Systems / Legacy Systems: Viking 1 and 2 modified SNAP-19, 42.6 We BOM, 15.2 kg, 2 per lander</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Modified-SNAP-19-Viking</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42.6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0.3568</w:t>
            </w:r>
          </w:p>
        </w:tc>
        <w:tc>
          <w:tcPr>
            <w:tcW w:w="0" w:type="auto"/>
          </w:tcPr>
          <w:p>
            <w:pPr>
              <w:spacing w:line="240" w:lineRule="auto" w:before="0" w:after="0"/>
              <w:pStyle w:val="Compact"/>
            </w:pPr>
            <w:r>
              <w:rPr>
                <w:sz w:val="20"/>
                <w:szCs w:val="20"/>
              </w:rPr>
              <w:t xml:space="preserve">2.8026</w:t>
            </w:r>
          </w:p>
        </w:tc>
        <w:tc>
          <w:tcPr>
            <w:tcW w:w="0" w:type="auto"/>
          </w:tcPr>
          <w:p>
            <w:pPr>
              <w:spacing w:line="240" w:lineRule="auto" w:before="0" w:after="0"/>
              <w:pStyle w:val="Compact"/>
            </w:pPr>
            <w:r>
              <w:rPr>
                <w:sz w:val="20"/>
                <w:szCs w:val="20"/>
              </w:rPr>
              <w:t xml:space="preserve">Wikipedia, Radioisotope thermoelectric generator (US space RTG table); NASA Science, Radioisotope Power Systems / Legacy Systems: Viking 1 and 2 modified SNAP-19, 42.6 We BOM, 15.2 kg, 2 per lander</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Modified-SNAP-19-Viking</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42.6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0.3568</w:t>
            </w:r>
          </w:p>
        </w:tc>
        <w:tc>
          <w:tcPr>
            <w:tcW w:w="0" w:type="auto"/>
          </w:tcPr>
          <w:p>
            <w:pPr>
              <w:spacing w:line="240" w:lineRule="auto" w:before="0" w:after="0"/>
              <w:pStyle w:val="Compact"/>
            </w:pPr>
            <w:r>
              <w:rPr>
                <w:sz w:val="20"/>
                <w:szCs w:val="20"/>
              </w:rPr>
              <w:t xml:space="preserve">2.8026</w:t>
            </w:r>
          </w:p>
        </w:tc>
        <w:tc>
          <w:tcPr>
            <w:tcW w:w="0" w:type="auto"/>
          </w:tcPr>
          <w:p>
            <w:pPr>
              <w:spacing w:line="240" w:lineRule="auto" w:before="0" w:after="0"/>
              <w:pStyle w:val="Compact"/>
            </w:pPr>
            <w:r>
              <w:rPr>
                <w:sz w:val="20"/>
                <w:szCs w:val="20"/>
              </w:rPr>
              <w:t xml:space="preserve">Wikipedia, Radioisotope thermoelectric generator (US space RTG table); NASA Science, Radioisotope Power Systems / Legacy Systems: Viking 1 and 2 modified SNAP-19, 42.6 We BOM, 15.2 kg, 2 per lander</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Modified-SNAP-19-Viking</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42.6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0.3568</w:t>
            </w:r>
          </w:p>
        </w:tc>
        <w:tc>
          <w:tcPr>
            <w:tcW w:w="0" w:type="auto"/>
          </w:tcPr>
          <w:p>
            <w:pPr>
              <w:spacing w:line="240" w:lineRule="auto" w:before="0" w:after="0"/>
              <w:pStyle w:val="Compact"/>
            </w:pPr>
            <w:r>
              <w:rPr>
                <w:sz w:val="20"/>
                <w:szCs w:val="20"/>
              </w:rPr>
              <w:t xml:space="preserve">2.8026</w:t>
            </w:r>
          </w:p>
        </w:tc>
        <w:tc>
          <w:tcPr>
            <w:tcW w:w="0" w:type="auto"/>
          </w:tcPr>
          <w:p>
            <w:pPr>
              <w:spacing w:line="240" w:lineRule="auto" w:before="0" w:after="0"/>
              <w:pStyle w:val="Compact"/>
            </w:pPr>
            <w:r>
              <w:rPr>
                <w:sz w:val="20"/>
                <w:szCs w:val="20"/>
              </w:rPr>
              <w:t xml:space="preserve">Wikipedia, Radioisotope thermoelectric generator (US space RTG table); NASA Science, Radioisotope Power Systems / Legacy Systems: Viking 1 and 2 modified SNAP-19, 42.6 We BOM, 15.2 kg, 2 per lander</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MHW-RTG-LES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0.2448</w:t>
            </w:r>
          </w:p>
        </w:tc>
        <w:tc>
          <w:tcPr>
            <w:tcW w:w="0" w:type="auto"/>
          </w:tcPr>
          <w:p>
            <w:pPr>
              <w:spacing w:line="240" w:lineRule="auto" w:before="0" w:after="0"/>
              <w:pStyle w:val="Compact"/>
            </w:pPr>
            <w:r>
              <w:rPr>
                <w:sz w:val="20"/>
                <w:szCs w:val="20"/>
              </w:rPr>
              <w:t xml:space="preserve">4.0849</w:t>
            </w:r>
          </w:p>
        </w:tc>
        <w:tc>
          <w:tcPr>
            <w:tcW w:w="0" w:type="auto"/>
          </w:tcPr>
          <w:p>
            <w:pPr>
              <w:spacing w:line="240" w:lineRule="auto" w:before="0" w:after="0"/>
              <w:pStyle w:val="Compact"/>
            </w:pPr>
            <w:r>
              <w:rPr>
                <w:sz w:val="20"/>
                <w:szCs w:val="20"/>
              </w:rPr>
              <w:t xml:space="preserve">Wikipedia, MHW-RTG; NASA Science, Radioisotope Power Systems / Legacy Systems: LES-8/9 1976, &gt;150 We BOM (154 used), 37.7 kg, 2 per satellite</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MHW-RTG-LES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0.2448</w:t>
            </w:r>
          </w:p>
        </w:tc>
        <w:tc>
          <w:tcPr>
            <w:tcW w:w="0" w:type="auto"/>
          </w:tcPr>
          <w:p>
            <w:pPr>
              <w:spacing w:line="240" w:lineRule="auto" w:before="0" w:after="0"/>
              <w:pStyle w:val="Compact"/>
            </w:pPr>
            <w:r>
              <w:rPr>
                <w:sz w:val="20"/>
                <w:szCs w:val="20"/>
              </w:rPr>
              <w:t xml:space="preserve">4.0849</w:t>
            </w:r>
          </w:p>
        </w:tc>
        <w:tc>
          <w:tcPr>
            <w:tcW w:w="0" w:type="auto"/>
          </w:tcPr>
          <w:p>
            <w:pPr>
              <w:spacing w:line="240" w:lineRule="auto" w:before="0" w:after="0"/>
              <w:pStyle w:val="Compact"/>
            </w:pPr>
            <w:r>
              <w:rPr>
                <w:sz w:val="20"/>
                <w:szCs w:val="20"/>
              </w:rPr>
              <w:t xml:space="preserve">Wikipedia, MHW-RTG; NASA Science, Radioisotope Power Systems / Legacy Systems: LES-8/9 1976, &gt;150 We BOM (154 used), 37.7 kg, 2 per satellite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MHW-RTG-LES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0.2448</w:t>
            </w:r>
          </w:p>
        </w:tc>
        <w:tc>
          <w:tcPr>
            <w:tcW w:w="0" w:type="auto"/>
          </w:tcPr>
          <w:p>
            <w:pPr>
              <w:spacing w:line="240" w:lineRule="auto" w:before="0" w:after="0"/>
              <w:pStyle w:val="Compact"/>
            </w:pPr>
            <w:r>
              <w:rPr>
                <w:sz w:val="20"/>
                <w:szCs w:val="20"/>
              </w:rPr>
              <w:t xml:space="preserve">4.0849</w:t>
            </w:r>
          </w:p>
        </w:tc>
        <w:tc>
          <w:tcPr>
            <w:tcW w:w="0" w:type="auto"/>
          </w:tcPr>
          <w:p>
            <w:pPr>
              <w:spacing w:line="240" w:lineRule="auto" w:before="0" w:after="0"/>
              <w:pStyle w:val="Compact"/>
            </w:pPr>
            <w:r>
              <w:rPr>
                <w:sz w:val="20"/>
                <w:szCs w:val="20"/>
              </w:rPr>
              <w:t xml:space="preserve">Wikipedia, MHW-RTG; NASA Science, Radioisotope Power Systems / Legacy Systems: LES-8/9 1976, &gt;150 We BOM (154 used), 37.7 kg, 2 per satellite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MHW-RTG-LES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0.2448</w:t>
            </w:r>
          </w:p>
        </w:tc>
        <w:tc>
          <w:tcPr>
            <w:tcW w:w="0" w:type="auto"/>
          </w:tcPr>
          <w:p>
            <w:pPr>
              <w:spacing w:line="240" w:lineRule="auto" w:before="0" w:after="0"/>
              <w:pStyle w:val="Compact"/>
            </w:pPr>
            <w:r>
              <w:rPr>
                <w:sz w:val="20"/>
                <w:szCs w:val="20"/>
              </w:rPr>
              <w:t xml:space="preserve">4.0849</w:t>
            </w:r>
          </w:p>
        </w:tc>
        <w:tc>
          <w:tcPr>
            <w:tcW w:w="0" w:type="auto"/>
          </w:tcPr>
          <w:p>
            <w:pPr>
              <w:spacing w:line="240" w:lineRule="auto" w:before="0" w:after="0"/>
              <w:pStyle w:val="Compact"/>
            </w:pPr>
            <w:r>
              <w:rPr>
                <w:sz w:val="20"/>
                <w:szCs w:val="20"/>
              </w:rPr>
              <w:t xml:space="preserve">Wikipedia, MHW-RTG; NASA Science, Radioisotope Power Systems / Legacy Systems: LES-8/9 1976, &gt;150 We BOM (154 used), 37.7 kg, 2 per satellite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MHW-RTG-Voyager</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0.2401</w:t>
            </w:r>
          </w:p>
        </w:tc>
        <w:tc>
          <w:tcPr>
            <w:tcW w:w="0" w:type="auto"/>
          </w:tcPr>
          <w:p>
            <w:pPr>
              <w:spacing w:line="240" w:lineRule="auto" w:before="0" w:after="0"/>
              <w:pStyle w:val="Compact"/>
            </w:pPr>
            <w:r>
              <w:rPr>
                <w:sz w:val="20"/>
                <w:szCs w:val="20"/>
              </w:rPr>
              <w:t xml:space="preserve">4.1645</w:t>
            </w:r>
          </w:p>
        </w:tc>
        <w:tc>
          <w:tcPr>
            <w:tcW w:w="0" w:type="auto"/>
          </w:tcPr>
          <w:p>
            <w:pPr>
              <w:spacing w:line="240" w:lineRule="auto" w:before="0" w:after="0"/>
              <w:pStyle w:val="Compact"/>
            </w:pPr>
            <w:r>
              <w:rPr>
                <w:sz w:val="20"/>
                <w:szCs w:val="20"/>
              </w:rPr>
              <w:t xml:space="preserve">Wikipedia, MHW-RTG; NASA Science, Radioisotope Power Systems / Legacy Systems: Voyager 1 and 2 1977, ~157 We BOM, 37.7 kg, 3 per spacecraft</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GPHS-RTG-Galileo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0.1931</w:t>
            </w:r>
          </w:p>
        </w:tc>
        <w:tc>
          <w:tcPr>
            <w:tcW w:w="0" w:type="auto"/>
          </w:tcPr>
          <w:p>
            <w:pPr>
              <w:spacing w:line="240" w:lineRule="auto" w:before="0" w:after="0"/>
              <w:pStyle w:val="Compact"/>
            </w:pPr>
            <w:r>
              <w:rPr>
                <w:sz w:val="20"/>
                <w:szCs w:val="20"/>
              </w:rPr>
              <w:t xml:space="preserve">5.1786</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Galileo 1989, 290 We BOL, ~56 kg, 2 units</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GPHS-RTG-Galileo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0.1931</w:t>
            </w:r>
          </w:p>
        </w:tc>
        <w:tc>
          <w:tcPr>
            <w:tcW w:w="0" w:type="auto"/>
          </w:tcPr>
          <w:p>
            <w:pPr>
              <w:spacing w:line="240" w:lineRule="auto" w:before="0" w:after="0"/>
              <w:pStyle w:val="Compact"/>
            </w:pPr>
            <w:r>
              <w:rPr>
                <w:sz w:val="20"/>
                <w:szCs w:val="20"/>
              </w:rPr>
              <w:t xml:space="preserve">5.1786</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Galileo 1989, 290 We BOL, ~56 kg, 2 units</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GPHS-RTG-Ulysses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0.1931</w:t>
            </w:r>
          </w:p>
        </w:tc>
        <w:tc>
          <w:tcPr>
            <w:tcW w:w="0" w:type="auto"/>
          </w:tcPr>
          <w:p>
            <w:pPr>
              <w:spacing w:line="240" w:lineRule="auto" w:before="0" w:after="0"/>
              <w:pStyle w:val="Compact"/>
            </w:pPr>
            <w:r>
              <w:rPr>
                <w:sz w:val="20"/>
                <w:szCs w:val="20"/>
              </w:rPr>
              <w:t xml:space="preserve">5.1786</w:t>
            </w:r>
          </w:p>
        </w:tc>
        <w:tc>
          <w:tcPr>
            <w:tcW w:w="0" w:type="auto"/>
          </w:tcPr>
          <w:p>
            <w:pPr>
              <w:spacing w:line="240" w:lineRule="auto" w:before="0" w:after="0"/>
              <w:pStyle w:val="Compact"/>
            </w:pPr>
            <w:r>
              <w:rPr>
                <w:sz w:val="20"/>
                <w:szCs w:val="20"/>
              </w:rPr>
              <w:t xml:space="preserve">Wikipedia, GPHS-RTG: Ulysses 1990, GPHS-RTG ~290 We BOL, 56 kg, 1 unit</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GPHS-RTG-Cassini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0.1898</w:t>
            </w:r>
          </w:p>
        </w:tc>
        <w:tc>
          <w:tcPr>
            <w:tcW w:w="0" w:type="auto"/>
          </w:tcPr>
          <w:p>
            <w:pPr>
              <w:spacing w:line="240" w:lineRule="auto" w:before="0" w:after="0"/>
              <w:pStyle w:val="Compact"/>
            </w:pPr>
            <w:r>
              <w:rPr>
                <w:sz w:val="20"/>
                <w:szCs w:val="20"/>
              </w:rPr>
              <w:t xml:space="preserve">5.2679</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Cassini 1997, GPHS-RTG ~295 We BOL, 56 kg, 3 units</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GPHS-RTG-Cassini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0.1898</w:t>
            </w:r>
          </w:p>
        </w:tc>
        <w:tc>
          <w:tcPr>
            <w:tcW w:w="0" w:type="auto"/>
          </w:tcPr>
          <w:p>
            <w:pPr>
              <w:spacing w:line="240" w:lineRule="auto" w:before="0" w:after="0"/>
              <w:pStyle w:val="Compact"/>
            </w:pPr>
            <w:r>
              <w:rPr>
                <w:sz w:val="20"/>
                <w:szCs w:val="20"/>
              </w:rPr>
              <w:t xml:space="preserve">5.2679</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Cassini 1997, GPHS-RTG ~295 We BOL, 56 kg, 3 units</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GPHS-RTG-Cassini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0.1898</w:t>
            </w:r>
          </w:p>
        </w:tc>
        <w:tc>
          <w:tcPr>
            <w:tcW w:w="0" w:type="auto"/>
          </w:tcPr>
          <w:p>
            <w:pPr>
              <w:spacing w:line="240" w:lineRule="auto" w:before="0" w:after="0"/>
              <w:pStyle w:val="Compact"/>
            </w:pPr>
            <w:r>
              <w:rPr>
                <w:sz w:val="20"/>
                <w:szCs w:val="20"/>
              </w:rPr>
              <w:t xml:space="preserve">5.2679</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Cassini 1997, GPHS-RTG ~295 We BOL, 56 kg, 3 units</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GPHS-RTG-NewHorizons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0.224</w:t>
            </w:r>
          </w:p>
        </w:tc>
        <w:tc>
          <w:tcPr>
            <w:tcW w:w="0" w:type="auto"/>
          </w:tcPr>
          <w:p>
            <w:pPr>
              <w:spacing w:line="240" w:lineRule="auto" w:before="0" w:after="0"/>
              <w:pStyle w:val="Compact"/>
            </w:pPr>
            <w:r>
              <w:rPr>
                <w:sz w:val="20"/>
                <w:szCs w:val="20"/>
              </w:rPr>
              <w:t xml:space="preserve">4.4643</w:t>
            </w:r>
          </w:p>
        </w:tc>
        <w:tc>
          <w:tcPr>
            <w:tcW w:w="0" w:type="auto"/>
          </w:tcPr>
          <w:p>
            <w:pPr>
              <w:spacing w:line="240" w:lineRule="auto" w:before="0" w:after="0"/>
              <w:pStyle w:val="Compact"/>
            </w:pPr>
            <w:r>
              <w:rPr>
                <w:sz w:val="20"/>
                <w:szCs w:val="20"/>
              </w:rPr>
              <w:t xml:space="preserve">Wikipedia, GPHS-RTG; World Nuclear Association, Nuclear Reactors and Radioisotopes for Space (world-nuclear.org): New Horizons 2006, GPHS-RTG 250 We BOL (post-decay delivered), 56 kg, 1 unit</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MMRTG-Curiosity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0.4091</w:t>
            </w:r>
          </w:p>
        </w:tc>
        <w:tc>
          <w:tcPr>
            <w:tcW w:w="0" w:type="auto"/>
          </w:tcPr>
          <w:p>
            <w:pPr>
              <w:spacing w:line="240" w:lineRule="auto" w:before="0" w:after="0"/>
              <w:pStyle w:val="Compact"/>
            </w:pPr>
            <w:r>
              <w:rPr>
                <w:sz w:val="20"/>
                <w:szCs w:val="20"/>
              </w:rPr>
              <w:t xml:space="preserve">2.4444</w:t>
            </w:r>
          </w:p>
        </w:tc>
        <w:tc>
          <w:tcPr>
            <w:tcW w:w="0" w:type="auto"/>
          </w:tcPr>
          <w:p>
            <w:pPr>
              <w:spacing w:line="240" w:lineRule="auto" w:before="0" w:after="0"/>
              <w:pStyle w:val="Compact"/>
            </w:pPr>
            <w:r>
              <w:rPr>
                <w:sz w:val="20"/>
                <w:szCs w:val="20"/>
              </w:rPr>
              <w:t xml:space="preserve">Wikipedia, Multi-Mission Radioisotope Thermoelectric Generator; World Nuclear Association, Nuclear Reactors and Radioisotopes for Space (world-nuclear.org): Curiosity/MSL 2011, MMRTG 110 We BOL, 45 kg, 1 unit</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MMRTG-Perseverance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0.4091</w:t>
            </w:r>
          </w:p>
        </w:tc>
        <w:tc>
          <w:tcPr>
            <w:tcW w:w="0" w:type="auto"/>
          </w:tcPr>
          <w:p>
            <w:pPr>
              <w:spacing w:line="240" w:lineRule="auto" w:before="0" w:after="0"/>
              <w:pStyle w:val="Compact"/>
            </w:pPr>
            <w:r>
              <w:rPr>
                <w:sz w:val="20"/>
                <w:szCs w:val="20"/>
              </w:rPr>
              <w:t xml:space="preserve">2.4444</w:t>
            </w:r>
          </w:p>
        </w:tc>
        <w:tc>
          <w:tcPr>
            <w:tcW w:w="0" w:type="auto"/>
          </w:tcPr>
          <w:p>
            <w:pPr>
              <w:spacing w:line="240" w:lineRule="auto" w:before="0" w:after="0"/>
              <w:pStyle w:val="Compact"/>
            </w:pPr>
            <w:r>
              <w:rPr>
                <w:sz w:val="20"/>
                <w:szCs w:val="20"/>
              </w:rPr>
              <w:t xml:space="preserve">Wikipedia, Multi-Mission Radioisotope Thermoelectric Generator; World Nuclear Association, Nuclear Reactors and Radioisotopes for Space (world-nuclear.org): Perseverance/Mars2020 2020, MMRTG 110 We BOL, 45 kg, 1 unit</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kg_per_we</w:t>
            </w:r>
          </w:p>
        </w:tc>
        <w:tc>
          <w:tcPr>
            <w:tcW w:w="0" w:type="auto"/>
          </w:tcPr>
          <w:p>
            <w:pPr>
              <w:spacing w:line="240" w:lineRule="auto" w:before="0" w:after="0"/>
              <w:pStyle w:val="Compact"/>
            </w:pPr>
            <w:r>
              <w:rPr>
                <w:sz w:val="20"/>
                <w:szCs w:val="20"/>
              </w:rPr>
              <w:t xml:space="preserve">Specific mass of a flight radioisotope power unit: unit mass divided by delivered beginning-of-life electrical power (kilograms per watt-electric). The deep space cost-curve metric, since launched mass is the dominant lifecycle cost driver for power delivered beyond the inner solar system.</w:t>
            </w:r>
          </w:p>
        </w:tc>
        <w:tc>
          <w:tcPr>
            <w:tcW w:w="0" w:type="auto"/>
          </w:tcPr>
          <w:p>
            <w:pPr>
              <w:spacing w:line="240" w:lineRule="auto" w:before="0" w:after="0"/>
              <w:pStyle w:val="Compact"/>
            </w:pPr>
            <w:r>
              <w:rPr>
                <w:sz w:val="20"/>
                <w:szCs w:val="20"/>
              </w:rPr>
              <w:t xml:space="preserve">Computed as mass_kg divided by power_we from documented per-model specifications (see data.csv source column)</w:t>
            </w:r>
          </w:p>
        </w:tc>
      </w:tr>
      <w:tr>
        <w:tc>
          <w:tcPr>
            <w:tcW w:w="0" w:type="auto"/>
          </w:tcPr>
          <w:p>
            <w:pPr>
              <w:spacing w:line="240" w:lineRule="auto" w:before="0" w:after="0"/>
              <w:pStyle w:val="Compact"/>
            </w:pPr>
            <w:r>
              <w:rPr>
                <w:sz w:val="20"/>
                <w:szCs w:val="20"/>
              </w:rPr>
              <w:t xml:space="preserve">cum_units</w:t>
            </w:r>
          </w:p>
        </w:tc>
        <w:tc>
          <w:tcPr>
            <w:tcW w:w="0" w:type="auto"/>
          </w:tcPr>
          <w:p>
            <w:pPr>
              <w:spacing w:line="240" w:lineRule="auto" w:before="0" w:after="0"/>
              <w:pStyle w:val="Compact"/>
            </w:pPr>
            <w:r>
              <w:rPr>
                <w:sz w:val="20"/>
                <w:szCs w:val="20"/>
              </w:rPr>
              <w:t xml:space="preserve">Cumulative count of US space radioisotope power flight units produced and flown, ordered by first-flight year. The Wright learning-curve experience axis (units of accumulated production).</w:t>
            </w:r>
          </w:p>
        </w:tc>
        <w:tc>
          <w:tcPr>
            <w:tcW w:w="0" w:type="auto"/>
          </w:tcPr>
          <w:p>
            <w:pPr>
              <w:spacing w:line="240" w:lineRule="auto" w:before="0" w:after="0"/>
              <w:pStyle w:val="Compact"/>
            </w:pPr>
            <w:r>
              <w:rPr>
                <w:sz w:val="20"/>
                <w:szCs w:val="20"/>
              </w:rPr>
              <w:t xml:space="preserve">Running tally over the documented flight manifest from SNAP-3B (Transit-4A, 1961) through MMRTG (Perseverance, 2020)</w:t>
            </w:r>
          </w:p>
        </w:tc>
      </w:tr>
      <w:tr>
        <w:tc>
          <w:tcPr>
            <w:tcW w:w="0" w:type="auto"/>
          </w:tcPr>
          <w:p>
            <w:pPr>
              <w:spacing w:line="240" w:lineRule="auto" w:before="0" w:after="0"/>
              <w:pStyle w:val="Compact"/>
            </w:pPr>
            <w:r>
              <w:rPr>
                <w:sz w:val="20"/>
                <w:szCs w:val="20"/>
              </w:rPr>
              <w:t xml:space="preserve">power_we</w:t>
            </w:r>
          </w:p>
        </w:tc>
        <w:tc>
          <w:tcPr>
            <w:tcW w:w="0" w:type="auto"/>
          </w:tcPr>
          <w:p>
            <w:pPr>
              <w:spacing w:line="240" w:lineRule="auto" w:before="0" w:after="0"/>
              <w:pStyle w:val="Compact"/>
            </w:pPr>
            <w:r>
              <w:rPr>
                <w:sz w:val="20"/>
                <w:szCs w:val="20"/>
              </w:rPr>
              <w:t xml:space="preserve">Beginning-of-life (or beginning-of-mission) electrical power output of the unit, in watts-electric.</w:t>
            </w:r>
          </w:p>
        </w:tc>
        <w:tc>
          <w:tcPr>
            <w:tcW w:w="0" w:type="auto"/>
          </w:tcPr>
          <w:p>
            <w:pPr>
              <w:spacing w:line="240" w:lineRule="auto" w:before="0" w:after="0"/>
              <w:pStyle w:val="Compact"/>
            </w:pPr>
            <w:r>
              <w:rPr>
                <w:sz w:val="20"/>
                <w:szCs w:val="20"/>
              </w:rPr>
              <w:t xml:space="preserve">Per-model figures from World Nuclear Association, Wikipedia RTG tables, NTRS 20120000731, and NASA RPS Legacy Systems</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Mass of the radioisotope power unit, in kilograms.</w:t>
            </w:r>
          </w:p>
        </w:tc>
        <w:tc>
          <w:tcPr>
            <w:tcW w:w="0" w:type="auto"/>
          </w:tcPr>
          <w:p>
            <w:pPr>
              <w:spacing w:line="240" w:lineRule="auto" w:before="0" w:after="0"/>
              <w:pStyle w:val="Compact"/>
            </w:pPr>
            <w:r>
              <w:rPr>
                <w:sz w:val="20"/>
                <w:szCs w:val="20"/>
              </w:rPr>
              <w:t xml:space="preserve">Per-model figures from Wikipedia RTG / MHW-RTG / GPHS-RTG / MMRTG entries and World Nuclear Association</w:t>
            </w:r>
          </w:p>
        </w:tc>
      </w:tr>
      <w:tr>
        <w:tc>
          <w:tcPr>
            <w:tcW w:w="0" w:type="auto"/>
          </w:tcPr>
          <w:p>
            <w:pPr>
              <w:spacing w:line="240" w:lineRule="auto" w:before="0" w:after="0"/>
              <w:pStyle w:val="Compact"/>
            </w:pPr>
            <w:r>
              <w:rPr>
                <w:sz w:val="20"/>
                <w:szCs w:val="20"/>
              </w:rPr>
              <w:t xml:space="preserve">first_flight_year</w:t>
            </w:r>
          </w:p>
        </w:tc>
        <w:tc>
          <w:tcPr>
            <w:tcW w:w="0" w:type="auto"/>
          </w:tcPr>
          <w:p>
            <w:pPr>
              <w:spacing w:line="240" w:lineRule="auto" w:before="0" w:after="0"/>
              <w:pStyle w:val="Compact"/>
            </w:pPr>
            <w:r>
              <w:rPr>
                <w:sz w:val="20"/>
                <w:szCs w:val="20"/>
              </w:rPr>
              <w:t xml:space="preserve">Calendar year of the first mission to carry the unit model variant; used only to order cumulative production.</w:t>
            </w:r>
          </w:p>
        </w:tc>
        <w:tc>
          <w:tcPr>
            <w:tcW w:w="0" w:type="auto"/>
          </w:tcPr>
          <w:p>
            <w:pPr>
              <w:spacing w:line="240" w:lineRule="auto" w:before="0" w:after="0"/>
              <w:pStyle w:val="Compact"/>
            </w:pPr>
            <w:r>
              <w:rPr>
                <w:sz w:val="20"/>
                <w:szCs w:val="20"/>
              </w:rPr>
              <w:t xml:space="preserve">Mission launch records (Transit, Nimbus, Apollo ALSEP, Pioneer, Viking, LES, Voyager, Galileo, Ulysses, Cassini, New Horizons, MSL, Mars 2020)</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-0.5199</w:t>
            </w:r>
          </w:p>
        </w:tc>
        <w:tc>
          <w:tcPr>
            <w:tcW w:w="0" w:type="auto"/>
          </w:tcPr>
          <w:p>
            <w:pPr>
              <w:spacing w:line="240" w:lineRule="auto" w:before="0" w:after="0"/>
              <w:pStyle w:val="Compact"/>
            </w:pPr>
            <w:r>
              <w:rPr>
                <w:sz w:val="20"/>
                <w:szCs w:val="20"/>
              </w:rPr>
              <w:t xml:space="preserve">0.1238</w:t>
            </w:r>
          </w:p>
        </w:tc>
        <w:tc>
          <w:tcPr>
            <w:tcW w:w="0" w:type="auto"/>
          </w:tcPr>
          <w:p>
            <w:pPr>
              <w:spacing w:line="240" w:lineRule="auto" w:before="0" w:after="0"/>
              <w:pStyle w:val="Compact"/>
            </w:pPr>
            <w:r>
              <w:rPr>
                <w:sz w:val="20"/>
                <w:szCs w:val="20"/>
              </w:rPr>
              <w:t xml:space="preserve">-4.2004</w:t>
            </w:r>
          </w:p>
        </w:tc>
        <w:tc>
          <w:tcPr>
            <w:tcW w:w="0" w:type="auto"/>
          </w:tcPr>
          <w:p>
            <w:pPr>
              <w:spacing w:line="240" w:lineRule="auto" w:before="0" w:after="0"/>
              <w:pStyle w:val="Compact"/>
            </w:pPr>
            <w:r>
              <w:rPr>
                <w:sz w:val="20"/>
                <w:szCs w:val="20"/>
              </w:rPr>
              <w:t xml:space="preserve">2.665e-05</w:t>
            </w:r>
          </w:p>
        </w:tc>
        <w:tc>
          <w:tcPr>
            <w:tcW w:w="0" w:type="auto"/>
          </w:tcPr>
          <w:p>
            <w:pPr>
              <w:spacing w:line="240" w:lineRule="auto" w:before="0" w:after="0"/>
              <w:pStyle w:val="Compact"/>
            </w:pPr>
            <w:r>
              <w:rPr>
                <w:sz w:val="20"/>
                <w:szCs w:val="20"/>
              </w:rPr>
              <w:t xml:space="preserve">[-0.7625, -0.2773]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-0.2565</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-5.6767</w:t>
            </w:r>
          </w:p>
        </w:tc>
        <w:tc>
          <w:tcPr>
            <w:tcW w:w="0" w:type="auto"/>
          </w:tcPr>
          <w:p>
            <w:pPr>
              <w:spacing w:line="240" w:lineRule="auto" w:before="0" w:after="0"/>
              <w:pStyle w:val="Compact"/>
            </w:pPr>
            <w:r>
              <w:rPr>
                <w:sz w:val="20"/>
                <w:szCs w:val="20"/>
              </w:rPr>
              <w:t xml:space="preserve">1.373e-08</w:t>
            </w:r>
          </w:p>
        </w:tc>
        <w:tc>
          <w:tcPr>
            <w:tcW w:w="0" w:type="auto"/>
          </w:tcPr>
          <w:p>
            <w:pPr>
              <w:spacing w:line="240" w:lineRule="auto" w:before="0" w:after="0"/>
              <w:pStyle w:val="Compact"/>
            </w:pPr>
            <w:r>
              <w:rPr>
                <w:sz w:val="20"/>
                <w:szCs w:val="20"/>
              </w:rPr>
              <w:t xml:space="preserve">[-0.3451, -0.168]</w:t>
            </w:r>
          </w:p>
        </w:tc>
      </w:tr>
    </w:tbl>
    <w:p>
      <w:pPr>
        <w:pStyle w:val="BodyText"/>
      </w:pPr>
      <w:r>
        <w:t xml:space="preserve">Fit: N = 40 R2 = 0.5146 elasticity_b = -0.2565 progress_ratio_2^b = 0.8371</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1" Target="https://doi.org/10.1016/j.actaastro.2009.03.058"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09.03.05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2026-06-25T14:25:46Z</dcterms:created>
  <dcterms:modified xsi:type="dcterms:W3CDTF">2026-06-25T14:25:46Z</dcterms:modified>
</cp:coreProperties>
</file>

<file path=docProps/custom.xml><?xml version="1.0" encoding="utf-8"?>
<Properties xmlns="http://schemas.openxmlformats.org/officeDocument/2006/custom-properties" xmlns:vt="http://schemas.openxmlformats.org/officeDocument/2006/docPropsVTypes"/>
</file>