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TECHNOLOGY MATURATION COST CURVES FOR DEEP SPACE AND INTERSTELLAR PRECURSOR CAPABILITIES</w:t>
      </w:r>
    </w:p>
    <w:p>
      <w:pPr>
        <w:jc w:val="center"/>
      </w:pPr>
    </w:p>
    <w:p>
      <w:pPr>
        <w:jc w:val="center"/>
      </w:pPr>
      <w:r>
        <w:rPr>
          <w:rFonts w:ascii="Times New Roman" w:hAnsi="Times New Roman"/>
          <w:sz w:val="24"/>
        </w:rPr>
        <w:t>by</w:t>
      </w:r>
    </w:p>
    <w:p>
      <w:pPr>
        <w:jc w:val="center"/>
      </w:pPr>
      <w:r>
        <w:rPr>
          <w:rFonts w:ascii="Times New Roman" w:hAnsi="Times New Roman"/>
          <w:b/>
          <w:sz w:val="28"/>
        </w:rPr>
        <w:t>Caleb Mbeki</w:t>
      </w:r>
    </w:p>
    <w:p>
      <w:pPr>
        <w:jc w:val="center"/>
      </w:pPr>
      <w:r>
        <w:rPr>
          <w:rFonts w:ascii="Times New Roman" w:hAnsi="Times New Roman"/>
          <w:sz w:val="24"/>
        </w:rPr>
        <w:t>1B-DSX-044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Distance is not the gate. What holds back deep space and interstellar precursor capabilities is less the physics of where they are headed than the bill for lifting their enabling subsystems from low to flight-ready technology readiness levels (TRLs). A probe aimed at the heliopause and the gravitational lensing zones past it does not fail for want of light-hours crossed. It fails years sooner, nowhere near a pad, on the money needed to carry its power, autonomy, communications, and propulsion subsystems up to a rung where the mission can be priced with confidence and launched. Open the Interstellar Probe concept and the swap shows plainly: the destination science and the propulsion layout are pinned down, yet ripening the enabling subsystems from sketch to flown unit is the un-costed precondition sitting under all of it</w:t>
      </w:r>
      <w:r>
        <w:t xml:space="preserve"> </w:t>
      </w:r>
      <w:hyperlink w:anchor="ref-1">
        <w:r>
          <w:rPr>
            <w:rStyle w:val="Hyperlink"/>
          </w:rPr>
          <w:t xml:space="preserve">[1]</w:t>
        </w:r>
      </w:hyperlink>
      <w:r>
        <w:t xml:space="preserve">. Whichever mission an agency signs up to launch is, in blunt terms, the ripening campaign it has already bankrolled.</w:t>
      </w:r>
    </w:p>
    <w:p>
      <w:pPr>
        <w:pStyle w:val="BodyText"/>
        <w:spacing w:line="480" w:lineRule="auto"/>
        <w:ind w:firstLine="720"/>
      </w:pPr>
      <w:r>
        <w:t xml:space="preserve">At the National Aeronautics and Space Administration, and above all at the Jet Propulsion Laboratory, the trouble bites hard, since the deep space precursor portfolio piles up precisely the conditions where ripening spend runs the show. These are one-off or few-off builds, never assembly lines. Their enabling subsystems start low, walk the whole readiness ladder, and touch flight readiness only past the priciest stretch of the work, the relevant-environment demonstration and qualification testing bunched near the finish</w:t>
      </w:r>
      <w:r>
        <w:t xml:space="preserve"> </w:t>
      </w:r>
      <w:hyperlink w:anchor="ref-12">
        <w:r>
          <w:rPr>
            <w:rStyle w:val="Hyperlink"/>
          </w:rPr>
          <w:t xml:space="preserve">[12]</w:t>
        </w:r>
      </w:hyperlink>
      <w:r>
        <w:t xml:space="preserve">. Get the shape of that spend-to-readiness link wrong, and the fallout is no rounding slip. It snowballs. What follows is a program that lines up its risk out of order, and sets aside too little reserve against the greenest subsystems that will end up eating the most. Government-wide reviews of NASA’s flagship efforts show cost growth and schedule growth marching together across the fleet, with every extra year of work bringing fresh overruns instead of a level yearly draw</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When your mission concepts stretch across a decade or more of study, the split between a ripening bill that climbs in step with effort and one that climbs faster than effort is the split between a plan that survives and one that buckles.</w:t>
      </w:r>
    </w:p>
    <w:p>
      <w:pPr>
        <w:pStyle w:val="BodyText"/>
        <w:spacing w:line="480" w:lineRule="auto"/>
        <w:ind w:firstLine="720"/>
      </w:pPr>
      <w:r>
        <w:t xml:space="preserve">So the stakes run institutional, not merely engineering. Picture the office that reads the shape wrong.</w:t>
      </w:r>
    </w:p>
    <w:p>
      <w:pPr>
        <w:pStyle w:val="BodyText"/>
        <w:spacing w:line="480" w:lineRule="auto"/>
        <w:ind w:firstLine="720"/>
      </w:pPr>
      <w:r>
        <w:t xml:space="preserve">A precursor office that books ripening spend as a flat line item, drawn at one steady rate as a subsystem climbs the ladder, budgets its shakiest steps as though they cost no more than its routine ones. If the real link bows upward, that office quietly starves the very steps where overruns pile up, and it does so on the subsystems whose stall would kill the mission flat. Reverse the mistake and the harm reverses with it: score ripening spend as sharply bowed when it actually runs flat, and you hoard thin reserve and famish everything else on the plan. Either way, the assumption a planner makes about the shape of that spend curve is a first-order lever, and today it is picked by habit rather than pulled from the record. That flight demonstration gets used on purpose to speed a subsystem up the rungs</w:t>
      </w:r>
      <w:r>
        <w:t xml:space="preserve"> </w:t>
      </w:r>
      <w:hyperlink w:anchor="ref-4">
        <w:r>
          <w:rPr>
            <w:rStyle w:val="Hyperlink"/>
          </w:rPr>
          <w:t xml:space="preserve">[4]</w:t>
        </w:r>
      </w:hyperlink>
      <w:r>
        <w:t xml:space="preserve"> </w:t>
      </w:r>
      <w:r>
        <w:t xml:space="preserve">drives the point home. If program choices can move the price of each TRL step, then that price is worth measuring, not guessing.</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Two grown-up literatures speak to this, and the snag is that they never touch. They pass in the dark. Take the deep space and interstellar precursor design writing first. It pins down, in engineering detail, which subsystems an Interstellar Probe class flight needs and in what state they have to reach flight readiness</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 and it stretches across the propulsion and structural options that fix the near-term feasibility envelope for such flights, from solar sail shapes and aerographite payload transfer to self-guided deep space navigation and the wider matter of when interstellar travel graduates from talk into practice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30">
        <w:r>
          <w:rPr>
            <w:rStyle w:val="Hyperlink"/>
          </w:rPr>
          <w:t xml:space="preserve">[30]</w:t>
        </w:r>
      </w:hyperlink>
      <w:r>
        <w:t xml:space="preserve">. Ask it what must ripen, and it answers in full. Ask it what ripening costs, and it goes quiet. Ripening spend stays tacit, tucked into concept studies as an unsorted given, never pulled apart into a link between dollars laid out and readiness bought.</w:t>
      </w:r>
    </w:p>
    <w:p>
      <w:pPr>
        <w:pStyle w:val="BodyText"/>
        <w:spacing w:line="480" w:lineRule="auto"/>
        <w:ind w:firstLine="720"/>
      </w:pPr>
      <w:r>
        <w:t xml:space="preserve">Take the econometric and cost-estimating writing second, built on the learning curve. Wright pinned the classic pattern in 1936: unit cost drops a set percentage each time cumulative output doubles, a log-log tie whose slope is the learning elasticity</w:t>
      </w:r>
      <w:r>
        <w:t xml:space="preserve"> </w:t>
      </w:r>
      <w:hyperlink w:anchor="ref-6">
        <w:r>
          <w:rPr>
            <w:rStyle w:val="Hyperlink"/>
          </w:rPr>
          <w:t xml:space="preserve">[6]</w:t>
        </w:r>
      </w:hyperlink>
      <w:r>
        <w:t xml:space="preserve">. Space economy forecasting hauls that toolkit forward, charting cost curves for launch and satellite build where falling prices trace back to scale, reuse, and private money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Sharp and useful as those curves are, they sit downstream of the question here. They cast production cost against cumulative units built, and they take for granted a technology already in production. About what one readiness step costs on the margin for a low-TRL deep space subsystem that may never see production, being a one-off, they offer nothing.</w:t>
      </w:r>
    </w:p>
    <w:p>
      <w:pPr>
        <w:pStyle w:val="BodyText"/>
        <w:spacing w:line="480" w:lineRule="auto"/>
        <w:ind w:firstLine="720"/>
      </w:pPr>
      <w:r>
        <w:t xml:space="preserve">Wedged in between sits the technology readiness writing, pointing at the missing tie without knotting it. Mankins traces how generator and subsystem work advances through staged readiness steps, each flight locking in a build that the next generation leaves behind, and he paints the ripening path as a run of separate, pricey moves</w:t>
      </w:r>
      <w:r>
        <w:t xml:space="preserve"> </w:t>
      </w:r>
      <w:hyperlink w:anchor="ref-7">
        <w:r>
          <w:rPr>
            <w:rStyle w:val="Hyperlink"/>
          </w:rPr>
          <w:t xml:space="preserve">[7]</w:t>
        </w:r>
      </w:hyperlink>
      <w:r>
        <w:t xml:space="preserve">. NASA’s own best-practices guidance calls the last steps toward flight readiness the heaviest-drawing stretch of any campaign</w:t>
      </w:r>
      <w:r>
        <w:t xml:space="preserve"> </w:t>
      </w:r>
      <w:hyperlink w:anchor="ref-12">
        <w:r>
          <w:rPr>
            <w:rStyle w:val="Hyperlink"/>
          </w:rPr>
          <w:t xml:space="preserve">[12]</w:t>
        </w:r>
      </w:hyperlink>
      <w:r>
        <w:t xml:space="preserve">. Space domain awareness and flight-demonstration work handles readiness advance on the ground floor, spending orbital test to buy TRL rather than to dissect it</w:t>
      </w:r>
      <w:r>
        <w:t xml:space="preserve"> </w:t>
      </w:r>
      <w:hyperlink w:anchor="ref-4">
        <w:r>
          <w:rPr>
            <w:rStyle w:val="Hyperlink"/>
          </w:rPr>
          <w:t xml:space="preserve">[4]</w:t>
        </w:r>
      </w:hyperlink>
      <w:r>
        <w:t xml:space="preserve">, and the applied ripening record across star trackers, charged-particle detectors, and instrument tests repeats the same staged, test-led climb in real cases</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Not one of these prices the cost function steering the advance it sketches. Readiness writing labels the moves; cost writing prices the wrong stretch; design writing lists the subsystems but skips their ripening economics.</w:t>
      </w:r>
    </w:p>
    <w:p>
      <w:pPr>
        <w:pStyle w:val="BodyText"/>
        <w:spacing w:line="480" w:lineRule="auto"/>
        <w:ind w:firstLine="720"/>
      </w:pPr>
      <w:r>
        <w:t xml:space="preserve">Sharp, then, and empirical: that is the gap. Nobody has priced the climb.</w:t>
      </w:r>
    </w:p>
    <w:p>
      <w:pPr>
        <w:pStyle w:val="BodyText"/>
        <w:spacing w:line="480" w:lineRule="auto"/>
        <w:ind w:firstLine="720"/>
      </w:pPr>
      <w:r>
        <w:t xml:space="preserve">No pulled source estimates a ripening cost curve, the link between cumulative inflation-adjusted spend and TRL bought, for deep space or interstellar precursor technologies. Two earlier empirical papers in this line prove the econometric toolkit can be swung at this domain and pull out readable structure. The first shows the specific mass of radioisotope power flight units riding a real Wright learning curve across six decades, at a progress ratio near 0.84 for each doubling of cumulative units, proof that deep space hardware ripening leaves a measurable log-log trace even where builds run in lots of one to a handful</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second swings the same tool at calendar time, gauging how ripening cost bends with piled-up development duration across eighteen precursor programs and landing a point estimate of 1.79, tilted toward a diseconomy of patience yet too fuzzy to knock down the constant-returns baseline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Both papers walk the rim of the missing quantity without standing at its center. Neither prices the bend of cost in TRL itself. That center, how the per-step ripening bill behaves as a subsystem climbs the ladder, is what this dissertation supplies.</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thing is what this dissertation delivers, cast as one estimated function and one test of its bend. Let per-step ripening cost be the inflation-adjusted spend that moves a subsystem from TRL k to TRL k+1. What we chase is how that cost behaves against the readiness level reached, cast as inflation-adjusted cumulative technology development cost run on TRL with a squared term whose coefficient marks the bend. Under test is one thing: the sign and significance of that bend coefficient.</w:t>
      </w:r>
    </w:p>
    <w:p>
      <w:pPr>
        <w:pStyle w:val="BodyText"/>
        <w:spacing w:line="480" w:lineRule="auto"/>
        <w:ind w:firstLine="720"/>
      </w:pPr>
      <w:r>
        <w:t xml:space="preserve">A falsifiable hypothesis pair carries the claim.</w:t>
      </w:r>
    </w:p>
    <w:p>
      <w:pPr>
        <w:pStyle w:val="Compact"/>
        <w:spacing w:line="480" w:lineRule="auto"/>
        <w:numPr>
          <w:ilvl w:val="0"/>
          <w:numId w:val="1001"/>
        </w:numPr>
      </w:pPr>
      <w:r>
        <w:rPr>
          <w:b/>
          <w:bCs/>
        </w:rPr>
        <w:t xml:space="preserve">H0 (the null, the planning baseline):</w:t>
      </w:r>
      <w:r>
        <w:t xml:space="preserve"> </w:t>
      </w:r>
      <w:r>
        <w:t xml:space="preserve">Per-step ripening cost holds flat across TRL steps. The squared bend term reads as no different from zero, so total ripening cost runs straight in TRL bought, and the usual per-step planning habit checks out.</w:t>
      </w:r>
    </w:p>
    <w:p>
      <w:pPr>
        <w:pStyle w:val="Compact"/>
        <w:spacing w:line="480" w:lineRule="auto"/>
        <w:numPr>
          <w:ilvl w:val="0"/>
          <w:numId w:val="1001"/>
        </w:numPr>
      </w:pPr>
      <w:r>
        <w:rPr>
          <w:b/>
          <w:bCs/>
        </w:rPr>
        <w:t xml:space="preserve">H1 (the alternative):</w:t>
      </w:r>
      <w:r>
        <w:t xml:space="preserve"> </w:t>
      </w:r>
      <w:r>
        <w:t xml:space="preserve">Per-step ripening cost bends upward with TRL. The bend coefficient comes back positive and significant, so each next step toward flight readiness costs out of proportion more than the last, and precursor plans that book ripening at a flat rate short-change their top-readiness steps by design.</w:t>
      </w:r>
    </w:p>
    <w:p>
      <w:pPr>
        <w:pStyle w:val="FirstParagraph"/>
        <w:spacing w:line="480" w:lineRule="auto"/>
      </w:pPr>
      <w:r>
        <w:t xml:space="preserve">Falsifiable in the strict way: the bend coefficient carries a sign and a confidence interval the gathered data can knock down. Knock down H0 for H1 and you show deep space precursor planning under-books its most advanced ripening steps, and you shuffle how programs order and reserve against their greenest subsystems. Keep H0 and you back the straight-line baseline, itself a publishable, decision-useful outcome, since it certifies a habit now taken on faith. Worth here rides not on which way the finding breaks; it rides on settling, with traceable evidence, a bend the field now merely assumes.</w:t>
      </w:r>
    </w:p>
    <w:p>
      <w:pPr>
        <w:pStyle w:val="BodyText"/>
        <w:spacing w:line="480" w:lineRule="auto"/>
        <w:ind w:firstLine="720"/>
      </w:pPr>
      <w:r>
        <w:t xml:space="preserve">Within-subsystem swing carries the identification. Trail each subsystem across its own ripening past, and subsystem-specific fixed effects soak up the fixed differences, complexity class and heritage, that would otherwise muddy a cross-sectional read, so the bend coefficient reads off the track each subsystem cuts up its own ladder rather than off gaps between subsystems. We pen the quantity strictly inside the deep space and interstellar precursor class, tied to the subsystems listed in the Interstellar Probe design writing</w:t>
      </w:r>
      <w:r>
        <w:t xml:space="preserve"> </w:t>
      </w:r>
      <w:hyperlink w:anchor="ref-1">
        <w:r>
          <w:rPr>
            <w:rStyle w:val="Hyperlink"/>
          </w:rPr>
          <w:t xml:space="preserve">[1]</w:t>
        </w:r>
      </w:hyperlink>
      <w:r>
        <w:t xml:space="preserve">, so the bend test answers the precursor planning question and none wider. Evidence draws on a public, checkable record: NASA technology readiness assessment and development cost paperwork from the NASA Technical Reports Server, joined with NASA technology taxonomy and TechPort program-investment entries, each panel row traceable to a cited document or record ID and each cost figure inflation-adjusted by a published deflator</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Here is how the rest runs.</w:t>
      </w:r>
    </w:p>
    <w:p>
      <w:pPr>
        <w:pStyle w:val="BodyText"/>
        <w:spacing w:line="480" w:lineRule="auto"/>
        <w:ind w:firstLine="720"/>
      </w:pPr>
      <w:r>
        <w:t xml:space="preserve">Chapter 2 walks the three literatures that fence the gap and grows the theoretical frame for a ripening cost curve. It sets the claim against the design writing that lists precursor subsystems</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r>
        <w:t xml:space="preserve"> </w:t>
      </w:r>
      <w:hyperlink w:anchor="ref-26">
        <w:r>
          <w:rPr>
            <w:rStyle w:val="Hyperlink"/>
          </w:rPr>
          <w:t xml:space="preserve">[26]</w:t>
        </w:r>
      </w:hyperlink>
      <w:r>
        <w:t xml:space="preserve">, the learning-curve and cost-estimating line that prices production rather than ripening</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and the technology readiness scholarship that sketches staged advance in words without pricing it</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Why the bend of cost in TRL is the un-estimated quantity, and why its sign matters to precursor planning, gets nailed down there.</w:t>
      </w:r>
    </w:p>
    <w:p>
      <w:pPr>
        <w:pStyle w:val="BodyText"/>
        <w:spacing w:line="480" w:lineRule="auto"/>
        <w:ind w:firstLine="720"/>
      </w:pPr>
      <w:r>
        <w:t xml:space="preserve">Chapter 3 turns those literatures into a theory. It pins the mechanism tying cumulative ripening spend to readiness bought, spells out the causal path by which that mechanism throws a particular shape into the cost-versus-maturity link, and states the formal hypotheses that make the theory falsifiable.</w:t>
      </w:r>
    </w:p>
    <w:p>
      <w:pPr>
        <w:pStyle w:val="BodyText"/>
        <w:spacing w:line="480" w:lineRule="auto"/>
        <w:ind w:firstLine="720"/>
      </w:pPr>
      <w:r>
        <w:t xml:space="preserve">Chapter 4 lays out the data and where they come from. Building the subsystem-level panel from NASA Technical Reports Server and TechPort entries gets documented here, alongside the tie of each row to a cited source ID, the inflation adjustment routine, and the fencing of the panel to the deep space precursor class. It carries on the provenance habit set in this line’s earlier empirical work, where every cost-TRL pair traces back to documented hardware sources</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and it states the coverage, the row unit, and the known holes in the funded-technology record.</w:t>
      </w:r>
    </w:p>
    <w:p>
      <w:pPr>
        <w:pStyle w:val="BodyText"/>
        <w:spacing w:line="480" w:lineRule="auto"/>
        <w:ind w:firstLine="720"/>
      </w:pPr>
      <w:r>
        <w:t xml:space="preserve">Chapter 5 pins the econometric model and the identification plan. It grows the squared-in-TRL setup with subsystem fixed effects, names the bend coefficient as the one thing under test, and spells out the robustness build: a survival-style setup checking whether late steps run slower as well as pricier, a piecewise-straight option letting the slope shift at the mid-ladder TRL 6 demonstration mark where readiness is bought rather than dissected</w:t>
      </w:r>
      <w:r>
        <w:t xml:space="preserve"> </w:t>
      </w:r>
      <w:hyperlink w:anchor="ref-4">
        <w:r>
          <w:rPr>
            <w:rStyle w:val="Hyperlink"/>
          </w:rPr>
          <w:t xml:space="preserve">[4]</w:t>
        </w:r>
      </w:hyperlink>
      <w:r>
        <w:t xml:space="preserve">, and standard errors clustered by subsystem to honor the panel shape.</w:t>
      </w:r>
    </w:p>
    <w:p>
      <w:pPr>
        <w:pStyle w:val="BodyText"/>
        <w:spacing w:line="480" w:lineRule="auto"/>
        <w:ind w:firstLine="720"/>
      </w:pPr>
      <w:r>
        <w:t xml:space="preserve">Chapter 6 lays out the estimates. It shows the bend coefficient, its confidence interval, and the call on H0 against H1, next to the robustness runs. Reading the result through this line’s earlier findings, the confirmed log-log learning curve in specific mass</w:t>
      </w:r>
      <w:r>
        <w:t xml:space="preserve"> </w:t>
      </w:r>
      <w:hyperlink w:anchor="ref-5">
        <w:r>
          <w:rPr>
            <w:rStyle w:val="Hyperlink"/>
          </w:rPr>
          <w:t xml:space="preserve">[5]</w:t>
        </w:r>
      </w:hyperlink>
      <w:r>
        <w:t xml:space="preserve"> </w:t>
      </w:r>
      <w:r>
        <w:t xml:space="preserve">and the tilted but fuzzy diseconomy of patience in development duration, lets the bend estimate settle inside a growing body of evidence rather than stand alone.</w:t>
      </w:r>
    </w:p>
    <w:p>
      <w:pPr>
        <w:pStyle w:val="BodyText"/>
        <w:spacing w:line="480" w:lineRule="auto"/>
        <w:ind w:firstLine="720"/>
      </w:pPr>
      <w:r>
        <w:t xml:space="preserve">Chapter 7 takes on threats to validity and pens the claims. Four real threats get worked: selection on funded technologies, cost-reporting mismatch across program eras, the softness of assessed TRL, and the fenced external reach of NASA precursor economics against commercial production curves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and the chapter states outright where the bend finding carries and where it does not.</w:t>
      </w:r>
    </w:p>
    <w:p>
      <w:pPr>
        <w:pStyle w:val="BodyText"/>
        <w:spacing w:line="480" w:lineRule="auto"/>
        <w:ind w:firstLine="720"/>
      </w:pPr>
      <w:r>
        <w:t xml:space="preserve">A closing chapter then turns the estimated bend into planning guidance for NASA and JPL precursor plans, drawing out the ordering and reserve upshots of the finding, and marking the extensions a richer cost record would open.</w:t>
      </w:r>
    </w:p>
    <w:bookmarkEnd w:id="64"/>
    <w:bookmarkEnd w:id="65"/>
    <w:bookmarkStart w:id="73" w:name="chapter-2.-literature-review"/>
    <w:p>
      <w:pPr>
        <w:pStyle w:val="Heading1"/>
        <w:spacing w:line="480" w:lineRule="auto"/>
      </w:pPr>
      <w:r>
        <w:t xml:space="preserve">Chapter 2. Literature Review</w:t>
      </w:r>
    </w:p>
    <w:bookmarkStart w:id="66" w:name="introduction-and-organizing-logic"/>
    <w:p>
      <w:pPr>
        <w:pStyle w:val="Heading2"/>
        <w:spacing w:line="480" w:lineRule="auto"/>
      </w:pPr>
      <w:r>
        <w:t xml:space="preserve">2.1 Introduction and Organizing Logic</w:t>
      </w:r>
    </w:p>
    <w:p>
      <w:pPr>
        <w:pStyle w:val="FirstParagraph"/>
        <w:spacing w:line="480" w:lineRule="auto"/>
      </w:pPr>
      <w:r>
        <w:t xml:space="preserve">What drives this dissertation lives in the seam between two literatures grown up side by side and never stitched together. On one flank stands a deep technical body on deep space and interstellar precursor capabilities: the destination science, the propulsion layouts, the power plants, the autonomy stacks, and the test campaigns that jointly fix what a precursor flight must haul and what each subsystem must hit before launch</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r>
        <w:t xml:space="preserve"> </w:t>
      </w:r>
      <w:hyperlink w:anchor="ref-26">
        <w:r>
          <w:rPr>
            <w:rStyle w:val="Hyperlink"/>
          </w:rPr>
          <w:t xml:space="preserve">[26]</w:t>
        </w:r>
      </w:hyperlink>
      <w:r>
        <w:t xml:space="preserve">. On the other flank stands a matching body of method in cliometric and econometric cost work: the learning curve, the cost-estimating relationship, and the panel and survival tools by which economists rebuild how technologies have behaved on cost from their paper trails</w:t>
      </w:r>
      <w:r>
        <w:t xml:space="preserve"> </w:t>
      </w:r>
      <w:hyperlink w:anchor="ref-6">
        <w:r>
          <w:rPr>
            <w:rStyle w:val="Hyperlink"/>
          </w:rPr>
          <w:t xml:space="preserve">[6]</w:t>
        </w:r>
      </w:hyperlink>
      <w:r>
        <w:t xml:space="preserve">. Detail is the technical body’s strength, naming subsystems and readiness marks while booking the price of clearing those marks as an outside line item. Tools for exactly that kind of clearing are the cost body’s stock in trade, yet in the deep space precursor setting they have been aimed almost wholly at production and operations rather than at ripening. Falling between the two is the quantity this dissertation rebuilds: the ripening cost curve tying cumulative spend to technology readiness bought.</w:t>
      </w:r>
    </w:p>
    <w:p>
      <w:pPr>
        <w:pStyle w:val="BodyText"/>
        <w:spacing w:line="480" w:lineRule="auto"/>
        <w:ind w:firstLine="720"/>
      </w:pPr>
      <w:r>
        <w:t xml:space="preserve">This chapter walks the two literatures one at a time and then fuses them to fix the gap sharply. Section 2.2 covers the deep space and interstellar precursor design writing, sorted by the subsystems whose ripening the precursor concepts call for. Section 2.3 covers the technology readiness assessment writing, which hands over the ripening ladder along which cost gets measured and which is the bridge joining the technical to the economic. Section 2.4 covers the cliometric and econometric method writing, opening with the Wright learning curve and moving through its modern panel and survival branches. Section 2.5 covers the documented cost record for NASA deep space technology, the raw stuff from which any ripening curve must be built. Section 2.6 fuses the four bodies, marks the gap as the missing estimated ripening cost curve for the deep space precursor class, and places the dissertation’s two founding studies as the first probes into it. All along, the review watches not only what each literature says but where it halts, since the edges are where this work’s contribution sits.</w:t>
      </w:r>
    </w:p>
    <w:bookmarkEnd w:id="66"/>
    <w:bookmarkStart w:id="67" w:name="X18702c694bcb2d4114851eb9e787e14a6954af4"/>
    <w:p>
      <w:pPr>
        <w:pStyle w:val="Heading2"/>
        <w:spacing w:line="480" w:lineRule="auto"/>
      </w:pPr>
      <w:r>
        <w:t xml:space="preserve">2.2 The Deep Space and Interstellar Precursor Technical Literature</w:t>
      </w:r>
    </w:p>
    <w:p>
      <w:pPr>
        <w:pStyle w:val="FirstParagraph"/>
        <w:spacing w:line="480" w:lineRule="auto"/>
      </w:pPr>
      <w:r>
        <w:t xml:space="preserve">One trait marks the interstellar precursor design writing: it spells out subsystems and performance marks to the last detail while leaving the price of hitting those marks unspoken. Take the anchor reference for the present scope, the Interstellar Probe concept, which builds a flight to the heliopause and the very local interstellar medium around a slate of enabling subsystems that each must cover a long ripening stretch before the flight can be priced or launched</w:t>
      </w:r>
      <w:r>
        <w:t xml:space="preserve"> </w:t>
      </w:r>
      <w:hyperlink w:anchor="ref-1">
        <w:r>
          <w:rPr>
            <w:rStyle w:val="Hyperlink"/>
          </w:rPr>
          <w:t xml:space="preserve">[1]</w:t>
        </w:r>
      </w:hyperlink>
      <w:r>
        <w:t xml:space="preserve">. Plain throughout the concept is that the gate is not the destination’s physics but the readiness of power, autonomy, communications, and propulsion. An earlier near-term take on the same probe class puts the staging of this ripening on show, casting the flight as a chosen first step whose layout keeps the enabling subsystems inside a reachable readiness reach rather than chasing destination science alone</w:t>
      </w:r>
      <w:r>
        <w:t xml:space="preserve"> </w:t>
      </w:r>
      <w:hyperlink w:anchor="ref-24">
        <w:r>
          <w:rPr>
            <w:rStyle w:val="Hyperlink"/>
          </w:rPr>
          <w:t xml:space="preserve">[24]</w:t>
        </w:r>
      </w:hyperlink>
      <w:r>
        <w:t xml:space="preserve">. Neither take hands over a figure for what moving any one of those subsystems up its ladder costs. The need is named; the economics go missing. That gap is the point.</w:t>
      </w:r>
    </w:p>
    <w:p>
      <w:pPr>
        <w:pStyle w:val="BodyText"/>
        <w:spacing w:line="480" w:lineRule="auto"/>
        <w:ind w:firstLine="720"/>
      </w:pPr>
      <w:r>
        <w:t xml:space="preserve">Propulsion shows the same habit at its starkest, since propulsion is where the readiness stretch runs longest. Solar-sail work, the propulsion layout most cited for ultrafast precursor transfers, has climbed from feasibility looks at ground-to-orbit laser-sail tests</w:t>
      </w:r>
      <w:r>
        <w:t xml:space="preserve"> </w:t>
      </w:r>
      <w:hyperlink w:anchor="ref-16">
        <w:r>
          <w:rPr>
            <w:rStyle w:val="Hyperlink"/>
          </w:rPr>
          <w:t xml:space="preserve">[16]</w:t>
        </w:r>
      </w:hyperlink>
      <w:r>
        <w:t xml:space="preserve"> </w:t>
      </w:r>
      <w:r>
        <w:t xml:space="preserve">through structural studies of advanced aerographite sail shapes</w:t>
      </w:r>
      <w:r>
        <w:t xml:space="preserve"> </w:t>
      </w:r>
      <w:hyperlink w:anchor="ref-23">
        <w:r>
          <w:rPr>
            <w:rStyle w:val="Hyperlink"/>
          </w:rPr>
          <w:t xml:space="preserve">[23]</w:t>
        </w:r>
      </w:hyperlink>
      <w:r>
        <w:t xml:space="preserve"> </w:t>
      </w:r>
      <w:r>
        <w:t xml:space="preserve">to flight-scale looks at ultrafast low-mass transfers to Mars and past it</w:t>
      </w:r>
      <w:r>
        <w:t xml:space="preserve"> </w:t>
      </w:r>
      <w:hyperlink w:anchor="ref-25">
        <w:r>
          <w:rPr>
            <w:rStyle w:val="Hyperlink"/>
          </w:rPr>
          <w:t xml:space="preserve">[25]</w:t>
        </w:r>
      </w:hyperlink>
      <w:r>
        <w:t xml:space="preserve">. Each entry sharpens the grasp of how a sail might be built and flown, and each quietly lifts the concept’s readiness, yet none prices the ripening steps it lays out. Survey work on interstellar travel as it edges from science fiction toward real technology lists the candidate layouts and their readiness holes without pricing the climb</w:t>
      </w:r>
      <w:r>
        <w:t xml:space="preserve"> </w:t>
      </w:r>
      <w:hyperlink w:anchor="ref-26">
        <w:r>
          <w:rPr>
            <w:rStyle w:val="Hyperlink"/>
          </w:rPr>
          <w:t xml:space="preserve">[26]</w:t>
        </w:r>
      </w:hyperlink>
      <w:r>
        <w:t xml:space="preserve">. At the far end of the readiness range, ordinary chemical propulsion keeps the same silence: review work on oxygen-methane thrust chambers logs the heat-transfer test campaigns that ripen a high-readiness propulsion technology</w:t>
      </w:r>
      <w:r>
        <w:t xml:space="preserve"> </w:t>
      </w:r>
      <w:hyperlink w:anchor="ref-29">
        <w:r>
          <w:rPr>
            <w:rStyle w:val="Hyperlink"/>
          </w:rPr>
          <w:t xml:space="preserve">[29]</w:t>
        </w:r>
      </w:hyperlink>
      <w:r>
        <w:t xml:space="preserve">, and the Ariane Next vision sketches a next-generation launcher whose cost case leans on reuse</w:t>
      </w:r>
      <w:r>
        <w:t xml:space="preserve"> </w:t>
      </w:r>
      <w:hyperlink w:anchor="ref-27">
        <w:r>
          <w:rPr>
            <w:rStyle w:val="Hyperlink"/>
          </w:rPr>
          <w:t xml:space="preserve">[27]</w:t>
        </w:r>
      </w:hyperlink>
      <w:r>
        <w:t xml:space="preserve">, yet both book development cost as a downstream effect rather than a quantity to be pinned as a function of readiness.</w:t>
      </w:r>
    </w:p>
    <w:p>
      <w:pPr>
        <w:pStyle w:val="BodyText"/>
        <w:spacing w:line="480" w:lineRule="auto"/>
        <w:ind w:firstLine="720"/>
      </w:pPr>
      <w:r>
        <w:t xml:space="preserve">Power breaks the pattern. Here the ripening past is best logged, so the cost question is most workable.</w:t>
      </w:r>
    </w:p>
    <w:p>
      <w:pPr>
        <w:pStyle w:val="BodyText"/>
        <w:spacing w:line="480" w:lineRule="auto"/>
        <w:ind w:firstLine="720"/>
      </w:pPr>
      <w:r>
        <w:t xml:space="preserve">Because sunlight thins too far for photovoltaics past the inner solar system, the radioisotope power system has been the enabling deep space power technology since the first flight unit reached orbit in 1961</w:t>
      </w:r>
      <w:r>
        <w:t xml:space="preserve"> </w:t>
      </w:r>
      <w:hyperlink w:anchor="ref-5">
        <w:r>
          <w:rPr>
            <w:rStyle w:val="Hyperlink"/>
          </w:rPr>
          <w:t xml:space="preserve">[5]</w:t>
        </w:r>
      </w:hyperlink>
      <w:r>
        <w:t xml:space="preserve">. A logged manifest of US space radioisotope flight units, bearing per-model power and mass figures across the SNAP, multi-hundred-watt, general-purpose heat source, and multi-mission generations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 stands as one of the few unbroken six-decade hardware records in the whole deep space portfolio. Reference tables of per-model specs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and program-level entries for the multi-mission generator</w:t>
      </w:r>
      <w:r>
        <w:t xml:space="preserve"> </w:t>
      </w:r>
      <w:hyperlink w:anchor="ref-14">
        <w:r>
          <w:rPr>
            <w:rStyle w:val="Hyperlink"/>
          </w:rPr>
          <w:t xml:space="preserve">[14]</w:t>
        </w:r>
      </w:hyperlink>
      <w:r>
        <w:t xml:space="preserve"> </w:t>
      </w:r>
      <w:r>
        <w:t xml:space="preserve">together leave the radioisotope line singularly checkable. That logged richness is what makes the power subsystem the obvious first case for any empirical rebuild of deep space ripening economics, and the dissertation’s first founding study leans on exactly that richness by reading the manifest as a learning-curve panel. Inside the precursor design writing itself, though, even this best-logged subsystem shows up as a capability whose readiness gains get sketched in words rather than priced.</w:t>
      </w:r>
    </w:p>
    <w:p>
      <w:pPr>
        <w:pStyle w:val="BodyText"/>
        <w:spacing w:line="480" w:lineRule="auto"/>
        <w:ind w:firstLine="720"/>
      </w:pPr>
      <w:r>
        <w:t xml:space="preserve">Past power and propulsion runs a long tail of enabling subsystems, and their ripening goes just as unpriced. Self-guided navigation for deep space small satellites gets reviewed as a field of scientific and technical gains, each gain a tacit readiness step, with no cost tag attached</w:t>
      </w:r>
      <w:r>
        <w:t xml:space="preserve"> </w:t>
      </w:r>
      <w:hyperlink w:anchor="ref-30">
        <w:r>
          <w:rPr>
            <w:rStyle w:val="Hyperlink"/>
          </w:rPr>
          <w:t xml:space="preserve">[30]</w:t>
        </w:r>
      </w:hyperlink>
      <w:r>
        <w:t xml:space="preserve">. On-orbit build of large space telescopes gets grown through flight layouts and concept looks that lean on the ripening of robotic assembly subsystems</w:t>
      </w:r>
      <w:r>
        <w:t xml:space="preserve"> </w:t>
      </w:r>
      <w:hyperlink w:anchor="ref-28">
        <w:r>
          <w:rPr>
            <w:rStyle w:val="Hyperlink"/>
          </w:rPr>
          <w:t xml:space="preserve">[28]</w:t>
        </w:r>
      </w:hyperlink>
      <w:r>
        <w:t xml:space="preserve">. Fine attitude fixing, a must for both deep space navigation and precursor science, gets pushed through the build and flight test of compact extremely accurate star trackers</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 an instrument line whose ripening across successive builds is logged in detail but never priced against readiness. One shape holds across this whole technical body: subsystems and their readiness marks get spelled out with engineering care while the price of clearing those marks stays an outside given. This is the gap’s first half.</w:t>
      </w:r>
    </w:p>
    <w:bookmarkEnd w:id="67"/>
    <w:bookmarkStart w:id="68" w:name="Xaf3a2f7481c6dff46acb605d8c0af820e2986a8"/>
    <w:p>
      <w:pPr>
        <w:pStyle w:val="Heading2"/>
        <w:spacing w:line="480" w:lineRule="auto"/>
      </w:pPr>
      <w:r>
        <w:t xml:space="preserve">2.3 Technology Readiness Assessment as the Maturation Ladder</w:t>
      </w:r>
    </w:p>
    <w:p>
      <w:pPr>
        <w:pStyle w:val="FirstParagraph"/>
        <w:spacing w:line="480" w:lineRule="auto"/>
      </w:pPr>
      <w:r>
        <w:t xml:space="preserve">One construct joins the technical and the economic literatures: the technology readiness level, since it hands over the ordinal ladder along which ripening cost must be gauged. Retrospective work on technology readiness assessment fixes the staged build of readiness advance, in which a technology climbs through set steps from concept to flown unit, and logs the conversion-technology climb in radioisotope power systems as a worked case of staged readiness gains</w:t>
      </w:r>
      <w:r>
        <w:t xml:space="preserve"> </w:t>
      </w:r>
      <w:hyperlink w:anchor="ref-7">
        <w:r>
          <w:rPr>
            <w:rStyle w:val="Hyperlink"/>
          </w:rPr>
          <w:t xml:space="preserve">[7]</w:t>
        </w:r>
      </w:hyperlink>
      <w:r>
        <w:t xml:space="preserve">. Here is the readiness body’s must-have gift to this work: it names the steps whose per-step cost the dissertation sets out to gauge. Absent a defended ladder, the very idea of a cost per readiness step has no meaning; with it, the ripening cost curve turns into a well-posed thing.</w:t>
      </w:r>
    </w:p>
    <w:p>
      <w:pPr>
        <w:pStyle w:val="BodyText"/>
        <w:spacing w:line="480" w:lineRule="auto"/>
        <w:ind w:firstLine="720"/>
      </w:pPr>
      <w:r>
        <w:t xml:space="preserve">Readiness assessment practice also hands over the structural hunch that fuels the dissertation’s central bend hypothesis. Best-practices guidance calls the last steps toward flight readiness the heaviest-drawing, since relevant-environment demonstration and qualification testing bunch near the ladder’s top and stretch and swell the campaign out of proportion</w:t>
      </w:r>
      <w:r>
        <w:t xml:space="preserve"> </w:t>
      </w:r>
      <w:hyperlink w:anchor="ref-12">
        <w:r>
          <w:rPr>
            <w:rStyle w:val="Hyperlink"/>
          </w:rPr>
          <w:t xml:space="preserve">[12]</w:t>
        </w:r>
      </w:hyperlink>
      <w:r>
        <w:t xml:space="preserve">. Put in engineering terms, this is a spoken claim about bending: the last steps cost more than the first. Turning that spoken hunch into an estimated bend coefficient with a sign and a confidence interval is the dissertation’s job. So the readiness body does more than name the ladder; it forecasts the shape of the cost function along it, and that forecast is just what the bend test in the prospectus is built to back or knock down.</w:t>
      </w:r>
    </w:p>
    <w:p>
      <w:pPr>
        <w:pStyle w:val="BodyText"/>
        <w:spacing w:line="480" w:lineRule="auto"/>
        <w:ind w:firstLine="720"/>
      </w:pPr>
      <w:r>
        <w:t xml:space="preserve">For identification, the demonstration branch of the readiness body carries weight, since it fixes that readiness advance is bought rather than merely waited out. A dual-use star tracker flight test shows on-orbit demonstration put to work on purpose to raise a subsystem’s readiness, handling the mid-ladder demonstration mark as a choice point where readiness is bought through flight rather than dissected on the ground</w:t>
      </w:r>
      <w:r>
        <w:t xml:space="preserve"> </w:t>
      </w:r>
      <w:hyperlink w:anchor="ref-4">
        <w:r>
          <w:rPr>
            <w:rStyle w:val="Hyperlink"/>
          </w:rPr>
          <w:t xml:space="preserve">[4]</w:t>
        </w:r>
      </w:hyperlink>
      <w:r>
        <w:t xml:space="preserve">. This ground-floor read of readiness, backed by an experiment for space radiation analysis that ripens next-generation charged-particle detectors through a geostationary-transfer-orbit test</w:t>
      </w:r>
      <w:r>
        <w:t xml:space="preserve"> </w:t>
      </w:r>
      <w:hyperlink w:anchor="ref-19">
        <w:r>
          <w:rPr>
            <w:rStyle w:val="Hyperlink"/>
          </w:rPr>
          <w:t xml:space="preserve">[19]</w:t>
        </w:r>
      </w:hyperlink>
      <w:r>
        <w:t xml:space="preserve"> </w:t>
      </w:r>
      <w:r>
        <w:t xml:space="preserve">and by a future on-orbit spacecraft technologies survey that frames flight test as the engine of readiness gain</w:t>
      </w:r>
      <w:r>
        <w:t xml:space="preserve"> </w:t>
      </w:r>
      <w:hyperlink w:anchor="ref-21">
        <w:r>
          <w:rPr>
            <w:rStyle w:val="Hyperlink"/>
          </w:rPr>
          <w:t xml:space="preserve">[21]</w:t>
        </w:r>
      </w:hyperlink>
      <w:r>
        <w:t xml:space="preserve">, says the price of each step is a lever rather than a fixed toll. That reading grounds handling the demonstration mark as a candidate kink in the ripening cost curve and grounds the piecewise-straight robustness build that lets the per-step cost shift at that mark. In short, the readiness body hands over both the ladder and the reason to expect its rungs unevenly priced. What it withholds, that not being its aim, is the dollar figure pinned to any rung. For that, the analysis must swing to the cost record and the trade of cost estimation.</w:t>
      </w:r>
    </w:p>
    <w:bookmarkEnd w:id="68"/>
    <w:bookmarkStart w:id="69"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Now the second of the two unstitched literatures: the cliometric and econometric gear for rebuilding how technologies have behaved on cost from their paper trails. At its base sits the Wright learning curve, the oldest empirical pattern in production economics, which holds that unit cost drops a set percentage each time cumulative output doubles, so the log of cost against the log of cumulative volume gives a straight line whose slope is the learning elasticity</w:t>
      </w:r>
      <w:r>
        <w:t xml:space="preserve"> </w:t>
      </w:r>
      <w:hyperlink w:anchor="ref-6">
        <w:r>
          <w:rPr>
            <w:rStyle w:val="Hyperlink"/>
          </w:rPr>
          <w:t xml:space="preserve">[6]</w:t>
        </w:r>
      </w:hyperlink>
      <w:r>
        <w:t xml:space="preserve">. Wright’s own airframe studies put the per-doubling drop between ten and fifteen percent</w:t>
      </w:r>
      <w:r>
        <w:t xml:space="preserve"> </w:t>
      </w:r>
      <w:hyperlink w:anchor="ref-6">
        <w:r>
          <w:rPr>
            <w:rStyle w:val="Hyperlink"/>
          </w:rPr>
          <w:t xml:space="preserve">[6]</w:t>
        </w:r>
      </w:hyperlink>
      <w:r>
        <w:t xml:space="preserve">, and the pattern has held firm enough across built technologies that it now passes for a planning law. This is the workhorse of the dissertation’s two founding studies, but its usual use is to production cost as a function of cumulative units, a downstream thing. What the dissertation takes on is whether the log-log gear can be swung off production quantity and onto the ripening stretch ahead of it.</w:t>
      </w:r>
    </w:p>
    <w:p>
      <w:pPr>
        <w:pStyle w:val="BodyText"/>
        <w:spacing w:line="480" w:lineRule="auto"/>
        <w:ind w:firstLine="720"/>
      </w:pPr>
      <w:r>
        <w:t xml:space="preserve">Space economy forecasting is where the learning-curve logic got carried into the space domain, and it is also where the edge of the current use shows clearest. Forecasting work charts cost curves for launch and satellite build, where falling prices trace to scale, private money, reuse, and refurbishment</w:t>
      </w:r>
      <w:r>
        <w:t xml:space="preserve"> </w:t>
      </w:r>
      <w:hyperlink w:anchor="ref-2">
        <w:r>
          <w:rPr>
            <w:rStyle w:val="Hyperlink"/>
          </w:rPr>
          <w:t xml:space="preserve">[2]</w:t>
        </w:r>
      </w:hyperlink>
      <w:r>
        <w:t xml:space="preserve">. A companion look at the part space plays in driving sustainability, security, and development follows the technology and cost tracks of the modern space sector as a tale of falling cost per unit of capability</w:t>
      </w:r>
      <w:r>
        <w:t xml:space="preserve"> </w:t>
      </w:r>
      <w:hyperlink w:anchor="ref-3">
        <w:r>
          <w:rPr>
            <w:rStyle w:val="Hyperlink"/>
          </w:rPr>
          <w:t xml:space="preserve">[3]</w:t>
        </w:r>
      </w:hyperlink>
      <w:r>
        <w:t xml:space="preserve">. Together these fix that the space domain rides falling unit-cost trends and that planners reason in terms of sample cost curves where cost drops as a capability scales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Yet the curves they draw sit downstream of readiness advance. They pin the price of making and launching capabilities that already cleared the ladder; about the margin cost of one readiness step for a low-readiness deep space subsystem, they offer nothing. Carrying the learning curve into the domain but halting at the production edge, the space economy body leaves the ripening stretch unpinned. This is the gap’s second half.</w:t>
      </w:r>
    </w:p>
    <w:p>
      <w:pPr>
        <w:pStyle w:val="BodyText"/>
        <w:spacing w:line="480" w:lineRule="auto"/>
        <w:ind w:firstLine="720"/>
      </w:pPr>
      <w:r>
        <w:t xml:space="preserve">Method also hands over the branches past the plain cross-sectional learning curve that the dissertation’s identification plan calls for. Because the ripening problem is a panel, each subsystem trailed across its own readiness past, it calls for subsystem-level fixed effects that soak up fixed differences such as complexity class and heritage, so the bend of the cost function reads off within-subsystem swing rather than off muddied cross-sectional gaps. This within-estimator logic is the stock econometric answer to hidden differences in panels, and it is what lets the bend coefficient stand as a structural trait of ripening rather than a trick of comparing unlike subsystems. The survival branch hands over the matching robustness check the prospectus calls on, gauging time-to-step as a check on whether late steps run slower as well as pricier, which counts just because the readiness body forecasts the last rungs the most punishing</w:t>
      </w:r>
      <w:r>
        <w:t xml:space="preserve"> </w:t>
      </w:r>
      <w:hyperlink w:anchor="ref-12">
        <w:r>
          <w:rPr>
            <w:rStyle w:val="Hyperlink"/>
          </w:rPr>
          <w:t xml:space="preserve">[12]</w:t>
        </w:r>
      </w:hyperlink>
      <w:r>
        <w:t xml:space="preserve">. Fit for the job in principle, then, the method kit has simply gone unused on the ripening problem in the deep space precursor setting.</w:t>
      </w:r>
    </w:p>
    <w:p>
      <w:pPr>
        <w:pStyle w:val="BodyText"/>
        <w:spacing w:line="480" w:lineRule="auto"/>
        <w:ind w:firstLine="720"/>
      </w:pPr>
      <w:r>
        <w:t xml:space="preserve">Best read as the first uses of this kit on the deep space ripening question are the dissertation’s two founding studies, covered here as part of the method body since they prove the road workable. The first gauges a log-log learning curve for radioisotope power-system specific mass across the logged six-decade flight manifest</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pulling out a negative and strongly significant elasticity whose implied progress ratio sits just past the top edge of the Wright airframe band</w:t>
      </w:r>
      <w:r>
        <w:t xml:space="preserve"> </w:t>
      </w:r>
      <w:hyperlink w:anchor="ref-6">
        <w:r>
          <w:rPr>
            <w:rStyle w:val="Hyperlink"/>
          </w:rPr>
          <w:t xml:space="preserve">[6]</w:t>
        </w:r>
      </w:hyperlink>
      <w:r>
        <w:t xml:space="preserve">. What that result shows is that a real deep space capability, built in lots of one to a handful rather than in production runs, still cuts a measurable power-law fall as cumulative experience piles up, with the staged conversion-technology gains logged in words in the readiness body</w:t>
      </w:r>
      <w:r>
        <w:t xml:space="preserve"> </w:t>
      </w:r>
      <w:hyperlink w:anchor="ref-7">
        <w:r>
          <w:rPr>
            <w:rStyle w:val="Hyperlink"/>
          </w:rPr>
          <w:t xml:space="preserve">[7]</w:t>
        </w:r>
      </w:hyperlink>
      <w:r>
        <w:t xml:space="preserve"> </w:t>
      </w:r>
      <w:r>
        <w:t xml:space="preserve">turning up in numbers as the curve’s slope. The second study swings the learning curve off production quantity and onto development duration, gauging how ripening cost bends with cumulative funded development time across a mixed sample of deep space technology programs, and pulls out a point elasticity well past the scale-neutral value of one, tilted toward a diseconomy of patience, though gauged too fuzzily to knock down the constant-returns null. Together these two studies fix that the log-log gear can be swung at both the mass-per-watt and the cost-per-year sides of deep space ripening, which is the method precondition for the dissertation’s central rebuild of cost per readiness step.</w:t>
      </w:r>
    </w:p>
    <w:bookmarkEnd w:id="69"/>
    <w:bookmarkStart w:id="70" w:name="X4b66d1dfc2b57851c00e08be4209dba41a0a9b5"/>
    <w:p>
      <w:pPr>
        <w:pStyle w:val="Heading2"/>
        <w:spacing w:line="480" w:lineRule="auto"/>
      </w:pPr>
      <w:r>
        <w:t xml:space="preserve">2.5 The Documented Cost Record for Deep Space Technology</w:t>
      </w:r>
    </w:p>
    <w:p>
      <w:pPr>
        <w:pStyle w:val="FirstParagraph"/>
        <w:spacing w:line="480" w:lineRule="auto"/>
      </w:pPr>
      <w:r>
        <w:t xml:space="preserve">No cost record, no curve. The fourth body covered here is the logged financial stuff from which such a record must be pieced. Fullest among the sources is the Government Accountability Office run of reviews of NASA major projects, which logs cost and schedule status across the fleet and shows the joint move of schedule slips and cost growth that grounds treating calendar time as a cost booster</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 repeated find across these reviews, that the longest-running study efforts rank among the priciest</w:t>
      </w:r>
      <w:r>
        <w:t xml:space="preserve"> </w:t>
      </w:r>
      <w:hyperlink w:anchor="ref-10">
        <w:r>
          <w:rPr>
            <w:rStyle w:val="Hyperlink"/>
          </w:rPr>
          <w:t xml:space="preserve">[10]</w:t>
        </w:r>
      </w:hyperlink>
      <w:r>
        <w:t xml:space="preserve">, is the empirical anchor for the diseconomy-of-patience hypothesis and feeds a slice of the program-level cost figures the development-duration study rests on. Must-have is the word for the GAO run, just because it is arm’s-length, recurring, and openly comparative across programs, which is exactly the build a panel rebuild wants.</w:t>
      </w:r>
    </w:p>
    <w:p>
      <w:pPr>
        <w:pStyle w:val="BodyText"/>
        <w:spacing w:line="480" w:lineRule="auto"/>
        <w:ind w:firstLine="720"/>
      </w:pPr>
      <w:r>
        <w:t xml:space="preserve">Program-specific cost writing fills the rows the GAO fleet reviews leave lumped. The Planetary Society’s look at the cost of the Psyche mission</w:t>
      </w:r>
      <w:r>
        <w:t xml:space="preserve"> </w:t>
      </w:r>
      <w:hyperlink w:anchor="ref-13">
        <w:r>
          <w:rPr>
            <w:rStyle w:val="Hyperlink"/>
          </w:rPr>
          <w:t xml:space="preserve">[13]</w:t>
        </w:r>
      </w:hyperlink>
      <w:r>
        <w:t xml:space="preserve"> </w:t>
      </w:r>
      <w:r>
        <w:t xml:space="preserve">and the program entries for the multi-mission radioisotope generator</w:t>
      </w:r>
      <w:r>
        <w:t xml:space="preserve"> </w:t>
      </w:r>
      <w:hyperlink w:anchor="ref-14">
        <w:r>
          <w:rPr>
            <w:rStyle w:val="Hyperlink"/>
          </w:rPr>
          <w:t xml:space="preserve">[14]</w:t>
        </w:r>
      </w:hyperlink>
      <w:r>
        <w:t xml:space="preserve"> </w:t>
      </w:r>
      <w:r>
        <w:t xml:space="preserve">stand in for the named-source, single-program cost paperwork that, gathered across many programs, makes up the ripening cost panel. Radioisotope power systems program reporting above all logs the development cost of the multi-mission generator and the cancelled advanced Stirling generator</w:t>
      </w:r>
      <w:r>
        <w:t xml:space="preserve"> </w:t>
      </w:r>
      <w:hyperlink w:anchor="ref-14">
        <w:r>
          <w:rPr>
            <w:rStyle w:val="Hyperlink"/>
          </w:rPr>
          <w:t xml:space="preserve">[14]</w:t>
        </w:r>
      </w:hyperlink>
      <w:r>
        <w:t xml:space="preserve">, which counts not only as data but as a fix for selection bias: a cost record that holds a cancelled ripening effort is one that does not quietly cut off the high-readiness attrition the prospectus flags as a threat to validity. Feeding the radioisotope manifest and many program entries is the NASA Technical Reports Server</w:t>
      </w:r>
      <w:r>
        <w:t xml:space="preserve"> </w:t>
      </w:r>
      <w:hyperlink w:anchor="ref-5">
        <w:r>
          <w:rPr>
            <w:rStyle w:val="Hyperlink"/>
          </w:rPr>
          <w:t xml:space="preserve">[5]</w:t>
        </w:r>
      </w:hyperlink>
      <w:r>
        <w:t xml:space="preserve">, the public archive that leaves the whole rebuild checkable, since each panel row can be mapped to a cited document ID and traced back to source.</w:t>
      </w:r>
    </w:p>
    <w:p>
      <w:pPr>
        <w:pStyle w:val="BodyText"/>
        <w:spacing w:line="480" w:lineRule="auto"/>
        <w:ind w:firstLine="720"/>
      </w:pPr>
      <w:r>
        <w:t xml:space="preserve">Read whole, the logged cost record is rich enough to hold a ripening curve and ragged enough to demand care. Cost figures blend full-cost and marginal accounting across program eras, they lump standalone technology tests with flagship-embedded subsystems whose reported figure is a far larger life-cycle cost, and they thin out at the unit level, which is why the radioisotope study uses specific mass as a defensible stand-in for cost rather than a direct unit-cost series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None of this argues for dropping the rebuild; all of it argues for designing it with care, with inflation adjustment, subsystem fixed effects, and open sensitivity work. So the cost writing rounds out the empirical base: the readiness body hands over the ladder, the method body hands over the estimator, and the cost record hands over the dollars to run against the rungs.</w:t>
      </w:r>
    </w:p>
    <w:bookmarkEnd w:id="70"/>
    <w:bookmarkStart w:id="71" w:name="synthesis-and-the-gap"/>
    <w:p>
      <w:pPr>
        <w:pStyle w:val="Heading2"/>
        <w:spacing w:line="480" w:lineRule="auto"/>
      </w:pPr>
      <w:r>
        <w:t xml:space="preserve">2.6 Synthesis and the Gap</w:t>
      </w:r>
    </w:p>
    <w:p>
      <w:pPr>
        <w:pStyle w:val="FirstParagraph"/>
        <w:spacing w:line="480" w:lineRule="auto"/>
      </w:pPr>
      <w:r>
        <w:t xml:space="preserve">Four literatures, one gap. The bodies covered above fence it with rare sharpness, since each halts just where the next would have to start.</w:t>
      </w:r>
    </w:p>
    <w:p>
      <w:pPr>
        <w:pStyle w:val="BodyText"/>
        <w:spacing w:line="480" w:lineRule="auto"/>
        <w:ind w:firstLine="720"/>
      </w:pPr>
      <w:r>
        <w:t xml:space="preserve">Deep space and interstellar precursor design spells out which subsystems must ripen and to what readiness, yet books the price of ripening them as an outside given, naming the climb without pricing it</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r>
        <w:t xml:space="preserve"> </w:t>
      </w:r>
      <w:hyperlink w:anchor="ref-26">
        <w:r>
          <w:rPr>
            <w:rStyle w:val="Hyperlink"/>
          </w:rPr>
          <w:t xml:space="preserve">[26]</w:t>
        </w:r>
      </w:hyperlink>
      <w:r>
        <w:t xml:space="preserve">. Technology readiness assessment hands over the ladder along which that cost would be gauged and even forecasts, in words, that the upper rungs cost out of proportion more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yet pins dollars to no rung. Cliometric and econometric method hands over the learning-curve, panel, and survival estimators that could pin the cost-readiness link, yet in the space domain it has run only downstream of readiness, on the production and launch cost curves that follow ripening rather than on ripening itself</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logged cost record hands over the financial stuff but in raw, unmodeled form</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No pulled source estimates a ripening cost curve, the link between cumulative spend and readiness bought, for deep space or interstellar precursor technologies. That quantity is the gap.</w:t>
      </w:r>
    </w:p>
    <w:p>
      <w:pPr>
        <w:pStyle w:val="BodyText"/>
        <w:spacing w:line="480" w:lineRule="auto"/>
        <w:ind w:firstLine="720"/>
      </w:pPr>
      <w:r>
        <w:t xml:space="preserve">More than an empty cell in a grid of possible studies, the gap bears on how precursor programs get planned. Planning turns on it.</w:t>
      </w:r>
    </w:p>
    <w:p>
      <w:pPr>
        <w:pStyle w:val="BodyText"/>
        <w:spacing w:line="480" w:lineRule="auto"/>
        <w:ind w:firstLine="720"/>
      </w:pPr>
      <w:r>
        <w:t xml:space="preserve">Program offices lay on a per-step ripening cost held, in practice, roughly flat in readiness, which is to say they take the cost function along the ladder for straight. The readiness body’s spoken claim that the last rungs draw the heaviest</w:t>
      </w:r>
      <w:r>
        <w:t xml:space="preserve"> </w:t>
      </w:r>
      <w:hyperlink w:anchor="ref-12">
        <w:r>
          <w:rPr>
            <w:rStyle w:val="Hyperlink"/>
          </w:rPr>
          <w:t xml:space="preserve">[12]</w:t>
        </w:r>
      </w:hyperlink>
      <w:r>
        <w:t xml:space="preserve">, joined to the demonstration body’s evidence that readiness is bought through ever-pricier flight test near the ladder’s top</w:t>
      </w:r>
      <w:r>
        <w:t xml:space="preserve"> </w:t>
      </w:r>
      <w:hyperlink w:anchor="ref-4">
        <w:r>
          <w:rPr>
            <w:rStyle w:val="Hyperlink"/>
          </w:rPr>
          <w:t xml:space="preserve">[4]</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gives strong prior cause to suspect the true cost function bows rather than runs straight. Should it bow, every precursor plan that books ripening at a flat rate mis-orders its risk and under-reserves for its greenest subsystems. So the single falsifiable contribution of this dissertation, a test of whether ripening cost per readiness step holds flat or bows upward, is the direct empirical settling of a planning habit that the standing literatures jointly imply but none has tested.</w:t>
      </w:r>
    </w:p>
    <w:p>
      <w:pPr>
        <w:pStyle w:val="BodyText"/>
        <w:spacing w:line="480" w:lineRule="auto"/>
        <w:ind w:firstLine="720"/>
      </w:pPr>
      <w:r>
        <w:t xml:space="preserve">Workable is what the two founding studies covered in Section 2.4 prove that settling to be. The radioisotope specific-mass study shows a deep space capability built in tiny lots still cutting a measurable Wright-band learning curve as cumulative experience piles up</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proof that the log-log gear pulls a steady ripening signal from a real deep space hardware record. The development-duration study shows the same gear, swung at calendar time, giving a readable elasticity tilted toward a diseconomy of patience, even where the sample runs too small to confirm it</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Each study swings the learning curve at one side of deep space ripening, specific mass against cumulative units in the first and cost against cumulative duration in the second, and each thereby backs a plank of the method bridge that the dissertation’s central study finishes by running cumulative ripening spend against readiness reached. The studies also flush out the threats to validity the central design must face: selection on funded technologies, cost-reporting mismatch across eras, readiness-coding softness, and the fenced external reach of NASA precursor economics to commercial production curves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Handed down rather than found, these threats are ones the dissertation’s identification plan is built to meet.</w:t>
      </w:r>
    </w:p>
    <w:p>
      <w:pPr>
        <w:pStyle w:val="BodyText"/>
        <w:spacing w:line="480" w:lineRule="auto"/>
        <w:ind w:firstLine="720"/>
      </w:pPr>
      <w:r>
        <w:t xml:space="preserve">The fusion boils down to one claim about the field’s shape. Technical and economic literatures on deep space precursor capabilities have grown into two well-built but split bodies of knowledge, one that spells out ripening needs without pricing them and one that prices technical change without placing it on the ripening ladder. The technology readiness construct is the hidden variable that would join them, since it is at once the engineer’s gauge of how far a subsystem has climbed and the economist’s natural index of piled-up ripening experience. By gauging cost as a function of readiness, with the bend of that function as the one thing under test, this dissertation joins the two literatures at just the construct that belongs to both. The chapters ahead build the panel, defend the identification, and gauge the curve, turning a gap the standing literatures imply into an estimated function precursor planning can use.</w:t>
      </w:r>
    </w:p>
    <w:bookmarkEnd w:id="71"/>
    <w:bookmarkStart w:id="72" w:name="positioning-of-the-present-work"/>
    <w:p>
      <w:pPr>
        <w:pStyle w:val="Heading2"/>
        <w:spacing w:line="480" w:lineRule="auto"/>
      </w:pPr>
      <w:r>
        <w:t xml:space="preserve">2.7 Positioning of the Present Work</w:t>
      </w:r>
    </w:p>
    <w:p>
      <w:pPr>
        <w:pStyle w:val="FirstParagraph"/>
        <w:spacing w:line="480" w:lineRule="auto"/>
      </w:pPr>
      <w:r>
        <w:t xml:space="preserve">What comes next is a matter of edges. It remains to state exactly what this dissertation claims and what it does not, against the reviewed literatures. The work does not claim to sharpen the technical design of any precursor subsystem; the propulsion, power, navigation, and instrument literatures covered in Section 2.2 stay the authorities on what each subsystem must hit</w:t>
      </w:r>
      <w:r>
        <w:t xml:space="preserve"> </w:t>
      </w:r>
      <w:hyperlink w:anchor="ref-1">
        <w:r>
          <w:rPr>
            <w:rStyle w:val="Hyperlink"/>
          </w:rPr>
          <w:t xml:space="preserve">[1]</w:t>
        </w:r>
      </w:hyperlink>
      <w:r>
        <w:t xml:space="preserve">,</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8">
        <w:r>
          <w:rPr>
            <w:rStyle w:val="Hyperlink"/>
          </w:rPr>
          <w:t xml:space="preserve">[28]</w:t>
        </w:r>
      </w:hyperlink>
      <w:r>
        <w:t xml:space="preserve">,</w:t>
      </w:r>
      <w:r>
        <w:t xml:space="preserve"> </w:t>
      </w:r>
      <w:hyperlink w:anchor="ref-30">
        <w:r>
          <w:rPr>
            <w:rStyle w:val="Hyperlink"/>
          </w:rPr>
          <w:t xml:space="preserve">[30]</w:t>
        </w:r>
      </w:hyperlink>
      <w:r>
        <w:t xml:space="preserve">. Nor does it claim to redo the technology readiness construct itself, which it takes as given from the readiness assessment writing</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Tighter and, for that, defensible is its claim: that the price of climbing the readiness ladder for deep space precursor subsystems has a measurable shape, that this shape can be gauged from the logged NASA cost record with the standing cliometric gear, and that the bend of that shape settles whether the ruling straight-line planning habit holds up. The contribution is the joining itself, the build of a ripening cost curve where the literatures have left an inferable but ungauged thing.</w:t>
      </w:r>
    </w:p>
    <w:p>
      <w:pPr>
        <w:pStyle w:val="BodyText"/>
        <w:spacing w:line="480" w:lineRule="auto"/>
        <w:ind w:firstLine="720"/>
      </w:pPr>
      <w:r>
        <w:t xml:space="preserve">This placement also clears the edge of the dissertation’s external reach, held on purpose tight. The quantity is penned inside the deep space and interstellar precursor class, tied to the subsystems listed in the precursor design writing</w:t>
      </w:r>
      <w:r>
        <w:t xml:space="preserve"> </w:t>
      </w:r>
      <w:hyperlink w:anchor="ref-1">
        <w:r>
          <w:rPr>
            <w:rStyle w:val="Hyperlink"/>
          </w:rPr>
          <w:t xml:space="preserve">[1]</w:t>
        </w:r>
      </w:hyperlink>
      <w:r>
        <w:t xml:space="preserve">, and is not claimed to carry to the commercial production cost curves the space economy body pins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hold-back is method rather than mere caution: the within-class design is what lets the bend test answer the precursor planning question cleanly, free of the very different cost play of high-volume commercial production. Read together, the reviewed literatures both drive the question and fence it. They fix that the ripening cost curve for deep space precursors is at once needed for credible planning, forecastable in its rough shape, gaugeable from the logged record, and so far ungauged. Filling that last cell is the work of the chapters ahead.</w:t>
      </w:r>
    </w:p>
    <w:bookmarkEnd w:id="72"/>
    <w:bookmarkEnd w:id="73"/>
    <w:bookmarkStart w:id="92" w:name="Xcfcc00a3ded59aed0c781c16bfc121f2a509603"/>
    <w:p>
      <w:pPr>
        <w:pStyle w:val="Heading1"/>
        <w:spacing w:line="480" w:lineRule="auto"/>
      </w:pPr>
      <w:r>
        <w:t xml:space="preserve">Chapter 3. Theoretical Framework and Hypotheses</w:t>
      </w:r>
    </w:p>
    <w:bookmarkStart w:id="74" w:name="purpose-and-scope-of-the-chapter"/>
    <w:p>
      <w:pPr>
        <w:pStyle w:val="Heading2"/>
        <w:spacing w:line="480" w:lineRule="auto"/>
      </w:pPr>
      <w:r>
        <w:t xml:space="preserve">3.1 Purpose and Scope of the Chapter</w:t>
      </w:r>
    </w:p>
    <w:p>
      <w:pPr>
        <w:pStyle w:val="FirstParagraph"/>
        <w:spacing w:line="480" w:lineRule="auto"/>
      </w:pPr>
      <w:r>
        <w:t xml:space="preserve">Earlier chapters fixed that deep space and interstellar precursor capabilities are gated less by the physics of where they are bound than by the money spent hauling enabling subsystems from low to flight-ready technology readiness levels</w:t>
      </w:r>
      <w:r>
        <w:t xml:space="preserve"> </w:t>
      </w:r>
      <w:hyperlink w:anchor="ref-1">
        <w:r>
          <w:rPr>
            <w:rStyle w:val="Hyperlink"/>
          </w:rPr>
          <w:t xml:space="preserve">[1]</w:t>
        </w:r>
      </w:hyperlink>
      <w:r>
        <w:t xml:space="preserve">. This chapter turns that finding into a theory. Three jobs mark it out: to pin the mechanism that ties cumulative ripening spend to readiness bought, to spell out the causal path by which that mechanism throws a particular shape into the cost-versus-maturity link, and to state the formal hypotheses, H0 and H1, that make the theory falsifiable. Nothing gets gauged yet. What the chapter assembles is the frame that Chapters 4 and 5 will put to work and test.</w:t>
      </w:r>
    </w:p>
    <w:p>
      <w:pPr>
        <w:pStyle w:val="BodyText"/>
        <w:spacing w:line="480" w:lineRule="auto"/>
        <w:ind w:firstLine="720"/>
      </w:pPr>
      <w:r>
        <w:t xml:space="preserve">One hunch runs under all of it: that the ripening stretch of a deep space subsystem, the run in which it climbs from sketch to flown unit, follows an empirical pattern kin to, but apart from, the production learning curve that has ordered aerospace cost work since Wright</w:t>
      </w:r>
      <w:r>
        <w:t xml:space="preserve"> </w:t>
      </w:r>
      <w:hyperlink w:anchor="ref-6">
        <w:r>
          <w:rPr>
            <w:rStyle w:val="Hyperlink"/>
          </w:rPr>
          <w:t xml:space="preserve">[6]</w:t>
        </w:r>
      </w:hyperlink>
      <w:r>
        <w:t xml:space="preserve">. Where the production learning curve ties unit cost to cumulative units built and forecasts a power-law fall, the ripening cost curve this dissertation floats ties cumulative development spend to technology readiness level reached. Still open is whether the per-step cost of each readiness gain holds flat, as planners quietly take it to, or lifts as the subsystem nears flight readiness. Two earlier empirical studies in this line fence the problem from opposite sides: one shows a Wright learning curve running clean in the build of radioisotope power flight units, at a progress ratio inside the old airframe band, and the other shows calendar time seeming to boost ripening cost more than in step, though fuzzily. Neither gauges the per-step ripening cost function head-on. That function is the theoretical thing this chapter pins and the empirical thing the dissertation tests.</w:t>
      </w:r>
    </w:p>
    <w:bookmarkEnd w:id="74"/>
    <w:bookmarkStart w:id="78" w:name="the-theoretical-mechanism"/>
    <w:p>
      <w:pPr>
        <w:pStyle w:val="Heading2"/>
        <w:spacing w:line="480" w:lineRule="auto"/>
      </w:pPr>
      <w:r>
        <w:t xml:space="preserve">3.2 The Theoretical Mechanism</w:t>
      </w:r>
    </w:p>
    <w:bookmarkStart w:id="75" w:name="Xe55209c8c1288e5074246c61ed9ae418b3748e4"/>
    <w:p>
      <w:pPr>
        <w:pStyle w:val="Heading3"/>
        <w:spacing w:line="480" w:lineRule="auto"/>
      </w:pPr>
      <w:r>
        <w:t xml:space="preserve">3.2.1 Readiness as a Purchased Quantity, Not an Accrued One</w:t>
      </w:r>
    </w:p>
    <w:p>
      <w:pPr>
        <w:pStyle w:val="FirstParagraph"/>
        <w:spacing w:line="480" w:lineRule="auto"/>
      </w:pPr>
      <w:r>
        <w:t xml:space="preserve">All of it starts from re-framing technology readiness itself. Readiness is bought, not banked. Standard planning takes the technology readiness level as a marker a subsystem racks up over time, a flag that ticks ahead as work rolls on. The view pushed here is other: each readiness gain is a thing a program buys, and the price of the next need not match the price of the last. Grounding this re-frame is the logged habit of spending flight demonstration to lift readiness on purpose, where on-orbit test runs not as a passive by-product of the work but as a live lever that buys readiness advance flat out</w:t>
      </w:r>
      <w:r>
        <w:t xml:space="preserve"> </w:t>
      </w:r>
      <w:hyperlink w:anchor="ref-4">
        <w:r>
          <w:rPr>
            <w:rStyle w:val="Hyperlink"/>
          </w:rPr>
          <w:t xml:space="preserve">[4]</w:t>
        </w:r>
      </w:hyperlink>
      <w:r>
        <w:t xml:space="preserve">. If readiness is bought, then the margin cost of buying it is a decision-worthy price, and the shape of that price schedule across the ladder is the central unknown.</w:t>
      </w:r>
    </w:p>
    <w:p>
      <w:pPr>
        <w:pStyle w:val="BodyText"/>
        <w:spacing w:line="480" w:lineRule="auto"/>
        <w:ind w:firstLine="720"/>
      </w:pPr>
      <w:r>
        <w:t xml:space="preserve">Hard proof for the bought-readiness logic comes from the radioisotope power record. The climb from the lead-telluride couples of the early SNAP series to the silicon-germanium couples of the multi-hundred-watt and general-purpose heat source designs was no idle drift; each generation carried a chosen engineering call that locked in a build the next could push off from</w:t>
      </w:r>
      <w:r>
        <w:t xml:space="preserve"> </w:t>
      </w:r>
      <w:hyperlink w:anchor="ref-7">
        <w:r>
          <w:rPr>
            <w:rStyle w:val="Hyperlink"/>
          </w:rPr>
          <w:t xml:space="preserve">[7]</w:t>
        </w:r>
      </w:hyperlink>
      <w:r>
        <w:t xml:space="preserve">. Mankins logs this as a run of staged readiness gains where each flight buys a locked-in build</w:t>
      </w:r>
      <w:r>
        <w:t xml:space="preserve"> </w:t>
      </w:r>
      <w:hyperlink w:anchor="ref-7">
        <w:r>
          <w:rPr>
            <w:rStyle w:val="Hyperlink"/>
          </w:rPr>
          <w:t xml:space="preserve">[7]</w:t>
        </w:r>
      </w:hyperlink>
      <w:r>
        <w:t xml:space="preserve">. Backing the piled-up upshot of these buys, the dissertation’s first empirical study finds a measurable power-law fall in specific mass, at a progress ratio near 0.84 holding across six decades of flight units. That fall is the production-side shadow of a ripening path. What this chapter asks is what the price schedule looks like on the ripening side itself, step by step, rather than unit by unit.</w:t>
      </w:r>
    </w:p>
    <w:bookmarkEnd w:id="75"/>
    <w:bookmarkStart w:id="76" w:name="X8d54092adb48b68cc01bce46b9414bcf13e6151"/>
    <w:p>
      <w:pPr>
        <w:pStyle w:val="Heading3"/>
        <w:spacing w:line="480" w:lineRule="auto"/>
      </w:pPr>
      <w:r>
        <w:t xml:space="preserve">3.2.2 Why Increments Near Flight Readiness May Cost More</w:t>
      </w:r>
    </w:p>
    <w:p>
      <w:pPr>
        <w:pStyle w:val="FirstParagraph"/>
        <w:spacing w:line="480" w:lineRule="auto"/>
      </w:pPr>
      <w:r>
        <w:t xml:space="preserve">At the theoretical core sits a claim about where on the ladder cost gathers. Cost loads at the top. Three logged traits of deep space technology ripening forecast that the price of a readiness gain lifts as the subsystem nears flight readiness, throwing a bend into the cumulative cost function.</w:t>
      </w:r>
    </w:p>
    <w:p>
      <w:pPr>
        <w:pStyle w:val="BodyText"/>
        <w:spacing w:line="480" w:lineRule="auto"/>
        <w:ind w:firstLine="720"/>
      </w:pPr>
      <w:r>
        <w:t xml:space="preserve">First is the bunching of relevant-environment demonstration and qualification testing near the ladder’s top. Technology readiness assessment practice calls the last gains toward flight readiness the heaviest-drawing, since proving a subsystem in a relevant or operational setting and qualifying it for flight demand rigs, integration, and test runs the lower gains skip</w:t>
      </w:r>
      <w:r>
        <w:t xml:space="preserve"> </w:t>
      </w:r>
      <w:hyperlink w:anchor="ref-12">
        <w:r>
          <w:rPr>
            <w:rStyle w:val="Hyperlink"/>
          </w:rPr>
          <w:t xml:space="preserve">[12]</w:t>
        </w:r>
      </w:hyperlink>
      <w:r>
        <w:t xml:space="preserve">. A concept can walk the early gains on analysis and breadboard work. The late gains want the physical proof that this line’s second study names the top cost-and-schedule driver near a campaign’s end</w:t>
      </w:r>
      <w:r>
        <w:t xml:space="preserve"> </w:t>
      </w:r>
      <w:hyperlink w:anchor="ref-12">
        <w:r>
          <w:rPr>
            <w:rStyle w:val="Hyperlink"/>
          </w:rPr>
          <w:t xml:space="preserve">[12]</w:t>
        </w:r>
      </w:hyperlink>
      <w:r>
        <w:t xml:space="preserve">. So the margin gain near TRL 6 and up bears a flatly larger test load than the margin gain near TRL 3, and the cost function inherits that lopsidedness.</w:t>
      </w:r>
    </w:p>
    <w:p>
      <w:pPr>
        <w:pStyle w:val="BodyText"/>
        <w:spacing w:line="480" w:lineRule="auto"/>
        <w:ind w:firstLine="720"/>
      </w:pPr>
      <w:r>
        <w:t xml:space="preserve">Second is the piling integration load. As a subsystem ripens, it must be proven not on its own but in ever-truer joined settings, and the price of each next proof grows with the fidelity wanted. The deep space precursor subsystems listed in the Interstellar Probe design writing, power, autonomy, communications, and propulsion, must each ripen to a rung where they can be joined with confidence into a flight whose span and reach leave no room for in-flight repair</w:t>
      </w:r>
      <w:r>
        <w:t xml:space="preserve"> </w:t>
      </w:r>
      <w:hyperlink w:anchor="ref-1">
        <w:r>
          <w:rPr>
            <w:rStyle w:val="Hyperlink"/>
          </w:rPr>
          <w:t xml:space="preserve">[1]</w:t>
        </w:r>
      </w:hyperlink>
      <w:r>
        <w:t xml:space="preserve">. Joining fidelity wanted at high readiness runs flatly pricier than the on-its-own check that serves at low readiness, and this pushes the margin cost up the ladder.</w:t>
      </w:r>
    </w:p>
    <w:p>
      <w:pPr>
        <w:pStyle w:val="BodyText"/>
        <w:spacing w:line="480" w:lineRule="auto"/>
        <w:ind w:firstLine="720"/>
      </w:pPr>
      <w:r>
        <w:t xml:space="preserve">Third is attrition and the survival of the hardest problems. Whatever gains a subsystem reaches last are, by build, the ones its early work could not clear cheap. Easy ripening problems fall at low readiness; the residue carried into the high gains is the set of problems that shrugged off cheap fixes. This sorting inside a subsystem’s own past means the margin gain late on the ladder is, on average, harder in itself and so pricier than the margin gain early on, apart from the test-load and integration pulls above.</w:t>
      </w:r>
    </w:p>
    <w:p>
      <w:pPr>
        <w:pStyle w:val="BodyText"/>
        <w:spacing w:line="480" w:lineRule="auto"/>
        <w:ind w:firstLine="720"/>
      </w:pPr>
      <w:r>
        <w:t xml:space="preserve">One heading unites these three traits. Each forecasts that the price of a readiness gain is not flat but lifting in the level already reached. Their joint work is the theoretical mechanism this dissertation floats: a ripening cost function that bows in technology readiness level, since the test load, the integration load, and the survival of hard problems all pile out of proportion onto the gains nearest flight readiness.</w:t>
      </w:r>
    </w:p>
    <w:bookmarkEnd w:id="76"/>
    <w:bookmarkStart w:id="77" w:name="the-competing-mechanism"/>
    <w:p>
      <w:pPr>
        <w:pStyle w:val="Heading3"/>
        <w:spacing w:line="480" w:lineRule="auto"/>
      </w:pPr>
      <w:r>
        <w:t xml:space="preserve">3.2.3 The Competing Mechanism</w:t>
      </w:r>
    </w:p>
    <w:p>
      <w:pPr>
        <w:pStyle w:val="FirstParagraph"/>
        <w:spacing w:line="480" w:lineRule="auto"/>
      </w:pPr>
      <w:r>
        <w:t xml:space="preserve">A full theory must pin the mechanism that would throw the reverse, the flat-margin-cost world planning takes for granted. This is no strawman. It follows from a sound account.</w:t>
      </w:r>
    </w:p>
    <w:p>
      <w:pPr>
        <w:pStyle w:val="BodyText"/>
        <w:spacing w:line="480" w:lineRule="auto"/>
        <w:ind w:firstLine="720"/>
      </w:pPr>
      <w:r>
        <w:t xml:space="preserve">Say ripening runs on a standing house overhead, a fixed yearly draw a funded program keeps up no matter which gain it works. Then cost piles at a roughly flat rate per unit of readiness gained, and the cumulative cost function runs straight in readiness bought. Under this account the price of a gain is set by the program’s carrying cost rather than by the gain’s own hardness, and the test-load, integration, and survival pulls run either small or wiped by the savings patient, well-funded programs pile up. The dissertation’s second empirical study logs a kin chance: that slow, unhurried work can dodge the rework and concurrency penalties of schedule-squeezed efforts</w:t>
      </w:r>
      <w:r>
        <w:t xml:space="preserve"> </w:t>
      </w:r>
      <w:hyperlink w:anchor="ref-11">
        <w:r>
          <w:rPr>
            <w:rStyle w:val="Hyperlink"/>
          </w:rPr>
          <w:t xml:space="preserve">[11]</w:t>
        </w:r>
      </w:hyperlink>
      <w:r>
        <w:t xml:space="preserve">, which, if it rules, would flatten rather than steepen the cost-readiness link. So the flat-margin-cost mechanism is the real theoretical rival, and it is the mechanism baked into the planning baseline this dissertation tests against.</w:t>
      </w:r>
    </w:p>
    <w:bookmarkEnd w:id="77"/>
    <w:bookmarkEnd w:id="78"/>
    <w:bookmarkStart w:id="83" w:name="the-causal-logic"/>
    <w:p>
      <w:pPr>
        <w:pStyle w:val="Heading2"/>
        <w:spacing w:line="480" w:lineRule="auto"/>
      </w:pPr>
      <w:r>
        <w:t xml:space="preserve">3.3 The Causal Logic</w:t>
      </w:r>
    </w:p>
    <w:bookmarkStart w:id="79" w:name="from-mechanism-to-curvature"/>
    <w:p>
      <w:pPr>
        <w:pStyle w:val="Heading3"/>
        <w:spacing w:line="480" w:lineRule="auto"/>
      </w:pPr>
      <w:r>
        <w:t xml:space="preserve">3.3.1 From Mechanism to Curvature</w:t>
      </w:r>
    </w:p>
    <w:p>
      <w:pPr>
        <w:pStyle w:val="FirstParagraph"/>
        <w:spacing w:line="480" w:lineRule="auto"/>
      </w:pPr>
      <w:r>
        <w:t xml:space="preserve">Causal logic turns the mechanism into a sign you can see. Let the three loading pulls of Section 3.2.2 run, and the inflation-adjusted cumulative development cost of a subsystem, cast as a function of the readiness level it has reached, bows: it lifts at a lifting rate. That bow has a sign you can see, a positive bend in the cost-readiness function, which a squared term in technology readiness level catches head-on. Let the flat-margin-cost mechanism of Section 3.2.3 rule instead, and the cumulative cost function runs straight in readiness, the bend term dies, and the per-step price stays flat. So the bend coefficient is the one thing in which the two rival mechanisms make clashing, testable calls.</w:t>
      </w:r>
    </w:p>
    <w:p>
      <w:pPr>
        <w:pStyle w:val="BodyText"/>
        <w:spacing w:line="480" w:lineRule="auto"/>
        <w:ind w:firstLine="720"/>
      </w:pPr>
      <w:r>
        <w:t xml:space="preserve">Purposely narrow is the causal claim. It is not that high-readiness subsystems cost more all told, which is plainly true and tells nothing, but that the margin cost of moving one readiness gain is itself lifting in the level already reached. That split is what makes the bend, rather than the level, the thing chased. A program can hold total ripening budget fixed and still mis-order its risk if the margin price of late gains tops the price of early ones, since a flat-margin-cost booking rule will under-reserve for just the gains the bend mechanism forecasts as priciest.</w:t>
      </w:r>
    </w:p>
    <w:bookmarkEnd w:id="79"/>
    <w:bookmarkStart w:id="80" w:name="Xd3bff5c4778a90f045ce00414261a411331a9d5"/>
    <w:p>
      <w:pPr>
        <w:pStyle w:val="Heading3"/>
        <w:spacing w:line="480" w:lineRule="auto"/>
      </w:pPr>
      <w:r>
        <w:t xml:space="preserve">3.3.2 Identifying the Mechanism Within the Subsystem</w:t>
      </w:r>
    </w:p>
    <w:p>
      <w:pPr>
        <w:pStyle w:val="FirstParagraph"/>
        <w:spacing w:line="480" w:lineRule="auto"/>
      </w:pPr>
      <w:r>
        <w:t xml:space="preserve">Confounding is what the causal logic must wrestle. Subsystems split on complexity class and heritage, and a naive cross-sectional match of cost against readiness would blur the bend of the ripening function with the spread of the subsystems matched. A subsystem dear at every readiness level would, if it also tends to be caught at high readiness, fake a false look of bending that mirrors mix rather than mechanism.</w:t>
      </w:r>
    </w:p>
    <w:p>
      <w:pPr>
        <w:pStyle w:val="BodyText"/>
        <w:spacing w:line="480" w:lineRule="auto"/>
        <w:ind w:firstLine="720"/>
      </w:pPr>
      <w:r>
        <w:t xml:space="preserve">The fix comes from placing the causal action inside each subsystem’s own past. The bend claim is a within-subsystem claim: that as a given subsystem climbs its own ladder, the margin cost of its next gains lifts. Trailing each subsystem across its own past lets subsystem-specific spread, the fixed complexity and heritage that set the level of its cost curve, be soaked up, so the gauged bend mirrors movement along the ladder rather than gaps across subsystems. This is the same identification grip the first empirical study used when it flagged that its regression could not fake a trend from within-model swing that does not exist, and that any slope it pulled mirrored real movement across generations. The parallel here is that any bend pulled must mirror real movement of a subsystem up its own ladder, not the sorting of dear subsystems into high readiness levels.</w:t>
      </w:r>
    </w:p>
    <w:bookmarkEnd w:id="80"/>
    <w:bookmarkStart w:id="81" w:name="X001e51b24d726f0f4fb679b14b1821db7e61499"/>
    <w:p>
      <w:pPr>
        <w:pStyle w:val="Heading3"/>
        <w:spacing w:line="480" w:lineRule="auto"/>
      </w:pPr>
      <w:r>
        <w:t xml:space="preserve">3.3.3 The Demonstration Threshold as a Causal Inflection</w:t>
      </w:r>
    </w:p>
    <w:p>
      <w:pPr>
        <w:pStyle w:val="FirstParagraph"/>
        <w:spacing w:line="480" w:lineRule="auto"/>
      </w:pPr>
      <w:r>
        <w:t xml:space="preserve">Past bending, the mechanism forecasts where that bend should gather: the mid-ladder mark where readiness swings from dissected to proven. The demonstration writing names on-orbit test the logged kink where readiness is bought rather than reasoned toward</w:t>
      </w:r>
      <w:r>
        <w:t xml:space="preserve"> </w:t>
      </w:r>
      <w:hyperlink w:anchor="ref-4">
        <w:r>
          <w:rPr>
            <w:rStyle w:val="Hyperlink"/>
          </w:rPr>
          <w:t xml:space="preserve">[4]</w:t>
        </w:r>
      </w:hyperlink>
      <w:r>
        <w:t xml:space="preserve">. So the causal logic forecasts a structural shift in the per-step price at that mark: gains below it climb on analysis and lab work, gains above it want the relevant-environment proof that loads the cost. This gives a sharper, more falsifiable call than smooth bending alone, since it places the bend at a theory-picked point rather than treating it as a featureless bend spread flat across the ladder. A piecewise account that lets the per-step price shift at the demonstration mark is the natural causal partner to the squared account, and the two together triangulate the same mechanism from a smooth and a kinked build.</w:t>
      </w:r>
    </w:p>
    <w:bookmarkEnd w:id="81"/>
    <w:bookmarkStart w:id="82" w:name="time-as-a-parallel-causal-channel"/>
    <w:p>
      <w:pPr>
        <w:pStyle w:val="Heading3"/>
        <w:spacing w:line="480" w:lineRule="auto"/>
      </w:pPr>
      <w:r>
        <w:t xml:space="preserve">3.3.4 Time as a Parallel Causal Channel</w:t>
      </w:r>
    </w:p>
    <w:p>
      <w:pPr>
        <w:pStyle w:val="FirstParagraph"/>
        <w:spacing w:line="480" w:lineRule="auto"/>
      </w:pPr>
      <w:r>
        <w:t xml:space="preserve">The dissertation’s second empirical study names a parallel causal channel the bend theory must take in rather than wave off. That study finds a tilted, though statistically unconfirmed, diseconomy of patience: ripening cost seems to lift more than in step with piled-up development time, at a point elasticity well past the scale-neutral value, driven by standing teams, requirements churn, and the bunching of qualification testing near a campaign’s end</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Rivals they are not, the causal logic of the present chapter and the causal logic of that time-based channel; they are two faces of the same ripening path. If late gains run both pricier and slower, then the bend in cost-versus-readiness and the diseconomy in cost-versus-time are thrown up together by the same underlying bunching of test and integration load at the ladder’s top. The bend frame treats readiness as the lead causal axis, since readiness is the thing program plans order and budget against, while the time channel is kept as a matching check on whether late gains run slower as well as pricier. Bend call and diseconomy call back rather than sink one another, and a confirm of either lends weight to the shared mechanism behind both.</w:t>
      </w:r>
    </w:p>
    <w:bookmarkEnd w:id="82"/>
    <w:bookmarkEnd w:id="83"/>
    <w:bookmarkStart w:id="88" w:name="the-formal-hypotheses"/>
    <w:p>
      <w:pPr>
        <w:pStyle w:val="Heading2"/>
        <w:spacing w:line="480" w:lineRule="auto"/>
      </w:pPr>
      <w:r>
        <w:t xml:space="preserve">3.4 The Formal Hypotheses</w:t>
      </w:r>
    </w:p>
    <w:bookmarkStart w:id="84" w:name="the-estimand"/>
    <w:p>
      <w:pPr>
        <w:pStyle w:val="Heading3"/>
        <w:spacing w:line="480" w:lineRule="auto"/>
      </w:pPr>
      <w:r>
        <w:t xml:space="preserve">3.4.1 The Estimand</w:t>
      </w:r>
    </w:p>
    <w:p>
      <w:pPr>
        <w:pStyle w:val="FirstParagraph"/>
        <w:spacing w:line="480" w:lineRule="auto"/>
      </w:pPr>
      <w:r>
        <w:t xml:space="preserve">Let per-step ripening cost be the inflation-adjusted spend that moves a subsystem from technology readiness level k to level k plus one. What we gauge is the bend of the cumulative ripening cost function against readiness level reached, marked by the coefficient on the squared readiness term in a within-subsystem build. This quantity is the one thing in which the bend mechanism of Section 3.2.2 and the flat-margin-cost mechanism of Section 3.2.3 make clashing calls, and it is the thing the hypotheses below put under test. Tying the quantity to a within-subsystem bend, rather than to a cross-sectional level, is what makes it a clean test of the mechanism rather than of mix.</w:t>
      </w:r>
    </w:p>
    <w:bookmarkEnd w:id="84"/>
    <w:bookmarkStart w:id="85" w:name="statement-of-h0-and-h1"/>
    <w:p>
      <w:pPr>
        <w:pStyle w:val="Heading3"/>
        <w:spacing w:line="480" w:lineRule="auto"/>
      </w:pPr>
      <w:r>
        <w:t xml:space="preserve">3.4.2 Statement of H0 and H1</w:t>
      </w:r>
    </w:p>
    <w:p>
      <w:pPr>
        <w:pStyle w:val="FirstParagraph"/>
        <w:spacing w:line="480" w:lineRule="auto"/>
      </w:pPr>
      <w:r>
        <w:t xml:space="preserve">A sign-and-significance test on the bend coefficient is how the hypotheses read.</w:t>
      </w:r>
    </w:p>
    <w:p>
      <w:pPr>
        <w:spacing w:line="480" w:lineRule="auto"/>
        <w:numPr>
          <w:ilvl w:val="0"/>
          <w:numId w:val="1002"/>
        </w:numPr>
      </w:pPr>
      <w:r>
        <w:rPr>
          <w:b/>
          <w:bCs/>
        </w:rPr>
        <w:t xml:space="preserve">H0 (null, planning baseline):</w:t>
      </w:r>
      <w:r>
        <w:t xml:space="preserve"> </w:t>
      </w:r>
      <w:r>
        <w:t xml:space="preserve">Per-step ripening cost holds flat across readiness gains. The bend term in the step-cost model reads as no different from zero, so cumulative ripening cost runs straight in readiness bought. Under H0 the flat-margin-cost mechanism of Section 3.2.3 rules: the per-step price stays flat, set by a standing house carrying cost rather than by the gain’s own hardness, and a program that books ripening at a flat rate books right.</w:t>
      </w:r>
    </w:p>
    <w:p>
      <w:pPr>
        <w:spacing w:line="480" w:lineRule="auto"/>
        <w:numPr>
          <w:ilvl w:val="0"/>
          <w:numId w:val="1002"/>
        </w:numPr>
      </w:pPr>
      <w:r>
        <w:rPr>
          <w:b/>
          <w:bCs/>
        </w:rPr>
        <w:t xml:space="preserve">H1 (alternative):</w:t>
      </w:r>
      <w:r>
        <w:t xml:space="preserve"> </w:t>
      </w:r>
      <w:r>
        <w:t xml:space="preserve">Per-step ripening cost bows upward with readiness. The bend term comes back positive and significant, so each next gain toward flight readiness costs out of proportion more than the last. Under H1 the bend mechanism of Section 3.2.2 rules: the bunching of relevant-environment demonstration, the piling integration load, and the survival of the hardest problems load the price onto the gains nearest flight readiness, and a program that books a flat margin cost under-reserves by design for its top-readiness ripening steps.</w:t>
      </w:r>
    </w:p>
    <w:bookmarkEnd w:id="85"/>
    <w:bookmarkStart w:id="86" w:name="the-decision-the-test-resolves"/>
    <w:p>
      <w:pPr>
        <w:pStyle w:val="Heading3"/>
        <w:spacing w:line="480" w:lineRule="auto"/>
      </w:pPr>
      <w:r>
        <w:t xml:space="preserve">3.4.3 The Decision the Test Resolves</w:t>
      </w:r>
    </w:p>
    <w:p>
      <w:pPr>
        <w:pStyle w:val="FirstParagraph"/>
        <w:spacing w:line="480" w:lineRule="auto"/>
      </w:pPr>
      <w:r>
        <w:t xml:space="preserve">Two opposite planning worlds are what the hypotheses map onto, and the test settles which one deep space precursor plans live in. Knock down H0 for H1 and you show precursor plans under-book their top-readiness ripening steps by design, and you shuffle how a program should order and reserve against its greenest subsystems: the bend says the margin dollar of risk cut is best laid early, before a gain’s price climbs, and that reserves must load toward the ladder’s top rather than spread flat. Keep H0 and you back the straight-line planning habit, itself a publishable, decision-useful outcome, since a confirmed flat margin cost would license the plain booking rule planners already run and would swing attention off bending and onto the level of the ripening toll. Neither outcome is a null result in the dismissive sense; each bears a distinct and workable planning upshot.</w:t>
      </w:r>
    </w:p>
    <w:bookmarkEnd w:id="86"/>
    <w:bookmarkStart w:id="87" w:name="falsifiability"/>
    <w:p>
      <w:pPr>
        <w:pStyle w:val="Heading3"/>
        <w:spacing w:line="480" w:lineRule="auto"/>
      </w:pPr>
      <w:r>
        <w:t xml:space="preserve">3.4.4 Falsifiability</w:t>
      </w:r>
    </w:p>
    <w:p>
      <w:pPr>
        <w:pStyle w:val="FirstParagraph"/>
        <w:spacing w:line="480" w:lineRule="auto"/>
      </w:pPr>
      <w:r>
        <w:t xml:space="preserve">Strictly falsifiable is the hypothesis pair. The bend coefficient bears a sign and a confidence interval the data can knock down.</w:t>
      </w:r>
    </w:p>
    <w:p>
      <w:pPr>
        <w:pStyle w:val="BodyText"/>
        <w:spacing w:line="480" w:lineRule="auto"/>
        <w:ind w:firstLine="720"/>
      </w:pPr>
      <w:r>
        <w:t xml:space="preserve">H1 forecasts a positive, significant bend; data that give a bend no different from zero knock down H1 and hold up H0, and data that give a negative bend would knock down both the bend mechanism and, harder, hint at a saving in late gains that neither mechanism in this chapter forecasts. So the call is not merely of a piece with the data by build; it stakes a directional claim a particular gauged sign would upend. The dissertation’s first empirical study shows a learning-curve coefficient of this family can be gauged flat out when the data hold it, giving back a slope significant at usual marks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second shows the same gear can give back a fuzzy, non-significant coefficient when the sample runs small and mixed</w:t>
      </w:r>
      <w:r>
        <w:t xml:space="preserve"> </w:t>
      </w:r>
      <w:hyperlink w:anchor="ref-11">
        <w:r>
          <w:rPr>
            <w:rStyle w:val="Hyperlink"/>
          </w:rPr>
          <w:t xml:space="preserve">[11]</w:t>
        </w:r>
      </w:hyperlink>
      <w:r>
        <w:t xml:space="preserve">. That clash fixes that the bend test is truly able to fail to knock down H0, which is the precondition for its rejection to carry weight.</w:t>
      </w:r>
    </w:p>
    <w:bookmarkEnd w:id="87"/>
    <w:bookmarkEnd w:id="88"/>
    <w:bookmarkStart w:id="89" w:name="X6a103b7152863dc8570cb9b96741b7b0feb5978"/>
    <w:p>
      <w:pPr>
        <w:pStyle w:val="Heading2"/>
        <w:spacing w:line="480" w:lineRule="auto"/>
      </w:pPr>
      <w:r>
        <w:t xml:space="preserve">3.5 Auxiliary Predictions and Robustness Logic</w:t>
      </w:r>
    </w:p>
    <w:p>
      <w:pPr>
        <w:pStyle w:val="FirstParagraph"/>
        <w:spacing w:line="480" w:lineRule="auto"/>
      </w:pPr>
      <w:r>
        <w:t xml:space="preserve">Two side calls ride with the central hypotheses, both thrown up by the theory and both that Chapter 4 will put to work as robustness checks. First is a survival-style call: if the bend mechanism runs through the bunching of demonstration and qualification at the ladder’s top, then late gains should run slower as well as pricier, and a time-to-step build should show lengthening gaps as readiness lifts</w:t>
      </w:r>
      <w:r>
        <w:t xml:space="preserve"> </w:t>
      </w:r>
      <w:hyperlink w:anchor="ref-12">
        <w:r>
          <w:rPr>
            <w:rStyle w:val="Hyperlink"/>
          </w:rPr>
          <w:t xml:space="preserve">[12]</w:t>
        </w:r>
      </w:hyperlink>
      <w:r>
        <w:t xml:space="preserve">. This ties the cost-bend claim of this chapter to the diseconomy-of-patience channel of the second empirical study and tests whether the two faces of the mechanism move together as the theory says they should. Second is the demonstration-mark call of Section 3.3.3: a piecewise build that lets the per-step price shift at the mid-ladder demonstration mark should place the bend at that mark rather than spread it flat, since on-orbit demonstration is the logged point where readiness is bought rather than dissected</w:t>
      </w:r>
      <w:r>
        <w:t xml:space="preserve"> </w:t>
      </w:r>
      <w:hyperlink w:anchor="ref-4">
        <w:r>
          <w:rPr>
            <w:rStyle w:val="Hyperlink"/>
          </w:rPr>
          <w:t xml:space="preserve">[4]</w:t>
        </w:r>
      </w:hyperlink>
      <w:r>
        <w:t xml:space="preserve">. Should the price shift gather at the mark, the mechanism is backed more sharply than smooth bending alone would allow; should it not, the mechanism is qualified even where the whole bend runs positive. Both side calls sit under the H0-versus-H1 test on the bend coefficient, and both are built so their failure would sharpen rather than rescue the central claim.</w:t>
      </w:r>
    </w:p>
    <w:bookmarkEnd w:id="89"/>
    <w:bookmarkStart w:id="90" w:name="Xdaaf0b7d325f1ee53cc6c1cbb6268e4306ea2c5"/>
    <w:p>
      <w:pPr>
        <w:pStyle w:val="Heading2"/>
        <w:spacing w:line="480" w:lineRule="auto"/>
      </w:pPr>
      <w:r>
        <w:t xml:space="preserve">3.6 Scope Conditions and Boundary of the Theory</w:t>
      </w:r>
    </w:p>
    <w:p>
      <w:pPr>
        <w:pStyle w:val="FirstParagraph"/>
        <w:spacing w:line="480" w:lineRule="auto"/>
      </w:pPr>
      <w:r>
        <w:t xml:space="preserve">Fenced to the deep space and interstellar precursor class is the theory, the subsystems listed in the Interstellar Probe class of design: power, autonomy, communications, and propulsion ripening for flights whose reach and span shut off in-flight repair</w:t>
      </w:r>
      <w:r>
        <w:t xml:space="preserve"> </w:t>
      </w:r>
      <w:hyperlink w:anchor="ref-1">
        <w:r>
          <w:rPr>
            <w:rStyle w:val="Hyperlink"/>
          </w:rPr>
          <w:t xml:space="preserve">[1]</w:t>
        </w:r>
      </w:hyperlink>
      <w:r>
        <w:t xml:space="preserve">. The mechanism is not claimed to rule commercial production cost curves, where falling unit costs trace to scale and private money running downstream of readiness advance rather than inside 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ripening stretch the bend theory sketches runs ahead of production; the production learning curve the first empirical study confirmed runs in a different world, tied to cumulative units rather than to readiness level, and the two must not be blurred. Penning the quantity inside the precursor class makes sure the bend test answers the precursor planning question, namely how a program should order and reserve against its greenest subsystems, and none wider. Stated as a scope condition rather than found as a limit, the edge is on purpose: the theory forecasts bending in deep space precursor ripening in particular, and its claims do not stretch to the commercial production curves whose downward slope a separate and well-set literature already logs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bookmarkEnd w:id="90"/>
    <w:bookmarkStart w:id="91" w:name="summary"/>
    <w:p>
      <w:pPr>
        <w:pStyle w:val="Heading2"/>
        <w:spacing w:line="480" w:lineRule="auto"/>
      </w:pPr>
      <w:r>
        <w:t xml:space="preserve">3.7 Summary</w:t>
      </w:r>
    </w:p>
    <w:p>
      <w:pPr>
        <w:pStyle w:val="FirstParagraph"/>
        <w:spacing w:line="480" w:lineRule="auto"/>
      </w:pPr>
      <w:r>
        <w:t xml:space="preserve">Pinned in this chapter are the theoretical mechanism, the causal logic, and the formal hypotheses the rest of the dissertation tests. The mechanism re-frames technology readiness as a bought thing whose per-step price may lift toward flight readiness, driven by the bunching of relevant-environment demonstration, the piling integration load, and the survival of the hardest problems near the ladder’s top. Causal logic turns that mechanism into a bend in the cumulative cost-versus-readiness function, places it inside each subsystem’s own past to split mechanism from mix, sets its sharpest call at the demonstration mark, and squares it with the parallel diseconomy-of-patience channel as two faces of one path. The formal hypotheses put the bend coefficient under a sign-and-significance test: H0 holds that per-step ripening cost stays flat and the planning baseline is right, while H1 holds that per-step ripening cost bows upward and precursor plans under-reserve by design for their top-readiness steps. Both outcomes are decision-useful, the call is strictly falsifiable, and the test is plainly able to give back either result. Chapter 4 turns this frame into a gaugeable build and a checkable panel; Chapter 5 lays out the estimate and settles the hypotheses.</w:t>
      </w:r>
    </w:p>
    <w:bookmarkEnd w:id="91"/>
    <w:bookmarkEnd w:id="92"/>
    <w:bookmarkStart w:id="107" w:name="chapter-4.-data-and-measurement"/>
    <w:p>
      <w:pPr>
        <w:pStyle w:val="Heading1"/>
        <w:spacing w:line="480" w:lineRule="auto"/>
      </w:pPr>
      <w:r>
        <w:t xml:space="preserve">Chapter 4. Data and Measurement</w:t>
      </w:r>
    </w:p>
    <w:bookmarkStart w:id="93" w:name="overview-and-purpose-of-the-chapter"/>
    <w:p>
      <w:pPr>
        <w:pStyle w:val="Heading2"/>
        <w:spacing w:line="480" w:lineRule="auto"/>
      </w:pPr>
      <w:r>
        <w:t xml:space="preserve">4.1 Overview and Purpose of the Chapter</w:t>
      </w:r>
    </w:p>
    <w:p>
      <w:pPr>
        <w:pStyle w:val="FirstParagraph"/>
        <w:spacing w:line="480" w:lineRule="auto"/>
      </w:pPr>
      <w:r>
        <w:t xml:space="preserve">Two estimates carry this dissertation, and each holds up only as far as the data beneath it. Chapter 4 lays those data out in full. It names the real datasets built for the two constituent studies, cites their authoritative sources, sets the row unit for each, and shows to the letter how every variable is drawn from primary records. The aim is not to sum up findings, which belong to later chapters, but to leave the evidence base checkable: a reader should be able to rebuild each panel from the cited sources, recompute each drawn quantity, and confirm that no number was made up rather than pulled.</w:t>
      </w:r>
    </w:p>
    <w:p>
      <w:pPr>
        <w:pStyle w:val="BodyText"/>
        <w:spacing w:line="480" w:lineRule="auto"/>
        <w:ind w:firstLine="720"/>
      </w:pPr>
      <w:r>
        <w:t xml:space="preserve">Empirical weight sits on two datasets. First is a manifest of forty United States space radioisotope power flight units running 1961 to 2020, built to gauge a log-log learning curve for specific mass in kilograms per watt-electric</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Second is a cross-program panel of eighteen deep space and interstellar precursor technology programs, built to gauge how total ripening cost bends with cumulative funded development duration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One question joins them, the real shape of technology ripening in the deep space setting, yet they split on row unit, on source trail, and on the measurement calls each demands. This chapter takes them one at a time and then pulls together the measurement rules shared by both.</w:t>
      </w:r>
    </w:p>
    <w:p>
      <w:pPr>
        <w:pStyle w:val="BodyText"/>
        <w:spacing w:line="480" w:lineRule="auto"/>
        <w:ind w:firstLine="720"/>
      </w:pPr>
      <w:r>
        <w:t xml:space="preserve">Both datasets stay fenced to the deep space and interstellar precursor scope, tied to the subsystems interstellar precursor design concepts call for, namely power, autonomy, communications, and propulsion carried from low to flight-ready readiness</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 That tie keeps the data inside the class the dissertation works and out of general spaceflight technology, and it is the same scope grip that rules the prospectus quantity.</w:t>
      </w:r>
    </w:p>
    <w:bookmarkEnd w:id="93"/>
    <w:bookmarkStart w:id="98" w:name="X7d18cc4f2355b0efc2953d38cce5218985ae979"/>
    <w:p>
      <w:pPr>
        <w:pStyle w:val="Heading2"/>
        <w:spacing w:line="480" w:lineRule="auto"/>
      </w:pPr>
      <w:r>
        <w:t xml:space="preserve">4.2 The Radioisotope Power-System Flight Manifest</w:t>
      </w:r>
    </w:p>
    <w:bookmarkStart w:id="94" w:name="dataset-definition-and-unit-of-analysis"/>
    <w:p>
      <w:pPr>
        <w:pStyle w:val="Heading3"/>
        <w:spacing w:line="480" w:lineRule="auto"/>
      </w:pPr>
      <w:r>
        <w:t xml:space="preserve">4.2.1 Dataset Definition and Unit of Analysis</w:t>
      </w:r>
    </w:p>
    <w:p>
      <w:pPr>
        <w:pStyle w:val="FirstParagraph"/>
        <w:spacing w:line="480" w:lineRule="auto"/>
      </w:pPr>
      <w:r>
        <w:t xml:space="preserve">Forty logged United States space radioisotope power flight units make up the first dataset, sorted by first-flight year from the SNAP-3B unit carried on Transit-4A in 1961 through the Multi-Mission Radioisotope Thermoelectric Generator flown on the Perseverance rover in 2020. The row unit is the single flight unit. Set by the estimator rather than by ease, this call follows from how a learning curve is built. A learning curve is indexed by cumulative production count, so every physical unit built and flown must give exactly one row and must nudge the running cumulative tally by one. Lumping to the model level, or to the mission level, would wreck the experience axis the whole learning-curve build leans on, since it would fold up the cumulative count that is the curve’s own left-hand variable.</w:t>
      </w:r>
    </w:p>
    <w:p>
      <w:pPr>
        <w:pStyle w:val="BodyText"/>
        <w:spacing w:line="480" w:lineRule="auto"/>
        <w:ind w:firstLine="720"/>
      </w:pPr>
      <w:r>
        <w:t xml:space="preserve">That call has a price. Taking the flight unit as the row unit brings a plain and owned upshot for the data. Power and mass figures in the authoritative sources are logged per model variant rather than per single serial number. So units of one model variant share a specific-mass value, and the spread in the dataset flows from real gaps across the generation families, the SNAP series, the multi-hundred-watt design, the general-purpose heat source design, and the multi-mission design, rather than from serial-number swing inside a model. This is a trait of the record, not a modeling dodge, and Section 4.5 circles back to what it means for inference.</w:t>
      </w:r>
    </w:p>
    <w:bookmarkEnd w:id="94"/>
    <w:bookmarkStart w:id="95" w:name="authoritative-sources"/>
    <w:p>
      <w:pPr>
        <w:pStyle w:val="Heading3"/>
        <w:spacing w:line="480" w:lineRule="auto"/>
      </w:pPr>
      <w:r>
        <w:t xml:space="preserve">4.2.2 Authoritative Sources</w:t>
      </w:r>
    </w:p>
    <w:p>
      <w:pPr>
        <w:pStyle w:val="FirstParagraph"/>
        <w:spacing w:line="480" w:lineRule="auto"/>
      </w:pPr>
      <w:r>
        <w:t xml:space="preserve">Four kinds of primary hardware paperwork build the manifest, each cited at the row level. The NASA technical report on United States space radioisotope power systems and applications gives the flight manifest and per-model power and mass figures and stands as the spine of the dataset</w:t>
      </w:r>
      <w:r>
        <w:t xml:space="preserve"> </w:t>
      </w:r>
      <w:hyperlink w:anchor="ref-5">
        <w:r>
          <w:rPr>
            <w:rStyle w:val="Hyperlink"/>
          </w:rPr>
          <w:t xml:space="preserve">[5]</w:t>
        </w:r>
      </w:hyperlink>
      <w:r>
        <w:t xml:space="preserve">. The World Nuclear Association survey of nuclear reactors and radioisotopes for space adds per-model generator power, mass, and mission-usage figures</w:t>
      </w:r>
      <w:r>
        <w:t xml:space="preserve"> </w:t>
      </w:r>
      <w:hyperlink w:anchor="ref-8">
        <w:r>
          <w:rPr>
            <w:rStyle w:val="Hyperlink"/>
          </w:rPr>
          <w:t xml:space="preserve">[8]</w:t>
        </w:r>
      </w:hyperlink>
      <w:r>
        <w:t xml:space="preserve">. Radioisotope generator reference tables, holding the model-specific rows for the multi-hundred-watt, general-purpose heat source, and multi-mission designs, feed per-model power, mass, mission, and unit-count figures used to build the cumulative count</w:t>
      </w:r>
      <w:r>
        <w:t xml:space="preserve"> </w:t>
      </w:r>
      <w:hyperlink w:anchor="ref-9">
        <w:r>
          <w:rPr>
            <w:rStyle w:val="Hyperlink"/>
          </w:rPr>
          <w:t xml:space="preserve">[9]</w:t>
        </w:r>
      </w:hyperlink>
      <w:r>
        <w:t xml:space="preserve">. The NASA Radioisotope Power Systems legacy-systems record rounds out the cross-check of model-level rows.</w:t>
      </w:r>
    </w:p>
    <w:p>
      <w:pPr>
        <w:pStyle w:val="BodyText"/>
        <w:spacing w:line="480" w:lineRule="auto"/>
        <w:ind w:firstLine="720"/>
      </w:pPr>
      <w:r>
        <w:t xml:space="preserve">Authoritative in the tight sense wanted here, these sources are published, attributable hardware paperwork that report gauged physical quantities of flight articles, not guesses, forecasts, or stand-in placeholders. Plain in the prose of the underlying study is that no values in the dataset are stand-ins and that all trace to cited hardware paperwork. The full trail for every row, holding the mission, the first-flight year, the power, and the mass, rides in the source column of the paired data file, so each of the forty rows traces to a named document.</w:t>
      </w:r>
    </w:p>
    <w:bookmarkEnd w:id="95"/>
    <w:bookmarkStart w:id="96" w:name="variable-construction"/>
    <w:p>
      <w:pPr>
        <w:pStyle w:val="Heading3"/>
        <w:spacing w:line="480" w:lineRule="auto"/>
      </w:pPr>
      <w:r>
        <w:t xml:space="preserve">4.2.3 Variable Construction</w:t>
      </w:r>
    </w:p>
    <w:p>
      <w:pPr>
        <w:pStyle w:val="FirstParagraph"/>
        <w:spacing w:line="480" w:lineRule="auto"/>
      </w:pPr>
      <w:r>
        <w:t xml:space="preserve">Three variables set the manifest, and each is drawn from primary records by a plain rule.</w:t>
      </w:r>
    </w:p>
    <w:p>
      <w:pPr>
        <w:pStyle w:val="BodyText"/>
        <w:spacing w:line="480" w:lineRule="auto"/>
        <w:ind w:firstLine="720"/>
      </w:pPr>
      <w:r>
        <w:t xml:space="preserve">Beginning-of-life electrical power output is the first, logged in watts-electric and pulled straight from the per-model specs in the cited sources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Beginning-of-life rather than end-of-life power is used since it is the figure logged the same way across the model paperwork and since it stands for the designed capability of the unit at the start of its working life, which is the figure a mission planner books against.</w:t>
      </w:r>
    </w:p>
    <w:p>
      <w:pPr>
        <w:pStyle w:val="BodyText"/>
        <w:spacing w:line="480" w:lineRule="auto"/>
        <w:ind w:firstLine="720"/>
      </w:pPr>
      <w:r>
        <w:t xml:space="preserve">Unit mass is the second, logged in kilograms and likewise pulled from per-model specs in the same sources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Mass and power are read off the same model row so the two stay of a piece for each unit.</w:t>
      </w:r>
    </w:p>
    <w:p>
      <w:pPr>
        <w:pStyle w:val="BodyText"/>
        <w:spacing w:line="480" w:lineRule="auto"/>
        <w:ind w:firstLine="720"/>
      </w:pPr>
      <w:r>
        <w:t xml:space="preserve">Specific mass is the third and left-hand variable, worked out as mass over power and cast in kilograms per watt-electric. A worked ratio rather than a straight-reported figure, its build is fixed: for each flight unit the logged mass is split by the logged beginning-of-life power. Specific mass is the natural left-hand variable for the study since lifted mass rules deep space lifecycle cost, so the kilograms of generator a program must carry to deliver each watt is the decision-worthy read of how the technology has ripened.</w:t>
      </w:r>
    </w:p>
    <w:p>
      <w:pPr>
        <w:pStyle w:val="BodyText"/>
        <w:spacing w:line="480" w:lineRule="auto"/>
        <w:ind w:firstLine="720"/>
      </w:pPr>
      <w:r>
        <w:t xml:space="preserve">Cumulative units, the experience variable, is the running count of flight units sorted by first-flight year. It is built by ordering the manifest by date and handing each unit the whole-number index of its slot in the cumulative run, so the first unit bears a cumulative count of one and the fortieth bears a cumulative count of forty. Where several units of one model flew, each still nudges the count by one, since the learning curve is a function of piled-up production, not of distinct designs.</w:t>
      </w:r>
    </w:p>
    <w:bookmarkEnd w:id="96"/>
    <w:bookmarkStart w:id="97" w:name="coverage-and-sampling-frame"/>
    <w:p>
      <w:pPr>
        <w:pStyle w:val="Heading3"/>
        <w:spacing w:line="480" w:lineRule="auto"/>
      </w:pPr>
      <w:r>
        <w:t xml:space="preserve">4.2.4 Coverage and Sampling Frame</w:t>
      </w:r>
    </w:p>
    <w:p>
      <w:pPr>
        <w:pStyle w:val="FirstParagraph"/>
        <w:spacing w:line="480" w:lineRule="auto"/>
      </w:pPr>
      <w:r>
        <w:t xml:space="preserve">Fullness is not a nice-to-have here. Built to span the whole logged production past rather than a handy sample, the manifest bears a fullness that pulls its own weight for a learning curve, since cutting either the early high-mass SNAP units or the recent multi-mission units would tilt the gauged slope. Plain in the underlying study is that holding the multi-mission generator at the right edge of the run counts, since that design on purpose swapped specific mass for ruggedization and atmospheric operability, and an honest curve must carry that adverse point rather than toss it to flatter the trend. So the sampling frame is the whole set of logged United States space radioisotope power flight units across the span, and the dataset means to count that set rather than draw from it.</w:t>
      </w:r>
    </w:p>
    <w:bookmarkEnd w:id="97"/>
    <w:bookmarkEnd w:id="98"/>
    <w:bookmarkStart w:id="103" w:name="the-maturation-cost-program-panel"/>
    <w:p>
      <w:pPr>
        <w:pStyle w:val="Heading2"/>
        <w:spacing w:line="480" w:lineRule="auto"/>
      </w:pPr>
      <w:r>
        <w:t xml:space="preserve">4.3 The Maturation-Cost Program Panel</w:t>
      </w:r>
    </w:p>
    <w:bookmarkStart w:id="99" w:name="X31c287d851b1ecb7e69022f9de14aa1ab355308"/>
    <w:p>
      <w:pPr>
        <w:pStyle w:val="Heading3"/>
        <w:spacing w:line="480" w:lineRule="auto"/>
      </w:pPr>
      <w:r>
        <w:t xml:space="preserve">4.3.1 Dataset Definition and Unit of Analysis</w:t>
      </w:r>
    </w:p>
    <w:p>
      <w:pPr>
        <w:pStyle w:val="FirstParagraph"/>
        <w:spacing w:line="480" w:lineRule="auto"/>
      </w:pPr>
      <w:r>
        <w:t xml:space="preserve">Eighteen deep space and interstellar precursor technology programs make up the second dataset, each one for which both a total inflation-adjusted ripening cost and a cumulative funded development duration could be logged from named sources. The row unit is the technology program. Each row is one program, paired with one cost figure and one duration figure, since the quantity is how program cost bends with program development time, and that bend reads across programs of split scale and duration.</w:t>
      </w:r>
    </w:p>
    <w:p>
      <w:pPr>
        <w:pStyle w:val="BodyText"/>
        <w:spacing w:line="480" w:lineRule="auto"/>
        <w:ind w:firstLine="720"/>
      </w:pPr>
      <w:r>
        <w:t xml:space="preserve">On purpose spread across the technology families an interstellar precursor plan must ripen, the eighteen programs take in electric propulsion programs (NSTAR, NEXT-C, AEPS, the X3 nested Hall thruster, VASIMR, the Psyche-class SPT-140, and the nuclear electric propulsion ripening effort); space nuclear and radioisotope power programs (the KRUSTY Kilopower reactor, the Multi-Mission Radioisotope Thermoelectric Generator, and the cancelled Advanced Stirling Radioisotope Generator); photovoltaic power (the Roll-Out Solar Array); optical and exoplanet instrumentation (the S5 Starshade occulter); in situ resource utilization (MOXIE); and joined flagship instrument and mobility systems (the Europa Clipper radar, the Dragonfly rotorcraft, the NEO Surveyor survey telescope, and the DART kinetic impactor). The breadth is on purpose, since the question runs to the deep space technology portfolio rather than any single family, yet it also widens the spread of the left-hand variable, a tension met in Section 4.5.</w:t>
      </w:r>
    </w:p>
    <w:bookmarkEnd w:id="99"/>
    <w:bookmarkStart w:id="100" w:name="authoritative-sources-1"/>
    <w:p>
      <w:pPr>
        <w:pStyle w:val="Heading3"/>
        <w:spacing w:line="480" w:lineRule="auto"/>
      </w:pPr>
      <w:r>
        <w:t xml:space="preserve">4.3.2 Authoritative Sources</w:t>
      </w:r>
    </w:p>
    <w:p>
      <w:pPr>
        <w:pStyle w:val="FirstParagraph"/>
        <w:spacing w:line="480" w:lineRule="auto"/>
      </w:pPr>
      <w:r>
        <w:t xml:space="preserve">Unlike the radioisotope manifest, which rests on a slim set of hardware-spec documents, the cost panel pulls each figure from whichever named, logged source published the program’s cost and schedule. Authoritative federal and institutional records feed them. Government Accountability Office reviews of NASA major projects give cost and schedule paperwork for several flagship-embedded programs and feed the cross-program review setting that drives the diseconomy hypothesis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NASA program records, NASA TechPort project rows, and the NASA Technical Reports Server give logged nominal costs for technology-demonstration programs. The NASA Technology Readiness Assessment Best Practices Guide grounds the handling of where in a ripening campaign the heavy-drawing qualification steps bunch</w:t>
      </w:r>
      <w:r>
        <w:t xml:space="preserve"> </w:t>
      </w:r>
      <w:hyperlink w:anchor="ref-12">
        <w:r>
          <w:rPr>
            <w:rStyle w:val="Hyperlink"/>
          </w:rPr>
          <w:t xml:space="preserve">[12]</w:t>
        </w:r>
      </w:hyperlink>
      <w:r>
        <w:t xml:space="preserve">. NASA Radioisotope Power Systems reporting logs the program costs for the radioisotope and Stirling power efforts, holding the cancelled Advanced Stirling Radioisotope Generator</w:t>
      </w:r>
      <w:r>
        <w:t xml:space="preserve"> </w:t>
      </w:r>
      <w:hyperlink w:anchor="ref-14">
        <w:r>
          <w:rPr>
            <w:rStyle w:val="Hyperlink"/>
          </w:rPr>
          <w:t xml:space="preserve">[14]</w:t>
        </w:r>
      </w:hyperlink>
      <w:r>
        <w:t xml:space="preserve">. The Planetary Society cost analysis logs the Psyche program cost and schedule past</w:t>
      </w:r>
      <w:r>
        <w:t xml:space="preserve"> </w:t>
      </w:r>
      <w:hyperlink w:anchor="ref-13">
        <w:r>
          <w:rPr>
            <w:rStyle w:val="Hyperlink"/>
          </w:rPr>
          <w:t xml:space="preserve">[13]</w:t>
        </w:r>
      </w:hyperlink>
      <w:r>
        <w:t xml:space="preserve">. Peer-reviewed program-status papers and JPL press kits feed extra program-level figures.</w:t>
      </w:r>
    </w:p>
    <w:p>
      <w:pPr>
        <w:pStyle w:val="BodyText"/>
        <w:spacing w:line="480" w:lineRule="auto"/>
        <w:ind w:firstLine="720"/>
      </w:pPr>
      <w:r>
        <w:t xml:space="preserve">A logged, attributable source rather than a guess made for this study is what each of these is. The full row-level trail rides in the source column of the paired dataset, so every cost figure and every duration figure maps to a named record.</w:t>
      </w:r>
    </w:p>
    <w:bookmarkEnd w:id="100"/>
    <w:bookmarkStart w:id="101" w:name="variable-construction-1"/>
    <w:p>
      <w:pPr>
        <w:pStyle w:val="Heading3"/>
        <w:spacing w:line="480" w:lineRule="auto"/>
      </w:pPr>
      <w:r>
        <w:t xml:space="preserve">4.3.3 Variable Construction</w:t>
      </w:r>
    </w:p>
    <w:p>
      <w:pPr>
        <w:pStyle w:val="FirstParagraph"/>
        <w:spacing w:line="480" w:lineRule="auto"/>
      </w:pPr>
      <w:r>
        <w:t xml:space="preserve">Two lead variables set the panel, and the build of each wants plain measurement rules since the source records run mixed.</w:t>
      </w:r>
    </w:p>
    <w:p>
      <w:pPr>
        <w:pStyle w:val="BodyText"/>
        <w:spacing w:line="480" w:lineRule="auto"/>
        <w:ind w:firstLine="720"/>
      </w:pPr>
      <w:r>
        <w:t xml:space="preserve">Total ripening or program cost is the left-hand variable, cast in fiscal year 2025 United States dollars, in millions. The build runs in two moves. A logged nominal cost is first read off the program’s named source, whether a Government Accountability Office review</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 NASA TechPort or Technical Reports Server row, a peer-reviewed program-status paper, a JPL press kit, a Planetary Society cost analysis</w:t>
      </w:r>
      <w:r>
        <w:t xml:space="preserve"> </w:t>
      </w:r>
      <w:hyperlink w:anchor="ref-13">
        <w:r>
          <w:rPr>
            <w:rStyle w:val="Hyperlink"/>
          </w:rPr>
          <w:t xml:space="preserve">[13]</w:t>
        </w:r>
      </w:hyperlink>
      <w:r>
        <w:t xml:space="preserve">, or NASA Radioisotope Power Systems reporting</w:t>
      </w:r>
      <w:r>
        <w:t xml:space="preserve"> </w:t>
      </w:r>
      <w:hyperlink w:anchor="ref-14">
        <w:r>
          <w:rPr>
            <w:rStyle w:val="Hyperlink"/>
          </w:rPr>
          <w:t xml:space="preserve">[14]</w:t>
        </w:r>
      </w:hyperlink>
      <w:r>
        <w:t xml:space="preserve">. The nominal figure is then shifted to fiscal year 2025 dollars with a published government deflator, so costs reported across split program eras land on a shared real base. Worked costs run across more than two orders of magnitude, from roughly twenty million dollars for the Kilopower reactor demonstration to several billion dollars for the flagship-embedded systems.</w:t>
      </w:r>
    </w:p>
    <w:p>
      <w:pPr>
        <w:pStyle w:val="BodyText"/>
        <w:spacing w:line="480" w:lineRule="auto"/>
        <w:ind w:firstLine="720"/>
      </w:pPr>
      <w:r>
        <w:t xml:space="preserve">Cumulative funded development duration is the right-hand variable, gauged in months from logged program start to the logged terminal readiness mark. The build is again rule-set: the start date is the logged program start and the end date is the logged readiness mark, and the duration is the run between them. Durations run from under four years to fifteen years across the eighteen programs. This gauge is owned as coarse, since it folds the multi-phase funding past of a program into one start-to-mark run, and Section 4.5 logs that coarseness as a measurement limit.</w:t>
      </w:r>
    </w:p>
    <w:p>
      <w:pPr>
        <w:pStyle w:val="BodyText"/>
        <w:spacing w:line="480" w:lineRule="auto"/>
        <w:ind w:firstLine="720"/>
      </w:pPr>
      <w:r>
        <w:t xml:space="preserve">One measurement edge inside the panel must be said plainly. The eighteen programs blend two kinds of cost figure. For standalone technology tests, the published cost truly is the ripening cost. For flagship-embedded subsystems, the reported figure is the wider mission life-cycle cost rather than a lone ripening slice. Structural rather than stray, this mismatch widens the spread of the left-hand variable, and it plants the highest-cost flagship rows at the top of the range where they pull leverage on a log-log slope. The dataset does not gloss this; it carries the mismatch and treats it as the design’s central limit.</w:t>
      </w:r>
    </w:p>
    <w:bookmarkEnd w:id="101"/>
    <w:bookmarkStart w:id="102" w:name="X40d6b3bfa975cbd0f13c522c6ec8faacdb90d90"/>
    <w:p>
      <w:pPr>
        <w:pStyle w:val="Heading3"/>
        <w:spacing w:line="480" w:lineRule="auto"/>
      </w:pPr>
      <w:r>
        <w:t xml:space="preserve">4.3.4 Treatment of Illustrative and Missing Values</w:t>
      </w:r>
    </w:p>
    <w:p>
      <w:pPr>
        <w:pStyle w:val="FirstParagraph"/>
        <w:spacing w:line="480" w:lineRule="auto"/>
      </w:pPr>
      <w:r>
        <w:t xml:space="preserve">Honesty about non-pulled values is a measurement duty, not a footnote. Of the eighteen rows, one cost figure is marked illustrative. That is the single case where the program-level ripening slice was not separately published in any named source. Fewer than six percent of the sample, it is flagged plainly in the dataset rather than passed off as a pulled figure. The flagging grip counts: it lets a later analyst drop the marked value, re-gauge, and confirm the central result does not rest on the one non-pulled point. No other value in the panel is illustrative; the remaining seventeen cost figures and all eighteen duration figures trace to logged sources.</w:t>
      </w:r>
    </w:p>
    <w:bookmarkEnd w:id="102"/>
    <w:bookmarkEnd w:id="103"/>
    <w:bookmarkStart w:id="104" w:name="common-measurement-principles"/>
    <w:p>
      <w:pPr>
        <w:pStyle w:val="Heading2"/>
        <w:spacing w:line="480" w:lineRule="auto"/>
      </w:pPr>
      <w:r>
        <w:t xml:space="preserve">4.4 Common Measurement Principles</w:t>
      </w:r>
    </w:p>
    <w:p>
      <w:pPr>
        <w:pStyle w:val="FirstParagraph"/>
        <w:spacing w:line="480" w:lineRule="auto"/>
      </w:pPr>
      <w:r>
        <w:t xml:space="preserve">Split though the two datasets run in row unit and in source build, they share a set of measurement rules that steer the dissertation’s empirical work.</w:t>
      </w:r>
    </w:p>
    <w:p>
      <w:pPr>
        <w:pStyle w:val="BodyText"/>
        <w:spacing w:line="480" w:lineRule="auto"/>
        <w:ind w:firstLine="720"/>
      </w:pPr>
      <w:r>
        <w:t xml:space="preserve">Row-level trail is the first. In both datasets, every row maps to a named source held in a source column, so no lumped quantity floats loose of its primary records. For the radioisotope manifest, the source column logs the mission, year, power, and mass for each flight unit</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For the cost panel, the source column logs the named cost-and-schedule source for each program</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This is the gear that leaves both panels checkable back to source.</w:t>
      </w:r>
    </w:p>
    <w:p>
      <w:pPr>
        <w:pStyle w:val="BodyText"/>
        <w:spacing w:line="480" w:lineRule="auto"/>
        <w:ind w:firstLine="720"/>
      </w:pPr>
      <w:r>
        <w:t xml:space="preserve">Real-dollar comparability is the second. Wherever the analysis brushes cost across time, nominal figures are shifted to a shared fiscal year base with a published government deflator. The radioisotope study steps around direct cost measurement by using specific mass as a defensible stand-in for cost, warranted since lifted mass rules deep space lifecycle cost, while the ripening-cost panel shifts every nominal figure to fiscal year 2025 dollars. In both cases the aim is to match like with like across decades of program past.</w:t>
      </w:r>
    </w:p>
    <w:p>
      <w:pPr>
        <w:pStyle w:val="BodyText"/>
        <w:spacing w:line="480" w:lineRule="auto"/>
        <w:ind w:firstLine="720"/>
      </w:pPr>
      <w:r>
        <w:t xml:space="preserve">The log-log form both studies share at the measurement stage is the third. Each dataset is built to hold a learning-curve estimator in which the natural log of an outcome runs on the natural log of an experience axis</w:t>
      </w:r>
      <w:r>
        <w:t xml:space="preserve"> </w:t>
      </w:r>
      <w:hyperlink w:anchor="ref-6">
        <w:r>
          <w:rPr>
            <w:rStyle w:val="Hyperlink"/>
          </w:rPr>
          <w:t xml:space="preserve">[6]</w:t>
        </w:r>
      </w:hyperlink>
      <w:r>
        <w:t xml:space="preserve">. For the radioisotope manifest the experience axis is cumulative units; for the cost panel it is cumulative development duration. Building the variables in levels and shifting to logs at the estimation stage keeps the raw pulled quantities in view and reversible, so any reader can eye the underlying kilograms, watts, dollars, and months before any shift is laid on.</w:t>
      </w:r>
    </w:p>
    <w:p>
      <w:pPr>
        <w:pStyle w:val="BodyText"/>
        <w:spacing w:line="480" w:lineRule="auto"/>
        <w:ind w:firstLine="720"/>
      </w:pPr>
      <w:r>
        <w:t xml:space="preserve">The staged-ripening logic that warrants reading these runs as learning curves at all is the fourth. Technology readiness scholarship logs that generator work and, more widely, deep space subsystem work climb through staged readiness gains, with each locked-in build handing the next its start point</w:t>
      </w:r>
      <w:r>
        <w:t xml:space="preserve"> </w:t>
      </w:r>
      <w:hyperlink w:anchor="ref-7">
        <w:r>
          <w:rPr>
            <w:rStyle w:val="Hyperlink"/>
          </w:rPr>
          <w:t xml:space="preserve">[7]</w:t>
        </w:r>
      </w:hyperlink>
      <w:r>
        <w:t xml:space="preserve">, and that the heavy-drawing qualification steps bunch near a ripening campaign’s end</w:t>
      </w:r>
      <w:r>
        <w:t xml:space="preserve"> </w:t>
      </w:r>
      <w:hyperlink w:anchor="ref-12">
        <w:r>
          <w:rPr>
            <w:rStyle w:val="Hyperlink"/>
          </w:rPr>
          <w:t xml:space="preserve">[12]</w:t>
        </w:r>
      </w:hyperlink>
      <w:r>
        <w:t xml:space="preserve">. This is the substantive warrant for indexing ripening by piled-up experience, and it ties the measurement design straight to the prospectus claim that the per-step cost of readiness is worth gauging rather than a fixed toll</w:t>
      </w:r>
      <w:r>
        <w:t xml:space="preserve"> </w:t>
      </w:r>
      <w:hyperlink w:anchor="ref-4">
        <w:r>
          <w:rPr>
            <w:rStyle w:val="Hyperlink"/>
          </w:rPr>
          <w:t xml:space="preserve">[4]</w:t>
        </w:r>
      </w:hyperlink>
      <w:r>
        <w:t xml:space="preserve">.</w:t>
      </w:r>
    </w:p>
    <w:bookmarkEnd w:id="104"/>
    <w:bookmarkStart w:id="105" w:name="X11c027833ab9d196815d644873f5bd7b9b3c2d7"/>
    <w:p>
      <w:pPr>
        <w:pStyle w:val="Heading2"/>
        <w:spacing w:line="480" w:lineRule="auto"/>
      </w:pPr>
      <w:r>
        <w:t xml:space="preserve">4.5 Measurement Limitations and Their Provenance</w:t>
      </w:r>
    </w:p>
    <w:p>
      <w:pPr>
        <w:pStyle w:val="FirstParagraph"/>
        <w:spacing w:line="480" w:lineRule="auto"/>
      </w:pPr>
      <w:r>
        <w:t xml:space="preserve">A faithful data chapter logs the limits thrown up by the measurement calls themselves, apart from the inferential threats taken up elsewhere.</w:t>
      </w:r>
    </w:p>
    <w:p>
      <w:pPr>
        <w:pStyle w:val="BodyText"/>
        <w:spacing w:line="480" w:lineRule="auto"/>
        <w:ind w:firstLine="720"/>
      </w:pPr>
      <w:r>
        <w:t xml:space="preserve">For the radioisotope manifest, model-level grain is the binding limit. Because power and mass are logged per model rather than per serial number, units of one model variant share a specific-mass value, the true count of standalone design points runs under the nominal forty, and the regression cannot fake a trend from within-model swing that does not exist. Heteroskedasticity-robust standard errors of the HC1 form are used at the estimation stage just because several units share a model-level specific-mass value, but robust standard errors soften rather than wipe the upshot of shared values. A second limit is that specific mass is a stand-in for cost rather than a direct unit-cost series, defensible on the mass-rules-cost line but no swap for a financial series the thin and unevenly reported cost record for these systems does not yet hold at the unit level</w:t>
      </w:r>
      <w:r>
        <w:t xml:space="preserve"> </w:t>
      </w:r>
      <w:hyperlink w:anchor="ref-5">
        <w:r>
          <w:rPr>
            <w:rStyle w:val="Hyperlink"/>
          </w:rPr>
          <w:t xml:space="preserve">[5]</w:t>
        </w:r>
      </w:hyperlink>
      <w:r>
        <w:t xml:space="preserve">.</w:t>
      </w:r>
    </w:p>
    <w:p>
      <w:pPr>
        <w:pStyle w:val="BodyText"/>
        <w:spacing w:line="480" w:lineRule="auto"/>
        <w:ind w:firstLine="720"/>
      </w:pPr>
      <w:r>
        <w:t xml:space="preserve">For the cost panel, structural mismatch in the left-hand variable is the binding limit. Blending standalone tests whose published cost is the ripening cost with flagship-embedded subsystems whose reported figure is the full mission life-cycle cost widens spread and gathers leverage in the high-cost flagship rows</w:t>
      </w:r>
      <w:r>
        <w:t xml:space="preserve"> </w:t>
      </w:r>
      <w:hyperlink w:anchor="ref-10">
        <w:r>
          <w:rPr>
            <w:rStyle w:val="Hyperlink"/>
          </w:rPr>
          <w:t xml:space="preserve">[10]</w:t>
        </w:r>
      </w:hyperlink>
      <w:r>
        <w:t xml:space="preserve">. The coarse start-to-mark gauge of development duration is a second limit, folding multi-phase funding pasts into one run. The single illustrative cost figure, under six percent of the sample, is a third and openly flagged limit. Each of these is a trait of the standing record, and each is logged here rather than hidden, in keeping with the trail grip that steers both datasets.</w:t>
      </w:r>
    </w:p>
    <w:bookmarkEnd w:id="105"/>
    <w:bookmarkStart w:id="106" w:name="summary-1"/>
    <w:p>
      <w:pPr>
        <w:pStyle w:val="Heading2"/>
        <w:spacing w:line="480" w:lineRule="auto"/>
      </w:pPr>
      <w:r>
        <w:t xml:space="preserve">4.6 Summary</w:t>
      </w:r>
    </w:p>
    <w:p>
      <w:pPr>
        <w:pStyle w:val="FirstParagraph"/>
        <w:spacing w:line="480" w:lineRule="auto"/>
      </w:pPr>
      <w:r>
        <w:t xml:space="preserve">Pinned in this chapter, at the detail wanted to rebuild them, are the two empirical foundations of the dissertation. The radioisotope power-system manifest runs to forty flight units, with the single flight unit as the row unit, beginning-of-life power and mass read off authoritative hardware paperwork</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specific mass worked as their ratio, and cumulative units built by date order across the whole logged production past. The ripening-cost panel runs to eighteen deep space and interstellar precursor technology programs, with the program as the row unit, total cost shifted to fiscal year 2025 dollars from named federal and institutional sources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and cumulative funded development duration gauged from logged start to logged readiness mark. Both datasets carry row-level trail, both stay fenced to the deep space and interstellar precursor class the dissertation works</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 and both are built to hold the log-log learning-curve gear the analysis chapters run</w:t>
      </w:r>
      <w:r>
        <w:t xml:space="preserve"> </w:t>
      </w:r>
      <w:hyperlink w:anchor="ref-6">
        <w:r>
          <w:rPr>
            <w:rStyle w:val="Hyperlink"/>
          </w:rPr>
          <w:t xml:space="preserve">[6]</w:t>
        </w:r>
      </w:hyperlink>
      <w:r>
        <w:t xml:space="preserve">. The measurement limits of each, from model-level grain to flagship cost mismatch, are said as traits of the primary record rather than as loose modeling calls, so the estimates that follow rest on an evidence base that is clear, real, and fully traceable to its sources.</w:t>
      </w:r>
    </w:p>
    <w:bookmarkEnd w:id="106"/>
    <w:bookmarkEnd w:id="107"/>
    <w:bookmarkStart w:id="113" w:name="chapter-5.-methods-and-identification"/>
    <w:p>
      <w:pPr>
        <w:pStyle w:val="Heading1"/>
        <w:spacing w:line="480" w:lineRule="auto"/>
      </w:pPr>
      <w:r>
        <w:t xml:space="preserve">Chapter 5. Methods and Identification</w:t>
      </w:r>
    </w:p>
    <w:p>
      <w:pPr>
        <w:pStyle w:val="FirstParagraph"/>
        <w:spacing w:line="480" w:lineRule="auto"/>
      </w:pPr>
      <w:r>
        <w:t xml:space="preserve">This chapter pins the estimators that recover the ripening cost curve, states the identification plan that licenses a causal read of its bend, and lists the threats to validity together with the routines that pen each one. All along, one object orders the work: the per-step ripening cost, the inflation-adjusted spend that moves a deep space precursor subsystem from technology readiness level (TRL) k to TRL k+1. What is falsifiable boils down to one thing, the bend of the function mapping cumulative spend to TRL reached, and every estimator and robustness check below is built to give a readable gauge of that bend while laying it open to rebuttal.</w:t>
      </w:r>
    </w:p>
    <w:bookmarkStart w:id="108" w:name="estimand-and-estimating-equations"/>
    <w:p>
      <w:pPr>
        <w:pStyle w:val="Heading2"/>
        <w:spacing w:line="480" w:lineRule="auto"/>
      </w:pPr>
      <w:r>
        <w:t xml:space="preserve">5.1 Estimand and Estimating Equations</w:t>
      </w:r>
    </w:p>
    <w:p>
      <w:pPr>
        <w:pStyle w:val="FirstParagraph"/>
        <w:spacing w:line="480" w:lineRule="auto"/>
      </w:pPr>
      <w:r>
        <w:t xml:space="preserve">The quantity is the second derivative of ripening cost against TRL reached, weighed inside the deep space and interstellar precursor class listed in the Interstellar Probe design writing</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 In practice the field runs a planning baseline that holds the per-step ripening cost flat, so total ripening cost runs straight in TRL bought. Against it stands bending: each next step toward flight readiness costs out of proportion more than the last. Because the fight is exactly over the rate of change of margin cost, the bend term is the natural and least parameter to gauge, and the design is built so this one coefficient bears the inferential weight.</w:t>
      </w:r>
    </w:p>
    <w:p>
      <w:pPr>
        <w:pStyle w:val="BodyText"/>
        <w:spacing w:line="480" w:lineRule="auto"/>
        <w:ind w:firstLine="720"/>
      </w:pPr>
      <w:r>
        <w:t xml:space="preserve">A squared-in-TRL panel regression of inflation-adjusted cumulative technology development cost on TRL reached is the lead estimator, fit at the subsystem level across the panel of precursor technologies. In its log-linear form, the natural log of cumulative cost for subsystem i seen at readiness assessment t is modeled as a subsystem-specific intercept plus a straight term in reached TRL and a squared term in reached TRL, with the coefficient on the squared term marking bending. Sign and significance of that squared coefficient make up the test of H0 against H1 set out in the prospectus: a coefficient no different from zero fails to knock down the straight-line planning baseline, while a positive and significant coefficient knocks it down for bent ripening economics. Why keep the log shift on the left-hand variable? Because the two anchoring empirical studies in this dissertation both find the relevant cost patterns run multiplicative rather than additive. The radioisotope specific-mass study pulls a power law in cumulative production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and the development-duration study pulls a log-log elasticity of cost against piled-up funded time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 multiplicative form for cumulative ripening cost is therefore the disciplined default rather than a loose pick, and it keeps the bend parameter readable as a break from flat proportional growth.</w:t>
      </w:r>
    </w:p>
    <w:p>
      <w:pPr>
        <w:pStyle w:val="BodyText"/>
        <w:spacing w:line="480" w:lineRule="auto"/>
        <w:ind w:firstLine="720"/>
      </w:pPr>
      <w:r>
        <w:t xml:space="preserve">Ordinary least squares laid on this panel build is the estimator, the same gear used in the two constituent papers and the standard form for learning-curve and cost-estimating relationships in aerospace</w:t>
      </w:r>
      <w:r>
        <w:t xml:space="preserve"> </w:t>
      </w:r>
      <w:hyperlink w:anchor="ref-6">
        <w:r>
          <w:rPr>
            <w:rStyle w:val="Hyperlink"/>
          </w:rPr>
          <w:t xml:space="preserve">[6]</w:t>
        </w:r>
      </w:hyperlink>
      <w:r>
        <w:t xml:space="preserve">. OLS is chosen over fancier estimators for three reasons: the inferential target is one low-order polynomial coefficient, the panel runs modest in size, and a clear estimator keeps the chain from cost-TRL pair to reported bend checkable. Reaching past OLS would buy efficiency at the price of the clarity the trail design in Section 5.4 wants. So the model is gauged on the built panel with the squared term as the focal regressor, and all reported inference on H0 versus H1 is read straight off that coefficient and its standard error.</w:t>
      </w:r>
    </w:p>
    <w:bookmarkEnd w:id="108"/>
    <w:bookmarkStart w:id="109" w:name="identification-strategy"/>
    <w:p>
      <w:pPr>
        <w:pStyle w:val="Heading2"/>
        <w:spacing w:line="480" w:lineRule="auto"/>
      </w:pPr>
      <w:r>
        <w:t xml:space="preserve">5.2 Identification Strategy</w:t>
      </w:r>
    </w:p>
    <w:p>
      <w:pPr>
        <w:pStyle w:val="FirstParagraph"/>
        <w:spacing w:line="480" w:lineRule="auto"/>
      </w:pPr>
      <w:r>
        <w:t xml:space="preserve">Cross-sectional match is a trap. A naive line-up of high-TRL and low-TRL subsystems would blur the ripening cost curve with subsystem spread. Subsystems that reach high TRL are not a chance draw from the pool of low-TRL subsystems; they split in an orderly way on complexity class, on heritage, and on the house commitment that hauled them up the ladder. A star tracker flown and ripened through repeated demonstration</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 </w:t>
      </w:r>
      <w:r>
        <w:t xml:space="preserve">does not swap for an aerographite solar sail whose structural shape is still under analytic study</w:t>
      </w:r>
      <w:r>
        <w:t xml:space="preserve"> </w:t>
      </w:r>
      <w:hyperlink w:anchor="ref-23">
        <w:r>
          <w:rPr>
            <w:rStyle w:val="Hyperlink"/>
          </w:rPr>
          <w:t xml:space="preserve">[23]</w:t>
        </w:r>
      </w:hyperlink>
      <w:r>
        <w:t xml:space="preserve">, and a deep space self-guided navigation stack</w:t>
      </w:r>
      <w:r>
        <w:t xml:space="preserve"> </w:t>
      </w:r>
      <w:hyperlink w:anchor="ref-30">
        <w:r>
          <w:rPr>
            <w:rStyle w:val="Hyperlink"/>
          </w:rPr>
          <w:t xml:space="preserve">[30]</w:t>
        </w:r>
      </w:hyperlink>
      <w:r>
        <w:t xml:space="preserve"> </w:t>
      </w:r>
      <w:r>
        <w:t xml:space="preserve">holds a different complexity class again. Lining up the spend of ripe against green subsystems across this spread would hang on the cost curve what rightly belongs to sorting on subsystem kind.</w:t>
      </w:r>
    </w:p>
    <w:p>
      <w:pPr>
        <w:pStyle w:val="BodyText"/>
        <w:spacing w:line="480" w:lineRule="auto"/>
        <w:ind w:firstLine="720"/>
      </w:pPr>
      <w:r>
        <w:t xml:space="preserve">Within-subsystem identification through subsystem fixed effects is the plan that clears this. Trail each subsystem across its own logged past, soak up a subsystem-specific intercept, and the fixed spread that splits one subsystem from another is differenced away. Bending is then marked from how a given subsystem’s cumulative cost speeds up or fails to speed up as that same subsystem climbs its own ladder, not from line-ups across split subsystems. This is the panel echo of the conservative-by-build logic in the radioisotope study, where spread must come from real movement across generations rather than from within-model swing that does not exist</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Heritage, complexity, and program line are just the fixed traits the fixed effect strips, so the threat that ripe subsystems run in themselves cheaper or dearer is met at the level of the estimating equation rather than by say-so.</w:t>
      </w:r>
    </w:p>
    <w:p>
      <w:pPr>
        <w:pStyle w:val="BodyText"/>
        <w:spacing w:line="480" w:lineRule="auto"/>
        <w:ind w:firstLine="720"/>
      </w:pPr>
      <w:r>
        <w:t xml:space="preserve">Two traits of the data make this within-subsystem swing usable. First, the panel is held to subsystems with logged, dated readiness assessments, so a subsystem gives several TRL-cost rows along its own track rather than a lone endpoint. Technologies such as the next-generation charged-particle detector ripened in geostationary transfer orbit</w:t>
      </w:r>
      <w:r>
        <w:t xml:space="preserve"> </w:t>
      </w:r>
      <w:hyperlink w:anchor="ref-19">
        <w:r>
          <w:rPr>
            <w:rStyle w:val="Hyperlink"/>
          </w:rPr>
          <w:t xml:space="preserve">[19]</w:t>
        </w:r>
      </w:hyperlink>
      <w:r>
        <w:t xml:space="preserve"> </w:t>
      </w:r>
      <w:r>
        <w:t xml:space="preserve">and the compact star tracker carried from design through test</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 </w:t>
      </w:r>
      <w:r>
        <w:t xml:space="preserve">feed just this kind of long-run readiness record. Second, the demonstration writing fixes that on-orbit test is spent on purpose to push readiness</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which means TRL shifts are logged events with paired reported spend rather than smooth unseen drift. Marking swing is therefore the run of dated, priced steps inside each subsystem.</w:t>
      </w:r>
    </w:p>
    <w:p>
      <w:pPr>
        <w:pStyle w:val="BodyText"/>
        <w:spacing w:line="480" w:lineRule="auto"/>
        <w:ind w:firstLine="720"/>
      </w:pPr>
      <w:r>
        <w:t xml:space="preserve">Inference must honor the panel. Standard errors are clustered by subsystem, since the panel build breeds tie among the repeated rows of one subsystem, and clustering at the subsystem level gives inference that honors that tie rather than treating each cost-TRL pair as loose. This echoes the robust-standard-error grip in both constituent studies, where heteroskedasticity-consistent errors guard against the uneven spread that crops up when several rows share a model-level or program-level value</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Because the clustering pick follows straight from the unit at which the fixed effect is set, the estimator and its inference stay of a piece.</w:t>
      </w:r>
    </w:p>
    <w:p>
      <w:pPr>
        <w:pStyle w:val="BodyText"/>
        <w:spacing w:line="480" w:lineRule="auto"/>
        <w:ind w:firstLine="720"/>
      </w:pPr>
      <w:r>
        <w:t xml:space="preserve">Plain and stated so it can be pushed back on is the marking assumption. It is that, given the subsystem fixed effect, the timing and size of a subsystem’s TRL shifts are not driven by an unseen time-varying setter of cost that also throws up false bending. The threats to this assumption, chiefly sorting on funding survival and era-specific cost-accounting regimes, are met in Section 5.4, and the robustness builds in Section 5.3 are set so a bend find that lives through them is hard to hang on a breach of this assumption.</w:t>
      </w:r>
    </w:p>
    <w:bookmarkEnd w:id="109"/>
    <w:bookmarkStart w:id="110" w:name="robustness-specifications"/>
    <w:p>
      <w:pPr>
        <w:pStyle w:val="Heading2"/>
        <w:spacing w:line="480" w:lineRule="auto"/>
      </w:pPr>
      <w:r>
        <w:t xml:space="preserve">5.3 Robustness Specifications</w:t>
      </w:r>
    </w:p>
    <w:p>
      <w:pPr>
        <w:pStyle w:val="FirstParagraph"/>
        <w:spacing w:line="480" w:lineRule="auto"/>
      </w:pPr>
      <w:r>
        <w:t xml:space="preserve">Three side builds ring the lead squared estimator. Each pokes a distinct way in which a naive single-equation bend gauge could steer wrong, and each is reported next to the lead result rather than swapped for it.</w:t>
      </w:r>
    </w:p>
    <w:p>
      <w:pPr>
        <w:pStyle w:val="BodyText"/>
        <w:spacing w:line="480" w:lineRule="auto"/>
        <w:ind w:firstLine="720"/>
      </w:pPr>
      <w:r>
        <w:t xml:space="preserve">A survival-style build is the first, gauging time-to-step as a matching check on whether late readiness steps run slower as well as pricier. Driving it is that the readiness assessment writing calls relevant-environment demonstration and qualification bunched near a ripening campaign’s end, stretching it out of proportion</w:t>
      </w:r>
      <w:r>
        <w:t xml:space="preserve"> </w:t>
      </w:r>
      <w:hyperlink w:anchor="ref-12">
        <w:r>
          <w:rPr>
            <w:rStyle w:val="Hyperlink"/>
          </w:rPr>
          <w:t xml:space="preserve">[12]</w:t>
        </w:r>
      </w:hyperlink>
      <w:r>
        <w:t xml:space="preserve">, and the development-duration study finds piled-up funded time a candidate cost booster in its own right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Should late steps run both pricier and slower, then cost bending and schedule bending move together, and the survival build gives backing evidence that the high-TRL cost speedup is structural rather than a trick of how cumulative cost gathers over time. The survival build also serves the sorting-penning role grown in Section 5.4, since it models the step-finish path rather than reading only off finished steps.</w:t>
      </w:r>
    </w:p>
    <w:p>
      <w:pPr>
        <w:pStyle w:val="BodyText"/>
        <w:spacing w:line="480" w:lineRule="auto"/>
        <w:ind w:firstLine="720"/>
      </w:pPr>
      <w:r>
        <w:t xml:space="preserve">A piecewise-straight option is the second, letting the per-step cost shift slope at the mid-ladder TRL 6 demonstration mark. Trail-based rather than statistical is the case for it. TRL 6 is the relevant-environment demonstration point at which readiness is bought through on-orbit or analog test rather than set by analysis</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w:t>
      </w:r>
      <w:r>
        <w:t xml:space="preserve"> </w:t>
      </w:r>
      <w:hyperlink w:anchor="ref-21">
        <w:r>
          <w:rPr>
            <w:rStyle w:val="Hyperlink"/>
          </w:rPr>
          <w:t xml:space="preserve">[21]</w:t>
        </w:r>
      </w:hyperlink>
      <w:r>
        <w:t xml:space="preserve">, and the dual-use star tracker and space-domain-awareness demonstrations in the reference pool show this buy of readiness flat out</w:t>
      </w:r>
      <w:r>
        <w:t xml:space="preserve"> </w:t>
      </w:r>
      <w:hyperlink w:anchor="ref-4">
        <w:r>
          <w:rPr>
            <w:rStyle w:val="Hyperlink"/>
          </w:rPr>
          <w:t xml:space="preserve">[4]</w:t>
        </w:r>
      </w:hyperlink>
      <w:r>
        <w:t xml:space="preserve">,</w:t>
      </w:r>
      <w:r>
        <w:t xml:space="preserve"> </w:t>
      </w:r>
      <w:hyperlink w:anchor="ref-18">
        <w:r>
          <w:rPr>
            <w:rStyle w:val="Hyperlink"/>
          </w:rPr>
          <w:t xml:space="preserve">[18]</w:t>
        </w:r>
      </w:hyperlink>
      <w:r>
        <w:t xml:space="preserve">. A spline knot at TRL 6 lets the data speak a structural break at the logged kink point. Should the squared bend in fact run a coarse take on a kinked cost track, the piecewise-straight fit will surface it, and a bend find that shows in both the squared and the segmented form is more credible than one hung on a single form call. This is the same segmentation logic flagged as future work in the radioisotope study, where a slope shift at the lead-telluride to silicon-germanium conversion swap was floated to fit better than a single power law</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here swung at the readiness ladder.</w:t>
      </w:r>
    </w:p>
    <w:p>
      <w:pPr>
        <w:pStyle w:val="BodyText"/>
        <w:spacing w:line="480" w:lineRule="auto"/>
        <w:ind w:firstLine="720"/>
      </w:pPr>
      <w:r>
        <w:t xml:space="preserve">A coarsened-TRL sensitivity check is the third, re-gauging the bend on a three-band readiness scale rather than the nine-level ladder. Its aim is to test whether the bending result holds up against the softness of fine-grain TRL coding. Should the bend live through collapse to a coarse low, middle, and high banding, then the find does not hang on fought distinctions between next-door readiness levels, and the chief coding-softness threat is much weakened. Together these three builds turn the single bend coefficient into a find that must live through a form jolt, a schedule cross-check, and a grain jolt before it is reported as backing for H1.</w:t>
      </w:r>
    </w:p>
    <w:bookmarkEnd w:id="110"/>
    <w:bookmarkStart w:id="111"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Four threats bear on the inference, and each is penned by a named routine rather than owned and set aside.</w:t>
      </w:r>
    </w:p>
    <w:p>
      <w:pPr>
        <w:pStyle w:val="BodyText"/>
        <w:spacing w:line="480" w:lineRule="auto"/>
        <w:ind w:firstLine="720"/>
      </w:pPr>
      <w:r>
        <w:t xml:space="preserve">Sorting is the first. The NASA Technical Reports Server and TechPort log funded technologies, so cancelled or unfunded ripening efforts run largely absent from the panel.</w:t>
      </w:r>
    </w:p>
    <w:p>
      <w:pPr>
        <w:pStyle w:val="BodyText"/>
        <w:spacing w:line="480" w:lineRule="auto"/>
        <w:ind w:firstLine="720"/>
      </w:pPr>
      <w:r>
        <w:t xml:space="preserve">Attrition bunches at high TRL, where qualification runs are most punishing, so the surviving high-TRL rows may be the cheaper wins and the cost curve could tilt downward just where bending is under test. Two things pen this threat. The heading of the tilt runs conservative for the alternative hypothesis: if sorting damps the cost of high-TRL steps, then a bend find is set against the tilt rather than because of it, and the gauge of bending is a floor on the true speedup. The survival build of Section 5.3 also models the step-finish path, so the slower and pricier late steps are not quietly dropped from view. The cancelled Advanced Stirling Radioisotope Generator, whose program record is logged despite its close</w:t>
      </w:r>
      <w:r>
        <w:t xml:space="preserve"> </w:t>
      </w:r>
      <w:hyperlink w:anchor="ref-14">
        <w:r>
          <w:rPr>
            <w:rStyle w:val="Hyperlink"/>
          </w:rPr>
          <w:t xml:space="preserve">[14]</w:t>
        </w:r>
      </w:hyperlink>
      <w:r>
        <w:t xml:space="preserve">, is the kind of attrition case whose place in the trail lets the survival check be filled rather than assumed away.</w:t>
      </w:r>
    </w:p>
    <w:p>
      <w:pPr>
        <w:pStyle w:val="BodyText"/>
        <w:spacing w:line="480" w:lineRule="auto"/>
        <w:ind w:firstLine="720"/>
      </w:pPr>
      <w:r>
        <w:t xml:space="preserve">Cost-reporting mismatch is the second. Reported development costs blend full-cost and marginal accounting across program eras, and they blend standalone technology-demonstration budgets with flagship-embedded subsystem figures whose reported value is a far larger mission life-cycle cost.</w:t>
      </w:r>
    </w:p>
    <w:p>
      <w:pPr>
        <w:pStyle w:val="BodyText"/>
        <w:spacing w:line="480" w:lineRule="auto"/>
        <w:ind w:firstLine="720"/>
      </w:pPr>
      <w:r>
        <w:t xml:space="preserve">The development-duration study logs exactly this hazard, where flagship-embedded rows sit at the top of the cost range and pull leverage on a log-log slope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the Psyche cost analysis shows how a flagship figure lumps far more than one subsystem’s ripening slice</w:t>
      </w:r>
      <w:r>
        <w:t xml:space="preserve"> </w:t>
      </w:r>
      <w:hyperlink w:anchor="ref-13">
        <w:r>
          <w:rPr>
            <w:rStyle w:val="Hyperlink"/>
          </w:rPr>
          <w:t xml:space="preserve">[13]</w:t>
        </w:r>
      </w:hyperlink>
      <w:r>
        <w:t xml:space="preserve">. Penning it is the subsystem fixed effect, which soaks up the level gap between a high-reporting program era and a low-reporting one and between a flagship-embedded subsystem and a standalone test, leaving the bend marked from within-subsystem movement where the accounting rule is held fixed. Inflation adjustment with a published government deflator strips the era-specific price-level part, so the leftover swing the squared term reads is real cost speedup rather than nominal drift. Where a program-level ripening slice cannot be cleanly split, the row is flagged in the trail record so its leverage on the bend can be eyed straight.</w:t>
      </w:r>
    </w:p>
    <w:p>
      <w:pPr>
        <w:pStyle w:val="BodyText"/>
        <w:spacing w:line="480" w:lineRule="auto"/>
        <w:ind w:firstLine="720"/>
      </w:pPr>
      <w:r>
        <w:t xml:space="preserve">TRL coding softness is the third. Assessed TRL is judgment-heavy, and the readiness assessment best-practices writing is plain that the levels are read rather than gauged</w:t>
      </w:r>
      <w:r>
        <w:t xml:space="preserve"> </w:t>
      </w:r>
      <w:hyperlink w:anchor="ref-12">
        <w:r>
          <w:rPr>
            <w:rStyle w:val="Hyperlink"/>
          </w:rPr>
          <w:t xml:space="preserve">[12]</w:t>
        </w:r>
      </w:hyperlink>
      <w:r>
        <w:t xml:space="preserve">. Retrospective work on readiness assessment practice logs how staged steps are coded after the fact and how that coding bakes in engineering judgment</w:t>
      </w:r>
      <w:r>
        <w:t xml:space="preserve"> </w:t>
      </w:r>
      <w:hyperlink w:anchor="ref-7">
        <w:r>
          <w:rPr>
            <w:rStyle w:val="Hyperlink"/>
          </w:rPr>
          <w:t xml:space="preserve">[7]</w:t>
        </w:r>
      </w:hyperlink>
      <w:r>
        <w:t xml:space="preserve">. Two design picks pen this threat. The panel is held to subsystems with logged, dated readiness assessments, so each TRL value bears a citable assessment rather than an imputed level, and the coarsened three-band sensitivity check of Section 5.3 confirms whether the bend hangs on fine distinctions between next-door levels. A bending result that holds on the coarse banding cannot be a trick of fought single-level coding, which is the strongest handy defense against the softness of the underlying scale.</w:t>
      </w:r>
    </w:p>
    <w:p>
      <w:pPr>
        <w:pStyle w:val="BodyText"/>
        <w:spacing w:line="480" w:lineRule="auto"/>
        <w:ind w:firstLine="720"/>
      </w:pPr>
      <w:r>
        <w:t xml:space="preserve">External reach is the fourth. Ripening economics gauged on NASA deep space precursor subsystems may not carry to commercial production cost curves, where falling unit costs trace to scale and private money rather than to one-off readiness advance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Stated rather than overclaimed, this edge is on purpose. The quantity is held inside the deep space and interstellar precursor class tied to the subsystems listed in the design writing</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r>
        <w:t xml:space="preserve"> </w:t>
      </w:r>
      <w:hyperlink w:anchor="ref-26">
        <w:r>
          <w:rPr>
            <w:rStyle w:val="Hyperlink"/>
          </w:rPr>
          <w:t xml:space="preserve">[26]</w:t>
        </w:r>
      </w:hyperlink>
      <w:r>
        <w:t xml:space="preserve">, so the bend test answers the precursor planning question and none wider. Panel scope spans the real precursor subsystem families, holding power</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navigation and autonomy</w:t>
      </w:r>
      <w:r>
        <w:t xml:space="preserve"> </w:t>
      </w:r>
      <w:hyperlink w:anchor="ref-30">
        <w:r>
          <w:rPr>
            <w:rStyle w:val="Hyperlink"/>
          </w:rPr>
          <w:t xml:space="preserve">[30]</w:t>
        </w:r>
      </w:hyperlink>
      <w:r>
        <w:t xml:space="preserve">, propulsion-adjacent sail structures</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and instrumentation and demonstration sensors</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 yet it does not reach into commercial mass-production regimes, and the find is penned to match. The same scope grip the radioisotope and duration studies laid on their external-reach claims</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 </w:t>
      </w:r>
      <w:r>
        <w:t xml:space="preserve">rules the present gauge.</w:t>
      </w:r>
    </w:p>
    <w:p>
      <w:pPr>
        <w:pStyle w:val="BodyText"/>
        <w:spacing w:line="480" w:lineRule="auto"/>
        <w:ind w:firstLine="720"/>
      </w:pPr>
      <w:r>
        <w:t xml:space="preserve">All four pens rest on the trail build. Each panel row maps to a cited NTRS document or TechPort record ID, inflation adjustment uses a published deflator, and the built panel is filed with its extraction script so every cost-TRL pair traces back to source. This traceability is what lets the sorting check, the accounting-mismatch flagging, and the coding-softness hold be run on the real data rather than claimed in principle, and it is the same trail grip run in the two constituent studies whose row-level sources ride in their paired data files</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w:t>
      </w:r>
    </w:p>
    <w:bookmarkEnd w:id="111"/>
    <w:bookmarkStart w:id="112" w:name="summary-of-the-identification-logic"/>
    <w:p>
      <w:pPr>
        <w:pStyle w:val="Heading2"/>
        <w:spacing w:line="480" w:lineRule="auto"/>
      </w:pPr>
      <w:r>
        <w:t xml:space="preserve">5.5 Summary of the Identification Logic</w:t>
      </w:r>
    </w:p>
    <w:p>
      <w:pPr>
        <w:pStyle w:val="FirstParagraph"/>
        <w:spacing w:line="480" w:lineRule="auto"/>
      </w:pPr>
      <w:r>
        <w:t xml:space="preserve">One focal estimator and one focal parameter are what this chapter has pinned. The squared-in-TRL panel regression with subsystem fixed effects and subsystem-clustered standard errors marks the bend of the ripening cost curve from within-subsystem swing, differencing away the heritage and complexity spread that would otherwise blur it. The survival, piecewise-straight, and coarsened-TRL builds put that bend through a schedule cross-check, a form jolt, and a grain jolt. The four threats of sorting, cost-reporting mismatch, coding softness, and external reach are each penned by a named routine whose heading of effect is stated, and the trail build makes every pen runnable on checkable data. A bent coefficient that lives through this gear knocks down the flat-margin-cost planning baseline; a coefficient no different from zero that lives through it backs that baseline. Either outcome is a decision-useful result for how deep space and interstellar precursor plans order and budget their greenest subsystems, and the design is built so the data, not the modeling picks, settle which outcome lands.</w:t>
      </w:r>
    </w:p>
    <w:bookmarkEnd w:id="112"/>
    <w:bookmarkEnd w:id="113"/>
    <w:bookmarkStart w:id="126" w:name="chapter-6.-results"/>
    <w:p>
      <w:pPr>
        <w:pStyle w:val="Heading1"/>
        <w:spacing w:line="480" w:lineRule="auto"/>
      </w:pPr>
      <w:r>
        <w:t xml:space="preserve">Chapter 6. Results</w:t>
      </w:r>
    </w:p>
    <w:p>
      <w:pPr>
        <w:pStyle w:val="FirstParagraph"/>
        <w:spacing w:line="480" w:lineRule="auto"/>
      </w:pPr>
      <w:r>
        <w:t xml:space="preserve">This chapter lays out the empirical finds of the two estimations that together put the dissertation’s central question to work: how does the cost of a deep space capability behave as that capability piles up experience. Ripening cost was framed not as a fixed planning line item but as a function whose shape can be recovered from logged flight and program past. Two split experience axes get worked. The first study fixes its experience axis to cumulative production count and asks whether the specific mass of radioisotope power flight units, the kilograms of generator a program must launch to deliver each watt of electrical power, has fallen along a Wright learning curve across six decades of flight. The second swings the same log-log gear at calendar time rather than production quantity and asks whether the total ripening cost of deep space technology programs scales more than in step with the piled-up development duration over which those programs are funded. One estimator family joins the two, the flat-elasticity log-log ordinary least squares regression with heteroskedasticity-robust standard errors, yet they split hard on their data, their sample size, and, as the finds below fix, on the strength of the inference they hold. Study one gives back a flat rejection of its null. Study two gives back a tilted point estimate the data run too thin to confirm. Laying both out together is on purpose, since the clash between a confirmed learning curve on a clean production axis and an unconfirmed one on a noisy time axis is itself the dissertation’s most honest word on where the evidence for ripening cost behavior now runs strong and where it stays a hope. The underlying tables, the fitted formulas, the residual scatter, and the row-level data show up again in Appendix A; this chapter holds itself to the gauged quantities and their read.</w:t>
      </w:r>
    </w:p>
    <w:bookmarkStart w:id="118" w:name="X50d2ef6557c55bf476acd19558da012b7ad3e20"/>
    <w:p>
      <w:pPr>
        <w:pStyle w:val="Heading2"/>
        <w:spacing w:line="480" w:lineRule="auto"/>
      </w:pPr>
      <w:r>
        <w:t xml:space="preserve">6.1 Study One: The Radioisotope Specific-Mass Learning Curve</w:t>
      </w:r>
    </w:p>
    <w:bookmarkStart w:id="114" w:name="the-estimated-coefficients"/>
    <w:p>
      <w:pPr>
        <w:pStyle w:val="Heading3"/>
        <w:spacing w:line="480" w:lineRule="auto"/>
      </w:pPr>
      <w:r>
        <w:t xml:space="preserve">6.1.1 The Estimated Coefficients</w:t>
      </w:r>
    </w:p>
    <w:p>
      <w:pPr>
        <w:pStyle w:val="FirstParagraph"/>
        <w:spacing w:line="480" w:lineRule="auto"/>
      </w:pPr>
      <w:r>
        <w:t xml:space="preserve">Running the natural log of specific mass, mass in kilograms over beginning-of-life electrical power in watts, on the natural log of cumulative production count is the first estimation, done across a manifest of forty logged United States space radioisotope power flight units running the SNAP-3B unit flown on Transit-4A in 1961 through the multi-mission generator flown on the Perseverance rover in 2020</w:t>
      </w:r>
      <w:r>
        <w:t xml:space="preserve"> </w:t>
      </w:r>
      <w:hyperlink w:anchor="ref-5">
        <w:r>
          <w:rPr>
            <w:rStyle w:val="Hyperlink"/>
          </w:rPr>
          <w:t xml:space="preserve">[5]</w:t>
        </w:r>
      </w:hyperlink>
      <w:r>
        <w:t xml:space="preserve">. The form is the standard Wright learning curve, in which a straight line in log-log space has a slope that is the learning elasticity and an intercept that sites the curve</w:t>
      </w:r>
      <w:r>
        <w:t xml:space="preserve"> </w:t>
      </w:r>
      <w:hyperlink w:anchor="ref-6">
        <w:r>
          <w:rPr>
            <w:rStyle w:val="Hyperlink"/>
          </w:rPr>
          <w:t xml:space="preserve">[6]</w:t>
        </w:r>
      </w:hyperlink>
      <w:r>
        <w:t xml:space="preserve">. Standard errors run heteroskedasticity-robust HC1, the right guard given that units sharing a model variant bear one specific-mass value and so throw the uneven spread a learning sample of this build must hold.</w:t>
      </w:r>
    </w:p>
    <w:p>
      <w:pPr>
        <w:pStyle w:val="BodyText"/>
        <w:spacing w:line="480" w:lineRule="auto"/>
        <w:ind w:firstLine="720"/>
      </w:pPr>
      <w:r>
        <w:t xml:space="preserve">The numbers are flat-out clear. Gauged at -0.2565 is the slope coefficient on log cumulative units, with a robust standard error of 0.0452. The ratio of coefficient to standard error gives a t statistic on the order of -5.7, and the paired p value rounds to zero at four decimal places, which is to say it drops below one part in ten thousand. Gauged at -0.5199 is the intercept, with a robust standard error of 0.1238, itself highly significant with a p value that rounds to zero. The regression is fit on all forty rows, and its coefficient of determination is 0.5146, meaning the single-regressor model takes in roughly fifty-one percent of the variance in log specific mass across the logged flight past.</w:t>
      </w:r>
    </w:p>
    <w:p>
      <w:pPr>
        <w:pStyle w:val="BodyText"/>
        <w:spacing w:line="480" w:lineRule="auto"/>
        <w:ind w:firstLine="720"/>
      </w:pPr>
      <w:r>
        <w:t xml:space="preserve">These four numbers, the slope, its standard error, the intercept, and the fit, bear the whole inferential weight of the study, and each earns a read in turn. Negative is the slope, which is the plain sign the learning hypothesis calls: as cumulative units pile up, specific mass drops. Deciding is the size of the standard error against the coefficient. A slope of -0.2565 against a standard error of 0.0452 runs more than five robust standard errors off zero, which sets the gauge far past any usual confidence band around the null of no learning. The ninety-five percent confidence interval these figures imply runs from roughly -0.345 to -0.168, a band that lies wholly in negative ground and nowhere nears zero. So the data do not merely tilt toward a learning link; they shut out the no-learning null with a margin that leaves scant room for sampling-swing tales.</w:t>
      </w:r>
    </w:p>
    <w:bookmarkEnd w:id="114"/>
    <w:bookmarkStart w:id="115" w:name="Xbf78bb4e596a6fd548b1979366fa25beeec5766"/>
    <w:p>
      <w:pPr>
        <w:pStyle w:val="Heading3"/>
        <w:spacing w:line="480" w:lineRule="auto"/>
      </w:pPr>
      <w:r>
        <w:t xml:space="preserve">6.1.2 Translating the Slope into the Progress Ratio</w:t>
      </w:r>
    </w:p>
    <w:p>
      <w:pPr>
        <w:pStyle w:val="FirstParagraph"/>
        <w:spacing w:line="480" w:lineRule="auto"/>
      </w:pPr>
      <w:r>
        <w:t xml:space="preserve">A unit-free percentage link is what the learning elasticity is, and its planning worth surfaces only once it is turned into the progress ratio, the share of specific mass left after cumulative production doubles. The progress ratio is the base-two exponential of the slope, and for a slope of -0.2565 it comes to 0.8371. Plain and telling is the read. Each doubling of cumulative radioisotope generator production has gone with a drop of roughly sixteen percent in the kilograms of generator mass wanted per watt-electric. A program that has flown, say, ten cumulative units and is weighing the experience carried in twenty would, on the strength of this curve, look for the twentieth-unit design point to sit at roughly eighty-four percent of the specific mass of the tenth.</w:t>
      </w:r>
    </w:p>
    <w:p>
      <w:pPr>
        <w:pStyle w:val="BodyText"/>
        <w:spacing w:line="480" w:lineRule="auto"/>
        <w:ind w:firstLine="720"/>
      </w:pPr>
      <w:r>
        <w:t xml:space="preserve">Against the old benchmark, the size of this drop earns weight. Wright’s own airframe studies put the per-doubling cost drop between ten and fifteen percent</w:t>
      </w:r>
      <w:r>
        <w:t xml:space="preserve"> </w:t>
      </w:r>
      <w:hyperlink w:anchor="ref-6">
        <w:r>
          <w:rPr>
            <w:rStyle w:val="Hyperlink"/>
          </w:rPr>
          <w:t xml:space="preserve">[6]</w:t>
        </w:r>
      </w:hyperlink>
      <w:r>
        <w:t xml:space="preserve">. A specific-mass drop of roughly sixteen percent per doubling sits just past the top edge of that classic band. Striking is that siting, since radioisotope power systems are the least mass-made flight hardware to which a learning curve might plausibly be laid. They run in lots of one to a handful per decade, each new model variant carrying a chosen engineering break rather than a marginal shop-floor tune</w:t>
      </w:r>
      <w:r>
        <w:t xml:space="preserve"> </w:t>
      </w:r>
      <w:hyperlink w:anchor="ref-7">
        <w:r>
          <w:rPr>
            <w:rStyle w:val="Hyperlink"/>
          </w:rPr>
          <w:t xml:space="preserve">[7]</w:t>
        </w:r>
      </w:hyperlink>
      <w:r>
        <w:t xml:space="preserve">. That a technology made in such small bespoke lots still cuts a progress ratio kin to, and indeed a touch steeper than, the rate Wright logged for the high-volume airframe build that drove the first law is the empirical heart of the study. It says the experience caught by cumulative count is not chiefly the shop-floor learning of repeated matching units but the staged technology ripening the readiness body sketches in words, the climb from the lead-telluride couples of the early SNAP series to the silicon-germanium couples of the multi-hundred-watt and general-purpose heat source designs</w:t>
      </w:r>
      <w:r>
        <w:t xml:space="preserve"> </w:t>
      </w:r>
      <w:hyperlink w:anchor="ref-7">
        <w:r>
          <w:rPr>
            <w:rStyle w:val="Hyperlink"/>
          </w:rPr>
          <w:t xml:space="preserve">[7]</w:t>
        </w:r>
      </w:hyperlink>
      <w:r>
        <w:t xml:space="preserve">. The curve renders that spoken ripening tale as a numbered power-law fall with a gaugeable rate.</w:t>
      </w:r>
    </w:p>
    <w:bookmarkEnd w:id="115"/>
    <w:bookmarkStart w:id="116" w:name="the-fit-and-the-unexplained-half"/>
    <w:p>
      <w:pPr>
        <w:pStyle w:val="Heading3"/>
        <w:spacing w:line="480" w:lineRule="auto"/>
      </w:pPr>
      <w:r>
        <w:t xml:space="preserve">6.1.3 The Fit and the Unexplained Half</w:t>
      </w:r>
    </w:p>
    <w:p>
      <w:pPr>
        <w:pStyle w:val="FirstParagraph"/>
        <w:spacing w:line="480" w:lineRule="auto"/>
      </w:pPr>
      <w:r>
        <w:t xml:space="preserve">An R-squared of 0.5146 wants its own careful read, since both its size and its cap tell something. Roughly fifty-one percent of the swing in log specific mass is caught by the single cumulative-units regressor, which for a link running six decades and four split generator generations is a solid share for a one-parameter model. At the same time, nearly half of the variance stays uncaught, and an honest results chapter must site that leftover rather than wave it off as noise.</w:t>
      </w:r>
    </w:p>
    <w:p>
      <w:pPr>
        <w:pStyle w:val="BodyText"/>
        <w:spacing w:line="480" w:lineRule="auto"/>
        <w:ind w:firstLine="720"/>
      </w:pPr>
      <w:r>
        <w:t xml:space="preserve">The leftover is not noise. It has a nameable source plain in the build of the data.</w:t>
      </w:r>
    </w:p>
    <w:p>
      <w:pPr>
        <w:pStyle w:val="BodyText"/>
        <w:spacing w:line="480" w:lineRule="auto"/>
        <w:ind w:firstLine="720"/>
      </w:pPr>
      <w:r>
        <w:t xml:space="preserve">The multi-mission generator that shuts the run, flown in 2011 and again in 2020, bears a higher specific mass than the general-purpose heat source units before it. This is no measurement quirk but a chosen design swap: that generation bought ruggedization and atmospheric operability, capabilities wanted for surface work on Mars, at the flat cost of a worse mass-to-power ratio than a deep-space-only build would bear. An honest learning curve must hold this point rather than toss it, since dropping the recent high-mass units would flatter the slope by cutting the run at a kind endpoint. The estimation keeps the adverse point, and the upshot runs two ways. First, the uncaught variance lifts, since the multi-mission units sit above the trend the earlier generations set, adding residual scatter around the downward line. Second, and weightier for the inference, the slope stays strongly significant despite holding that adverse point. Living through the very row that works hardest against it, the negative elasticity gives the most telling handy evidence that the learning link is structural rather than a trick of a handily picked sample edge. A learning curve that can take in a chosen mass-for-ruggedness reversal at its right edge and still knock down the no-learning null at better than one part in ten thousand is a robust curve.</w:t>
      </w:r>
    </w:p>
    <w:bookmarkEnd w:id="116"/>
    <w:bookmarkStart w:id="117" w:name="the-verdict-on-the-first-hypothesis"/>
    <w:p>
      <w:pPr>
        <w:pStyle w:val="Heading3"/>
        <w:spacing w:line="480" w:lineRule="auto"/>
      </w:pPr>
      <w:r>
        <w:t xml:space="preserve">6.1.4 The Verdict on the First Hypothesis</w:t>
      </w:r>
    </w:p>
    <w:p>
      <w:pPr>
        <w:pStyle w:val="FirstParagraph"/>
        <w:spacing w:line="480" w:lineRule="auto"/>
      </w:pPr>
      <w:r>
        <w:t xml:space="preserve">The first study’s hypothesis pair set H0, no learning, in which the log-log slope reads no different from zero and specific mass runs unlinked to piled-up production, against H1, a learning curve, in which the slope runs negative and significant and the implied progress ratio sits below one. The gauged slope of -0.2565, its robust standard error of 0.0452, its near-zero p value, and the implied progress ratio of 0.8371 jointly meet every mark of H1 and flatly knock down H0. Negative is the slope, its significance runs overwhelming by any usual mark, and the progress ratio sits below one. Inside the bounds of the logged United States radioisotope flight manifest, specific mass has fallen as a power-law function of cumulative production. The planning upshot, grown more fully in the next chapter, is that deep space power mass can be booked against a credible downward trend rather than against the worst case of any single generation, with the weighty caveat that the trend is a trait of piled-up production and not of calendar time, so a program letting its build line go cold forfeits the experience that drives the fall.</w:t>
      </w:r>
    </w:p>
    <w:bookmarkEnd w:id="117"/>
    <w:bookmarkEnd w:id="118"/>
    <w:bookmarkStart w:id="124" w:name="X9457854ea049aefd559ff3e1c8ea5f9ee1acbba"/>
    <w:p>
      <w:pPr>
        <w:pStyle w:val="Heading2"/>
        <w:spacing w:line="480" w:lineRule="auto"/>
      </w:pPr>
      <w:r>
        <w:t xml:space="preserve">6.2 Study Two: The Cost-Time Elasticity of Maturation</w:t>
      </w:r>
    </w:p>
    <w:bookmarkStart w:id="119" w:name="the-estimated-coefficients-1"/>
    <w:p>
      <w:pPr>
        <w:pStyle w:val="Heading3"/>
        <w:spacing w:line="480" w:lineRule="auto"/>
      </w:pPr>
      <w:r>
        <w:t xml:space="preserve">6.2.1 The Estimated Coefficients</w:t>
      </w:r>
    </w:p>
    <w:p>
      <w:pPr>
        <w:pStyle w:val="FirstParagraph"/>
        <w:spacing w:line="480" w:lineRule="auto"/>
      </w:pPr>
      <w:r>
        <w:t xml:space="preserve">Swinging the log-log learning-curve estimator off production count and onto calendar time is what the second estimation does. It runs the natural log of total inflation-adjusted ripening cost, cast in fiscal year 2025 dollars, on the natural log of cumulative funded development duration in months, across eighteen logged deep space and interstellar precursor technology programs. The sample spans electric propulsion efforts, space nuclear and radioisotope power systems holding the cancelled Advanced Stirling Radioisotope Generator whose program costs are logged in NASA radioisotope reporting</w:t>
      </w:r>
      <w:r>
        <w:t xml:space="preserve"> </w:t>
      </w:r>
      <w:hyperlink w:anchor="ref-14">
        <w:r>
          <w:rPr>
            <w:rStyle w:val="Hyperlink"/>
          </w:rPr>
          <w:t xml:space="preserve">[14]</w:t>
        </w:r>
      </w:hyperlink>
      <w:r>
        <w:t xml:space="preserve">, photovoltaic power, optical and exoplanet instrumentation, in situ resource utilization, and flagship-embedded instrument and mobility systems, with cost figures drawn from NASA program records, TechPort, the Technical Reports Server, Government Accountability Office major-project reviews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Planetary Society cost analyses</w:t>
      </w:r>
      <w:r>
        <w:t xml:space="preserve"> </w:t>
      </w:r>
      <w:hyperlink w:anchor="ref-13">
        <w:r>
          <w:rPr>
            <w:rStyle w:val="Hyperlink"/>
          </w:rPr>
          <w:t xml:space="preserve">[13]</w:t>
        </w:r>
      </w:hyperlink>
      <w:r>
        <w:t xml:space="preserve">. As in the first study, standard errors run heteroskedasticity-robust, a right pick given that the variance of log cost plausibly splits across the propulsion, power, and instrument families the mixed sample blends.</w:t>
      </w:r>
    </w:p>
    <w:p>
      <w:pPr>
        <w:pStyle w:val="BodyText"/>
        <w:spacing w:line="480" w:lineRule="auto"/>
        <w:ind w:firstLine="720"/>
      </w:pPr>
      <w:r>
        <w:t xml:space="preserve">Gauged at 1.7926 is the slope coefficient, the cost-time elasticity, with a robust standard error of 1.283. So the t statistic runs roughly 1.40, and the paired p value is 0.1624. Gauged at -2.9022 is the intercept, with a robust standard error of 5.4967 and a p value of 0.5975. The model’s coefficient of determination is 0.1400, so the single duration regressor takes in roughly fourteen percent of the variance in log ripening cost across the eighteen programs.</w:t>
      </w:r>
    </w:p>
    <w:bookmarkEnd w:id="119"/>
    <w:bookmarkStart w:id="120" w:name="Xc2f9c7d3f8b592b4a312170f18846336162bc36"/>
    <w:p>
      <w:pPr>
        <w:pStyle w:val="Heading3"/>
        <w:spacing w:line="480" w:lineRule="auto"/>
      </w:pPr>
      <w:r>
        <w:t xml:space="preserve">6.2.2 The Point Estimate and Its Implied Progress Ratio</w:t>
      </w:r>
    </w:p>
    <w:p>
      <w:pPr>
        <w:pStyle w:val="FirstParagraph"/>
        <w:spacing w:line="480" w:lineRule="auto"/>
      </w:pPr>
      <w:r>
        <w:t xml:space="preserve">Read at face value, the point estimate sits square in the zone the diseconomy-of-patience hypothesis calls. The constant-returns baseline, in which cost lifts exactly in step with development duration so time is a scale-neutral input, matches an elasticity of one. The gauged elasticity of 1.7926 sits well past that value. Its turn into a progress ratio makes the implied size concrete. The progress ratio here is the base-two exponential of the slope, and for 1.7926 it equals 3.4643. The read is that each doubling of piled-up funded development time goes, at the point estimate, with roughly a three-and-a-half-fold lift in ripening cost, rather than the two-fold lift that in-step, scale-neutral scaling would throw. Taken flat, the middle drift of the deep space technology sample paints calendar time not as a neutral multiplier of a yearly draw but as a strong structural booster of cost: programs held open longer cost out of proportion more than the extra years alone would tell.</w:t>
      </w:r>
    </w:p>
    <w:bookmarkEnd w:id="120"/>
    <w:bookmarkStart w:id="121" w:name="X742ba5df7bf407c0a0a491a20fa46cbefdc924c"/>
    <w:p>
      <w:pPr>
        <w:pStyle w:val="Heading3"/>
        <w:spacing w:line="480" w:lineRule="auto"/>
      </w:pPr>
      <w:r>
        <w:t xml:space="preserve">6.2.3 Why the Point Estimate Cannot Be Trusted as Confirmation</w:t>
      </w:r>
    </w:p>
    <w:p>
      <w:pPr>
        <w:pStyle w:val="FirstParagraph"/>
        <w:spacing w:line="480" w:lineRule="auto"/>
      </w:pPr>
      <w:r>
        <w:t xml:space="preserve">Now the caution. What makes the second study deciding, and the reason its finds must be reported with sharply more restraint than the first, is the tie between the point estimate and its standard error. An elasticity of 1.7926 bears a robust standard error of 1.283, which runs large against the coefficient. The t statistic of roughly 1.40 and the p value of 0.1624 mean the slope is not statistically told apart from the constant-returns value of one, nor indeed from zero, at any usual significance mark. The ninety-five percent confidence interval these figures imply runs from roughly -0.72 to 4.31. That band is the headline result of the study, and it humbles in three distinct ways at once. First, it holds one, so the data run wholly of a piece with scale neutrality and cannot knock down the constant-returns baseline. Second, it holds values well past one, so the data run just as of a piece with a strong diseconomy of patience even harsher than the point estimate. Third, and most sobering, the band holds zero and stretches into negative ground, so the data cannot even rule out that piled-up development time runs unlinked to, or inversely linked to, ripening cost in this sample. What the estimator has pulled is a heading but not a size that can be held against the null.</w:t>
      </w:r>
    </w:p>
    <w:p>
      <w:pPr>
        <w:pStyle w:val="BodyText"/>
        <w:spacing w:line="480" w:lineRule="auto"/>
        <w:ind w:firstLine="720"/>
      </w:pPr>
      <w:r>
        <w:t xml:space="preserve">Backing this read is the intercept. At -2.9022 with a robust standard error of 5.4967 and a p value of 0.5975, the intercept reads no different from zero and bears scant standalone read weight, which is no surprise given that it stands for an extrapolation of the fitted line back to a hypothetical one-month program far past the reach of the data. The coefficient of determination of 0.1400 rounds out the picture: the duration regressor tells only about fourteen percent of the variance in log cost, leaving the overwhelming bulk of the spread across the eighteen programs untold by development time alone.</w:t>
      </w:r>
    </w:p>
    <w:bookmarkEnd w:id="121"/>
    <w:bookmarkStart w:id="122" w:name="the-sources-of-the-imprecision"/>
    <w:p>
      <w:pPr>
        <w:pStyle w:val="Heading3"/>
        <w:spacing w:line="480" w:lineRule="auto"/>
      </w:pPr>
      <w:r>
        <w:t xml:space="preserve">6.2.4 The Sources of the Imprecision</w:t>
      </w:r>
    </w:p>
    <w:p>
      <w:pPr>
        <w:pStyle w:val="FirstParagraph"/>
        <w:spacing w:line="480" w:lineRule="auto"/>
      </w:pPr>
      <w:r>
        <w:t xml:space="preserve">The wide band is a find, not a flaw. Its sources are nameable in the build of the sample.</w:t>
      </w:r>
    </w:p>
    <w:p>
      <w:pPr>
        <w:pStyle w:val="BodyText"/>
        <w:spacing w:line="480" w:lineRule="auto"/>
        <w:ind w:firstLine="720"/>
      </w:pPr>
      <w:r>
        <w:t xml:space="preserve">Small and structurally mixed by design is the eighteen-program panel. It blends standalone technology tests, whose published cost figure truly is the ripening cost, with flagship-embedded subsystems, whose reported figure is the wider mission life-cycle cost rather than the lone ripening slice. The cost figures run across more than two orders of magnitude, from roughly twenty million dollars for the Kilopower reactor demonstration to several billion dollars for the flagship-embedded systems, and durations run from under four years to fifteen. Flagship rows sit at the top of the cost range and so pull heavy leverage on a log-log slope, puffing both the point estimate and the standard error around it. A learning-curve slope gauged across such a wide and mixed spread, on only eighteen points, is fuzzy by build, and the large standard error is the faithful arithmetic upshot of that design rather than a fail of the estimator.</w:t>
      </w:r>
    </w:p>
    <w:bookmarkEnd w:id="122"/>
    <w:bookmarkStart w:id="123" w:name="the-verdict-on-the-second-hypothesis"/>
    <w:p>
      <w:pPr>
        <w:pStyle w:val="Heading3"/>
        <w:spacing w:line="480" w:lineRule="auto"/>
      </w:pPr>
      <w:r>
        <w:t xml:space="preserve">6.2.5 The Verdict on the Second Hypothesis</w:t>
      </w:r>
    </w:p>
    <w:p>
      <w:pPr>
        <w:pStyle w:val="FirstParagraph"/>
        <w:spacing w:line="480" w:lineRule="auto"/>
      </w:pPr>
      <w:r>
        <w:t xml:space="preserve">The second study’s hypothesis pair set H0, the constant-returns baseline of an elasticity of one, against H1, the diseconomy of patience, an elasticity past one under which each doubling of piled-up development time more than doubles cost. Honest is the verdict: a tilted find without statistical confirmation. The point estimate of 1.7926, with its progress ratio of 3.4643, leans firmly toward H1: the middle drift of the deep space technology sample is a diseconomy of patience of hefty implied size. Yet the p value of 0.1624 and the confidence interval spanning -0.72 to 4.31 mean H0 cannot be knocked down. Of a piece with the diseconomy hypothesis, the data do not set it, and they stay of a piece with scale neutrality and with no link at all. The result drives the diseconomy hypothesis and puts a number on a candidate size for it; it does not confirm it. This is a weaker but still telling contribution: a concrete, falsifiable point estimate that disciplines future inquiry and points planning heed toward the cost fallout of schedule, while honestly reporting that the present deep space technology record is not yet rich enough to license a sure claim.</w:t>
      </w:r>
    </w:p>
    <w:bookmarkEnd w:id="123"/>
    <w:bookmarkEnd w:id="124"/>
    <w:bookmarkStart w:id="125" w:name="synthesis-of-the-two-estimations"/>
    <w:p>
      <w:pPr>
        <w:pStyle w:val="Heading2"/>
        <w:spacing w:line="480" w:lineRule="auto"/>
      </w:pPr>
      <w:r>
        <w:t xml:space="preserve">6.3 Synthesis of the Two Estimations</w:t>
      </w:r>
    </w:p>
    <w:p>
      <w:pPr>
        <w:pStyle w:val="FirstParagraph"/>
        <w:spacing w:line="480" w:lineRule="auto"/>
      </w:pPr>
      <w:r>
        <w:t xml:space="preserve">Read together, the two studies draw a sharp method lesson about where the evidence for ripening cost behavior now runs strong and where it stays tentative. Both lay on the same flat-elasticity log-log learning-curve estimator with robust standard errors, the oldest and best-grasped form in production-cost economics</w:t>
      </w:r>
      <w:r>
        <w:t xml:space="preserve"> </w:t>
      </w:r>
      <w:hyperlink w:anchor="ref-6">
        <w:r>
          <w:rPr>
            <w:rStyle w:val="Hyperlink"/>
          </w:rPr>
          <w:t xml:space="preserve">[6]</w:t>
        </w:r>
      </w:hyperlink>
      <w:r>
        <w:t xml:space="preserve">. What splits their results is not method but data. Study one, tied to a clean production-count axis across forty flight units with model-level trail traceable to logged hardware specs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pulls a tightly gauged negative elasticity, knocks down its no-learning null at better than one part in ten thousand, and lives through a chosen adverse endpoint. Study two, tied to a noisier calendar-time axis across only eighteen mixed programs that blend standalone tests with flagship-embedded subsystems, pulls a point estimate of a piece with a strong diseconomy of patience but cannot knock down its constant-returns null and cannot even shut out a null of no link.</w:t>
      </w:r>
    </w:p>
    <w:p>
      <w:pPr>
        <w:pStyle w:val="BodyText"/>
        <w:spacing w:line="480" w:lineRule="auto"/>
        <w:ind w:firstLine="720"/>
      </w:pPr>
      <w:r>
        <w:t xml:space="preserve">The line-up is the dissertation’s most candid empirical word. Where the experience axis is well set and the rows run many and evenly logged, a learning curve for a deep space capability is not merely plausible but gaugeable, at a progress ratio near 0.84 that sits inside the old band Wright set for made technologies</w:t>
      </w:r>
      <w:r>
        <w:t xml:space="preserve"> </w:t>
      </w:r>
      <w:hyperlink w:anchor="ref-6">
        <w:r>
          <w:rPr>
            <w:rStyle w:val="Hyperlink"/>
          </w:rPr>
          <w:t xml:space="preserve">[6]</w:t>
        </w:r>
      </w:hyperlink>
      <w:r>
        <w:t xml:space="preserve">. Where the experience axis is calendar time, the rows run few, and the cost figures run mixed in what they hold, the same estimator gives back a heading worth chasing but a size the data cannot yet certify. The bending question that drove the dissertation, whether the cost of pushing a deep space capability lifts faster than its experience piles up, gets a confirmed negative-slope answer on the production-mass axis and a tilted but unconfirmed positive-slope answer on the time axis. Study one gives precursor plans a credible learning curve to book against; study two gives them a falsifiable hypothesis about schedule as a cost driver, put to a number but not yet set, and a clear spec of the better-marked study that would be wanted to settle it. Both results are reported here exactly as the estimators gave them back, with no number stated that the fitted models did not throw.</w:t>
      </w:r>
    </w:p>
    <w:bookmarkEnd w:id="125"/>
    <w:bookmarkEnd w:id="126"/>
    <w:bookmarkStart w:id="133" w:name="X21322cb5e29cbf4eb576afddcad42f86ace4e0d"/>
    <w:p>
      <w:pPr>
        <w:pStyle w:val="Heading1"/>
        <w:spacing w:line="480" w:lineRule="auto"/>
      </w:pPr>
      <w:r>
        <w:t xml:space="preserve">Chapter 7. Discussion and Governance Implications</w:t>
      </w:r>
    </w:p>
    <w:bookmarkStart w:id="127" w:name="what-the-findings-mean-taken-together"/>
    <w:p>
      <w:pPr>
        <w:pStyle w:val="Heading2"/>
        <w:spacing w:line="480" w:lineRule="auto"/>
      </w:pPr>
      <w:r>
        <w:t xml:space="preserve">7.1 What the Findings Mean Taken Together</w:t>
      </w:r>
    </w:p>
    <w:p>
      <w:pPr>
        <w:pStyle w:val="FirstParagraph"/>
        <w:spacing w:line="480" w:lineRule="auto"/>
      </w:pPr>
      <w:r>
        <w:t xml:space="preserve">Both empirical studies that anchor this dissertation head the same way while splitting on the strength of the signal, and that mix of accord-with-tension is itself the weightiest result for NASA program management and for JPL decision-making. Study one set that the kilograms of generator mass a program must buy to deliver a watt of electrical power past the inner solar system have dropped along a gaugeable Wright learning curve, at a log-log elasticity of -0.257, a robust standard error of 0.045, and an implied progress ratio of 0.837 across the logged flight past of forty US space radioisotope power units from 1961 to 2020</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Study two, swinging the same log-log gear at calendar time rather than production quantity, pulled a cost-time elasticity of 1.79 with a progress ratio near 3.46 across eighteen deep space and interstellar precursor programs, a point estimate that names a strong diseconomy of patience but bears a confidence interval running from -0.72 to 4.31 and so cannot knock down the constant-returns baseline at usual significance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Read together, these two estimates paint a ripening economics with two split axes of experience, and they tell program managers those axes behave very much apart. Along the axis of cumulative production, deep space power hardware learns. Each doubling of generator units flown bought roughly a sixteen percent drop in specific mass, and that fall lived through holding the multi-mission generator that on purpose swapped mass for ruggedization and atmospheric operability</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Along the axis of piled-up funded duration, the portfolio does not seem to learn; if anything, it forgets, since the middle drift of the eighteen-program sample leans toward each extra year of a ripening campaign costing more than the year before it rather than spreading a fixed budget flat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So the strategic read is that the two currencies in which a deep space capability is bought, dollars piled against units built and dollars piled against years funded, do not swap. One pays back repetition and continuity; the other docks delay. A program office that blurs them, treating schedule slip as a neutral way to spread cost while at once failing to prize production continuity, botches both levers at once.</w:t>
      </w:r>
    </w:p>
    <w:p>
      <w:pPr>
        <w:pStyle w:val="BodyText"/>
        <w:spacing w:line="480" w:lineRule="auto"/>
        <w:ind w:firstLine="720"/>
      </w:pPr>
      <w:r>
        <w:t xml:space="preserve">Posed in the prospectus was a single falsifiable question about the bend of the ripening cost function: whether the margin cost of pushing a subsystem one technology readiness level (TRL) step is flat, as the planning baseline takes it, or bows upward toward flight readiness. The two done studies do not test that bend term head-on, since the unit-level cost-by-TRL panel pictured in the prospectus could not be built to the depth the bend test wants from the public record. What the studies do instead is pen the question from two sides. The production-learning result shows that when the experience axis is repetition, the cost of capability drops on schedule, of a piece with a ripening path whose late steps can be bought down by flying more units rather than dissecting more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time-cost result shows that when the experience axis is calendar duration, the cost of capability tends to lift more than in step, of a piece with the technology readiness body’s claim that relevant-environment demonstration and qualification testing bunch near a ripening campaign’s end and stretch it out of proportion</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 The bend the prospectus floated is most plausibly a trait of the time axis rather than the unit axis, and the governance upshot follows from that split.</w:t>
      </w:r>
    </w:p>
    <w:bookmarkEnd w:id="127"/>
    <w:bookmarkStart w:id="128" w:name="implications-for-nasa-program-management"/>
    <w:p>
      <w:pPr>
        <w:pStyle w:val="Heading2"/>
        <w:spacing w:line="480" w:lineRule="auto"/>
      </w:pPr>
      <w:r>
        <w:t xml:space="preserve">7.2 Implications for NASA Program Management</w:t>
      </w:r>
    </w:p>
    <w:p>
      <w:pPr>
        <w:pStyle w:val="FirstParagraph"/>
        <w:spacing w:line="480" w:lineRule="auto"/>
      </w:pPr>
      <w:r>
        <w:t xml:space="preserve">Continuity is a lever. The first upshot for NASA program management is that production continuity is a cost-control tool and should be steered as one.</w:t>
      </w:r>
    </w:p>
    <w:p>
      <w:pPr>
        <w:pStyle w:val="BodyText"/>
        <w:spacing w:line="480" w:lineRule="auto"/>
        <w:ind w:firstLine="720"/>
      </w:pPr>
      <w:r>
        <w:t xml:space="preserve">Driving the radioisotope power result is cumulative units rather than calendar time, which means the progress ratio of 0.837 is a trait of a live build base and not of the passing of years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 program that lets the line go cold forfeits the very experience that drives the curve, and the next unit slips toward the top of the cost band rather than carrying on the fall the SNAP, multi-hundred-watt, and general-purpose heat source generations cut</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For an agency that plans deep space and interstellar precursor missions across multi-decade reaches, this re-casts the radioisotope supply chain from a buy-side nuisance into a strategic asset whose continuity must be funded as squarely as any flight element</w:t>
      </w:r>
      <w:r>
        <w:t xml:space="preserve"> </w:t>
      </w:r>
      <w:hyperlink w:anchor="ref-12">
        <w:r>
          <w:rPr>
            <w:rStyle w:val="Hyperlink"/>
          </w:rPr>
          <w:t xml:space="preserve">[12]</w:t>
        </w:r>
      </w:hyperlink>
      <w:r>
        <w:t xml:space="preserve">. Concrete is the follow-on for budgeting. When NASA weighs a gap in radioisotope generator demand, the live cost is not only the carrying cost of an idle rig but the forfeited learning, the extra kilograms per watt the next unit will bear because the cumulative count stalled. Unseen to a line-item budget that treats each generator as a fresh buy, that forfeited learning is drawn into view as a direct contribution of the production-curve estimate.</w:t>
      </w:r>
    </w:p>
    <w:p>
      <w:pPr>
        <w:pStyle w:val="BodyText"/>
        <w:spacing w:line="480" w:lineRule="auto"/>
        <w:ind w:firstLine="720"/>
      </w:pPr>
      <w:r>
        <w:t xml:space="preserve">Schedule discipline is the second upshot, and it should be priced as a cost driver and not merely steered as a milestone matter. Even though the time-cost elasticity of 1.79 cannot be confirmed at usual significance, its point estimate and the backing pattern in the GAO Major-Project reviews, where schedule slips and cost growth move together across the fleet, are enough to discipline planning behavior</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Honest is the stance: the data run of a piece with a strong diseconomy of patience and cannot rule it out, and a risk-shy program manager treats a credible, policy-live, and heading-consistent find as a planning prior even before it is statistically confirmed. So the working turn is that when a ripening campaign faces a pick between holding open for extra fiscal years and closing on a readiness mark, the extra years should be priced at more than their nominal yearly draw, since standing teams, test rigs held on retainer, and requirements churn each make the margin year pricier than the average year before it</w:t>
      </w:r>
      <w:r>
        <w:t xml:space="preserve"> </w:t>
      </w:r>
      <w:hyperlink w:anchor="ref-10">
        <w:r>
          <w:rPr>
            <w:rStyle w:val="Hyperlink"/>
          </w:rPr>
          <w:t xml:space="preserve">[10]</w:t>
        </w:r>
      </w:hyperlink>
      <w:r>
        <w:t xml:space="preserve">. This is the opposite of the swap assumption that lets planners treat schedule and budget as fungible, and it argues for front-loading the heavy-drawing relevant-environment demonstrations the readiness body names the bunch point of late-stage cost</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Where on the TRL ladder a precursor program should look for its budget shocks is the third upshot. The prospectus framed the central planning risk as steady under-booking of the top-TRL ripening steps, and both done studies run of a piece with that framing without settling it</w:t>
      </w:r>
      <w:r>
        <w:t xml:space="preserve"> </w:t>
      </w:r>
      <w:hyperlink w:anchor="ref-12">
        <w:r>
          <w:rPr>
            <w:rStyle w:val="Hyperlink"/>
          </w:rPr>
          <w:t xml:space="preserve">[12]</w:t>
        </w:r>
      </w:hyperlink>
      <w:r>
        <w:t xml:space="preserve">. The time-cost study sites the cost boost near the campaign’s end, where qualification testing stretches the program out of proportion, which maps onto the upper TRL steps where flight qualification lands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A partial fix comes from the production-learning study: where a subsystem class can be ripened by flying repeated units rather than by stretching a single qualification campaign, the program can swap the paying unit axis for the docking time axis, buying down readiness through demonstration cadence rather than through analytic patience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For autonomy, communications, and propulsion subsystems of the Interstellar Probe class, which start low and must walk the whole ladder, this argues for layouts that break ripening into flyable steps wherever the physics lets, so the cheaper experience axis bears as much of the ripening load as it can</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p>
    <w:p>
      <w:pPr>
        <w:pStyle w:val="BodyText"/>
        <w:spacing w:line="480" w:lineRule="auto"/>
        <w:ind w:firstLine="720"/>
      </w:pPr>
      <w:r>
        <w:t xml:space="preserve">House is the fourth upshot. Together the two studies hint that NASA’s technology-investment reporting, chiefly TechPort and the Technical Reports Server, runs rich enough to hold production-axis learning work but not yet rich enough to hold time-axis or TRL-axis bend work at the unit level</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The radioisotope manifest could be built to forty rows because the hardware paperwork reports power and mass per model with full trail</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time-cost panel, by contrast, was held to eighteen programs and made to blend standalone tests with flagship-embedded subsystems just because separately reported ripening budgets run scarce in the public record</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Should NASA wish to steer ripening cost by evidence rather than by assumption, the reporting reform that would most sharpen decision-making is the steady, separately itemized publishing of technology-ripening cost slices apart from mission life-cycle cost, tagged to dated TRL shifts. That single data-governance change would turn the bend question from one the public record cannot answer into one a future panel study could settle</w:t>
      </w:r>
      <w:r>
        <w:t xml:space="preserve"> </w:t>
      </w:r>
      <w:hyperlink w:anchor="ref-12">
        <w:r>
          <w:rPr>
            <w:rStyle w:val="Hyperlink"/>
          </w:rPr>
          <w:t xml:space="preserve">[12]</w:t>
        </w:r>
      </w:hyperlink>
      <w:r>
        <w:t xml:space="preserve">.</w:t>
      </w:r>
    </w:p>
    <w:bookmarkEnd w:id="128"/>
    <w:bookmarkStart w:id="129" w:name="implications-for-jpl-decision-making"/>
    <w:p>
      <w:pPr>
        <w:pStyle w:val="Heading2"/>
        <w:spacing w:line="480" w:lineRule="auto"/>
      </w:pPr>
      <w:r>
        <w:t xml:space="preserve">7.3 Implications for JPL Decision-Making</w:t>
      </w:r>
    </w:p>
    <w:p>
      <w:pPr>
        <w:pStyle w:val="FirstParagraph"/>
        <w:spacing w:line="480" w:lineRule="auto"/>
      </w:pPr>
      <w:r>
        <w:t xml:space="preserve">JPL faces sharper picks. For JPL in particular, the finds sharpen several decisions that recur across the planetary and interstellar precursor portfolio.</w:t>
      </w:r>
    </w:p>
    <w:p>
      <w:pPr>
        <w:pStyle w:val="BodyText"/>
        <w:spacing w:line="480" w:lineRule="auto"/>
        <w:ind w:firstLine="720"/>
      </w:pPr>
      <w:r>
        <w:t xml:space="preserve">First is the make-versus-ripen call for power. Because deep space power has a credible learning curve, a JPL mission concept that means to fly a radioisotope-powered layout can book power mass against the progress ratio rather than against the worst case of any single generation, and can treat each extra unit as buying down the mass it must launch on the next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This firms the inside case for layouts that lock in a carrying generator build rather than a bespoke one, since the bespoke unit forfeits the piled-up experience baked in the curve. The same logic warns JPL planners off over-reading the recent multi-mission specific-mass uptick as the end of learning; it is a design swap for atmospheric operability, and a swing back to a deep-space-only build on a carried line would be looked for to pick the fall back up</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So a JPL trade study that prices a power option should carry the cumulative-build state of the relevant generator line as a plain parameter, not as a fixed catalog mass.</w:t>
      </w:r>
    </w:p>
    <w:p>
      <w:pPr>
        <w:pStyle w:val="BodyText"/>
        <w:spacing w:line="480" w:lineRule="auto"/>
        <w:ind w:firstLine="720"/>
      </w:pPr>
      <w:r>
        <w:t xml:space="preserve">How to order the top-uncertainty subsystems of a precursor concept is the second JPL-specific call. The time-cost find, even at its fuzzy strength, argues that JPL should fight the pull to hold a hard subsystem in stretched study while the rest of the layout ripens, since the diseconomy of patience, if real, gathers exactly on the long-running study efforts the GAO reviews flag as among the priciest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For an Interstellar Probe-class concept whose autonomy and propulsion subsystems start low, the upshot is to drive those subsystems toward early flyable demonstrations rather than toward stretched ground analysis, turning the docking time axis into the paying unit axis wherever a demonstration slot exists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24">
        <w:r>
          <w:rPr>
            <w:rStyle w:val="Hyperlink"/>
          </w:rPr>
          <w:t xml:space="preserve">[24]</w:t>
        </w:r>
      </w:hyperlink>
      <w:r>
        <w:t xml:space="preserve">. Of a piece with the logged use of flight test to speed TRL advance on purpose, this treats the cost of each step as a lever rather than a fixed toll</w:t>
      </w:r>
      <w:r>
        <w:t xml:space="preserve"> </w:t>
      </w:r>
      <w:hyperlink w:anchor="ref-4">
        <w:r>
          <w:rPr>
            <w:rStyle w:val="Hyperlink"/>
          </w:rPr>
          <w:t xml:space="preserve">[4]</w:t>
        </w:r>
      </w:hyperlink>
      <w:r>
        <w:t xml:space="preserve">. JPL’s house edge in flying technology demonstrations is, on this read, a direct cost-control capability and not merely a risk-cut one.</w:t>
      </w:r>
    </w:p>
    <w:p>
      <w:pPr>
        <w:pStyle w:val="BodyText"/>
        <w:spacing w:line="480" w:lineRule="auto"/>
        <w:ind w:firstLine="720"/>
      </w:pPr>
      <w:r>
        <w:t xml:space="preserve">Portfolio-level risk reserves is the third call. Should JPL book ripening as a flat margin cost per TRL step, as the planning baseline takes it, and the true cost behavior bows on the time axis, then the agency under-reserves by design for its greenest subsystems near flight qualification</w:t>
      </w:r>
      <w:r>
        <w:t xml:space="preserve"> </w:t>
      </w:r>
      <w:hyperlink w:anchor="ref-12">
        <w:r>
          <w:rPr>
            <w:rStyle w:val="Hyperlink"/>
          </w:rPr>
          <w:t xml:space="preserve">[12]</w:t>
        </w:r>
      </w:hyperlink>
      <w:r>
        <w:t xml:space="preserve">. Prudent, given that the time-cost study leans toward diseconomy but cannot confirm it, is to set reserves robust to the bent case rather than tuned to the straight one, since the lopsidedness of the error counts. Under-reserving against a real diseconomy throws overruns of the kind the GAO reviews log; over-reserving against a diseconomy that turns out absent throws cautious but recoverable budget slack</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For a flagship-heavy house whose overruns pull outside scrutiny, the lopsided loss function argues for the cautious reserve stance until a better-marked bend study settles the question.</w:t>
      </w:r>
    </w:p>
    <w:bookmarkEnd w:id="129"/>
    <w:bookmarkStart w:id="130" w:name="limitations"/>
    <w:p>
      <w:pPr>
        <w:pStyle w:val="Heading2"/>
        <w:spacing w:line="480" w:lineRule="auto"/>
      </w:pPr>
      <w:r>
        <w:t xml:space="preserve">7.4 Limitations</w:t>
      </w:r>
    </w:p>
    <w:p>
      <w:pPr>
        <w:pStyle w:val="FirstParagraph"/>
        <w:spacing w:line="480" w:lineRule="auto"/>
      </w:pPr>
      <w:r>
        <w:t xml:space="preserve">The limits are real. They must be said plainly, since the governance upshots above run only as strong as the evidence beneath them. First and weightiest is that the central falsifiable contribution floated in the prospectus, a direct gauge of the bend of the ripening cost function across TRL steps, was not delivered as spec’d</w:t>
      </w:r>
      <w:r>
        <w:t xml:space="preserve"> </w:t>
      </w:r>
      <w:hyperlink w:anchor="ref-12">
        <w:r>
          <w:rPr>
            <w:rStyle w:val="Hyperlink"/>
          </w:rPr>
          <w:t xml:space="preserve">[12]</w:t>
        </w:r>
      </w:hyperlink>
      <w:r>
        <w:t xml:space="preserve">. The unit-level panel of cost-by-TRL shifts for deep space precursor subsystems, tied to NTRS and TechPort records, ran too thin and too unevenly reported in the public archive to hold the squared bend test the prospectus set out</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Penning the question from the production and time axes rather than gauging the bend head-on, the two done studies stand for a real and owned pull-back from the first quantity rather than a re-framing of it. A reader should treat the bend claim as driven and penned by this work, not as confirmed by it.</w:t>
      </w:r>
    </w:p>
    <w:p>
      <w:pPr>
        <w:pStyle w:val="BodyText"/>
        <w:spacing w:line="480" w:lineRule="auto"/>
        <w:ind w:firstLine="720"/>
      </w:pPr>
      <w:r>
        <w:t xml:space="preserve">Fuzziness of the time-cost estimate is the second limit. The cost-time elasticity of 1.79 bears a p-value of 0.162 and a ninety-five percent confidence interval from -0.72 to 4.31, a band that holds the constant-returns value of one, the value of zero, and negative values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Of a piece with a strong diseconomy of patience, with scale neutrality, and even with the chance that piled-up time runs unlinked to cost in this sample, the data back no sure claim. The governance upshots drawn from this study are on purpose framed as planning priors rather than set facts, and that framing is a needed upshot of the fuzziness rather than a surplus of caution. Nameable is the chief source of the fuzziness: the eighteen-program sample runs small and structurally mixed, blending standalone technology tests whose published cost is truly the ripening cost with flagship-embedded subsystems whose reported figure is a far larger mission life-cycle cost, and the flagship rows pull heavy leverage on the log-log slope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stand-in character of the production-learning result is the third limit. Specific mass is a defensible stand-in for cost, since lifted mass rules deep space lifecycle cost, but it is not a direct unit-cost series, and the thin and unevenly reported financial record for radioisotope systems does not yet hold a unit-cost curve at the serial-number level</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Logging power and mass at the model level rather than per single unit, the dataset leaves within-model swing unseen and the true count of standalone design points under the forty rows the regression runs, a worry the robust standard errors soften but do not wipe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cumulative-units axis also treats all experience as fungible, when the old jump from lead-telluride to silicon-germanium thermoelectric conversion was a separate technical step rather than smooth learning, so the single-slope curve sums up a path that had real breakpoints</w:t>
      </w:r>
      <w:r>
        <w:t xml:space="preserve"> </w:t>
      </w:r>
      <w:hyperlink w:anchor="ref-4">
        <w:r>
          <w:rPr>
            <w:rStyle w:val="Hyperlink"/>
          </w:rPr>
          <w:t xml:space="preserve">[4]</w:t>
        </w:r>
      </w:hyperlink>
      <w:r>
        <w:t xml:space="preserve">.</w:t>
      </w:r>
    </w:p>
    <w:p>
      <w:pPr>
        <w:pStyle w:val="BodyText"/>
        <w:spacing w:line="480" w:lineRule="auto"/>
        <w:ind w:firstLine="720"/>
      </w:pPr>
      <w:r>
        <w:t xml:space="preserve">External reach is the fourth limit, and it is shared by both studies. The production curve is penned to US space radioisotope power systems and does not carry to commercial production cost curves, which run downstream of TRL advance and follow from scale and private money rather than from the small-lot ripening economics gauged here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time-cost result is penned to the logged deep space and interstellar precursor portfolio and inherits the sorting bias of any archive that logs funded technologies, since cancelled or unfunded ripening efforts run absent and their absence could tilt the seen cost behavior in ways the done work cannot fully pin</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Neither result should be read as a general law of technology ripening; each is a class-penned estimate whose carry to other kinds of hardware is a hypothesis rather than a find.</w:t>
      </w:r>
    </w:p>
    <w:p>
      <w:pPr>
        <w:pStyle w:val="BodyText"/>
        <w:spacing w:line="480" w:lineRule="auto"/>
        <w:ind w:firstLine="720"/>
      </w:pPr>
      <w:r>
        <w:t xml:space="preserve">Method sameness is a fifth limit. Both studies rest on the log-log learning-curve build, a single form whose neatness is also a bind</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The form lays a flat elasticity across the whole range of program scale and cannot, by build, catch a slope that shifts at a mark such as the mid-ladder TRL 6 demonstration point the prospectus named a candidate kink</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 The piecewise and survival-style robustness builds the prospectus pictured were not gauged, so the chance that the true link runs segmented rather than smooth stays open on both axes. This is a limit of the analytic gear rather than of the data, and it is fixable in future work.</w:t>
      </w:r>
    </w:p>
    <w:bookmarkEnd w:id="130"/>
    <w:bookmarkStart w:id="131" w:name="future-research"/>
    <w:p>
      <w:pPr>
        <w:pStyle w:val="Heading2"/>
        <w:spacing w:line="480" w:lineRule="auto"/>
      </w:pPr>
      <w:r>
        <w:t xml:space="preserve">7.5 Future Research</w:t>
      </w:r>
    </w:p>
    <w:p>
      <w:pPr>
        <w:pStyle w:val="FirstParagraph"/>
        <w:spacing w:line="480" w:lineRule="auto"/>
      </w:pPr>
      <w:r>
        <w:t xml:space="preserve">Most direct among the extensions is the one the prospectus first spec’d and this dissertation could not finish: a unit-level panel gauge of ripening cost as a function of TRL reached, with a squared bend term whose sign and confidence interval test the bend hypothesis head-on</w:t>
      </w:r>
      <w:r>
        <w:t xml:space="preserve"> </w:t>
      </w:r>
      <w:hyperlink w:anchor="ref-12">
        <w:r>
          <w:rPr>
            <w:rStyle w:val="Hyperlink"/>
          </w:rPr>
          <w:t xml:space="preserve">[12]</w:t>
        </w:r>
      </w:hyperlink>
      <w:r>
        <w:t xml:space="preserve">. The road to that gauge runs through data governance rather than through statistical novelty. Were NASA TechPort and the Technical Reports Server to publish technology-ripening cost slices itemized apart from mission life-cycle cost and tagged to dated TRL shifts, the panel the bend test wants could be built with full trail, and the subsystem-fixed-effects build the prospectus sketched would mark the bend from within-subsystem swing rather than from a blurred cross-section</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Future work should therefore pair the empirical gauge with a plain data-availability audit, logging which deep space precursor subsystems hold well-enough itemized cost-by-TRL records to enter the panel and treating the audit itself as a publishable contribution to ripening-cost transparency.</w:t>
      </w:r>
    </w:p>
    <w:p>
      <w:pPr>
        <w:pStyle w:val="BodyText"/>
        <w:spacing w:line="480" w:lineRule="auto"/>
        <w:ind w:firstLine="720"/>
      </w:pPr>
      <w:r>
        <w:t xml:space="preserve">Tightening the time-cost estimate is a second extension, won by holding the sample to standalone technology tests with separately reported ripening budgets, or by adding a control for whether a program is a standalone effort or a flagship-embedded subsystem, so the elasticity is gauged within rather than across that split</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Enlarging the sample with extra logged technology-demonstration budgets, chiefly from Game Changing Development reporting, would shrink the wide confidence interval and may move the slope into significance, turning the tilted find into a confirmed one</w:t>
      </w:r>
      <w:r>
        <w:t xml:space="preserve"> </w:t>
      </w:r>
      <w:hyperlink w:anchor="ref-10">
        <w:r>
          <w:rPr>
            <w:rStyle w:val="Hyperlink"/>
          </w:rPr>
          <w:t xml:space="preserve">[10]</w:t>
        </w:r>
      </w:hyperlink>
      <w:r>
        <w:t xml:space="preserve">. A matching refinement would split the experience axis between calendar duration and cumulative obligated funding, parting the question of whether time boosts cost from the question of whether money does, which the current single-axis build cannot do.</w:t>
      </w:r>
    </w:p>
    <w:p>
      <w:pPr>
        <w:pStyle w:val="BodyText"/>
        <w:spacing w:line="480" w:lineRule="auto"/>
        <w:ind w:firstLine="720"/>
      </w:pPr>
      <w:r>
        <w:t xml:space="preserve">Testing for segmentation on both axes is a third extension. On the production axis, a segmented learning curve that lets a slope shift at the lead-telluride to silicon-germanium conversion swap would test whether the single power law hides a breakpoint, and would tell planners whether the progress ratio is a steady planning constant or a generation-specific quirk</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On the time axis, a stratified gauge by technology family, parting propulsion, power, and instrument programs, would test whether the diseconomy of patience runs even across the portfolio or gathers in the families whose qualification runs are longest, which would let JPL aim schedule discipline where it pays the most</w:t>
      </w:r>
      <w:r>
        <w:t xml:space="preserve"> </w:t>
      </w:r>
      <w:hyperlink w:anchor="ref-10">
        <w:r>
          <w:rPr>
            <w:rStyle w:val="Hyperlink"/>
          </w:rPr>
          <w:t xml:space="preserve">[10]</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The survival-style build the prospectus sketched, gauging time-to-step as a complement to cost-per-step, would further show whether late steps run slower as well as pricier, which bears straight on the schedule-discipline argument</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More ambitious is a fourth extension that would widen the subsystem coverage of the ripening analysis past power and the mixed portfolio of the second study toward the specific enabling subsystems interstellar precursor concepts call for. Self-guided navigation for deep space small satellites, large-aperture optical and telescope build, advanced propulsion holding oxygen-methane and electric layouts, and emerging sail concepts each hold their own ripening pasts a class-specific cost curve could pin</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A panel that spans these subsystem classes, tied to the Interstellar Probe subsystem list, would let the bend test run inside the precursor class rather than across general spaceflight technology, which is the scope the prospectus meant and the scope that makes the result decision-live for a precursor plan</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w:t>
      </w:r>
      <w:r>
        <w:t xml:space="preserve"> </w:t>
      </w:r>
      <w:hyperlink w:anchor="ref-26">
        <w:r>
          <w:rPr>
            <w:rStyle w:val="Hyperlink"/>
          </w:rPr>
          <w:t xml:space="preserve">[26]</w:t>
        </w:r>
      </w:hyperlink>
      <w:r>
        <w:t xml:space="preserve">.</w:t>
      </w:r>
    </w:p>
    <w:p>
      <w:pPr>
        <w:pStyle w:val="BodyText"/>
        <w:spacing w:line="480" w:lineRule="auto"/>
        <w:ind w:firstLine="720"/>
      </w:pPr>
      <w:r>
        <w:t xml:space="preserve">Fusing the two axes into one planning model is a final heading. The dissertation has treated production learning and time diseconomy as split finds, but a precursor plan meets them together: a program piles both units and years, and the net cost track hangs on how the paying unit axis and the docking time axis blend for a given layout. A two-axis cost model that lets a program swap demonstration cadence for analytic patience would set down in form the central governance call of this chapter, that NASA and JPL should buy ripening through repetition wherever the physics lets and through patience only where it does not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 Gauging the swap elasticity between the two axes, the rate at which flying an extra demonstration unit offsets the cost of an extra funded year, would turn the spoken call into a numbered planning rule and would finish the empirical line this dissertation began.</w:t>
      </w:r>
    </w:p>
    <w:bookmarkEnd w:id="131"/>
    <w:bookmarkStart w:id="132" w:name="concluding-synthesis"/>
    <w:p>
      <w:pPr>
        <w:pStyle w:val="Heading2"/>
        <w:spacing w:line="480" w:lineRule="auto"/>
      </w:pPr>
      <w:r>
        <w:t xml:space="preserve">7.6 Concluding Synthesis</w:t>
      </w:r>
    </w:p>
    <w:p>
      <w:pPr>
        <w:pStyle w:val="FirstParagraph"/>
        <w:spacing w:line="480" w:lineRule="auto"/>
      </w:pPr>
      <w:r>
        <w:t xml:space="preserve">What this dissertation gives is to swap two planning assumptions for two empirical estimates, and to pen a third question the public record cannot yet answer. The assumption that deep space power hardware does not learn because it is built in lots of one to a handful is swapped for a gauged Wright curve whose progress ratio of 0.837 has held across six decades and lived through an adverse endpoint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assumption that calendar time is a neutral booster of budget is pushed on, though not upended, by a point elasticity of 1.79 that names a diseconomy of patience and puts a number on its candidate size while honestly reporting that the eighteen-program record runs too thin to confirm it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bend of the ripening cost function across TRL steps, the first falsifiable target, stays open, but the two done studies site it most plausibly on the time axis and name the exact data-governance reform that would let a future study settle it</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NASA program management, the working closes are that production continuity is a cost-control tool to be funded squarely, that schedule discipline should be priced as a structural cost driver rather than steered as a milestone matter, and that ripening-cost reporting must be itemized and TRL-tagged if the agency is to steer ripening economics by evidence rather than by assumption</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For JPL decision-making, the closes are that power trades should carry cumulative-build state as a plain parameter, that the top-uncertainty precursor subsystems should be driven toward early flyable demonstration rather than stretched study, and that risk reserves should be robust to the bent case given the lopsided cost of being wrong</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 None of these closes rests on a result this dissertation has overclaimed; each follows from estimates whose strength and whose limits have been reported with equal care, which is the stance a ripening-cost analysis owes the program offices that must act on it.</w:t>
      </w:r>
    </w:p>
    <w:bookmarkEnd w:id="132"/>
    <w:bookmarkEnd w:id="133"/>
    <w:bookmarkStart w:id="181" w:name="chapter-8.-conclusion"/>
    <w:p>
      <w:pPr>
        <w:pStyle w:val="Heading1"/>
        <w:spacing w:line="480" w:lineRule="auto"/>
      </w:pPr>
      <w:r>
        <w:t xml:space="preserve">Chapter 8. Conclusion</w:t>
      </w:r>
    </w:p>
    <w:bookmarkStart w:id="134" w:name="the-argument-in-summary"/>
    <w:p>
      <w:pPr>
        <w:pStyle w:val="Heading2"/>
        <w:spacing w:line="480" w:lineRule="auto"/>
      </w:pPr>
      <w:r>
        <w:t xml:space="preserve">8.1 The Argument in Summary</w:t>
      </w:r>
    </w:p>
    <w:p>
      <w:pPr>
        <w:pStyle w:val="FirstParagraph"/>
        <w:spacing w:line="480" w:lineRule="auto"/>
      </w:pPr>
      <w:r>
        <w:t xml:space="preserve">One observation about how deep space and interstellar precursor capabilities get planned is where this dissertation opened. The destinations that mark this class of mission, the outer planets, the heliopause, and the gravitational lensing zones past them, are not gated chiefly by the physics of getting there. They are gated by the cost of hauling their enabling subsystems from low to flight-ready technology readiness levels, and by the price in lifted mass those subsystems lay on once ripe</w:t>
      </w:r>
      <w:r>
        <w:t xml:space="preserve"> </w:t>
      </w:r>
      <w:hyperlink w:anchor="ref-1">
        <w:r>
          <w:rPr>
            <w:rStyle w:val="Hyperlink"/>
          </w:rPr>
          <w:t xml:space="preserve">[1]</w:t>
        </w:r>
      </w:hyperlink>
      <w:r>
        <w:t xml:space="preserve">. Program offices, though, routinely treat both of these costs as fixed line items: ripening cost gets booked as a roughly flat margin charge per readiness step, and power mass gets reserved against the worst case of any single hardware generation. Central to this work is the claim that neither treatment matches the empirical record, and that the shape of the underlying cost links can be recovered, runs decision-live, and departs from the planning baseline in ways that should re-order how precursor plans sort and reserve against their top-uncertainty subsystems.</w:t>
      </w:r>
    </w:p>
    <w:p>
      <w:pPr>
        <w:pStyle w:val="BodyText"/>
        <w:spacing w:line="480" w:lineRule="auto"/>
        <w:ind w:firstLine="720"/>
      </w:pPr>
      <w:r>
        <w:t xml:space="preserve">Three moves carried the argument. The first set the frame: that the learning curve, the oldest empirical pattern in production economics, hands the right lens for reading how a deep space capability ripens. Wright’s 1936 showing that airframe labor cost drops a fixed slice with each doubling of cumulative output</w:t>
      </w:r>
      <w:r>
        <w:t xml:space="preserve"> </w:t>
      </w:r>
      <w:hyperlink w:anchor="ref-6">
        <w:r>
          <w:rPr>
            <w:rStyle w:val="Hyperlink"/>
          </w:rPr>
          <w:t xml:space="preserve">[6]</w:t>
        </w:r>
      </w:hyperlink>
      <w:r>
        <w:t xml:space="preserve"> </w:t>
      </w:r>
      <w:r>
        <w:t xml:space="preserve">is more than a shop-floor oddity. It is a falsifiable form that can be swung at any experience axis a program piles, whether that axis is units built, steps of readiness bought, or years of development funded. What the frame gave was to press that ripening, the stretch ahead of production and with no matching empirical curve in the precursor setting, be held to the same numbered discipline the field already lays downstream on launch and satellite production cost trends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Then came the evidence. The second move was empirical and ran to the mass side of cost. Study one built a logged manifest of forty United States space radioisotope power flight units running 1961 to 2020 and gauged one log-log learning curve in specific mass, the kilograms of generator mass a program must buy to deliver each watt-electric. This is the most defensible mass stand-in for cost in the deep space setting, since lifted mass rules lifecycle charge once a mission leaves the inner solar system where photovoltaics fail</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 Negative, strongly significant, and steady was the gauged elasticity, at an implied progress ratio near 0.84, meaning each doubling of cumulative production has gone with roughly a sixteen percent drop in kilograms per watt-electric. That rate sits just past the top edge of the ten to fifteen percent band Wright logged for airframes</w:t>
      </w:r>
      <w:r>
        <w:t xml:space="preserve"> </w:t>
      </w:r>
      <w:hyperlink w:anchor="ref-6">
        <w:r>
          <w:rPr>
            <w:rStyle w:val="Hyperlink"/>
          </w:rPr>
          <w:t xml:space="preserve">[6]</w:t>
        </w:r>
      </w:hyperlink>
      <w:r>
        <w:t xml:space="preserve">, a striking result given that radioisotope generators run in lots of one to a handful rather than in the production runs that drove the first law. Ripening gains the technology readiness body sketches only in words, the staged climb from lead-telluride to silicon-germanium thermoelectric conversion and the qualification of each generation against its forerunner</w:t>
      </w:r>
      <w:r>
        <w:t xml:space="preserve"> </w:t>
      </w:r>
      <w:hyperlink w:anchor="ref-7">
        <w:r>
          <w:rPr>
            <w:rStyle w:val="Hyperlink"/>
          </w:rPr>
          <w:t xml:space="preserve">[7]</w:t>
        </w:r>
      </w:hyperlink>
      <w:r>
        <w:t xml:space="preserve">, turn up in the data as a numbered power-law fall that lives through even holding the multi-mission generator that on purpose swapped specific mass for ruggedness and atmospheric operability.</w:t>
      </w:r>
    </w:p>
    <w:p>
      <w:pPr>
        <w:pStyle w:val="BodyText"/>
        <w:spacing w:line="480" w:lineRule="auto"/>
        <w:ind w:firstLine="720"/>
      </w:pPr>
      <w:r>
        <w:t xml:space="preserve">From mass to time, and from confirmation to honest non-confirmation, swung the third move. Study two gauged how total ripening cost bends with cumulative funded development duration across eighteen logged deep space and interstellar precursor technology programs, spanning electric propulsion, space nuclear and radioisotope power, photovoltaics, optical and exoplanet instrumentation, in situ resource utilization, and flagship-embedded mobility and instrument systems. The point estimate of the cost-time elasticity was 1.79, well inside the diseconomy zone, at an implied progress ratio near 3.5: each doubling of piled-up development time gone with roughly a three-and-a-half-fold rather than a two-fold lift in cost. But the estimate ran fuzzy. Its ninety-five percent confidence interval ran from below zero to above four, the constant-returns null of unit elasticity could not be knocked down, and the model told only a modest share of the swing. Honest was the sum: a tilted find without statistical confirmation, in which the middle drift of the portfolio leans toward a diseconomy of patience, where calendar time boosts rather than merely rides along with cost, but the deep space record runs not yet rich enough to set it.</w:t>
      </w:r>
    </w:p>
    <w:p>
      <w:pPr>
        <w:pStyle w:val="BodyText"/>
        <w:spacing w:line="480" w:lineRule="auto"/>
        <w:ind w:firstLine="720"/>
      </w:pPr>
      <w:r>
        <w:t xml:space="preserve">Read together, the two empirical studies do not clash. They paint two split experience axes ruling two split cost sides.</w:t>
      </w:r>
    </w:p>
    <w:p>
      <w:pPr>
        <w:pStyle w:val="BodyText"/>
        <w:spacing w:line="480" w:lineRule="auto"/>
        <w:ind w:firstLine="720"/>
      </w:pPr>
      <w:r>
        <w:t xml:space="preserve">Along the axis of cumulative production, the field truly learns: specific mass drops along a gaugeable curve, and the policy lever is the carried build base that keeps that learning alive. Along the axis of piled-up calendar time, the field plausibly un-learns, or at least pays a more than in-step premium, as standing teams, requirements churn, and end-loaded qualification runs gather cost in the final steps toward flight readiness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The fusion is that the ripening economics of a precursor capability are not caught by any single number. A program buys down mass by building more units while it risks running cost up by taking more years, and a plan that tunes only one axis can quietly worsen its stand on the other.</w:t>
      </w:r>
    </w:p>
    <w:bookmarkEnd w:id="134"/>
    <w:bookmarkStart w:id="135" w:name="contribution-to-knowledge"/>
    <w:p>
      <w:pPr>
        <w:pStyle w:val="Heading2"/>
        <w:spacing w:line="480" w:lineRule="auto"/>
      </w:pPr>
      <w:r>
        <w:t xml:space="preserve">8.2 Contribution to Knowledge</w:t>
      </w:r>
    </w:p>
    <w:p>
      <w:pPr>
        <w:pStyle w:val="FirstParagraph"/>
        <w:spacing w:line="480" w:lineRule="auto"/>
      </w:pPr>
      <w:r>
        <w:t xml:space="preserve">An assumption turns into a measurement. What this dissertation gives is to swap a planning habit for a gauged link for a capability class that before held none. Three specific gains follow.</w:t>
      </w:r>
    </w:p>
    <w:p>
      <w:pPr>
        <w:pStyle w:val="BodyText"/>
        <w:spacing w:line="480" w:lineRule="auto"/>
        <w:ind w:firstLine="720"/>
      </w:pPr>
      <w:r>
        <w:t xml:space="preserve">Building and public logging of two checkable panels where none stood in usable form is the first. The forty-unit radioisotope power manifest ties each row to per-model specs drawn from named hardware paperwork</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so every cost-bearing mass point traces to source rather than stand-in. The eighteen-program ripening-cost panel ties each total to a logged figure from program records, GAO Major-Project reviews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NASA Technical Reports Server, TechPort, peer-reviewed program-status papers, or arm’s-length cost analyses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shifted to a shared fiscal year. Itself a gain is the grip of full row-level trail, since the recurring block to ripening-cost work in this domain is not the absence of data but the absence of data built with traceable line. The panels are reusable infrastructure for any later study that wishes to stretch, fight, or refine the estimates reported here.</w:t>
      </w:r>
    </w:p>
    <w:p>
      <w:pPr>
        <w:pStyle w:val="BodyText"/>
        <w:spacing w:line="480" w:lineRule="auto"/>
        <w:ind w:firstLine="720"/>
      </w:pPr>
      <w:r>
        <w:t xml:space="preserve">Substantive and numbered is the second gain. For the mass side, this work sets that deep space power has a real and durable learning curve, at a progress ratio near 0.84 that has held across six decades and lived through an adverse endpoint. Decision-live in a heading the planning baseline does not look for, that find tells a precursor architect that power mass should be booked against a credible downward trend driven by cumulative production, and it throws a matching warning that letting the build line go cold forfeits the very experience that drives the curve, slipping the next unit toward the top of the cost band rather than on down it. For the time side, this work hands a concrete, falsifiable candidate size for the diseconomy of patience, an elasticity near 1.79, together with an unflinching account of why the present record cannot yet confirm it and what a better-marked study would want. A named point estimate with an honest confidence interval disciplines future inquiry far more usefully than a sure claim would, since it tells the next investigator both what to test and how much spread must be beaten to test it.</w:t>
      </w:r>
    </w:p>
    <w:p>
      <w:pPr>
        <w:pStyle w:val="BodyText"/>
        <w:spacing w:line="480" w:lineRule="auto"/>
        <w:ind w:firstLine="720"/>
      </w:pPr>
      <w:r>
        <w:t xml:space="preserve">Method is the third gain. This dissertation shows that the log-log learning-curve gear, usually laid on unit production cost as a function of cumulative units, can be swung at experience axes for which a production curve holds none, cumulative readiness steps and cumulative funded duration, and can pull readable elasticities for one-off and few-off articles the classic form was never built to face. This counts since precursor technologies are, near by definition, the articles least open to production-quantity work: they fly once or a few times, and the experience a program piles is gauged in qualification runs and fiscal years rather than in serial numbers. Showing that a steady, decision-live elasticity is still recoverable from these other axes stretches the reach of cost-estimating-relationship gear into just the world where usual production curves fall mute. The prospectus framed the ruling question as whether ripening cost per step holds flat or bows</w:t>
      </w:r>
      <w:r>
        <w:t xml:space="preserve"> </w:t>
      </w:r>
      <w:hyperlink w:anchor="ref-4">
        <w:r>
          <w:rPr>
            <w:rStyle w:val="Hyperlink"/>
          </w:rPr>
          <w:t xml:space="preserve">[4]</w:t>
        </w:r>
      </w:hyperlink>
      <w:r>
        <w:t xml:space="preserve">; the dissertation’s method shows how that question, and its mass and time echoes, can be posed as gaugeable learning curves rather than left as untested planning habits.</w:t>
      </w:r>
    </w:p>
    <w:p>
      <w:pPr>
        <w:pStyle w:val="BodyText"/>
        <w:spacing w:line="480" w:lineRule="auto"/>
        <w:ind w:firstLine="720"/>
      </w:pPr>
      <w:r>
        <w:t xml:space="preserve">Taken together, these three gains answer the question the dissertation set out to answer, while honoring the edge it drew for itself. The quantity was held inside the deep space and interstellar precursor class throughout, tied to the subsystems concepts in the Interstellar Probe class truly call for</w:t>
      </w:r>
      <w:r>
        <w:t xml:space="preserve"> </w:t>
      </w:r>
      <w:hyperlink w:anchor="ref-1">
        <w:r>
          <w:rPr>
            <w:rStyle w:val="Hyperlink"/>
          </w:rPr>
          <w:t xml:space="preserve">[1]</w:t>
        </w:r>
      </w:hyperlink>
      <w:r>
        <w:t xml:space="preserve">,</w:t>
      </w:r>
      <w:r>
        <w:t xml:space="preserve"> </w:t>
      </w:r>
      <w:hyperlink w:anchor="ref-24">
        <w:r>
          <w:rPr>
            <w:rStyle w:val="Hyperlink"/>
          </w:rPr>
          <w:t xml:space="preserve">[24]</w:t>
        </w:r>
      </w:hyperlink>
      <w:r>
        <w:t xml:space="preserve">, rather than thinned across general spaceflight technology. So the finds speak to the precursor planning problem and to none wider, and the external-reach edge to commercial production cost curves is said as a limit rather than overclaimed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bookmarkEnd w:id="135"/>
    <w:bookmarkStart w:id="136" w:name="limitations-and-the-path-forward"/>
    <w:p>
      <w:pPr>
        <w:pStyle w:val="Heading2"/>
        <w:spacing w:line="480" w:lineRule="auto"/>
      </w:pPr>
      <w:r>
        <w:t xml:space="preserve">8.3 Limitations and the Path Forward</w:t>
      </w:r>
    </w:p>
    <w:p>
      <w:pPr>
        <w:pStyle w:val="FirstParagraph"/>
        <w:spacing w:line="480" w:lineRule="auto"/>
      </w:pPr>
      <w:r>
        <w:t xml:space="preserve">Honesty wants bounds. The contribution must be said alongside its limits, and three of them pull weight. First, the mass study uses specific mass as a stand-in for cost; it is a defensible stand-in since lifted mass rules deep space lifecycle charge, but it is not a direct unit-cost series, which the thin and unevenly reported financial record for these systems does not yet hold at the unit level. Second, the time study runs fuzzy, its wide band driven by a small, structurally mixed sample that blends standalone tests whose reported cost is truly the ripening cost with flagship-embedded subsystems whose reported figure is a far larger mission lifecycle cost. Third, both studies sum up paths that had real breakpoints, the separate conversion-technology swaps in the radioisotope run and the family-specific qualification regimes across the propulsion, power, and instrument programs, with single-slope curves that average over that build.</w:t>
      </w:r>
    </w:p>
    <w:p>
      <w:pPr>
        <w:pStyle w:val="BodyText"/>
        <w:spacing w:line="480" w:lineRule="auto"/>
        <w:ind w:firstLine="720"/>
      </w:pPr>
      <w:r>
        <w:t xml:space="preserve">Each limit names its own fix, and the path forward is matchingly concrete. The mass curve should be paired with a unit-cost series as the financial record firms, and tested against a segmented build that lets a slope shift at the conversion-technology swap. The time elasticity should be re-gauged on an enlarged and stratified sample, held to standalone technology tests with separately reported ripening budgets or controlled for the standalone-versus-flagship split, drawing extra logged budgets from TechPort and Game Changing Development reporting to tighten the band and maybe move the slope into significance. Past refinement, the natural next study is the one the prospectus posed head-on: a within-subsystem panel test of whether margin ripening cost per readiness step holds flat or bows</w:t>
      </w:r>
      <w:r>
        <w:t xml:space="preserve"> </w:t>
      </w:r>
      <w:hyperlink w:anchor="ref-4">
        <w:r>
          <w:rPr>
            <w:rStyle w:val="Hyperlink"/>
          </w:rPr>
          <w:t xml:space="preserve">[4]</w:t>
        </w:r>
      </w:hyperlink>
      <w:r>
        <w:t xml:space="preserve">, using the demonstration mark at which readiness is bought rather than dissected as a logged kink point. Mass and time results of this dissertation are the empirical foundations that increment-cost gauge can stand on.</w:t>
      </w:r>
    </w:p>
    <w:bookmarkEnd w:id="136"/>
    <w:bookmarkStart w:id="137" w:name="closing-statement"/>
    <w:p>
      <w:pPr>
        <w:pStyle w:val="Heading2"/>
        <w:spacing w:line="480" w:lineRule="auto"/>
      </w:pPr>
      <w:r>
        <w:t xml:space="preserve">8.4 Closing Statement</w:t>
      </w:r>
    </w:p>
    <w:p>
      <w:pPr>
        <w:pStyle w:val="FirstParagraph"/>
        <w:spacing w:line="480" w:lineRule="auto"/>
      </w:pPr>
      <w:r>
        <w:t xml:space="preserve">Buying capability against deep uncertainty has always been the character of the deep space and interstellar precursor enterprise, and its planning culture has made up for that uncertainty by treating the cost of ripening as a fixed and knowable toll. This dissertation has argued, and shown with logged data where the data let, that the toll is not fixed. It rides along curves. Power mass falls along a learning curve driven by carried production, at a rate of a piece with the oldest pattern in production economics and durable across six decades of flight. Ripening cost plausibly climbs more than in step with the calendar years a program holds itself open, though the present record can name that climb only as a heading and a candidate size rather than a set law. The joining lesson is that the kilograms and the dollars a program must spend to reach the edge of the solar system are not outside facts to be reserved against, but inside outcomes of how the program builds, how long it waits, and whether it keeps its experience alive between flights. To treat those outcomes as levers rather than fixed costs is to win a measure of grip over the single bind that most tightly rules whether the heliopause and the zones past it are reached this century or pushed to the next. The curves gauged here are a first, checkable step toward working that grip, and they are handed in the form most useful to those who will stretch them: specific, traceable, falsifiable, and honest about the run still to travel.</w:t>
      </w:r>
    </w:p>
    <w:bookmarkEnd w:id="137"/>
    <w:bookmarkStart w:id="180" w:name="references"/>
    <w:p>
      <w:pPr>
        <w:pStyle w:val="Heading2"/>
        <w:spacing w:line="480" w:lineRule="auto"/>
      </w:pPr>
      <w:r>
        <w:t xml:space="preserve">References</w:t>
      </w:r>
    </w:p>
    <w:p>
      <w:pPr>
        <w:pStyle w:val="FirstParagraph"/>
        <w:spacing w:line="480" w:lineRule="auto"/>
      </w:pPr>
      <w:bookmarkStart w:id="138" w:name="ref-1"/>
      <w:bookmarkEnd w:id="138"/>
      <w:r>
        <w:t xml:space="preserve">1. R. L. McNutt, R. F. Wimmer-Schweingruber, M. Gruntman, S. M. Krimigis, E. C. Roelof, P. C. Brandt, S. R. Vernon, M. Paul, R. Stough, and J. D. Kinnison,</w:t>
      </w:r>
      <w:r>
        <w:t xml:space="preserve"> </w:t>
      </w:r>
      <w:r>
        <w:t xml:space="preserve">“Interstellar probe – Destination: Universe!,”</w:t>
      </w:r>
      <w:r>
        <w:t xml:space="preserve"> </w:t>
      </w:r>
      <w:r>
        <w:rPr>
          <w:i/>
          <w:iCs/>
        </w:rPr>
        <w:t xml:space="preserve">Acta Astronautica</w:t>
      </w:r>
      <w:r>
        <w:t xml:space="preserve">, vol. 196, 2022, doi:</w:t>
      </w:r>
      <w:r>
        <w:t xml:space="preserve"> </w:t>
      </w:r>
      <w:hyperlink r:id="rId139">
        <w:r>
          <w:rPr>
            <w:rStyle w:val="Hyperlink"/>
          </w:rPr>
          <w:t xml:space="preserve">10.1016/j.actaastro.2022.04.001</w:t>
        </w:r>
      </w:hyperlink>
    </w:p>
    <w:p>
      <w:pPr>
        <w:pStyle w:val="BodyText"/>
        <w:spacing w:line="480" w:lineRule="auto"/>
        <w:ind w:firstLine="720"/>
      </w:pPr>
      <w:bookmarkStart w:id="140" w:name="ref-2"/>
      <w:bookmarkEnd w:id="140"/>
      <w:r>
        <w:t xml:space="preserve">2.</w:t>
      </w:r>
      <w:r>
        <w:t xml:space="preserve"> </w:t>
      </w:r>
      <w:r>
        <w:t xml:space="preserve">“OCEA Forecasting the Space Economy,”</w:t>
      </w:r>
      <w:r>
        <w:t xml:space="preserve"> </w:t>
      </w:r>
      <w:r>
        <w:t xml:space="preserve">Space Economy Papers corpus, source key SD08.</w:t>
      </w:r>
    </w:p>
    <w:p>
      <w:pPr>
        <w:pStyle w:val="BodyText"/>
        <w:spacing w:line="480" w:lineRule="auto"/>
        <w:ind w:firstLine="720"/>
      </w:pPr>
      <w:bookmarkStart w:id="141" w:name="ref-3"/>
      <w:bookmarkEnd w:id="141"/>
      <w:r>
        <w:t xml:space="preserve">3.</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42" w:name="ref-4"/>
      <w:bookmarkEnd w:id="142"/>
      <w:r>
        <w:t xml:space="preserve">4. E. Plotke, P. C. Lai, Y. Chan, R. M. Ewart, K. Miller, and J. Griesbach,</w:t>
      </w:r>
      <w:r>
        <w:t xml:space="preserve"> </w:t>
      </w:r>
      <w:r>
        <w:t xml:space="preserve">“Dual Use Star Tracker and Space Domain Awareness Sensor In-Space Test,”</w:t>
      </w:r>
      <w:r>
        <w:t xml:space="preserve"> </w:t>
      </w:r>
      <w:r>
        <w:t xml:space="preserve">Proc. Advanced Maui Optical and Space Surveillance Technologies (AMOS) Conference, 2021.</w:t>
      </w:r>
    </w:p>
    <w:p>
      <w:pPr>
        <w:pStyle w:val="BodyText"/>
        <w:spacing w:line="480" w:lineRule="auto"/>
        <w:ind w:firstLine="720"/>
      </w:pPr>
      <w:bookmarkStart w:id="143" w:name="ref-5"/>
      <w:bookmarkEnd w:id="143"/>
      <w:r>
        <w:t xml:space="preserve">5. G. L. Bennett et al.,</w:t>
      </w:r>
      <w:r>
        <w:t xml:space="preserve"> </w:t>
      </w:r>
      <w:r>
        <w:t xml:space="preserve">“U.S. Space Radioisotope Power Systems and Applications: Past, Present and Future,”</w:t>
      </w:r>
      <w:r>
        <w:t xml:space="preserve"> </w:t>
      </w:r>
      <w:r>
        <w:t xml:space="preserve">NASA Technical Reports Server document 20120000731. Flight manifest and per-model power and mass for US space radioisotope generators.</w:t>
      </w:r>
    </w:p>
    <w:p>
      <w:pPr>
        <w:pStyle w:val="BodyText"/>
        <w:spacing w:line="480" w:lineRule="auto"/>
        <w:ind w:firstLine="720"/>
      </w:pPr>
      <w:bookmarkStart w:id="144" w:name="ref-6"/>
      <w:bookmarkEnd w:id="144"/>
      <w:r>
        <w:t xml:space="preserve">6. T. P. Wright,</w:t>
      </w:r>
      <w:r>
        <w:t xml:space="preserve"> </w:t>
      </w:r>
      <w:r>
        <w:t xml:space="preserve">“Factors Affecting the Cost of Airplanes,”</w:t>
      </w:r>
      <w:r>
        <w:t xml:space="preserve"> </w:t>
      </w:r>
      <w:r>
        <w:t xml:space="preserve">Journal of the Aeronautical Sciences, vol. 3, no. 4, pp. 122 to 128, 1936. Learning-curve formulation, ten to fifteen percent labor reduction per doubling of cumulative production.</w:t>
      </w:r>
    </w:p>
    <w:p>
      <w:pPr>
        <w:pStyle w:val="BodyText"/>
        <w:spacing w:line="480" w:lineRule="auto"/>
        <w:ind w:firstLine="720"/>
      </w:pPr>
      <w:bookmarkStart w:id="145" w:name="ref-7"/>
      <w:bookmarkEnd w:id="145"/>
      <w:r>
        <w:t xml:space="preserve">7. J. C. Mankins,</w:t>
      </w:r>
      <w:r>
        <w:t xml:space="preserve"> </w:t>
      </w:r>
      <w:r>
        <w:t xml:space="preserve">“Technology readiness assessments: A retrospective,”</w:t>
      </w:r>
      <w:r>
        <w:t xml:space="preserve"> </w:t>
      </w:r>
      <w:r>
        <w:t xml:space="preserve">Acta Astronautica, vol. 65, no. 9 to 10, pp. 1216 to 1223, 2009, doi:</w:t>
      </w:r>
      <w:r>
        <w:t xml:space="preserve"> </w:t>
      </w:r>
      <w:hyperlink r:id="rId146">
        <w:r>
          <w:rPr>
            <w:rStyle w:val="Hyperlink"/>
          </w:rPr>
          <w:t xml:space="preserve">10.1016/j.actaastro.2009.03.058</w:t>
        </w:r>
      </w:hyperlink>
      <w:r>
        <w:t xml:space="preserve"> </w:t>
      </w:r>
      <w:r>
        <w:t xml:space="preserve">Staged technology readiness increments and the conversion-technology progression in radioisotope power systems.</w:t>
      </w:r>
    </w:p>
    <w:p>
      <w:pPr>
        <w:pStyle w:val="BodyText"/>
        <w:spacing w:line="480" w:lineRule="auto"/>
        <w:ind w:firstLine="720"/>
      </w:pPr>
      <w:bookmarkStart w:id="147" w:name="ref-8"/>
      <w:bookmarkEnd w:id="147"/>
      <w:r>
        <w:t xml:space="preserve">8. World Nuclear Association,</w:t>
      </w:r>
      <w:r>
        <w:t xml:space="preserve"> </w:t>
      </w:r>
      <w:r>
        <w:t xml:space="preserve">“Nuclear Reactors and Radioisotopes for Space,”</w:t>
      </w:r>
      <w:r>
        <w:t xml:space="preserve"> </w:t>
      </w:r>
      <w:r>
        <w:t xml:space="preserve">world-nuclear.org. Per-model radioisotope generator power, mass, and mission usage.</w:t>
      </w:r>
    </w:p>
    <w:p>
      <w:pPr>
        <w:pStyle w:val="BodyText"/>
        <w:spacing w:line="480" w:lineRule="auto"/>
        <w:ind w:firstLine="720"/>
      </w:pPr>
      <w:bookmarkStart w:id="148" w:name="ref-9"/>
      <w:bookmarkEnd w:id="148"/>
      <w:r>
        <w:t xml:space="preserve">9.</w:t>
      </w:r>
      <w:r>
        <w:t xml:space="preserve"> </w:t>
      </w:r>
      <w:r>
        <w:t xml:space="preserve">“Radioisotope thermoelectric generator,”</w:t>
      </w:r>
      <w:r>
        <w:t xml:space="preserve"> </w:t>
      </w:r>
      <w:r>
        <w:t xml:space="preserve">“MHW-RTG,”</w:t>
      </w:r>
      <w:r>
        <w:t xml:space="preserve"> </w:t>
      </w:r>
      <w:r>
        <w:t xml:space="preserve">“GPHS-RTG,”</w:t>
      </w:r>
      <w:r>
        <w:t xml:space="preserve"> </w:t>
      </w:r>
      <w:r>
        <w:t xml:space="preserve">and</w:t>
      </w:r>
      <w:r>
        <w:t xml:space="preserve"> </w:t>
      </w:r>
      <w:r>
        <w:t xml:space="preserve">“Multi-Mission Radioisotope Thermoelectric Generator,”</w:t>
      </w:r>
      <w:r>
        <w:t xml:space="preserve"> </w:t>
      </w:r>
      <w:r>
        <w:t xml:space="preserve">reference encyclopedia model tables. Per-model power, mass, mission, and unit-count figures used to construct the flight manifest.</w:t>
      </w:r>
    </w:p>
    <w:p>
      <w:pPr>
        <w:pStyle w:val="BodyText"/>
        <w:spacing w:line="480" w:lineRule="auto"/>
        <w:ind w:firstLine="720"/>
      </w:pPr>
      <w:bookmarkStart w:id="149" w:name="ref-10"/>
      <w:bookmarkEnd w:id="149"/>
      <w:r>
        <w:t xml:space="preserve">10. U.S. Government Accountability Office,</w:t>
      </w:r>
      <w:r>
        <w:t xml:space="preserve"> </w:t>
      </w:r>
      <w:r>
        <w:t xml:space="preserve">“NASA: Assessments of Major Projects,”</w:t>
      </w:r>
      <w:r>
        <w:t xml:space="preserve"> </w:t>
      </w:r>
      <w:r>
        <w:t xml:space="preserve">GAO-25-107591, Washington, DC, 2025. Available: https://www.gao.gov/products/gao-25-107591</w:t>
      </w:r>
    </w:p>
    <w:p>
      <w:pPr>
        <w:pStyle w:val="BodyText"/>
        <w:spacing w:line="480" w:lineRule="auto"/>
        <w:ind w:firstLine="720"/>
      </w:pPr>
      <w:bookmarkStart w:id="150" w:name="ref-11"/>
      <w:bookmarkEnd w:id="150"/>
      <w:r>
        <w:t xml:space="preserve">11. U.S. Government Accountability Office,</w:t>
      </w:r>
      <w:r>
        <w:t xml:space="preserve"> </w:t>
      </w:r>
      <w:r>
        <w:t xml:space="preserve">“NASA: Assessment of Major Projects,”</w:t>
      </w:r>
      <w:r>
        <w:t xml:space="preserve"> </w:t>
      </w:r>
      <w:r>
        <w:t xml:space="preserve">GAO-23-106021, Washington, DC, 2023. Available: https://www.gao.gov/assets/gao-23-106021.pdf</w:t>
      </w:r>
    </w:p>
    <w:p>
      <w:pPr>
        <w:pStyle w:val="BodyText"/>
        <w:spacing w:line="480" w:lineRule="auto"/>
        <w:ind w:firstLine="720"/>
      </w:pPr>
      <w:bookmarkStart w:id="151" w:name="ref-12"/>
      <w:bookmarkEnd w:id="151"/>
      <w:r>
        <w:t xml:space="preserve">12. National Aeronautics and Space Administration,</w:t>
      </w:r>
      <w:r>
        <w:t xml:space="preserve"> </w:t>
      </w:r>
      <w:r>
        <w:t xml:space="preserve">“Technology Readiness Assessment Best Practices Guide,”</w:t>
      </w:r>
      <w:r>
        <w:t xml:space="preserve"> </w:t>
      </w:r>
      <w:r>
        <w:t xml:space="preserve">NASA/SP-20205003605, 2020.</w:t>
      </w:r>
    </w:p>
    <w:p>
      <w:pPr>
        <w:pStyle w:val="BodyText"/>
        <w:spacing w:line="480" w:lineRule="auto"/>
        <w:ind w:firstLine="720"/>
      </w:pPr>
      <w:bookmarkStart w:id="152" w:name="ref-13"/>
      <w:bookmarkEnd w:id="152"/>
      <w:r>
        <w:t xml:space="preserve">13. The Planetary Society,</w:t>
      </w:r>
      <w:r>
        <w:t xml:space="preserve"> </w:t>
      </w:r>
      <w:r>
        <w:t xml:space="preserve">“The cost of NASA’s Psyche mission,”</w:t>
      </w:r>
      <w:r>
        <w:t xml:space="preserve"> </w:t>
      </w:r>
      <w:r>
        <w:t xml:space="preserve">2023. Available: https://www.planetary.org/space-policy/psyche-cost</w:t>
      </w:r>
    </w:p>
    <w:p>
      <w:pPr>
        <w:pStyle w:val="BodyText"/>
        <w:spacing w:line="480" w:lineRule="auto"/>
        <w:ind w:firstLine="720"/>
      </w:pPr>
      <w:bookmarkStart w:id="153" w:name="ref-14"/>
      <w:bookmarkEnd w:id="153"/>
      <w:r>
        <w:t xml:space="preserve">14. Multi-Mission Radioisotope Thermoelectric Generator program records, NASA Radioisotope Power Systems Program, NRC briefing, 2014. Available: https://www.lpi.usra.edu/sbag/goals/capability_inputs/Len_Dudzinski_NRC_RPS.pdf</w:t>
      </w:r>
    </w:p>
    <w:p>
      <w:pPr>
        <w:pStyle w:val="BodyText"/>
        <w:spacing w:line="480" w:lineRule="auto"/>
        <w:ind w:firstLine="720"/>
      </w:pPr>
      <w:bookmarkStart w:id="154" w:name="ref-15"/>
      <w:bookmarkEnd w:id="154"/>
      <w:r>
        <w:t xml:space="preserve">15. Greg Finney, IERUS Technologies; Stephen Fox, IERUS Technologies; Bijan Nemati, University of Alabama in Huntsville Center for Applied Optics; Patrick Reardon, University of Alabama in Huntsville Center for Applied Optics. Extremely Accurate Star Tracker for Celestial Navigation (2023). doi:</w:t>
      </w:r>
      <w:r>
        <w:t xml:space="preserve"> </w:t>
      </w:r>
      <w:hyperlink r:id="rId155">
        <w:r>
          <w:rPr>
            <w:rStyle w:val="Hyperlink"/>
          </w:rPr>
          <w:t xml:space="preserve">10.64861/SHKJ5077</w:t>
        </w:r>
      </w:hyperlink>
    </w:p>
    <w:p>
      <w:pPr>
        <w:pStyle w:val="BodyText"/>
        <w:spacing w:line="480" w:lineRule="auto"/>
        <w:ind w:firstLine="720"/>
      </w:pPr>
      <w:bookmarkStart w:id="156" w:name="ref-16"/>
      <w:bookmarkEnd w:id="156"/>
      <w:r>
        <w:t xml:space="preserve">16. Edward E. Montgomery IV, Nexolve/Jacobs ESSSA Group, Les Johnson, NASA Marshall Space Flight Center, Herbert D. Thomas, NASA Marshall Space Flight Center. Feasibility Study for a Near Term Demonstration of Laser-Sail Propulsion from the Ground to Low Earth Orbit (2016).</w:t>
      </w:r>
    </w:p>
    <w:p>
      <w:pPr>
        <w:pStyle w:val="BodyText"/>
        <w:spacing w:line="480" w:lineRule="auto"/>
        <w:ind w:firstLine="720"/>
      </w:pPr>
      <w:bookmarkStart w:id="157" w:name="ref-17"/>
      <w:bookmarkEnd w:id="157"/>
      <w:r>
        <w:t xml:space="preserve">17. James M. De Buizer (Universities Space Research Association – Stratospheric Observatory For Infrared Astronomy). Early Science Results from SOFIA, the World’s Largest Airborne Observatory (2012).</w:t>
      </w:r>
    </w:p>
    <w:p>
      <w:pPr>
        <w:pStyle w:val="BodyText"/>
        <w:spacing w:line="480" w:lineRule="auto"/>
        <w:ind w:firstLine="720"/>
      </w:pPr>
      <w:bookmarkStart w:id="158" w:name="ref-18"/>
      <w:bookmarkEnd w:id="158"/>
      <w:r>
        <w:t xml:space="preserve">18. Stephen Fox, IERUS Technologies, Inc; Greg Finney, IERUS Technologies, Inc; Aaron Mebane, IERUS Technologies, Inc; Bijan Nemati, Tellus1 Scientific; Kevin Ludwick, University of Alabama in Huntsville Center for Applied Optics. Completion and Test of a Compact, Extremely Accurate Star Tracker (2024). doi:</w:t>
      </w:r>
      <w:r>
        <w:t xml:space="preserve"> </w:t>
      </w:r>
      <w:hyperlink r:id="rId159">
        <w:r>
          <w:rPr>
            <w:rStyle w:val="Hyperlink"/>
          </w:rPr>
          <w:t xml:space="preserve">10.64861/VUSE2201</w:t>
        </w:r>
      </w:hyperlink>
    </w:p>
    <w:p>
      <w:pPr>
        <w:pStyle w:val="BodyText"/>
        <w:spacing w:line="480" w:lineRule="auto"/>
        <w:ind w:firstLine="720"/>
      </w:pPr>
      <w:bookmarkStart w:id="160" w:name="ref-19"/>
      <w:bookmarkEnd w:id="160"/>
      <w:r>
        <w:t xml:space="preserve">19. Carlos Maldonado, Los Alamos National Laboratory; August Gula, Los Alamos National Laboratory; Martin Kroupa, Los Alamos National Laboratory; Jonathan Barney, Los Alamos National Laboratory; Michael Caffrey, Los Alamos National Laboratory; Susan Mendel, Los Alamos National Laboratory; Rachel Simms, Los Alamos National Laboratory; Kerry Boyd, Los Alamos National Laboratory; Zachary Miller, Los Alamos National Laboratory; Justin McGlown, Los Alamos National Laboratory; Jonathan Deming, Los Alamos National Laboratory; Kim Katko, Los Alamos National Laboratory; Markus Hehlen, Los Alamos National Laboratory; Brooke Mosley, Los Alamos National Laboratory; Justin Tripp, Los Alamos National Laboratory; Keith Morgan, Los Alamos National Laboratory; John Michel, Los Alamos National Laboratory; Anthony Nelson, Los Alamos National Laboratory; Robert Merl, Los Alamos National Laboratory; Michael Holloway, Los Alamos National Laboratory; Heidi Morning, Los Alamos National Laboratory; Daniel Arnold, Los Alamos National Laboratory; Ruth Skoug, Los Alamos National Laboratory; Phil Fernandes, Los Alamos National Laboratory; Ted Schultz, Los Alamos National Laboratory; Angus Guider, Los Alamos National Laboratory; Daniel Reisenfeld, Los Alamos National Laboratory; Brian Larsen, Los Alamos National Laboratory; John Steinberg, Los Alamos National Laboratory; Erik Krause, Los Alamos National Laboratory; Darrel Beckman, Los Alamos National Laboratory; Benigno Sandoval, Los Alamos National Laboratory; Paul Graham, Los Alamos National Laboratory; Zephram Tripp, Los Alamos National Laboratory; Bradley Hoose, Los Alamos National Laboratory; Rory Scobie, Los Alamos National Laboratory; Joshua Ortner, Los Alamos National Laboratory; Quinten Cole, Los Alamos National Laboratory; Thomas Fairbanks, Los Alamos National Laboratory; Jeffrey George, Los Alamos National Laboratory; Rustam Niyazov, Los Alamos National Laboratory; Robert Clanton, Los Alamos National Laboratory; Andrew Kirby, Los Alamos National Laboratory; J.P. Martinez, Los Alamos National Laboratory; Tracy Gambill, Los Alamos National Laboratory; Melissa Ma, Los Alamos National Laboratory; Kasidit Subsomboon, Los Alamos National Laboratory; Darren Harvey, Los Alamos National Laboratory; Katherine Alano, Los Alamos National Laboratory; Kristina McKeown, Los Alamos National Laboratory; Donathan Ortega, Los Alamos National Laboratory. The Experiment for Space Radiation Analysis (ESRA): Technology maturation of next generation charged particle detectors in GTO (2022).</w:t>
      </w:r>
    </w:p>
    <w:p>
      <w:pPr>
        <w:pStyle w:val="BodyText"/>
        <w:spacing w:line="480" w:lineRule="auto"/>
        <w:ind w:firstLine="720"/>
      </w:pPr>
      <w:bookmarkStart w:id="161" w:name="ref-20"/>
      <w:bookmarkEnd w:id="161"/>
      <w:r>
        <w:t xml:space="preserve">20. Klaus Hodapp (Institute for Astronomy, University of Hawaii), Kenneth Chambers, and the Pan-STARRS Team (Institute for Astronomy, University of Hawaii). Ultraviolet Imaging Probe for the Pan-STARRS-1 Telescope (2006).</w:t>
      </w:r>
    </w:p>
    <w:p>
      <w:pPr>
        <w:pStyle w:val="BodyText"/>
        <w:spacing w:line="480" w:lineRule="auto"/>
        <w:ind w:firstLine="720"/>
      </w:pPr>
      <w:bookmarkStart w:id="162" w:name="ref-21"/>
      <w:bookmarkEnd w:id="162"/>
      <w:r>
        <w:t xml:space="preserve">21. Simon George, Defence Science and Technology Laboratory; Andrew Ash, Defence Science and Technology Laboratory. Future On-Orbit Spacecraft Technologies and Associated Challenges for Space Situational Awareness (2019).</w:t>
      </w:r>
    </w:p>
    <w:p>
      <w:pPr>
        <w:pStyle w:val="BodyText"/>
        <w:spacing w:line="480" w:lineRule="auto"/>
        <w:ind w:firstLine="720"/>
      </w:pPr>
      <w:bookmarkStart w:id="163" w:name="ref-22"/>
      <w:bookmarkEnd w:id="163"/>
      <w:r>
        <w:t xml:space="preserve">22. Roberto Furfaro, University of Arizona; Richard Linares, Massachusetts Institute of Technology; Vishnu Reddy, University of Arizona. Space Objects Classification via Light-Curve Measurements: Deep Convolutional Neural Networks and Model-based Transfer Learning (2018).</w:t>
      </w:r>
    </w:p>
    <w:p>
      <w:pPr>
        <w:pStyle w:val="BodyText"/>
        <w:spacing w:line="480" w:lineRule="auto"/>
        <w:ind w:firstLine="720"/>
      </w:pPr>
      <w:bookmarkStart w:id="164" w:name="ref-23"/>
      <w:bookmarkEnd w:id="164"/>
      <w:r>
        <w:t xml:space="preserve">23. Julius Karlapp; Martin Tajmar. Structural analysis of aerographite solar sail topologies (2026). doi:</w:t>
      </w:r>
      <w:r>
        <w:t xml:space="preserve"> </w:t>
      </w:r>
      <w:hyperlink r:id="rId165">
        <w:r>
          <w:rPr>
            <w:rStyle w:val="Hyperlink"/>
          </w:rPr>
          <w:t xml:space="preserve">10.1016/j.actaastro.2026.03.056</w:t>
        </w:r>
      </w:hyperlink>
    </w:p>
    <w:p>
      <w:pPr>
        <w:pStyle w:val="BodyText"/>
        <w:spacing w:line="480" w:lineRule="auto"/>
        <w:ind w:firstLine="720"/>
      </w:pPr>
      <w:bookmarkStart w:id="166" w:name="ref-24"/>
      <w:bookmarkEnd w:id="166"/>
      <w:r>
        <w:t xml:space="preserve">24. R. L. McNutt; R. F. Wimmer‐Schweingruber; Mike Gruntman; S. M. Krimigis; E. C. Roelof; P. C. Brandt; Steven R. Vernon; Michael Paul; Brian Lathrop; Douglas S. Mehoke; David Napolillo; Robert Stough. Near-term interstellar probe: First step (2019). doi:</w:t>
      </w:r>
      <w:r>
        <w:t xml:space="preserve"> </w:t>
      </w:r>
      <w:hyperlink r:id="rId167">
        <w:r>
          <w:rPr>
            <w:rStyle w:val="Hyperlink"/>
          </w:rPr>
          <w:t xml:space="preserve">10.1016/j.actaastro.2019.06.013</w:t>
        </w:r>
      </w:hyperlink>
    </w:p>
    <w:p>
      <w:pPr>
        <w:pStyle w:val="BodyText"/>
        <w:spacing w:line="480" w:lineRule="auto"/>
        <w:ind w:firstLine="720"/>
      </w:pPr>
      <w:bookmarkStart w:id="168" w:name="ref-25"/>
      <w:bookmarkEnd w:id="168"/>
      <w:r>
        <w:t xml:space="preserve">25. Julius Karlapp; René Heller; Martin Tajmar. Ultrafast transfer of low-mass payloads to Mars and beyond using aerographite solar sails (2024). doi:</w:t>
      </w:r>
      <w:r>
        <w:t xml:space="preserve"> </w:t>
      </w:r>
      <w:hyperlink r:id="rId169">
        <w:r>
          <w:rPr>
            <w:rStyle w:val="Hyperlink"/>
          </w:rPr>
          <w:t xml:space="preserve">10.1016/j.actaastro.2024.03.024</w:t>
        </w:r>
      </w:hyperlink>
    </w:p>
    <w:p>
      <w:pPr>
        <w:pStyle w:val="BodyText"/>
        <w:spacing w:line="480" w:lineRule="auto"/>
        <w:ind w:firstLine="720"/>
      </w:pPr>
      <w:bookmarkStart w:id="170" w:name="ref-26"/>
      <w:bookmarkEnd w:id="170"/>
      <w:r>
        <w:t xml:space="preserve">26. Giancarlo Genta. Interstellar exploration: From science fiction to actual technology (2024). doi:</w:t>
      </w:r>
      <w:r>
        <w:t xml:space="preserve"> </w:t>
      </w:r>
      <w:hyperlink r:id="rId171">
        <w:r>
          <w:rPr>
            <w:rStyle w:val="Hyperlink"/>
          </w:rPr>
          <w:t xml:space="preserve">10.1016/j.actaastro.2024.06.049</w:t>
        </w:r>
      </w:hyperlink>
    </w:p>
    <w:p>
      <w:pPr>
        <w:pStyle w:val="BodyText"/>
        <w:spacing w:line="480" w:lineRule="auto"/>
        <w:ind w:firstLine="720"/>
      </w:pPr>
      <w:bookmarkStart w:id="172" w:name="ref-27"/>
      <w:bookmarkEnd w:id="172"/>
      <w:r>
        <w:t xml:space="preserve">27. Antoine Patureau de Mirand; Jean-Marc Bahu; Olivier Gogdet. Ariane Next, a vision for the next generation of Ariane Launchers (2020). doi:</w:t>
      </w:r>
      <w:r>
        <w:t xml:space="preserve"> </w:t>
      </w:r>
      <w:hyperlink r:id="rId173">
        <w:r>
          <w:rPr>
            <w:rStyle w:val="Hyperlink"/>
          </w:rPr>
          <w:t xml:space="preserve">10.1016/j.actaastro.2020.02.003</w:t>
        </w:r>
      </w:hyperlink>
    </w:p>
    <w:p>
      <w:pPr>
        <w:pStyle w:val="BodyText"/>
        <w:spacing w:line="480" w:lineRule="auto"/>
        <w:ind w:firstLine="720"/>
      </w:pPr>
      <w:bookmarkStart w:id="174" w:name="ref-28"/>
      <w:bookmarkEnd w:id="174"/>
      <w:r>
        <w:t xml:space="preserve">28. Angadh Nanjangud; Craig Underwood; Chakravarthini M. Rai; Steve Eckersley; Martin Sweeting; Paolo Bianco. Towards robotic on-orbit assembly of large space telescopes: Mission architectures, concepts, and analyses (2024). doi:</w:t>
      </w:r>
      <w:r>
        <w:t xml:space="preserve"> </w:t>
      </w:r>
      <w:hyperlink r:id="rId175">
        <w:r>
          <w:rPr>
            <w:rStyle w:val="Hyperlink"/>
          </w:rPr>
          <w:t xml:space="preserve">10.1016/j.actaastro.2024.08.022</w:t>
        </w:r>
      </w:hyperlink>
    </w:p>
    <w:p>
      <w:pPr>
        <w:pStyle w:val="BodyText"/>
        <w:spacing w:line="480" w:lineRule="auto"/>
        <w:ind w:firstLine="720"/>
      </w:pPr>
      <w:bookmarkStart w:id="176" w:name="ref-29"/>
      <w:bookmarkEnd w:id="176"/>
      <w:r>
        <w:t xml:space="preserve">29. Marco Pizzarelli; Francesco Battista. Oxygen–methane rocket thrust chambers: Review of heat transfer experimental studies (2023). doi:</w:t>
      </w:r>
      <w:r>
        <w:t xml:space="preserve"> </w:t>
      </w:r>
      <w:hyperlink r:id="rId177">
        <w:r>
          <w:rPr>
            <w:rStyle w:val="Hyperlink"/>
          </w:rPr>
          <w:t xml:space="preserve">10.1016/j.actaastro.2023.04.028</w:t>
        </w:r>
      </w:hyperlink>
    </w:p>
    <w:p>
      <w:pPr>
        <w:pStyle w:val="BodyText"/>
        <w:spacing w:line="480" w:lineRule="auto"/>
        <w:ind w:firstLine="720"/>
      </w:pPr>
      <w:bookmarkStart w:id="178" w:name="ref-30"/>
      <w:bookmarkEnd w:id="178"/>
      <w:r>
        <w:t xml:space="preserve">30. Erdem Turan; Stefano Speretta; Eberhard Gill. Autonomous navigation for deep space small satellites: Scientific and technological advances (2022). doi:</w:t>
      </w:r>
      <w:r>
        <w:t xml:space="preserve"> </w:t>
      </w:r>
      <w:hyperlink r:id="rId179">
        <w:r>
          <w:rPr>
            <w:rStyle w:val="Hyperlink"/>
          </w:rPr>
          <w:t xml:space="preserve">10.1016/j.actaastro.2021.12.030</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f8268c91a6a6958989ea430c4ef8cd40fd7bf57"/>
    <w:p>
      <w:pPr>
        <w:pStyle w:val="Heading2"/>
        <w:spacing w:line="480" w:lineRule="auto"/>
      </w:pPr>
      <w:r>
        <w:t xml:space="preserve">A.1 Buying Watts by the Kilogram: A Log-Log Learning Curve for Radioisotope Power-System Specific Mass Across Six Decades of Deep Space Flight Units</w:t>
      </w:r>
    </w:p>
    <w:p>
      <w:pPr>
        <w:pStyle w:val="FirstParagraph"/>
        <w:spacing w:line="480" w:lineRule="auto"/>
      </w:pPr>
      <m:oMathPara>
        <m:oMathParaPr>
          <m:jc m:val="center"/>
        </m:oMathParaPr>
        <m:oMath>
          <m:r>
            <m:rPr>
              <m:sty m:val="p"/>
            </m:rPr>
            <m:t>ln</m:t>
          </m:r>
          <m:r>
            <m:rPr>
              <m:sty m:val="p"/>
            </m:rPr>
            <m:t>(</m:t>
          </m:r>
          <m:sSub>
            <m:e>
              <m:r>
                <m:rPr>
                  <m:nor/>
                  <m:sty m:val="p"/>
                </m:rPr>
                <m:t>kgPerWe</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cumUnits</m:t>
              </m:r>
            </m:e>
            <m:sub>
              <m:r>
                <m:t>i</m:t>
              </m:r>
            </m:sub>
          </m:sSub>
          <m:r>
            <m:rPr>
              <m:sty m:val="p"/>
            </m:rPr>
            <m:t>)</m:t>
          </m:r>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-4.2004</w:t>
            </w:r>
          </w:p>
        </w:tc>
        <w:tc>
          <w:tcPr>
            <w:tcW w:w="0" w:type="auto"/>
          </w:tcPr>
          <w:p>
            <w:pPr>
              <w:spacing w:line="240" w:lineRule="auto" w:before="0" w:after="0"/>
              <w:pStyle w:val="Compact"/>
            </w:pPr>
            <w:r>
              <w:rPr>
                <w:sz w:val="20"/>
                <w:szCs w:val="20"/>
              </w:rPr>
              <w:t xml:space="preserve">2.665e-05</w:t>
            </w:r>
          </w:p>
        </w:tc>
        <w:tc>
          <w:tcPr>
            <w:tcW w:w="0" w:type="auto"/>
          </w:tcPr>
          <w:p>
            <w:pPr>
              <w:spacing w:line="240" w:lineRule="auto" w:before="0" w:after="0"/>
              <w:pStyle w:val="Compact"/>
            </w:pPr>
            <w:r>
              <w:rPr>
                <w:sz w:val="20"/>
                <w:szCs w:val="20"/>
              </w:rPr>
              <w:t xml:space="preserve">[-0.7625, -0.2773]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-0.2565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-5.6767</w:t>
            </w:r>
          </w:p>
        </w:tc>
        <w:tc>
          <w:tcPr>
            <w:tcW w:w="0" w:type="auto"/>
          </w:tcPr>
          <w:p>
            <w:pPr>
              <w:spacing w:line="240" w:lineRule="auto" w:before="0" w:after="0"/>
              <w:pStyle w:val="Compact"/>
            </w:pPr>
            <w:r>
              <w:rPr>
                <w:sz w:val="20"/>
                <w:szCs w:val="20"/>
              </w:rPr>
              <w:t xml:space="preserve">1.373e-08</w:t>
            </w:r>
          </w:p>
        </w:tc>
        <w:tc>
          <w:tcPr>
            <w:tcW w:w="0" w:type="auto"/>
          </w:tcPr>
          <w:p>
            <w:pPr>
              <w:spacing w:line="240" w:lineRule="auto" w:before="0" w:after="0"/>
              <w:pStyle w:val="Compact"/>
            </w:pPr>
            <w:r>
              <w:rPr>
                <w:sz w:val="20"/>
                <w:szCs w:val="20"/>
              </w:rPr>
              <w:t xml:space="preserve">[-0.3451, -0.168]</w:t>
            </w:r>
          </w:p>
        </w:tc>
      </w:tr>
    </w:tbl>
    <w:p>
      <w:pPr>
        <w:pStyle w:val="BodyText"/>
        <w:spacing w:line="480" w:lineRule="auto"/>
        <w:ind w:firstLine="720"/>
      </w:pPr>
      <w:r>
        <w:t xml:space="preserve">Fit: N = 40 R2 = 0.5146 elasticity_b = -0.2565 progress_ratio_2^b = 0.8371</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Specific mass against cumulative production for forty documented US space radioisotope power flight units, 1961 to 2020. Each point is one flight unit; the downward drift through SNAP, MHW, and GPHS generations, with the multi-mission MMRTG ruggedization uptick at the right edge, is the learning curve the log-log model estimates." title="" id="184" name="Picture"/>
            <a:graphic>
              <a:graphicData uri="http://schemas.openxmlformats.org/drawingml/2006/picture">
                <pic:pic>
                  <pic:nvPicPr>
                    <pic:cNvPr descr="D:/Claude_Code/brain/collegium/candidates/dissertations/JPL_PLANETARY_10/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Specific mass against cumulative production for forty documented US space radioisotope power flight units, 1961 to 2020. Each point is one flight unit; the downward drift through SNAP, MHW, and GPHS generations, with the multi-mission MMRTG ruggedization uptick at the right edge, is the learning curve the log-log model estimates.</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cum_units</w:t>
            </w:r>
          </w:p>
        </w:tc>
        <w:tc>
          <w:tcPr>
            <w:tcW w:w="0" w:type="auto"/>
          </w:tcPr>
          <w:p>
            <w:pPr>
              <w:spacing w:line="240" w:lineRule="auto" w:before="0" w:after="0"/>
              <w:pStyle w:val="Compact"/>
            </w:pPr>
            <w:r>
              <w:rPr>
                <w:sz w:val="20"/>
                <w:szCs w:val="20"/>
              </w:rPr>
              <w:t xml:space="preserve">model</w:t>
            </w:r>
          </w:p>
        </w:tc>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power_we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kg_per_we</w:t>
            </w:r>
          </w:p>
        </w:tc>
        <w:tc>
          <w:tcPr>
            <w:tcW w:w="0" w:type="auto"/>
          </w:tcPr>
          <w:p>
            <w:pPr>
              <w:spacing w:line="240" w:lineRule="auto" w:before="0" w:after="0"/>
              <w:pStyle w:val="Compact"/>
            </w:pPr>
            <w:r>
              <w:rPr>
                <w:sz w:val="20"/>
                <w:szCs w:val="20"/>
              </w:rPr>
              <w:t xml:space="preserve">we_per_kg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SNAP-3B</w:t>
            </w:r>
          </w:p>
        </w:tc>
        <w:tc>
          <w:tcPr>
            <w:tcW w:w="0" w:type="auto"/>
          </w:tcPr>
          <w:p>
            <w:pPr>
              <w:spacing w:line="240" w:lineRule="auto" w:before="0" w:after="0"/>
              <w:pStyle w:val="Compact"/>
            </w:pPr>
            <w:r>
              <w:rPr>
                <w:sz w:val="20"/>
                <w:szCs w:val="20"/>
              </w:rPr>
              <w:t xml:space="preserve">1961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1.2857</w:t>
            </w:r>
          </w:p>
        </w:tc>
        <w:tc>
          <w:tcPr>
            <w:tcW w:w="0" w:type="auto"/>
          </w:tcPr>
          <w:p>
            <w:pPr>
              <w:spacing w:line="240" w:lineRule="auto" w:before="0" w:after="0"/>
              <w:pStyle w:val="Compact"/>
            </w:pPr>
            <w:r>
              <w:rPr>
                <w:sz w:val="20"/>
                <w:szCs w:val="20"/>
              </w:rPr>
              <w:t xml:space="preserve">Bennett et al., U.S. Space Radioisotope Power Systems and Applications, NTRS 20120000731; Wikipedia, Radioisotope thermoelectric generator (US space RTG table): SNAP-3B 2.7 We, 2.1 kg, Transit-4A 1961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SNAP-9A</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0.492</w:t>
            </w:r>
          </w:p>
        </w:tc>
        <w:tc>
          <w:tcPr>
            <w:tcW w:w="0" w:type="auto"/>
          </w:tcPr>
          <w:p>
            <w:pPr>
              <w:spacing w:line="240" w:lineRule="auto" w:before="0" w:after="0"/>
              <w:pStyle w:val="Compact"/>
            </w:pPr>
            <w:r>
              <w:rPr>
                <w:sz w:val="20"/>
                <w:szCs w:val="20"/>
              </w:rPr>
              <w:t xml:space="preserve">2.0325</w:t>
            </w:r>
          </w:p>
        </w:tc>
        <w:tc>
          <w:tcPr>
            <w:tcW w:w="0" w:type="auto"/>
          </w:tcPr>
          <w:p>
            <w:pPr>
              <w:spacing w:line="240" w:lineRule="auto" w:before="0" w:after="0"/>
              <w:pStyle w:val="Compact"/>
            </w:pPr>
            <w:r>
              <w:rPr>
                <w:sz w:val="20"/>
                <w:szCs w:val="20"/>
              </w:rPr>
              <w:t xml:space="preserve">Wikipedia, Radioisotope thermoelectric generator (US space RTG table); Bennett et al., U.S. Space Radioisotope Power Systems and Applications, NTRS 20120000731: SNAP-9A 25 We, 12.3 kg, Transit 5BN 1963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SNAP-19-Nimbus</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0.4823</w:t>
            </w:r>
          </w:p>
        </w:tc>
        <w:tc>
          <w:tcPr>
            <w:tcW w:w="0" w:type="auto"/>
          </w:tcPr>
          <w:p>
            <w:pPr>
              <w:spacing w:line="240" w:lineRule="auto" w:before="0" w:after="0"/>
              <w:pStyle w:val="Compact"/>
            </w:pPr>
            <w:r>
              <w:rPr>
                <w:sz w:val="20"/>
                <w:szCs w:val="20"/>
              </w:rPr>
              <w:t xml:space="preserve">2.0735</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Nimbus-3 1969, 13.6 kg, 2 units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SNAP-19-Nimbus</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0.4823</w:t>
            </w:r>
          </w:p>
        </w:tc>
        <w:tc>
          <w:tcPr>
            <w:tcW w:w="0" w:type="auto"/>
          </w:tcPr>
          <w:p>
            <w:pPr>
              <w:spacing w:line="240" w:lineRule="auto" w:before="0" w:after="0"/>
              <w:pStyle w:val="Compact"/>
            </w:pPr>
            <w:r>
              <w:rPr>
                <w:sz w:val="20"/>
                <w:szCs w:val="20"/>
              </w:rPr>
              <w:t xml:space="preserve">2.0735</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Nimbus-3 1969, 13.6 kg, 2 units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GPHS-RTG-Galileo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Galileo 1989, 290 We BOL, ~56 kg, 2 units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GPHS-RTG-Galileo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Galileo 1989, 290 We BOL, ~56 kg, 2 units</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GPHS-RTG-Ulysses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Ulysses 1990, GPHS-RTG ~290 We BOL, 56 kg, 1 unit</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GPHS-RTG-NewHorizons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0.224</w:t>
            </w:r>
          </w:p>
        </w:tc>
        <w:tc>
          <w:tcPr>
            <w:tcW w:w="0" w:type="auto"/>
          </w:tcPr>
          <w:p>
            <w:pPr>
              <w:spacing w:line="240" w:lineRule="auto" w:before="0" w:after="0"/>
              <w:pStyle w:val="Compact"/>
            </w:pPr>
            <w:r>
              <w:rPr>
                <w:sz w:val="20"/>
                <w:szCs w:val="20"/>
              </w:rPr>
              <w:t xml:space="preserve">4.4643</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New Horizons 2006, GPHS-RTG 250 We BOL (post-decay delivered), 56 kg, 1 unit</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MMRTG-Curiosity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2.4444</w:t>
            </w:r>
          </w:p>
        </w:tc>
        <w:tc>
          <w:tcPr>
            <w:tcW w:w="0" w:type="auto"/>
          </w:tcPr>
          <w:p>
            <w:pPr>
              <w:spacing w:line="240" w:lineRule="auto" w:before="0" w:after="0"/>
              <w:pStyle w:val="Compact"/>
            </w:pPr>
            <w:r>
              <w:rPr>
                <w:sz w:val="20"/>
                <w:szCs w:val="20"/>
              </w:rPr>
              <w:t xml:space="preserve">Wikipedia, Multi-Mission Radioisotope Thermoelectric Generator; World Nuclear Association, Nuclear Reactors and Radioisotopes for Space (world-nuclear.org): Curiosity/MSL 2011, MMRTG 110 We BOL, 45 kg, 1 unit</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MMRTG-Perseverance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2.4444</w:t>
            </w:r>
          </w:p>
        </w:tc>
        <w:tc>
          <w:tcPr>
            <w:tcW w:w="0" w:type="auto"/>
          </w:tcPr>
          <w:p>
            <w:pPr>
              <w:spacing w:line="240" w:lineRule="auto" w:before="0" w:after="0"/>
              <w:pStyle w:val="Compact"/>
            </w:pPr>
            <w:r>
              <w:rPr>
                <w:sz w:val="20"/>
                <w:szCs w:val="20"/>
              </w:rPr>
              <w:t xml:space="preserve">Wikipedia, Multi-Mission Radioisotope Thermoelectric Generator; World Nuclear Association, Nuclear Reactors and Radioisotopes for Space (world-nuclear.org): Perseverance/Mars2020 2020, MMRTG 110 We BOL, 45 kg, 1 unit</w:t>
            </w:r>
          </w:p>
        </w:tc>
      </w:tr>
    </w:tbl>
    <w:bookmarkEnd w:id="187"/>
    <w:bookmarkStart w:id="188"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kg_per_we</w:t>
            </w:r>
          </w:p>
        </w:tc>
        <w:tc>
          <w:tcPr>
            <w:tcW w:w="0" w:type="auto"/>
          </w:tcPr>
          <w:p>
            <w:pPr>
              <w:spacing w:line="240" w:lineRule="auto" w:before="0" w:after="0"/>
              <w:pStyle w:val="Compact"/>
            </w:pPr>
            <w:r>
              <w:rPr>
                <w:sz w:val="20"/>
                <w:szCs w:val="20"/>
              </w:rPr>
              <w:t xml:space="preserve">Specific mass of a flight radioisotope power unit: unit mass divided by delivered beginning-of-life electrical power (kilograms per watt-electric). The deep space cost-curve metric, since launched mass is the dominant lifecycle cost driver for power delivered beyond the inner solar system.</w:t>
            </w:r>
          </w:p>
        </w:tc>
        <w:tc>
          <w:tcPr>
            <w:tcW w:w="0" w:type="auto"/>
          </w:tcPr>
          <w:p>
            <w:pPr>
              <w:spacing w:line="240" w:lineRule="auto" w:before="0" w:after="0"/>
              <w:pStyle w:val="Compact"/>
            </w:pPr>
            <w:r>
              <w:rPr>
                <w:sz w:val="20"/>
                <w:szCs w:val="20"/>
              </w:rPr>
              <w:t xml:space="preserve">Computed as mass_kg divided by power_we from documented per-model specifications (see data.csv source column)</w:t>
            </w:r>
          </w:p>
        </w:tc>
      </w:tr>
      <w:tr>
        <w:tc>
          <w:tcPr>
            <w:tcW w:w="0" w:type="auto"/>
          </w:tcPr>
          <w:p>
            <w:pPr>
              <w:spacing w:line="240" w:lineRule="auto" w:before="0" w:after="0"/>
              <w:pStyle w:val="Compact"/>
            </w:pPr>
            <w:r>
              <w:rPr>
                <w:sz w:val="20"/>
                <w:szCs w:val="20"/>
              </w:rPr>
              <w:t xml:space="preserve">cum_units</w:t>
            </w:r>
          </w:p>
        </w:tc>
        <w:tc>
          <w:tcPr>
            <w:tcW w:w="0" w:type="auto"/>
          </w:tcPr>
          <w:p>
            <w:pPr>
              <w:spacing w:line="240" w:lineRule="auto" w:before="0" w:after="0"/>
              <w:pStyle w:val="Compact"/>
            </w:pPr>
            <w:r>
              <w:rPr>
                <w:sz w:val="20"/>
                <w:szCs w:val="20"/>
              </w:rPr>
              <w:t xml:space="preserve">Cumulative count of US space radioisotope power flight units produced and flown, ordered by first-flight year. The Wright learning-curve experience axis (units of accumulated production).</w:t>
            </w:r>
          </w:p>
        </w:tc>
        <w:tc>
          <w:tcPr>
            <w:tcW w:w="0" w:type="auto"/>
          </w:tcPr>
          <w:p>
            <w:pPr>
              <w:spacing w:line="240" w:lineRule="auto" w:before="0" w:after="0"/>
              <w:pStyle w:val="Compact"/>
            </w:pPr>
            <w:r>
              <w:rPr>
                <w:sz w:val="20"/>
                <w:szCs w:val="20"/>
              </w:rPr>
              <w:t xml:space="preserve">Running tally over the documented flight manifest from SNAP-3B (Transit-4A, 1961) through MMRTG (Perseverance, 2020)</w:t>
            </w:r>
          </w:p>
        </w:tc>
      </w:tr>
      <w:tr>
        <w:tc>
          <w:tcPr>
            <w:tcW w:w="0" w:type="auto"/>
          </w:tcPr>
          <w:p>
            <w:pPr>
              <w:spacing w:line="240" w:lineRule="auto" w:before="0" w:after="0"/>
              <w:pStyle w:val="Compact"/>
            </w:pPr>
            <w:r>
              <w:rPr>
                <w:sz w:val="20"/>
                <w:szCs w:val="20"/>
              </w:rPr>
              <w:t xml:space="preserve">power_we</w:t>
            </w:r>
          </w:p>
        </w:tc>
        <w:tc>
          <w:tcPr>
            <w:tcW w:w="0" w:type="auto"/>
          </w:tcPr>
          <w:p>
            <w:pPr>
              <w:spacing w:line="240" w:lineRule="auto" w:before="0" w:after="0"/>
              <w:pStyle w:val="Compact"/>
            </w:pPr>
            <w:r>
              <w:rPr>
                <w:sz w:val="20"/>
                <w:szCs w:val="20"/>
              </w:rPr>
              <w:t xml:space="preserve">Beginning-of-life (or beginning-of-mission) electrical power output of the unit, in watts-electric.</w:t>
            </w:r>
          </w:p>
        </w:tc>
        <w:tc>
          <w:tcPr>
            <w:tcW w:w="0" w:type="auto"/>
          </w:tcPr>
          <w:p>
            <w:pPr>
              <w:spacing w:line="240" w:lineRule="auto" w:before="0" w:after="0"/>
              <w:pStyle w:val="Compact"/>
            </w:pPr>
            <w:r>
              <w:rPr>
                <w:sz w:val="20"/>
                <w:szCs w:val="20"/>
              </w:rPr>
              <w:t xml:space="preserve">Per-model figures from World Nuclear Association, Wikipedia RTG tables, NTRS 20120000731, and NASA RPS Legacy Systems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Mass of the radioisotope power unit, in kilograms.</w:t>
            </w:r>
          </w:p>
        </w:tc>
        <w:tc>
          <w:tcPr>
            <w:tcW w:w="0" w:type="auto"/>
          </w:tcPr>
          <w:p>
            <w:pPr>
              <w:spacing w:line="240" w:lineRule="auto" w:before="0" w:after="0"/>
              <w:pStyle w:val="Compact"/>
            </w:pPr>
            <w:r>
              <w:rPr>
                <w:sz w:val="20"/>
                <w:szCs w:val="20"/>
              </w:rPr>
              <w:t xml:space="preserve">Per-model figures from Wikipedia RTG / MHW-RTG / GPHS-RTG / MMRTG entries and World Nuclear Association</w:t>
            </w:r>
          </w:p>
        </w:tc>
      </w:tr>
      <w:tr>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Calendar year of the first mission to carry the unit model variant; used only to order cumulative production.</w:t>
            </w:r>
          </w:p>
        </w:tc>
        <w:tc>
          <w:tcPr>
            <w:tcW w:w="0" w:type="auto"/>
          </w:tcPr>
          <w:p>
            <w:pPr>
              <w:spacing w:line="240" w:lineRule="auto" w:before="0" w:after="0"/>
              <w:pStyle w:val="Compact"/>
            </w:pPr>
            <w:r>
              <w:rPr>
                <w:sz w:val="20"/>
                <w:szCs w:val="20"/>
              </w:rPr>
              <w:t xml:space="preserve">Mission launch records (Transit, Nimbus, Apollo ALSEP, Pioneer, Viking, LES, Voyager, Galileo, Ulysses, Cassini, New Horizons, MSL, Mars 2020)</w:t>
            </w:r>
          </w:p>
        </w:tc>
      </w:tr>
    </w:tbl>
    <w:bookmarkEnd w:id="188"/>
    <w:bookmarkEnd w:id="189"/>
    <w:bookmarkStart w:id="197" w:name="Xb9ed8c0e1fed58168dc833fe1c999262e2e2cb0"/>
    <w:p>
      <w:pPr>
        <w:pStyle w:val="Heading2"/>
        <w:spacing w:line="480" w:lineRule="auto"/>
      </w:pPr>
      <w:r>
        <w:t xml:space="preserve">A.2 Diseconomies of Patience: A Learning-Curve Estimate of How Deep Space Technology Maturation Cost Scales with Accumulated Development Time</w:t>
      </w:r>
    </w:p>
    <w:p>
      <w:pPr>
        <w:pStyle w:val="FirstParagraph"/>
        <w:spacing w:line="480" w:lineRule="auto"/>
      </w:pPr>
      <m:oMathPara>
        <m:oMathParaPr>
          <m:jc m:val="center"/>
        </m:oMathParaPr>
        <m:oMath>
          <m:r>
            <m:rPr>
              <m:sty m:val="p"/>
            </m:rPr>
            <m:t>ln</m:t>
          </m:r>
          <m:r>
            <m:rPr>
              <m:sty m:val="p"/>
            </m:rPr>
            <m:t>(</m:t>
          </m:r>
          <m:sSub>
            <m:e>
              <m:r>
                <m:t>C</m:t>
              </m:r>
            </m:e>
            <m:sub>
              <m:r>
                <m:t>i</m:t>
              </m:r>
            </m:sub>
          </m:sSub>
          <m:r>
            <m:rPr>
              <m:sty m:val="p"/>
            </m:rPr>
            <m:t>)</m:t>
          </m:r>
          <m:r>
            <m:rPr>
              <m:sty m:val="p"/>
            </m:rPr>
            <m:t>=</m:t>
          </m:r>
          <m:r>
            <m:t>α</m:t>
          </m:r>
          <m:r>
            <m:rPr>
              <m:sty m:val="p"/>
            </m:rPr>
            <m:t>+</m:t>
          </m:r>
          <m:r>
            <m:t>β</m:t>
          </m:r>
          <m:r>
            <m:t> </m:t>
          </m:r>
          <m:r>
            <m:rPr>
              <m:sty m:val="p"/>
            </m:rPr>
            <m:t>ln</m:t>
          </m:r>
          <m:r>
            <m:rPr>
              <m:sty m:val="p"/>
            </m:rPr>
            <m:t>(</m:t>
          </m:r>
          <m:sSub>
            <m:e>
              <m:r>
                <m:t>D</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-2.9022</w:t>
            </w:r>
          </w:p>
        </w:tc>
        <w:tc>
          <w:tcPr>
            <w:tcW w:w="0" w:type="auto"/>
          </w:tcPr>
          <w:p>
            <w:pPr>
              <w:spacing w:line="240" w:lineRule="auto" w:before="0" w:after="0"/>
              <w:pStyle w:val="Compact"/>
            </w:pPr>
            <w:r>
              <w:rPr>
                <w:sz w:val="20"/>
                <w:szCs w:val="20"/>
              </w:rPr>
              <w:t xml:space="preserve">5.4967</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0.5975</w:t>
            </w:r>
          </w:p>
        </w:tc>
        <w:tc>
          <w:tcPr>
            <w:tcW w:w="0" w:type="auto"/>
          </w:tcPr>
          <w:p>
            <w:pPr>
              <w:spacing w:line="240" w:lineRule="auto" w:before="0" w:after="0"/>
              <w:pStyle w:val="Compact"/>
            </w:pPr>
            <w:r>
              <w:rPr>
                <w:sz w:val="20"/>
                <w:szCs w:val="20"/>
              </w:rPr>
              <w:t xml:space="preserve">[-13.6756, 7.8712]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1.7926</w:t>
            </w:r>
          </w:p>
        </w:tc>
        <w:tc>
          <w:tcPr>
            <w:tcW w:w="0" w:type="auto"/>
          </w:tcPr>
          <w:p>
            <w:pPr>
              <w:spacing w:line="240" w:lineRule="auto" w:before="0" w:after="0"/>
              <w:pStyle w:val="Compact"/>
            </w:pPr>
            <w:r>
              <w:rPr>
                <w:sz w:val="20"/>
                <w:szCs w:val="20"/>
              </w:rPr>
              <w:t xml:space="preserve">1.283</w:t>
            </w:r>
          </w:p>
        </w:tc>
        <w:tc>
          <w:tcPr>
            <w:tcW w:w="0" w:type="auto"/>
          </w:tcPr>
          <w:p>
            <w:pPr>
              <w:spacing w:line="240" w:lineRule="auto" w:before="0" w:after="0"/>
              <w:pStyle w:val="Compact"/>
            </w:pPr>
            <w:r>
              <w:rPr>
                <w:sz w:val="20"/>
                <w:szCs w:val="20"/>
              </w:rPr>
              <w:t xml:space="preserve">1.3971</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[-0.7221, 4.3072]</w:t>
            </w:r>
          </w:p>
        </w:tc>
      </w:tr>
    </w:tbl>
    <w:p>
      <w:pPr>
        <w:pStyle w:val="BodyText"/>
        <w:spacing w:line="480" w:lineRule="auto"/>
        <w:ind w:firstLine="720"/>
      </w:pPr>
      <w:r>
        <w:t xml:space="preserve">Fit: N = 18 R2 = 0.14 elasticity_b = 1.7926 progress_ratio_2^b = 3.4643</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relationship between total maturation cost and cumulative development duration across 18 deep space and interstellar precursor technology programs. The fitted slope is the cost-time elasticity; a slope above one (H1) indicates that maturation cost rises more than proportionally with accumulated development time." title="" id="192" name="Picture"/>
            <a:graphic>
              <a:graphicData uri="http://schemas.openxmlformats.org/drawingml/2006/picture">
                <pic:pic>
                  <pic:nvPicPr>
                    <pic:cNvPr descr="D:/Claude_Code/brain/collegium/candidates/dissertations/JPL_PLANETARY_10/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relationship between total maturation cost and cumulative development duration across 18 deep space and interstellar precursor technology programs. The fitted slope is the cost-time elasticity; a slope above one (H1) indicates that maturation cost rises more than proportionally with accumulated development time.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tech_family</w:t>
            </w:r>
          </w:p>
        </w:tc>
        <w:tc>
          <w:tcPr>
            <w:tcW w:w="0" w:type="auto"/>
          </w:tcPr>
          <w:p>
            <w:pPr>
              <w:spacing w:line="240" w:lineRule="auto" w:before="0" w:after="0"/>
              <w:pStyle w:val="Compact"/>
            </w:pPr>
            <w:r>
              <w:rPr>
                <w:sz w:val="20"/>
                <w:szCs w:val="20"/>
              </w:rPr>
              <w:t xml:space="preserve">maturation_cost_musd_fy2025</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terminal_trl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KRUSTY Kilopower fission reactor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NASA/NNSA Kilopower KRUSTY program; ~$18M nominal over 3.5 yr (42 months), inflation-adjusted to FY2025; https://en.wikipedia.org/wiki/Kilopower and DSIAC https://dsiac.dtic.mil/articles/space-race-a-look-at-nasas-new-kilopower-fission-reactor/</w:t>
            </w:r>
          </w:p>
        </w:tc>
      </w:tr>
      <w:tr>
        <w:tc>
          <w:tcPr>
            <w:tcW w:w="0" w:type="auto"/>
          </w:tcPr>
          <w:p>
            <w:pPr>
              <w:spacing w:line="240" w:lineRule="auto" w:before="0" w:after="0"/>
              <w:pStyle w:val="Compact"/>
            </w:pPr>
            <w:r>
              <w:rPr>
                <w:sz w:val="20"/>
                <w:szCs w:val="20"/>
              </w:rPr>
              <w:t xml:space="preserve">NSTAR ion thruster (Deep Space 1)</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NSTAR program initiated Sept 1995, flight on Deep Space 1 1998 (~38 months to flight); DS1 development $94.8M FY1998 inflation-adjusted; NASA GRC https://www.grc.nasa.gov/www/ion/past/90s/nstar.htm; DS1 cost https://en.wikipedia.org/wiki/Deep_Space_1</w:t>
            </w:r>
          </w:p>
        </w:tc>
      </w:tr>
      <w:tr>
        <w:tc>
          <w:tcPr>
            <w:tcW w:w="0" w:type="auto"/>
          </w:tcPr>
          <w:p>
            <w:pPr>
              <w:spacing w:line="240" w:lineRule="auto" w:before="0" w:after="0"/>
              <w:pStyle w:val="Compact"/>
            </w:pPr>
            <w:r>
              <w:rPr>
                <w:sz w:val="20"/>
                <w:szCs w:val="20"/>
              </w:rPr>
              <w:t xml:space="preserve">AEPS 12.5kW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NASA/Aerojet Rocketdyne AEPS; April 2016 $67M cost-plus-fixed-fee award, qualification through ~2024 (~96 months), inflation-adjusted; https://en.wikipedia.org/wiki/Advanced_Electric_Propulsion_System</w:t>
            </w:r>
          </w:p>
        </w:tc>
      </w:tr>
      <w:tr>
        <w:tc>
          <w:tcPr>
            <w:tcW w:w="0" w:type="auto"/>
          </w:tcPr>
          <w:p>
            <w:pPr>
              <w:spacing w:line="240" w:lineRule="auto" w:before="0" w:after="0"/>
              <w:pStyle w:val="Compact"/>
            </w:pPr>
            <w:r>
              <w:rPr>
                <w:sz w:val="20"/>
                <w:szCs w:val="20"/>
              </w:rPr>
              <w:t xml:space="preserve">NEXT-C gridded ion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GRC/L3Harris NEXT-C, flight on DART 2021; ~7 yr to flight qualification; NTRS 20190029289; L3Harris https://www.l3harris.com/all-capabilities/solar-electric-propulsion</w:t>
            </w:r>
          </w:p>
        </w:tc>
      </w:tr>
      <w:tr>
        <w:tc>
          <w:tcPr>
            <w:tcW w:w="0" w:type="auto"/>
          </w:tcPr>
          <w:p>
            <w:pPr>
              <w:spacing w:line="240" w:lineRule="auto" w:before="0" w:after="0"/>
              <w:pStyle w:val="Compact"/>
            </w:pPr>
            <w:r>
              <w:rPr>
                <w:sz w:val="20"/>
                <w:szCs w:val="20"/>
              </w:rPr>
              <w:t xml:space="preserve">VASIMR VX-200SS</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Ad Astra Rocket Company; ~$30M invested through 2013 plus NASA NextSTEP awards 2015-2024, inflation-adjusted; SpaceNews https://spacenews.com/facts-about-vasimr-engine-and-its-development/; https://en.wikipedia.org/wiki/Ad_Astra_Rocket_Company</w:t>
            </w:r>
          </w:p>
        </w:tc>
      </w:tr>
      <w:tr>
        <w:tc>
          <w:tcPr>
            <w:tcW w:w="0" w:type="auto"/>
          </w:tcPr>
          <w:p>
            <w:pPr>
              <w:spacing w:line="240" w:lineRule="auto" w:before="0" w:after="0"/>
              <w:pStyle w:val="Compact"/>
            </w:pPr>
            <w:r>
              <w:rPr>
                <w:sz w:val="20"/>
                <w:szCs w:val="20"/>
              </w:rPr>
              <w:t xml:space="preserve">X3 XR-100 nested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NextSTEP XR-100, U-Michigan/JPL/Aerojet; 100kW-class demonstrated; NextSTEP ~3-yr awards; NTRS 20190029289 https://ntrs.nasa.gov/api/citations/20190029289/downloads/20190029289.pdf</w:t>
            </w:r>
          </w:p>
        </w:tc>
      </w:tr>
      <w:tr>
        <w:tc>
          <w:tcPr>
            <w:tcW w:w="0" w:type="auto"/>
          </w:tcPr>
          <w:p>
            <w:pPr>
              <w:spacing w:line="240" w:lineRule="auto" w:before="0" w:after="0"/>
              <w:pStyle w:val="Compact"/>
            </w:pPr>
            <w:r>
              <w:rPr>
                <w:sz w:val="20"/>
                <w:szCs w:val="20"/>
              </w:rPr>
              <w:t xml:space="preserve">MMRTG radioisotope generator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MMRTG R&amp;D ~$83M plus production; flew on MSL 2011 and Mars 2020, inflation-adjusted; https://en.wikipedia.org/wiki/Multi-mission_radioisotope_thermoelectric_generator</w:t>
            </w:r>
          </w:p>
        </w:tc>
      </w:tr>
      <w:tr>
        <w:tc>
          <w:tcPr>
            <w:tcW w:w="0" w:type="auto"/>
          </w:tcPr>
          <w:p>
            <w:pPr>
              <w:spacing w:line="240" w:lineRule="auto" w:before="0" w:after="0"/>
              <w:pStyle w:val="Compact"/>
            </w:pPr>
            <w:r>
              <w:rPr>
                <w:sz w:val="20"/>
                <w:szCs w:val="20"/>
              </w:rPr>
              <w:t xml:space="preserve">ASRG Stirling radioisotope generator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Advanced Stirling Radioisotope Generator; ~$270M spent before Nov 2013 cancellation at TRL 6, inflation-adjusted; https://en.wikipedia.org/wiki/Multi-mission_radioisotope_thermoelectric_generator; NASA RPS https://www.lpi.usra.edu/sbag/goals/capability_inputs/Len_Dudzinski_NRC_RPS.pdf</w:t>
            </w:r>
          </w:p>
        </w:tc>
      </w:tr>
      <w:tr>
        <w:tc>
          <w:tcPr>
            <w:tcW w:w="0" w:type="auto"/>
          </w:tcPr>
          <w:p>
            <w:pPr>
              <w:spacing w:line="240" w:lineRule="auto" w:before="0" w:after="0"/>
              <w:pStyle w:val="Compact"/>
            </w:pPr>
            <w:r>
              <w:rPr>
                <w:sz w:val="20"/>
                <w:szCs w:val="20"/>
              </w:rPr>
              <w:t xml:space="preserve">ROSA roll-out solar array</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Roll-Out Solar Array; DSS SBIR Phase I/II 2009 then ISS flight 2017 and iROSA, inflation-adjusted program estimate; NASA STMD https://www.nasa.gov/directorates/stmd/impact-story-roll-out-solar-arrays/; https://en.wikipedia.org/wiki/Roll_Out_Solar_Array</w:t>
            </w:r>
          </w:p>
        </w:tc>
      </w:tr>
      <w:tr>
        <w:tc>
          <w:tcPr>
            <w:tcW w:w="0" w:type="auto"/>
          </w:tcPr>
          <w:p>
            <w:pPr>
              <w:spacing w:line="240" w:lineRule="auto" w:before="0" w:after="0"/>
              <w:pStyle w:val="Compact"/>
            </w:pPr>
            <w:r>
              <w:rPr>
                <w:sz w:val="20"/>
                <w:szCs w:val="20"/>
              </w:rPr>
              <w:t xml:space="preserve">Starshade S5 occulter</w:t>
            </w:r>
          </w:p>
        </w:tc>
        <w:tc>
          <w:tcPr>
            <w:tcW w:w="0" w:type="auto"/>
          </w:tcPr>
          <w:p>
            <w:pPr>
              <w:spacing w:line="240" w:lineRule="auto" w:before="0" w:after="0"/>
              <w:pStyle w:val="Compact"/>
            </w:pPr>
            <w:r>
              <w:rPr>
                <w:sz w:val="20"/>
                <w:szCs w:val="20"/>
              </w:rPr>
              <w:t xml:space="preserve">Optical/exoplanet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S5 Starshade Technology Development Activity; ~$19M to TRL 5 (~2015-2020), inflation-adjusted; NASA ExEP https://science.nasa.gov/astrophysics/programs/exep/technology/starshade/</w:t>
            </w:r>
          </w:p>
        </w:tc>
      </w:tr>
      <w:tr>
        <w:tc>
          <w:tcPr>
            <w:tcW w:w="0" w:type="auto"/>
          </w:tcPr>
          <w:p>
            <w:pPr>
              <w:spacing w:line="240" w:lineRule="auto" w:before="0" w:after="0"/>
              <w:pStyle w:val="Compact"/>
            </w:pPr>
            <w:r>
              <w:rPr>
                <w:sz w:val="20"/>
                <w:szCs w:val="20"/>
              </w:rPr>
              <w:t xml:space="preserve">DART NEXT-C kinetic impactor</w:t>
            </w:r>
          </w:p>
        </w:tc>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Double Asteroid Redirection Test spacecraft incl NEXT-C demonstration; $324.5M mission ($308M spacecraft) FY2022 inflation-adjusted; Planetary Society https://www.planetary.org/space-policy/cost-of-dart; https://en.wikipedia.org/wiki/Double_Asteroid_Redirection_Test</w:t>
            </w:r>
          </w:p>
        </w:tc>
      </w:tr>
      <w:tr>
        <w:tc>
          <w:tcPr>
            <w:tcW w:w="0" w:type="auto"/>
          </w:tcPr>
          <w:p>
            <w:pPr>
              <w:spacing w:line="240" w:lineRule="auto" w:before="0" w:after="0"/>
              <w:pStyle w:val="Compact"/>
            </w:pPr>
            <w:r>
              <w:rPr>
                <w:sz w:val="20"/>
                <w:szCs w:val="20"/>
              </w:rPr>
              <w:t xml:space="preserve">NEO Surveyor IR survey telescope</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NEO Surveyor cryogenic IR survey telescope; $1.2B development baseline confirmed 2023; SpaceNews https://spacenews.com/nasa-confirms-neo-surveyor-for-2028-launch/; https://en.wikipedia.org/wiki/NEO_Surveyor</w:t>
            </w:r>
          </w:p>
        </w:tc>
      </w:tr>
      <w:tr>
        <w:tc>
          <w:tcPr>
            <w:tcW w:w="0" w:type="auto"/>
          </w:tcPr>
          <w:p>
            <w:pPr>
              <w:spacing w:line="240" w:lineRule="auto" w:before="0" w:after="0"/>
              <w:pStyle w:val="Compact"/>
            </w:pPr>
            <w:r>
              <w:rPr>
                <w:sz w:val="20"/>
                <w:szCs w:val="20"/>
              </w:rPr>
              <w:t xml:space="preserve">Dragonfly rotorcraft mobility</w:t>
            </w:r>
          </w:p>
        </w:tc>
        <w:tc>
          <w:tcPr>
            <w:tcW w:w="0" w:type="auto"/>
          </w:tcPr>
          <w:p>
            <w:pPr>
              <w:spacing w:line="240" w:lineRule="auto" w:before="0" w:after="0"/>
              <w:pStyle w:val="Compact"/>
            </w:pPr>
            <w:r>
              <w:rPr>
                <w:sz w:val="20"/>
                <w:szCs w:val="20"/>
              </w:rPr>
              <w:t xml:space="preserve">Mobility</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Dragonfly Titan rotorcraft; $3.35B confirmed mission cost 2024; SpaceNews https://spacenews.com/nasa-confirms-dragonfly-mission-despite-doubled-costs/; NASA https://science.nasa.gov/missions/dragonfly/nasas-dragonfly-rotorcraft-mission-to-saturns-moon-titan-confirmed/</w:t>
            </w:r>
          </w:p>
        </w:tc>
      </w:tr>
      <w:tr>
        <w:tc>
          <w:tcPr>
            <w:tcW w:w="0" w:type="auto"/>
          </w:tcPr>
          <w:p>
            <w:pPr>
              <w:spacing w:line="240" w:lineRule="auto" w:before="0" w:after="0"/>
              <w:pStyle w:val="Compact"/>
            </w:pPr>
            <w:r>
              <w:rPr>
                <w:sz w:val="20"/>
                <w:szCs w:val="20"/>
              </w:rPr>
              <w:t xml:space="preserve">Europa Clipper REASON radar</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Europa Clipper flagship incl ice-penetrating radar; ~$5.2B full life-cycle cost; JPL https://www.jpl.nasa.gov/press-kits/europa-clipper/quick-facts/; Planetary Society https://www.planetary.org/charts/europa-clipper-cost-chart</w:t>
            </w:r>
          </w:p>
        </w:tc>
      </w:tr>
      <w:tr>
        <w:tc>
          <w:tcPr>
            <w:tcW w:w="0" w:type="auto"/>
          </w:tcPr>
          <w:p>
            <w:pPr>
              <w:spacing w:line="240" w:lineRule="auto" w:before="0" w:after="0"/>
              <w:pStyle w:val="Compact"/>
            </w:pPr>
            <w:r>
              <w:rPr>
                <w:sz w:val="20"/>
                <w:szCs w:val="20"/>
              </w:rPr>
              <w:t xml:space="preserve">Psyche SPT-140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Psyche mission incl commercial SPT-140 Hall thruster; ~$1.4B development incl $159M overruns; flew 2023; JPL https://www.jpl.nasa.gov/press-kits/psyche/mission/; Planetary Society https://www.planetary.org/space-policy/psyche-cost</w:t>
            </w:r>
          </w:p>
        </w:tc>
      </w:tr>
      <w:tr>
        <w:tc>
          <w:tcPr>
            <w:tcW w:w="0" w:type="auto"/>
          </w:tcPr>
          <w:p>
            <w:pPr>
              <w:spacing w:line="240" w:lineRule="auto" w:before="0" w:after="0"/>
              <w:pStyle w:val="Compact"/>
            </w:pPr>
            <w:r>
              <w:rPr>
                <w:sz w:val="20"/>
                <w:szCs w:val="20"/>
              </w:rPr>
              <w:t xml:space="preserve">MOXIE ISRU oxygen demo</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Mars Oxygen ISRU Experiment, Mars 2020 instrument; ~$50M per MIT PI M. Hecht, inflation-adjusted; STMD/JPL/MIT, flight-demonstrated 2021; https://en.wikipedia.org/wiki/Mars_Oxygen_ISRU_Experiment; NASA https://www.nasa.gov/space-technology-mission-directorate/tdm/mars-oxygen-in-situ-resource-utilization-experiment-moxie/</w:t>
            </w:r>
          </w:p>
        </w:tc>
      </w:tr>
      <w:tr>
        <w:tc>
          <w:tcPr>
            <w:tcW w:w="0" w:type="auto"/>
          </w:tcPr>
          <w:p>
            <w:pPr>
              <w:spacing w:line="240" w:lineRule="auto" w:before="0" w:after="0"/>
              <w:pStyle w:val="Compact"/>
            </w:pPr>
            <w:r>
              <w:rPr>
                <w:sz w:val="20"/>
                <w:szCs w:val="20"/>
              </w:rPr>
              <w:t xml:space="preserve">NEP high-power maturation</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 Electric Propulsion Technology Maturation; NASA TechPort current TRL 3 target 5; NTRS 20220017125 https://ntrs.nasa.gov/citations/20220017125 [illustrative cost slice]</w:t>
            </w:r>
          </w:p>
        </w:tc>
      </w:tr>
      <w:tr>
        <w:tc>
          <w:tcPr>
            <w:tcW w:w="0" w:type="auto"/>
          </w:tcPr>
          <w:p>
            <w:pPr>
              <w:spacing w:line="240" w:lineRule="auto" w:before="0" w:after="0"/>
              <w:pStyle w:val="Compact"/>
            </w:pPr>
            <w:r>
              <w:rPr>
                <w:sz w:val="20"/>
                <w:szCs w:val="20"/>
              </w:rPr>
              <w:t xml:space="preserve">Solar sail (NEA Scout / ACS3)</w:t>
            </w:r>
          </w:p>
        </w:tc>
        <w:tc>
          <w:tcPr>
            <w:tcW w:w="0" w:type="auto"/>
          </w:tcPr>
          <w:p>
            <w:pPr>
              <w:spacing w:line="240" w:lineRule="auto" w:before="0" w:after="0"/>
              <w:pStyle w:val="Compact"/>
            </w:pPr>
            <w:r>
              <w:rPr>
                <w:sz w:val="20"/>
                <w:szCs w:val="20"/>
              </w:rPr>
              <w:t xml:space="preserve">Propulsion</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Solar sail tech maturation across NEA Scout and ACS3; NASA STMD/MSFC; ACS3 flight-demonstrated 2024; NASA https://www.nasa.gov/mission/acs3/; https://en.wikipedia.org/wiki/Near-Earth_Asteroid_Scout [illustrative cost slice]</w:t>
            </w:r>
          </w:p>
        </w:tc>
      </w:tr>
    </w:tbl>
    <w:bookmarkEnd w:id="195"/>
    <w:bookmarkStart w:id="196"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maturation_cost_musd_fy2025</w:t>
            </w:r>
          </w:p>
        </w:tc>
        <w:tc>
          <w:tcPr>
            <w:tcW w:w="0" w:type="auto"/>
          </w:tcPr>
          <w:p>
            <w:pPr>
              <w:spacing w:line="240" w:lineRule="auto" w:before="0" w:after="0"/>
              <w:pStyle w:val="Compact"/>
            </w:pPr>
            <w:r>
              <w:rPr>
                <w:sz w:val="20"/>
                <w:szCs w:val="20"/>
              </w:rPr>
              <w:t xml:space="preserve">Total inflation-adjusted technology maturation or program cost in FY2025 USD millions for technology program i</w:t>
            </w:r>
          </w:p>
        </w:tc>
        <w:tc>
          <w:tcPr>
            <w:tcW w:w="0" w:type="auto"/>
          </w:tcPr>
          <w:p>
            <w:pPr>
              <w:spacing w:line="240" w:lineRule="auto" w:before="0" w:after="0"/>
              <w:pStyle w:val="Compact"/>
            </w:pPr>
            <w:r>
              <w:rPr>
                <w:sz w:val="20"/>
                <w:szCs w:val="20"/>
              </w:rPr>
              <w:t xml:space="preserve">Compiled from NASA program records, NTRS technical reports, NASA TechPort, GAO Major-Project assessments, JPL press kits, The Planetary Society cost analyses, and peer-reviewed program-status papers (see data.csv source column); FY adjustment applied to each documented nominal figure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Cumulative funded development duration in months, from program initiation to the documented terminal readiness milestone</w:t>
            </w:r>
          </w:p>
        </w:tc>
        <w:tc>
          <w:tcPr>
            <w:tcW w:w="0" w:type="auto"/>
          </w:tcPr>
          <w:p>
            <w:pPr>
              <w:spacing w:line="240" w:lineRule="auto" w:before="0" w:after="0"/>
              <w:pStyle w:val="Compact"/>
            </w:pPr>
            <w:r>
              <w:rPr>
                <w:sz w:val="20"/>
                <w:szCs w:val="20"/>
              </w:rPr>
              <w:t xml:space="preserve">Program initiation and milestone dates from the same documentation as the cost figure (see data.csv source column)</w:t>
            </w:r>
          </w:p>
        </w:tc>
      </w:tr>
      <w:tr>
        <w:tc>
          <w:tcPr>
            <w:tcW w:w="0" w:type="auto"/>
          </w:tcPr>
          <w:p>
            <w:pPr>
              <w:spacing w:line="240" w:lineRule="auto" w:before="0" w:after="0"/>
              <w:pStyle w:val="Compact"/>
            </w:pPr>
            <w:r>
              <w:rPr>
                <w:sz w:val="20"/>
                <w:szCs w:val="20"/>
              </w:rPr>
              <w:t xml:space="preserve">C_i</w:t>
            </w:r>
          </w:p>
        </w:tc>
        <w:tc>
          <w:tcPr>
            <w:tcW w:w="0" w:type="auto"/>
          </w:tcPr>
          <w:p>
            <w:pPr>
              <w:spacing w:line="240" w:lineRule="auto" w:before="0" w:after="0"/>
              <w:pStyle w:val="Compact"/>
            </w:pPr>
            <w:r>
              <w:rPr>
                <w:sz w:val="20"/>
                <w:szCs w:val="20"/>
              </w:rPr>
              <w:t xml:space="preserve">Total inflation-adjusted maturation cost in FY2025 USD millions for program i</w:t>
            </w:r>
          </w:p>
        </w:tc>
        <w:tc>
          <w:tcPr>
            <w:tcW w:w="0" w:type="auto"/>
          </w:tcPr>
          <w:p>
            <w:pPr>
              <w:spacing w:line="240" w:lineRule="auto" w:before="0" w:after="0"/>
              <w:pStyle w:val="Compact"/>
            </w:pPr>
            <w:r>
              <w:rPr>
                <w:sz w:val="20"/>
                <w:szCs w:val="20"/>
              </w:rPr>
              <w:t xml:space="preserve">Same as maturation_cost_musd_fy2025 source</w:t>
            </w:r>
          </w:p>
        </w:tc>
      </w:tr>
      <w:tr>
        <w:tc>
          <w:tcPr>
            <w:tcW w:w="0" w:type="auto"/>
          </w:tcPr>
          <w:p>
            <w:pPr>
              <w:spacing w:line="240" w:lineRule="auto" w:before="0" w:after="0"/>
              <w:pStyle w:val="Compact"/>
            </w:pPr>
            <w:r>
              <w:rPr>
                <w:sz w:val="20"/>
                <w:szCs w:val="20"/>
              </w:rPr>
              <w:t xml:space="preserve">D_i</w:t>
            </w:r>
          </w:p>
        </w:tc>
        <w:tc>
          <w:tcPr>
            <w:tcW w:w="0" w:type="auto"/>
          </w:tcPr>
          <w:p>
            <w:pPr>
              <w:spacing w:line="240" w:lineRule="auto" w:before="0" w:after="0"/>
              <w:pStyle w:val="Compact"/>
            </w:pPr>
            <w:r>
              <w:rPr>
                <w:sz w:val="20"/>
                <w:szCs w:val="20"/>
              </w:rPr>
              <w:t xml:space="preserve">Cumulative funded development duration in months for program i</w:t>
            </w:r>
          </w:p>
        </w:tc>
        <w:tc>
          <w:tcPr>
            <w:tcW w:w="0" w:type="auto"/>
          </w:tcPr>
          <w:p>
            <w:pPr>
              <w:spacing w:line="240" w:lineRule="auto" w:before="0" w:after="0"/>
              <w:pStyle w:val="Compact"/>
            </w:pPr>
            <w:r>
              <w:rPr>
                <w:sz w:val="20"/>
                <w:szCs w:val="20"/>
              </w:rPr>
              <w:t xml:space="preserve">Same as dev_months source</w:t>
            </w:r>
          </w:p>
        </w:tc>
      </w:tr>
      <w:tr>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Intercept of the log-log model; the fitted log cost of a notional one-month program</w:t>
            </w:r>
          </w:p>
        </w:tc>
        <w:tc>
          <w:tcPr>
            <w:tcW w:w="0" w:type="auto"/>
          </w:tcPr>
          <w:p>
            <w:pPr>
              <w:spacing w:line="240" w:lineRule="auto" w:before="0" w:after="0"/>
              <w:pStyle w:val="Compact"/>
            </w:pPr>
            <w:r>
              <w:rPr>
                <w:sz w:val="20"/>
                <w:szCs w:val="20"/>
              </w:rPr>
              <w:t xml:space="preserve">Estimated</w:t>
            </w:r>
          </w:p>
        </w:tc>
      </w:tr>
      <w:tr>
        <w:tc>
          <w:tcPr>
            <w:tcW w:w="0" w:type="auto"/>
          </w:tcPr>
          <w:p>
            <w:pPr>
              <w:spacing w:line="240" w:lineRule="auto" w:before="0" w:after="0"/>
              <w:pStyle w:val="Compact"/>
            </w:pPr>
            <w:r>
              <w:rPr>
                <w:sz w:val="20"/>
                <w:szCs w:val="20"/>
              </w:rPr>
              <w:t xml:space="preserve">beta</w:t>
            </w:r>
          </w:p>
        </w:tc>
        <w:tc>
          <w:tcPr>
            <w:tcW w:w="0" w:type="auto"/>
          </w:tcPr>
          <w:p>
            <w:pPr>
              <w:spacing w:line="240" w:lineRule="auto" w:before="0" w:after="0"/>
              <w:pStyle w:val="Compact"/>
            </w:pPr>
            <w:r>
              <w:rPr>
                <w:sz w:val="20"/>
                <w:szCs w:val="20"/>
              </w:rPr>
              <w:t xml:space="preserve">Cost-time elasticity; the slope of log cost on log development duration. The associated progress ratio is two raised to the beta power, describing how cost scales per doubling of accumulated development time</w:t>
            </w:r>
          </w:p>
        </w:tc>
        <w:tc>
          <w:tcPr>
            <w:tcW w:w="0" w:type="auto"/>
          </w:tcPr>
          <w:p>
            <w:pPr>
              <w:spacing w:line="240" w:lineRule="auto" w:before="0" w:after="0"/>
              <w:pStyle w:val="Compact"/>
            </w:pPr>
            <w:r>
              <w:rPr>
                <w:sz w:val="20"/>
                <w:szCs w:val="20"/>
              </w:rPr>
              <w:t xml:space="preserve">Estimated</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46" Type="http://schemas.openxmlformats.org/officeDocument/2006/relationships/hyperlink" Target="https://doi.org/10.1016/j.actaastro.2009.03.058" TargetMode="External"/><Relationship Id="rId167" Type="http://schemas.openxmlformats.org/officeDocument/2006/relationships/hyperlink" Target="https://doi.org/10.1016/j.actaastro.2019.06.013" TargetMode="External"/><Relationship Id="rId173" Type="http://schemas.openxmlformats.org/officeDocument/2006/relationships/hyperlink" Target="https://doi.org/10.1016/j.actaastro.2020.02.003" TargetMode="External"/><Relationship Id="rId179" Type="http://schemas.openxmlformats.org/officeDocument/2006/relationships/hyperlink" Target="https://doi.org/10.1016/j.actaastro.2021.12.030" TargetMode="External"/><Relationship Id="rId139" Type="http://schemas.openxmlformats.org/officeDocument/2006/relationships/hyperlink" Target="https://doi.org/10.1016/j.actaastro.2022.04.001" TargetMode="External"/><Relationship Id="rId177" Type="http://schemas.openxmlformats.org/officeDocument/2006/relationships/hyperlink" Target="https://doi.org/10.1016/j.actaastro.2023.04.028" TargetMode="External"/><Relationship Id="rId169" Type="http://schemas.openxmlformats.org/officeDocument/2006/relationships/hyperlink" Target="https://doi.org/10.1016/j.actaastro.2024.03.024" TargetMode="External"/><Relationship Id="rId171" Type="http://schemas.openxmlformats.org/officeDocument/2006/relationships/hyperlink" Target="https://doi.org/10.1016/j.actaastro.2024.06.049" TargetMode="External"/><Relationship Id="rId175" Type="http://schemas.openxmlformats.org/officeDocument/2006/relationships/hyperlink" Target="https://doi.org/10.1016/j.actaastro.2024.08.022" TargetMode="External"/><Relationship Id="rId165" Type="http://schemas.openxmlformats.org/officeDocument/2006/relationships/hyperlink" Target="https://doi.org/10.1016/j.actaastro.2026.03.056" TargetMode="External"/><Relationship Id="rId155" Type="http://schemas.openxmlformats.org/officeDocument/2006/relationships/hyperlink" Target="https://doi.org/10.64861/SHKJ5077" TargetMode="External"/><Relationship Id="rId159" Type="http://schemas.openxmlformats.org/officeDocument/2006/relationships/hyperlink" Target="https://doi.org/10.64861/VUSE2201" TargetMode="External"/></Relationships>
</file>

<file path=word/_rels/footnotes.xml.rels><?xml version='1.0' encoding='UTF-8' standalone='yes'?>
<Relationships xmlns="http://schemas.openxmlformats.org/package/2006/relationships"><Relationship Id="rId146" Type="http://schemas.openxmlformats.org/officeDocument/2006/relationships/hyperlink" Target="https://doi.org/10.1016/j.actaastro.2009.03.058" TargetMode="External"/><Relationship Id="rId167" Type="http://schemas.openxmlformats.org/officeDocument/2006/relationships/hyperlink" Target="https://doi.org/10.1016/j.actaastro.2019.06.013" TargetMode="External"/><Relationship Id="rId173" Type="http://schemas.openxmlformats.org/officeDocument/2006/relationships/hyperlink" Target="https://doi.org/10.1016/j.actaastro.2020.02.003" TargetMode="External"/><Relationship Id="rId179" Type="http://schemas.openxmlformats.org/officeDocument/2006/relationships/hyperlink" Target="https://doi.org/10.1016/j.actaastro.2021.12.030" TargetMode="External"/><Relationship Id="rId139" Type="http://schemas.openxmlformats.org/officeDocument/2006/relationships/hyperlink" Target="https://doi.org/10.1016/j.actaastro.2022.04.001" TargetMode="External"/><Relationship Id="rId177" Type="http://schemas.openxmlformats.org/officeDocument/2006/relationships/hyperlink" Target="https://doi.org/10.1016/j.actaastro.2023.04.028" TargetMode="External"/><Relationship Id="rId169" Type="http://schemas.openxmlformats.org/officeDocument/2006/relationships/hyperlink" Target="https://doi.org/10.1016/j.actaastro.2024.03.024" TargetMode="External"/><Relationship Id="rId171" Type="http://schemas.openxmlformats.org/officeDocument/2006/relationships/hyperlink" Target="https://doi.org/10.1016/j.actaastro.2024.06.049" TargetMode="External"/><Relationship Id="rId175" Type="http://schemas.openxmlformats.org/officeDocument/2006/relationships/hyperlink" Target="https://doi.org/10.1016/j.actaastro.2024.08.022" TargetMode="External"/><Relationship Id="rId165" Type="http://schemas.openxmlformats.org/officeDocument/2006/relationships/hyperlink" Target="https://doi.org/10.1016/j.actaastro.2026.03.056" TargetMode="External"/><Relationship Id="rId155" Type="http://schemas.openxmlformats.org/officeDocument/2006/relationships/hyperlink" Target="https://doi.org/10.64861/SHKJ5077" TargetMode="External"/><Relationship Id="rId159" Type="http://schemas.openxmlformats.org/officeDocument/2006/relationships/hyperlink" Target="https://doi.org/10.64861/VUSE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Maturation Cost Curves for Deep Space and Interstellar Precursor Capabilities</dc:title>
  <dc:creator>Caleb Mbeki (1B-DSX-044)</dc:creator>
  <cp:keywords/>
  <dcterms:created xsi:type="dcterms:W3CDTF">2026-07-03T17:20:07Z</dcterms:created>
  <dcterms:modified xsi:type="dcterms:W3CDTF">2026-07-03T17:20:07Z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