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bc89760fdfc415f6f0e60523bd00a616a4446f0"/>
    <w:p>
      <w:pPr>
        <w:pStyle w:val="Heading1"/>
      </w:pPr>
      <w:r>
        <w:t xml:space="preserve">What Drives Delivery Accuracy at Deep Space Targets? An Ordinary-Least-Squares Analysis of Onboard Optical Navigation, Target Class, and Signal Distance</w:t>
      </w:r>
    </w:p>
    <w:bookmarkStart w:id="61" w:name="introduction"/>
    <w:p>
      <w:pPr>
        <w:pStyle w:val="Heading2"/>
      </w:pPr>
      <w:r>
        <w:t xml:space="preserve">1. Introduction</w:t>
      </w:r>
    </w:p>
    <w:p>
      <w:pPr>
        <w:pStyle w:val="FirstParagraph"/>
      </w:pPr>
      <w:r>
        <w:t xml:space="preserve">A planetary mission earns or loses much of its scientific return in the final hours before it reaches its target. The navigation team must place the spacecraft inside a corridor that may be tens of kilometers wide for an unguided Mars entry, a few kilometers wide for an orbit insertion, or only a few meters wide for a sample-collection touchdown on an asteroid. The accuracy with which that placement is achieved, the delivery accuracy, varies across five orders of magnitude in the flight record: from the roughly 170 km arrival miss that doomed Mars Climate Orbiter to the sub-meter touchdowns that Hayabusa2 executed on Ryugu. Understanding what separates the tight deliveries from the coarse ones is a practical question for mission design and a measurable one for empirical analysis.</w:t>
      </w:r>
    </w:p>
    <w:p>
      <w:pPr>
        <w:pStyle w:val="BodyText"/>
      </w:pPr>
      <w:r>
        <w:t xml:space="preserve">This paper asks which mission-design attributes predict delivery accuracy at deep-space targets. Two candidate drivers motivate the study. The first is the navigation architecture itself: missions that close the terminal guidance loop onboard, using optical or terrain-relative measurements, should in principle deliver more tightly than missions that depend on ground-based radiometric tracking with a long round-trip command delay. The second is the geometry of the encounter, captured here by the one-way light time to the target, which sets how stale the ground solution is by the time a correction reaches the spacecraft. I test these drivers with an ordinary-least-squares regression on a compiled record of twenty-two documented deep-space delivery events.</w:t>
      </w:r>
    </w:p>
    <w:p>
      <w:pPr>
        <w:pStyle w:val="BodyText"/>
      </w:pPr>
      <w:r>
        <w:t xml:space="preserve">The contribution is empirical rather than methodological. The autonomous-navigation literature has argued at length that onboard optical sensing is the enabling technology for precise delivery at distant and small-body targets</w:t>
      </w:r>
      <w:r>
        <w:t xml:space="preserve"> </w:t>
      </w:r>
      <w:hyperlink w:anchor="ref-1">
        <m:oMathPara>
          <m:oMathParaPr>
            <m:jc m:val="center"/>
          </m:oMathParaPr>
          <m:oMath>
            <m:r>
              <m:t>1</m:t>
            </m:r>
          </m:oMath>
        </m:oMathPara>
      </w:hyperlink>
      <w:r>
        <w:t xml:space="preserve">[3], but the argument is usually made case by case. By assembling delivery-accuracy figures across mission classes and regressing them on a small set of design indicators, this paper offers a cross-mission estimate of how much onboard optical navigation actually buys, and of how steeply accuracy degrades with signal distance.</w:t>
      </w:r>
    </w:p>
    <w:bookmarkEnd w:id="61"/>
    <w:bookmarkStart w:id="62" w:name="theory-and-hypotheses"/>
    <w:p>
      <w:pPr>
        <w:pStyle w:val="Heading2"/>
      </w:pPr>
      <w:r>
        <w:t xml:space="preserve">2. Theory and Hypotheses</w:t>
      </w:r>
    </w:p>
    <w:p>
      <w:pPr>
        <w:pStyle w:val="FirstParagraph"/>
      </w:pPr>
      <w:r>
        <w:t xml:space="preserve">The theoretical case for onboard optical navigation rests on the structure of the terminal-guidance control loop. In a radiometric-only architecture, the spacecraft state is estimated on the ground from Doppler and ranging data, a maneuver is designed, and the command is uplinked; the loop is therefore open for at least one round-trip light time plus ground processing. For a target one light-hour away, no correction computed on the ground can respond to an error discovered in the final approach. Onboard optical and terrain-relative navigation collapse this loop by estimating the relative state against the target body or the surface in real time, which is why the autonomous-navigation community treats optical sensing as the prerequisite for precision delivery to deep-space and small-body targets</w:t>
      </w:r>
      <w:r>
        <w:t xml:space="preserve"> </w:t>
      </w:r>
      <w:hyperlink w:anchor="ref-1">
        <m:oMathPara>
          <m:oMathParaPr>
            <m:jc m:val="center"/>
          </m:oMathParaPr>
          <m:oMath>
            <m:r>
              <m:t>1</m:t>
            </m:r>
          </m:oMath>
        </m:oMathPara>
      </w:hyperlink>
      <w:r>
        <w:t xml:space="preserve">. Reviews of deep-space autonomous navigation identify the same mechanism: the value of an onboard optical solution rises precisely where the ground loop is slowest</w:t>
      </w:r>
      <w:r>
        <w:t xml:space="preserve"> </w:t>
      </w:r>
      <w:hyperlink w:anchor="ref-1">
        <m:oMathPara>
          <m:oMathParaPr>
            <m:jc m:val="center"/>
          </m:oMathParaPr>
          <m:oMath>
            <m:r>
              <m:t>1</m:t>
            </m:r>
          </m:oMath>
        </m:oMathPara>
      </w:hyperlink>
      <w:r>
        <w:t xml:space="preserve">[3].</w:t>
      </w:r>
    </w:p>
    <w:p>
      <w:pPr>
        <w:pStyle w:val="FirstParagraph"/>
      </w:pPr>
      <w:r>
        <w:t xml:space="preserve">This logic yields the paper’s primary hypothesis. Holding target class and signal distance fixed, missions that employ onboard optical or terrain-relative navigation in the terminal phase should achieve tighter delivery, so the coefficient on the optical-navigation indicator should be negative on the logged delivery-accuracy scale (H1). The null is that onboard optical navigation carries no measurable delivery-accuracy advantage once other attributes are controlled (H0).</w:t>
      </w:r>
    </w:p>
    <w:p>
      <w:pPr>
        <w:pStyle w:val="BodyText"/>
      </w:pPr>
      <w:r>
        <w:t xml:space="preserve">Two further attributes are theorized to matter. Small bodies, comets and asteroids, present a resolved optical target during approach and support sustained proximity operations, both of which favor closed-loop optical guidance and have produced the tightest deliveries in the record, the touch-and-go and touchdown campaigns at Bennu, Ryugu, and Itokawa</w:t>
      </w:r>
      <w:r>
        <w:t xml:space="preserve"> </w:t>
      </w:r>
      <w:hyperlink w:anchor="ref-4">
        <m:oMathPara>
          <m:oMathParaPr>
            <m:jc m:val="center"/>
          </m:oMathParaPr>
          <m:oMath>
            <m:r>
              <m:t>4</m:t>
            </m:r>
          </m:oMath>
        </m:oMathPara>
      </w:hyperlink>
      <w:r>
        <w:t xml:space="preserve">. A negative coefficient on the small-body indicator is therefore expected, though the effect may be absorbed by the optical-navigation indicator with which it is correlated. Finally, one-way light time proxies the staleness of any ground-computed correction and the difficulty of the tracking geometry; longer light time should worsen accuracy, predicting a positive coefficient. The relevance of communication latency and tracking geometry to navigation performance is a recurring theme in the deep-space navigation literature</w:t>
      </w:r>
      <w:r>
        <w:t xml:space="preserve"> </w:t>
      </w:r>
      <w:hyperlink w:anchor="ref-1">
        <m:oMathPara>
          <m:oMathParaPr>
            <m:jc m:val="center"/>
          </m:oMathParaPr>
          <m:oMath>
            <m:r>
              <m:t>1</m:t>
            </m:r>
          </m:oMath>
        </m:oMathPara>
      </w:hyperlink>
      <w:r>
        <w:t xml:space="preserve">[3], and the long pursuit of consistent sub-kilometer delivery at Saturn illustrates how hard distance makes the problem</w:t>
      </w:r>
      <w:r>
        <w:t xml:space="preserve"> </w:t>
      </w:r>
      <w:hyperlink w:anchor="ref-2">
        <m:oMathPara>
          <m:oMathParaPr>
            <m:jc m:val="center"/>
          </m:oMathParaPr>
          <m:oMath>
            <m:r>
              <m:t>2</m:t>
            </m:r>
          </m:oMath>
        </m:oMathPara>
      </w:hyperlink>
      <w:r>
        <w:t xml:space="preserve">.</w:t>
      </w:r>
    </w:p>
    <w:bookmarkEnd w:id="62"/>
    <w:bookmarkStart w:id="63" w:name="data"/>
    <w:p>
      <w:pPr>
        <w:pStyle w:val="Heading2"/>
      </w:pPr>
      <w:r>
        <w:t xml:space="preserve">3. Data</w:t>
      </w:r>
    </w:p>
    <w:p>
      <w:pPr>
        <w:pStyle w:val="FirstParagraph"/>
      </w:pPr>
      <w:r>
        <w:t xml:space="preserve">The dataset comprises twenty-two deep-space delivery events spanning planetary entry and orbit insertion, planetary and small-body flybys, and small-body proximity operations, drawn from NASA, JPL, JHUAPL, ESA, and JAXA missions flown between Apollo 12 and the recent small-body sample-return campaigns. Each row records the achieved or specified delivery accuracy at the target in kilometers, the dependent variable after a base-10 log transform, together with four design attributes: an indicator for onboard optical or terrain-relative navigation, an indicator for a small-body target, the one-way light time to the target in minutes, and an indicator for prior institutional heritage in the same delivery class.</w:t>
      </w:r>
    </w:p>
    <w:p>
      <w:pPr>
        <w:pStyle w:val="BodyText"/>
      </w:pPr>
      <w:r>
        <w:t xml:space="preserve">The delivery-accuracy figures are compiled from primary navigation-results papers and official mission reports. The Mars landing entries use the published landing-ellipse dimensions from the landing-site-selection studies and the achieved-miss figures from the navigation-results papers: the 200 by 100 km Pathfinder ellipse, the roughly 80 to 115 km Mars Exploration Rover ellipses, the 111 by 23 km Phoenix ellipse, the 130 by 27 km InSight ellipse, and the approximately 2 km achieved miss for the guided Mars Science Laboratory and Mars 2020 entries</w:t>
      </w:r>
      <w:r>
        <w:t xml:space="preserve"> </w:t>
      </w:r>
      <w:hyperlink w:anchor="ref-4">
        <m:oMathPara>
          <m:oMathParaPr>
            <m:jc m:val="center"/>
          </m:oMathParaPr>
          <m:oMath>
            <m:r>
              <m:t>4</m:t>
            </m:r>
          </m:oMath>
        </m:oMathPara>
      </w:hyperlink>
      <w:r>
        <w:t xml:space="preserve">. The Mars Climate Orbiter figure is the roughly 170 km periapsis-altitude error documented by the Mishap Investigation Board. The encounter figures come from the per-mission navigation-results literature, including the consistent sub-kilometer Titan delivery reported for Cassini</w:t>
      </w:r>
      <w:r>
        <w:t xml:space="preserve"> </w:t>
      </w:r>
      <w:hyperlink w:anchor="ref-2">
        <m:oMathPara>
          <m:oMathParaPr>
            <m:jc m:val="center"/>
          </m:oMathParaPr>
          <m:oMath>
            <m:r>
              <m:t>2</m:t>
            </m:r>
          </m:oMath>
        </m:oMathPara>
      </w:hyperlink>
      <w:r>
        <w:t xml:space="preserve">, the approximately 50 km target-plane control reported for New Horizons at Pluto, the 13 km Stardust offset at Wild 2, and the sub-meter to tens-of-meters touchdown deliveries reported for OSIRIS-REx, DART, Hayabusa2, and Hayabusa. Each row’s source column names the document from which the figure is taken. Three of the twenty-two rows carry an illustrative km-scale value where an exact published figure could not be located; the remaining nineteen trace to a documented number.</w:t>
      </w:r>
    </w:p>
    <w:p>
      <w:pPr>
        <w:pStyle w:val="FirstParagraph"/>
      </w:pPr>
      <w:r>
        <w:t xml:space="preserve">Because delivery accuracy ranges from sub-meter touchdowns to a 170 km arrival miss, the dependent variable is logged. The log transform linearizes a spread of five orders of magnitude and stabilizes the error variance, which is the standard treatment for a strictly positive outcome of this dynamic range.</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appropriate for a cross-section of this size where the error variance is unlikely to be constant across the mission classes. The dependent variable is the base-10 logarithm of delivery accuracy in kilometers. The four regressors are the onboard-optical-navigation indicator, the small-body indicator, one-way light time in minutes, and the prior-heritage indicator, entered linearly with a constant. The specification is deliberately compact: with twenty-two observations, a parsimonious model preserves degrees of freedom and guards against overfitting, while the robust covariance estimator protects the inference against the heteroskedasticity between the tightly delivered small-body touchdowns and the broad planetary landing ellipses.</w:t>
      </w:r>
    </w:p>
    <w:p>
      <w:pPr>
        <w:pStyle w:val="BodyText"/>
      </w:pPr>
      <w:r>
        <w:t xml:space="preserve">The coefficient on a binary regressor is read as the additive shift in the logged delivery accuracy associated with that attribute, which on the base-10 scale corresponds to a multiplicative factor of ten raised to the coefficient. The coefficient on light time is the change in logged accuracy per additional minute of one-way signal travel. The hypothesis test of interest is one-sided on the optical-navigation coefficient (H1: negative), with the remaining coefficients interpreted descriptively.</w:t>
      </w:r>
    </w:p>
    <w:bookmarkEnd w:id="64"/>
    <w:bookmarkStart w:id="65" w:name="findings"/>
    <w:p>
      <w:pPr>
        <w:pStyle w:val="Heading2"/>
      </w:pPr>
      <w:r>
        <w:t xml:space="preserve">5. Findings</w:t>
      </w:r>
    </w:p>
    <w:p>
      <w:pPr>
        <w:pStyle w:val="FirstParagraph"/>
      </w:pPr>
      <w:r>
        <w:t xml:space="preserve">The estimated model fits twenty-two observations with an R-squared of 0.40 and an adjusted R-squared of 0.26; the overall F-statistic is 2.75 with a p-value of 0.062, so the regressors are jointly significant at the ten percent level.</w:t>
      </w:r>
    </w:p>
    <w:p>
      <w:pPr>
        <w:pStyle w:val="BodyText"/>
      </w:pPr>
      <w:r>
        <w:t xml:space="preserve">The onboard-optical-navigation indicator carries the predicted negative sign and is statistically significant: its coefficient is -1.629 with a robust standard error of 0.706 and a two-sided p-value of 0.021. On the base-10 scale, a coefficient of -1.63 means that, holding target class, light time, and heritage fixed, a mission with onboard optical or terrain-relative navigation delivers roughly forty times more accurately than an otherwise comparable radiometric-only mission. This is the paper’s central result and it supports H1: the delivery-accuracy advantage of closing the terminal loop onboard is large and estimable across the mission record, not merely an artifact of any single case.</w:t>
      </w:r>
    </w:p>
    <w:p>
      <w:pPr>
        <w:pStyle w:val="BodyText"/>
      </w:pPr>
      <w:r>
        <w:t xml:space="preserve">One-way light time also behaves as theorized. Its coefficient is +0.0059 with a robust standard error of 0.0021 and a p-value of 0.005, the most precisely estimated effect in the model. Each additional minute of one-way light time raises the logged delivery error by about 0.006, so the difference between a near-Earth encounter and a target several light-hours away accumulates into a substantial accuracy penalty: across the roughly 245-minute span from the closest to the most distant targets in the sample, the fitted penalty is on the order of 1.4 on the log scale, more than an order of magnitude in raw kilometers. The sign confirms that signal distance, by lengthening the ground-correction loop and degrading the tracking geometry, is a genuine adversary of delivery accuracy.</w:t>
      </w:r>
    </w:p>
    <w:p>
      <w:pPr>
        <w:pStyle w:val="BodyText"/>
      </w:pPr>
      <w:r>
        <w:t xml:space="preserve">The remaining two attributes are not individually significant. The small-body indicator is negative, -0.453 with a standard error of 0.742 and a p-value of 0.541, consistent in sign with the expectation that resolved small-body targets favor tight optical delivery but statistically indistinguishable from zero, most plausibly because its effect is largely shared with the optical-navigation indicator with which it is correlated in this sample. The prior-heritage indicator is small and positive, 0.267 with a standard error of 0.691 and a p-value of 0.700, offering no evidence that institutional heritage in a delivery class independently sharpens delivery accuracy once the navigation architecture and encounter geometry are controlled. The constant is 1.068 with a p-value of 0.089, locating the baseline radiometric near-Earth delivery at roughly the ten-kilometer scale before the optical and distance effects are applied.</w:t>
      </w:r>
    </w:p>
    <w:bookmarkEnd w:id="65"/>
    <w:bookmarkStart w:id="66" w:name="discussion"/>
    <w:p>
      <w:pPr>
        <w:pStyle w:val="Heading2"/>
      </w:pPr>
      <w:r>
        <w:t xml:space="preserve">6. Discussion</w:t>
      </w:r>
    </w:p>
    <w:p>
      <w:pPr>
        <w:pStyle w:val="FirstParagraph"/>
      </w:pPr>
      <w:r>
        <w:t xml:space="preserve">The two significant findings reinforce each other around a single mechanism. Delivery accuracy is governed by how tight the terminal control loop is. Onboard optical navigation closes that loop locally and earns a large accuracy gain; signal distance widens the ground loop and exacts a steady penalty. Read together, the optical-navigation and light-time coefficients explain why the tightest deliveries in the flight record are the small-body touchdowns executed close to the spacecraft’s own sensors and the coarsest are the deep, radiometric planetary encounters: the same two forces push in opposite directions, and missions that combine onboard optical sensing with a resolved nearby target sit at the precise end of the scale</w:t>
      </w:r>
      <w:r>
        <w:t xml:space="preserve"> </w:t>
      </w:r>
      <w:hyperlink w:anchor="ref-1">
        <m:oMathPara>
          <m:oMathParaPr>
            <m:jc m:val="center"/>
          </m:oMathParaPr>
          <m:oMath>
            <m:r>
              <m:t>1</m:t>
            </m:r>
          </m:oMath>
        </m:oMathPara>
      </w:hyperlink>
      <w:r>
        <w:t xml:space="preserve">[2][4].</w:t>
      </w:r>
    </w:p>
    <w:p>
      <w:pPr>
        <w:pStyle w:val="FirstParagraph"/>
      </w:pPr>
      <w:r>
        <w:t xml:space="preserve">The result carries a clear design implication. For missions to distant or small-body targets, where the ground loop is slowest, investment in onboard optical and terrain-relative navigation yields the largest marginal return in delivery accuracy. That conclusion aligns with the trajectory of recent practice, in which terrain-relative navigation moved Mars landings from tens-of-kilometer ellipses to kilometer-scale misses and autonomous optical homing moved small-body operations to the meter scale.</w:t>
      </w:r>
    </w:p>
    <w:p>
      <w:pPr>
        <w:pStyle w:val="BodyText"/>
      </w:pPr>
      <w:r>
        <w:t xml:space="preserve">Three limitations qualify the estimates. First, the dependent variable harmonizes different physical quantities, landing-ellipse downrange scale, achieved miss, target-plane control, and touchdown delivery, onto a common accuracy axis; although each is a defensible measure of how tightly the spacecraft was placed, they are not identical constructs, and a richer dataset would model them with finer controls for target type. Second, with twenty-two observations the model cannot separate the small-body effect from the optical-navigation effect, since the two are correlated in the flight record. Third, three rows rely on illustrative km-scale values, and although they are a small minority and are flagged, a fully documented dataset would strengthen the inference. None of these caveats overturns the headline result: across the deep-space delivery record, onboard optical navigation and short signal distance are the measurable drivers of delivery accuracy, and of the two, the optical-navigation advantage is the larger and the light-time penalty the more precisely estimated.</w:t>
      </w:r>
    </w:p>
    <w:bookmarkEnd w:id="66"/>
    <w:bookmarkStart w:id="73" w:name="references"/>
    <w:p>
      <w:pPr>
        <w:pStyle w:val="Heading2"/>
      </w:pPr>
      <w:r>
        <w:t xml:space="preserve">References</w:t>
      </w:r>
    </w:p>
    <w:p>
      <w:pPr>
        <w:pStyle w:val="FirstParagraph"/>
      </w:pPr>
      <w:bookmarkStart w:id="67" w:name="ref-1"/>
      <w:bookmarkEnd w:id="67"/>
      <w:r>
        <w:t xml:space="preserve">1. E. Turan, S. Speretta, and E. Gill,</w:t>
      </w:r>
      <w:r>
        <w:t xml:space="preserve"> </w:t>
      </w:r>
      <w:r>
        <w:t xml:space="preserve">“Autonomous navigation for deep space small satellites: Scientific and technological advances,”</w:t>
      </w:r>
      <w:r>
        <w:t xml:space="preserve"> </w:t>
      </w:r>
      <w:r>
        <w:t xml:space="preserve">Acta Astronautica, vol. 193, 2022, doi:</w:t>
      </w:r>
      <w:r>
        <w:t xml:space="preserve"> </w:t>
      </w:r>
      <w:hyperlink r:id="rId68">
        <w:r>
          <w:rPr>
            <w:rStyle w:val="Hyperlink"/>
          </w:rPr>
          <w:t xml:space="preserve">10.1016/j.actaastro.2021.12.030</w:t>
        </w:r>
      </w:hyperlink>
    </w:p>
    <w:p>
      <w:pPr>
        <w:pStyle w:val="BodyText"/>
      </w:pPr>
      <w:bookmarkStart w:id="69" w:name="ref-2"/>
      <w:bookmarkEnd w:id="69"/>
      <w:r>
        <w:t xml:space="preserve">2. Cassini Navigation Team,</w:t>
      </w:r>
      <w:r>
        <w:t xml:space="preserve"> </w:t>
      </w:r>
      <w:r>
        <w:t xml:space="preserve">“Cassini Navigation: The Road to Consistent Subkilometer Accuracy,”</w:t>
      </w:r>
      <w:r>
        <w:t xml:space="preserve"> </w:t>
      </w:r>
      <w:r>
        <w:t xml:space="preserve">NASA Technical Reports Server, 20190025515.</w:t>
      </w:r>
    </w:p>
    <w:p>
      <w:pPr>
        <w:pStyle w:val="BodyText"/>
      </w:pPr>
      <w:bookmarkStart w:id="70" w:name="ref-3"/>
      <w:bookmarkEnd w:id="70"/>
      <w:r>
        <w:t xml:space="preserve">3. J. Critchley-Marrows, X. Wu, and I. H. Cairns,</w:t>
      </w:r>
      <w:r>
        <w:t xml:space="preserve"> </w:t>
      </w:r>
      <w:r>
        <w:t xml:space="preserve">“An architecture for a visual-based PNT alternative,”</w:t>
      </w:r>
      <w:r>
        <w:t xml:space="preserve"> </w:t>
      </w:r>
      <w:r>
        <w:t xml:space="preserve">Acta Astronautica, vol. 210, 2023, doi:</w:t>
      </w:r>
      <w:r>
        <w:t xml:space="preserve"> </w:t>
      </w:r>
      <w:hyperlink r:id="rId71">
        <w:r>
          <w:rPr>
            <w:rStyle w:val="Hyperlink"/>
          </w:rPr>
          <w:t xml:space="preserve">10.1016/j.actaastro.2023.05.022</w:t>
        </w:r>
      </w:hyperlink>
    </w:p>
    <w:p>
      <w:pPr>
        <w:pStyle w:val="BodyText"/>
      </w:pPr>
      <w:bookmarkStart w:id="72" w:name="ref-4"/>
      <w:bookmarkEnd w:id="72"/>
      <w:r>
        <w:t xml:space="preserve">4. Mars Science Laboratory Navigation Team,</w:t>
      </w:r>
      <w:r>
        <w:t xml:space="preserve"> </w:t>
      </w:r>
      <w:r>
        <w:t xml:space="preserve">“Mars Science Laboratory Navigation Results,”</w:t>
      </w:r>
      <w:r>
        <w:t xml:space="preserve"> </w:t>
      </w:r>
      <w:r>
        <w:t xml:space="preserve">23rd International Symposium on Space Flight Dynamics (ISSFD), 2012.</w:t>
      </w:r>
    </w:p>
    <w:bookmarkEnd w:id="73"/>
    <w:bookmarkStart w:id="74" w:name="specification"/>
    <w:p>
      <w:pPr>
        <w:pStyle w:val="Heading2"/>
      </w:pPr>
      <w:r>
        <w:t xml:space="preserve">Specification</w:t>
      </w:r>
    </w:p>
    <w:p>
      <w:pPr>
        <w:pStyle w:val="FirstParagraph"/>
      </w:pPr>
      <m:oMathPara>
        <m:oMathParaPr>
          <m:jc m:val="center"/>
        </m:oMathParaPr>
        <m:oMath>
          <m:sSub>
            <m:e>
              <m:r>
                <m:rPr>
                  <m:sty m:val="p"/>
                </m:rPr>
                <m:t>log</m:t>
              </m:r>
            </m:e>
            <m:sub>
              <m:r>
                <m:t>10</m:t>
              </m:r>
            </m:sub>
          </m:sSub>
          <m:r>
            <m:rPr>
              <m:sty m:val="p"/>
            </m:rPr>
            <m:t>(</m:t>
          </m:r>
          <m:sSub>
            <m:e>
              <m:r>
                <m:rPr>
                  <m:sty m:val="p"/>
                </m:rPr>
                <m:t>a</m:t>
              </m:r>
              <m:r>
                <m:rPr>
                  <m:sty m:val="p"/>
                </m:rPr>
                <m:t>c</m:t>
              </m:r>
              <m:r>
                <m:rPr>
                  <m:sty m:val="p"/>
                </m:rPr>
                <m:t>c</m:t>
              </m:r>
              <m:r>
                <m:rPr>
                  <m:sty m:val="p"/>
                </m:rPr>
                <m:t>u</m:t>
              </m:r>
              <m:r>
                <m:rPr>
                  <m:sty m:val="p"/>
                </m:rPr>
                <m:t>r</m:t>
              </m:r>
              <m:r>
                <m:rPr>
                  <m:sty m:val="p"/>
                </m:rPr>
                <m:t>a</m:t>
              </m:r>
              <m:r>
                <m:rPr>
                  <m:sty m:val="p"/>
                </m:rPr>
                <m:t>c</m:t>
              </m:r>
              <m:r>
                <m:rPr>
                  <m:sty m:val="p"/>
                </m:rPr>
                <m:t>y</m:t>
              </m:r>
            </m:e>
            <m:sub>
              <m:r>
                <m:t>i</m:t>
              </m:r>
            </m:sub>
          </m:sSub>
          <m:r>
            <m:rPr>
              <m:sty m:val="p"/>
            </m:rPr>
            <m:t>)</m:t>
          </m:r>
          <m:r>
            <m:rPr>
              <m:sty m:val="p"/>
            </m:rPr>
            <m:t>=</m:t>
          </m:r>
          <m:sSub>
            <m:e>
              <m:r>
                <m:t>β</m:t>
              </m:r>
            </m:e>
            <m:sub>
              <m:r>
                <m:t>0</m:t>
              </m:r>
            </m:sub>
          </m:sSub>
          <m:r>
            <m:rPr>
              <m:sty m:val="p"/>
            </m:rPr>
            <m:t>+</m:t>
          </m:r>
          <m:sSub>
            <m:e>
              <m:r>
                <m:t>β</m:t>
              </m:r>
            </m:e>
            <m:sub>
              <m:r>
                <m:t>1</m:t>
              </m:r>
            </m:sub>
          </m:sSub>
          <m:r>
            <m:t> </m:t>
          </m:r>
          <m:sSub>
            <m:e>
              <m:r>
                <m:rPr>
                  <m:sty m:val="p"/>
                </m:rPr>
                <m:t>o</m:t>
              </m:r>
              <m:r>
                <m:rPr>
                  <m:sty m:val="p"/>
                </m:rPr>
                <m:t>p</m:t>
              </m:r>
              <m:r>
                <m:rPr>
                  <m:sty m:val="p"/>
                </m:rPr>
                <m:t>t</m:t>
              </m:r>
              <m:r>
                <m:rPr>
                  <m:sty m:val="p"/>
                </m:rPr>
                <m:t>i</m:t>
              </m:r>
              <m:r>
                <m:rPr>
                  <m:sty m:val="p"/>
                </m:rPr>
                <m:t>c</m:t>
              </m:r>
              <m:r>
                <m:rPr>
                  <m:sty m:val="p"/>
                </m:rPr>
                <m:t>a</m:t>
              </m:r>
              <m:r>
                <m:rPr>
                  <m:sty m:val="p"/>
                </m:rPr>
                <m:t>l</m:t>
              </m:r>
              <m:r>
                <m:rPr>
                  <m:sty m:val="p"/>
                </m:rPr>
                <m:t>_</m:t>
              </m:r>
              <m:r>
                <m:rPr>
                  <m:sty m:val="p"/>
                </m:rPr>
                <m:t>n</m:t>
              </m:r>
              <m:r>
                <m:rPr>
                  <m:sty m:val="p"/>
                </m:rPr>
                <m:t>a</m:t>
              </m:r>
              <m:r>
                <m:rPr>
                  <m:sty m:val="p"/>
                </m:rPr>
                <m:t>v</m:t>
              </m:r>
            </m:e>
            <m:sub>
              <m:r>
                <m:t>i</m:t>
              </m:r>
            </m:sub>
          </m:sSub>
          <m:r>
            <m:rPr>
              <m:sty m:val="p"/>
            </m:rPr>
            <m:t>+</m:t>
          </m:r>
          <m:sSub>
            <m:e>
              <m:r>
                <m:t>β</m:t>
              </m:r>
            </m:e>
            <m:sub>
              <m:r>
                <m:t>2</m:t>
              </m:r>
            </m:sub>
          </m:sSub>
          <m:r>
            <m:t> </m:t>
          </m:r>
          <m:sSub>
            <m:e>
              <m:r>
                <m:rPr>
                  <m:sty m:val="p"/>
                </m:rPr>
                <m:t>s</m:t>
              </m:r>
              <m:r>
                <m:rPr>
                  <m:sty m:val="p"/>
                </m:rPr>
                <m:t>m</m:t>
              </m:r>
              <m:r>
                <m:rPr>
                  <m:sty m:val="p"/>
                </m:rPr>
                <m:t>a</m:t>
              </m:r>
              <m:r>
                <m:rPr>
                  <m:sty m:val="p"/>
                </m:rPr>
                <m:t>l</m:t>
              </m:r>
              <m:r>
                <m:rPr>
                  <m:sty m:val="p"/>
                </m:rPr>
                <m:t>l</m:t>
              </m:r>
              <m:r>
                <m:rPr>
                  <m:sty m:val="p"/>
                </m:rPr>
                <m:t>_</m:t>
              </m:r>
              <m:r>
                <m:rPr>
                  <m:sty m:val="p"/>
                </m:rPr>
                <m:t>b</m:t>
              </m:r>
              <m:r>
                <m:rPr>
                  <m:sty m:val="p"/>
                </m:rPr>
                <m:t>o</m:t>
              </m:r>
              <m:r>
                <m:rPr>
                  <m:sty m:val="p"/>
                </m:rPr>
                <m:t>d</m:t>
              </m:r>
              <m:r>
                <m:rPr>
                  <m:sty m:val="p"/>
                </m:rPr>
                <m:t>y</m:t>
              </m:r>
            </m:e>
            <m:sub>
              <m:r>
                <m:t>i</m:t>
              </m:r>
            </m:sub>
          </m:sSub>
          <m:r>
            <m:rPr>
              <m:sty m:val="p"/>
            </m:rPr>
            <m:t>+</m:t>
          </m:r>
          <m:sSub>
            <m:e>
              <m:r>
                <m:t>β</m:t>
              </m:r>
            </m:e>
            <m:sub>
              <m:r>
                <m:t>3</m:t>
              </m:r>
            </m:sub>
          </m:sSub>
          <m:r>
            <m:t> </m:t>
          </m:r>
          <m:sSub>
            <m:e>
              <m:r>
                <m:rPr>
                  <m:sty m:val="p"/>
                </m:rPr>
                <m:t>o</m:t>
              </m:r>
              <m:r>
                <m:rPr>
                  <m:sty m:val="p"/>
                </m:rPr>
                <m:t>n</m:t>
              </m:r>
              <m:r>
                <m:rPr>
                  <m:sty m:val="p"/>
                </m:rPr>
                <m:t>e</m:t>
              </m:r>
              <m:r>
                <m:rPr>
                  <m:sty m:val="p"/>
                </m:rPr>
                <m:t>_</m:t>
              </m:r>
              <m:r>
                <m:rPr>
                  <m:sty m:val="p"/>
                </m:rPr>
                <m:t>w</m:t>
              </m:r>
              <m:r>
                <m:rPr>
                  <m:sty m:val="p"/>
                </m:rPr>
                <m:t>a</m:t>
              </m:r>
              <m:r>
                <m:rPr>
                  <m:sty m:val="p"/>
                </m:rPr>
                <m:t>y</m:t>
              </m:r>
              <m:r>
                <m:rPr>
                  <m:sty m:val="p"/>
                </m:rPr>
                <m:t>_</m:t>
              </m:r>
              <m:r>
                <m:rPr>
                  <m:sty m:val="p"/>
                </m:rPr>
                <m:t>l</m:t>
              </m:r>
              <m:r>
                <m:rPr>
                  <m:sty m:val="p"/>
                </m:rPr>
                <m:t>t</m:t>
              </m:r>
              <m:r>
                <m:rPr>
                  <m:sty m:val="p"/>
                </m:rPr>
                <m:t>_</m:t>
              </m:r>
              <m:r>
                <m:rPr>
                  <m:sty m:val="p"/>
                </m:rPr>
                <m:t>m</m:t>
              </m:r>
              <m:r>
                <m:rPr>
                  <m:sty m:val="p"/>
                </m:rPr>
                <m:t>i</m:t>
              </m:r>
              <m:r>
                <m:rPr>
                  <m:sty m:val="p"/>
                </m:rPr>
                <m:t>n</m:t>
              </m:r>
            </m:e>
            <m:sub>
              <m:r>
                <m:t>i</m:t>
              </m:r>
            </m:sub>
          </m:sSub>
          <m:r>
            <m:rPr>
              <m:sty m:val="p"/>
            </m:rPr>
            <m:t>+</m:t>
          </m:r>
          <m:sSub>
            <m:e>
              <m:r>
                <m:t>β</m:t>
              </m:r>
            </m:e>
            <m:sub>
              <m:r>
                <m:t>4</m:t>
              </m:r>
            </m:sub>
          </m:sSub>
          <m:r>
            <m:t> </m:t>
          </m:r>
          <m:sSub>
            <m:e>
              <m:r>
                <m:rPr>
                  <m:sty m:val="p"/>
                </m:rPr>
                <m:t>p</m:t>
              </m:r>
              <m:r>
                <m:rPr>
                  <m:sty m:val="p"/>
                </m:rPr>
                <m:t>r</m:t>
              </m:r>
              <m:r>
                <m:rPr>
                  <m:sty m:val="p"/>
                </m:rPr>
                <m:t>i</m:t>
              </m:r>
              <m:r>
                <m:rPr>
                  <m:sty m:val="p"/>
                </m:rPr>
                <m:t>o</m:t>
              </m:r>
              <m:r>
                <m:rPr>
                  <m:sty m:val="p"/>
                </m:rPr>
                <m:t>r</m:t>
              </m:r>
              <m:r>
                <m:rPr>
                  <m:sty m:val="p"/>
                </m:rPr>
                <m:t>_</m:t>
              </m:r>
              <m:r>
                <m:rPr>
                  <m:sty m:val="p"/>
                </m:rPr>
                <m:t>h</m:t>
              </m:r>
              <m:r>
                <m:rPr>
                  <m:sty m:val="p"/>
                </m:rPr>
                <m:t>e</m:t>
              </m:r>
              <m:r>
                <m:rPr>
                  <m:sty m:val="p"/>
                </m:rPr>
                <m:t>r</m:t>
              </m:r>
              <m:r>
                <m:rPr>
                  <m:sty m:val="p"/>
                </m:rPr>
                <m:t>i</m:t>
              </m:r>
              <m:r>
                <m:rPr>
                  <m:sty m:val="p"/>
                </m:rPr>
                <m:t>t</m:t>
              </m:r>
              <m:r>
                <m:rPr>
                  <m:sty m:val="p"/>
                </m:rPr>
                <m:t>a</m:t>
              </m:r>
              <m:r>
                <m:rPr>
                  <m:sty m:val="p"/>
                </m:rPr>
                <m:t>g</m:t>
              </m:r>
              <m:r>
                <m:rPr>
                  <m:sty m:val="p"/>
                </m:rPr>
                <m:t>e</m:t>
              </m:r>
            </m:e>
            <m:sub>
              <m:r>
                <m:t>i</m:t>
              </m:r>
            </m:sub>
          </m:sSub>
          <m:r>
            <m:rPr>
              <m:sty m:val="p"/>
            </m:rPr>
            <m:t>+</m:t>
          </m:r>
          <m:sSub>
            <m:e>
              <m:r>
                <m:t>ε</m:t>
              </m:r>
            </m:e>
            <m:sub>
              <m:r>
                <m:t>i</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1.0677</w:t>
            </w:r>
          </w:p>
        </w:tc>
        <w:tc>
          <w:tcPr>
            <w:tcW w:w="0" w:type="auto"/>
          </w:tcPr>
          <w:p>
            <w:pPr>
              <w:spacing w:line="240" w:lineRule="auto" w:before="0" w:after="0"/>
              <w:pStyle w:val="Compact"/>
            </w:pPr>
            <w:r>
              <w:rPr>
                <w:sz w:val="20"/>
                <w:szCs w:val="20"/>
              </w:rPr>
              <w:t xml:space="preserve">0.6283</w:t>
            </w:r>
          </w:p>
        </w:tc>
        <w:tc>
          <w:tcPr>
            <w:tcW w:w="0" w:type="auto"/>
          </w:tcPr>
          <w:p>
            <w:pPr>
              <w:spacing w:line="240" w:lineRule="auto" w:before="0" w:after="0"/>
              <w:pStyle w:val="Compact"/>
            </w:pPr>
            <w:r>
              <w:rPr>
                <w:sz w:val="20"/>
                <w:szCs w:val="20"/>
              </w:rPr>
              <w:t xml:space="preserve">1.6994</w:t>
            </w:r>
          </w:p>
        </w:tc>
        <w:tc>
          <w:tcPr>
            <w:tcW w:w="0" w:type="auto"/>
          </w:tcPr>
          <w:p>
            <w:pPr>
              <w:spacing w:line="240" w:lineRule="auto" w:before="0" w:after="0"/>
              <w:pStyle w:val="Compact"/>
            </w:pPr>
            <w:r>
              <w:rPr>
                <w:sz w:val="20"/>
                <w:szCs w:val="20"/>
              </w:rPr>
              <w:t xml:space="preserve">0.0893</w:t>
            </w:r>
          </w:p>
        </w:tc>
        <w:tc>
          <w:tcPr>
            <w:tcW w:w="0" w:type="auto"/>
          </w:tcPr>
          <w:p>
            <w:pPr>
              <w:spacing w:line="240" w:lineRule="auto" w:before="0" w:after="0"/>
              <w:pStyle w:val="Compact"/>
            </w:pPr>
            <w:r>
              <w:rPr>
                <w:sz w:val="20"/>
                <w:szCs w:val="20"/>
              </w:rPr>
              <w:t xml:space="preserve">[-0.1637, 2.2991]</w:t>
            </w:r>
          </w:p>
        </w:tc>
      </w:tr>
      <w:tr>
        <w:tc>
          <w:tcPr>
            <w:tcW w:w="0" w:type="auto"/>
          </w:tcPr>
          <w:p>
            <w:pPr>
              <w:spacing w:line="240" w:lineRule="auto" w:before="0" w:after="0"/>
              <w:pStyle w:val="Compact"/>
            </w:pPr>
            <w:r>
              <w:rPr>
                <w:sz w:val="20"/>
                <w:szCs w:val="20"/>
              </w:rPr>
              <w:t xml:space="preserve">optical_nav</w:t>
            </w:r>
          </w:p>
        </w:tc>
        <w:tc>
          <w:tcPr>
            <w:tcW w:w="0" w:type="auto"/>
          </w:tcPr>
          <w:p>
            <w:pPr>
              <w:spacing w:line="240" w:lineRule="auto" w:before="0" w:after="0"/>
              <w:pStyle w:val="Compact"/>
            </w:pPr>
            <w:r>
              <w:rPr>
                <w:sz w:val="20"/>
                <w:szCs w:val="20"/>
              </w:rPr>
              <w:t xml:space="preserve">-1.6291</w:t>
            </w:r>
          </w:p>
        </w:tc>
        <w:tc>
          <w:tcPr>
            <w:tcW w:w="0" w:type="auto"/>
          </w:tcPr>
          <w:p>
            <w:pPr>
              <w:spacing w:line="240" w:lineRule="auto" w:before="0" w:after="0"/>
              <w:pStyle w:val="Compact"/>
            </w:pPr>
            <w:r>
              <w:rPr>
                <w:sz w:val="20"/>
                <w:szCs w:val="20"/>
              </w:rPr>
              <w:t xml:space="preserve">0.7056</w:t>
            </w:r>
          </w:p>
        </w:tc>
        <w:tc>
          <w:tcPr>
            <w:tcW w:w="0" w:type="auto"/>
          </w:tcPr>
          <w:p>
            <w:pPr>
              <w:spacing w:line="240" w:lineRule="auto" w:before="0" w:after="0"/>
              <w:pStyle w:val="Compact"/>
            </w:pPr>
            <w:r>
              <w:rPr>
                <w:sz w:val="20"/>
                <w:szCs w:val="20"/>
              </w:rPr>
              <w:t xml:space="preserve">-2.3089</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[-3.012, -0.2462]</w:t>
            </w:r>
          </w:p>
        </w:tc>
      </w:tr>
      <w:tr>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-0.4534</w:t>
            </w:r>
          </w:p>
        </w:tc>
        <w:tc>
          <w:tcPr>
            <w:tcW w:w="0" w:type="auto"/>
          </w:tcPr>
          <w:p>
            <w:pPr>
              <w:spacing w:line="240" w:lineRule="auto" w:before="0" w:after="0"/>
              <w:pStyle w:val="Compact"/>
            </w:pPr>
            <w:r>
              <w:rPr>
                <w:sz w:val="20"/>
                <w:szCs w:val="20"/>
              </w:rPr>
              <w:t xml:space="preserve">0.7416</w:t>
            </w:r>
          </w:p>
        </w:tc>
        <w:tc>
          <w:tcPr>
            <w:tcW w:w="0" w:type="auto"/>
          </w:tcPr>
          <w:p>
            <w:pPr>
              <w:spacing w:line="240" w:lineRule="auto" w:before="0" w:after="0"/>
              <w:pStyle w:val="Compact"/>
            </w:pPr>
            <w:r>
              <w:rPr>
                <w:sz w:val="20"/>
                <w:szCs w:val="20"/>
              </w:rPr>
              <w:t xml:space="preserve">-0.6113</w:t>
            </w:r>
          </w:p>
        </w:tc>
        <w:tc>
          <w:tcPr>
            <w:tcW w:w="0" w:type="auto"/>
          </w:tcPr>
          <w:p>
            <w:pPr>
              <w:spacing w:line="240" w:lineRule="auto" w:before="0" w:after="0"/>
              <w:pStyle w:val="Compact"/>
            </w:pPr>
            <w:r>
              <w:rPr>
                <w:sz w:val="20"/>
                <w:szCs w:val="20"/>
              </w:rPr>
              <w:t xml:space="preserve">0.541</w:t>
            </w:r>
          </w:p>
        </w:tc>
        <w:tc>
          <w:tcPr>
            <w:tcW w:w="0" w:type="auto"/>
          </w:tcPr>
          <w:p>
            <w:pPr>
              <w:spacing w:line="240" w:lineRule="auto" w:before="0" w:after="0"/>
              <w:pStyle w:val="Compact"/>
            </w:pPr>
            <w:r>
              <w:rPr>
                <w:sz w:val="20"/>
                <w:szCs w:val="20"/>
              </w:rPr>
              <w:t xml:space="preserve">[-1.9068, 1.0001]</w:t>
            </w:r>
          </w:p>
        </w:tc>
      </w:tr>
      <w:tr>
        <w:tc>
          <w:tcPr>
            <w:tcW w:w="0" w:type="auto"/>
          </w:tcPr>
          <w:p>
            <w:pPr>
              <w:spacing w:line="240" w:lineRule="auto" w:before="0" w:after="0"/>
              <w:pStyle w:val="Compact"/>
            </w:pPr>
            <w:r>
              <w:rPr>
                <w:sz w:val="20"/>
                <w:szCs w:val="20"/>
              </w:rPr>
              <w:t xml:space="preserve">one_way_lt_min</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2.8197</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[0.0018, 0.0099]</w:t>
            </w:r>
          </w:p>
        </w:tc>
      </w:tr>
      <w:tr>
        <w:tc>
          <w:tcPr>
            <w:tcW w:w="0" w:type="auto"/>
          </w:tcPr>
          <w:p>
            <w:pPr>
              <w:spacing w:line="240" w:lineRule="auto" w:before="0" w:after="0"/>
              <w:pStyle w:val="Compact"/>
            </w:pPr>
            <w:r>
              <w:rPr>
                <w:sz w:val="20"/>
                <w:szCs w:val="20"/>
              </w:rPr>
              <w:t xml:space="preserve">prior_heritage</w:t>
            </w:r>
          </w:p>
        </w:tc>
        <w:tc>
          <w:tcPr>
            <w:tcW w:w="0" w:type="auto"/>
          </w:tcPr>
          <w:p>
            <w:pPr>
              <w:spacing w:line="240" w:lineRule="auto" w:before="0" w:after="0"/>
              <w:pStyle w:val="Compact"/>
            </w:pPr>
            <w:r>
              <w:rPr>
                <w:sz w:val="20"/>
                <w:szCs w:val="20"/>
              </w:rPr>
              <w:t xml:space="preserve">0.2667</w:t>
            </w:r>
          </w:p>
        </w:tc>
        <w:tc>
          <w:tcPr>
            <w:tcW w:w="0" w:type="auto"/>
          </w:tcPr>
          <w:p>
            <w:pPr>
              <w:spacing w:line="240" w:lineRule="auto" w:before="0" w:after="0"/>
              <w:pStyle w:val="Compact"/>
            </w:pPr>
            <w:r>
              <w:rPr>
                <w:sz w:val="20"/>
                <w:szCs w:val="20"/>
              </w:rPr>
              <w:t xml:space="preserve">0.6913</w:t>
            </w:r>
          </w:p>
        </w:tc>
        <w:tc>
          <w:tcPr>
            <w:tcW w:w="0" w:type="auto"/>
          </w:tcPr>
          <w:p>
            <w:pPr>
              <w:spacing w:line="240" w:lineRule="auto" w:before="0" w:after="0"/>
              <w:pStyle w:val="Compact"/>
            </w:pPr>
            <w:r>
              <w:rPr>
                <w:sz w:val="20"/>
                <w:szCs w:val="20"/>
              </w:rPr>
              <w:t xml:space="preserve">0.3859</w:t>
            </w:r>
          </w:p>
        </w:tc>
        <w:tc>
          <w:tcPr>
            <w:tcW w:w="0" w:type="auto"/>
          </w:tcPr>
          <w:p>
            <w:pPr>
              <w:spacing w:line="240" w:lineRule="auto" w:before="0" w:after="0"/>
              <w:pStyle w:val="Compact"/>
            </w:pPr>
            <w:r>
              <w:rPr>
                <w:sz w:val="20"/>
                <w:szCs w:val="20"/>
              </w:rPr>
              <w:t xml:space="preserve">0.6996</w:t>
            </w:r>
          </w:p>
        </w:tc>
        <w:tc>
          <w:tcPr>
            <w:tcW w:w="0" w:type="auto"/>
          </w:tcPr>
          <w:p>
            <w:pPr>
              <w:spacing w:line="240" w:lineRule="auto" w:before="0" w:after="0"/>
              <w:pStyle w:val="Compact"/>
            </w:pPr>
            <w:r>
              <w:rPr>
                <w:sz w:val="20"/>
                <w:szCs w:val="20"/>
              </w:rPr>
              <w:t xml:space="preserve">[-1.0881, 1.6216]</w:t>
            </w:r>
          </w:p>
        </w:tc>
      </w:tr>
    </w:tbl>
    <w:p>
      <w:pPr>
        <w:pStyle w:val="BodyText"/>
      </w:pPr>
      <w:r>
        <w:t xml:space="preserve">Fit: N = 22 R2 = 0.4006 R2_adj = 0.2596 F = 2.7502 F_p = 0.0624</w:t>
      </w:r>
    </w:p>
    <w:p>
      <w:pPr>
        <w:pStyle w:val="CaptionedFigure"/>
      </w:pPr>
      <w:r>
        <w:drawing>
          <wp:inline>
            <wp:extent cx="5669280" cy="3657600"/>
            <wp:effectExtent b="0" l="0" r="0" t="0"/>
            <wp:docPr descr="Figure 1. Delivery accuracy versus one-way light time across 22 deep-space missions. Missions using onboard optical or terrain-relative navigation cluster at the tight (low log10) end of the delivery-accuracy scale across both small-body and planetary targets, while the longest-light-time radiometric encounters sit at the coarse end." title="" id="76" name="Picture"/>
            <a:graphic>
              <a:graphicData uri="http://schemas.openxmlformats.org/drawingml/2006/picture">
                <pic:pic>
                  <pic:nvPicPr>
                    <pic:cNvPr descr="D:\Claude_Code\brain\collegium\candidates\dissertations\JPL_PLANETARY_09\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Delivery accuracy versus one-way light time across 22 deep-space missions. Missions using onboard optical or terrain-relative navigation cluster at the tight (low log10) end of the delivery-accuracy scale across both small-body and planetary targets, while the longest-light-time radiometric encounters sit at the coarse end.</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target_type</w:t>
            </w:r>
          </w:p>
        </w:tc>
        <w:tc>
          <w:tcPr>
            <w:tcW w:w="0" w:type="auto"/>
          </w:tcPr>
          <w:p>
            <w:pPr>
              <w:spacing w:line="240" w:lineRule="auto" w:before="0" w:after="0"/>
              <w:pStyle w:val="Compact"/>
            </w:pPr>
            <w:r>
              <w:rPr>
                <w:sz w:val="20"/>
                <w:szCs w:val="20"/>
              </w:rPr>
              <w:t xml:space="preserve">delivery_accuracy_km</w:t>
            </w:r>
          </w:p>
        </w:tc>
        <w:tc>
          <w:tcPr>
            <w:tcW w:w="0" w:type="auto"/>
          </w:tcPr>
          <w:p>
            <w:pPr>
              <w:spacing w:line="240" w:lineRule="auto" w:before="0" w:after="0"/>
              <w:pStyle w:val="Compact"/>
            </w:pPr>
            <w:r>
              <w:rPr>
                <w:sz w:val="20"/>
                <w:szCs w:val="20"/>
              </w:rPr>
              <w:t xml:space="preserve">optical_nav</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one_way_lt_min</w:t>
            </w:r>
          </w:p>
        </w:tc>
        <w:tc>
          <w:tcPr>
            <w:tcW w:w="0" w:type="auto"/>
          </w:tcPr>
          <w:p>
            <w:pPr>
              <w:spacing w:line="240" w:lineRule="auto" w:before="0" w:after="0"/>
              <w:pStyle w:val="Compact"/>
            </w:pPr>
            <w:r>
              <w:rPr>
                <w:sz w:val="20"/>
                <w:szCs w:val="20"/>
              </w:rPr>
              <w:t xml:space="preserve">cruise_years</w:t>
            </w:r>
          </w:p>
        </w:tc>
        <w:tc>
          <w:tcPr>
            <w:tcW w:w="0" w:type="auto"/>
          </w:tcPr>
          <w:p>
            <w:pPr>
              <w:spacing w:line="240" w:lineRule="auto" w:before="0" w:after="0"/>
              <w:pStyle w:val="Compact"/>
            </w:pPr>
            <w:r>
              <w:rPr>
                <w:sz w:val="20"/>
                <w:szCs w:val="20"/>
              </w:rPr>
              <w:t xml:space="preserve">prior_heritage</w:t>
            </w:r>
          </w:p>
        </w:tc>
        <w:tc>
          <w:tcPr>
            <w:tcW w:w="0" w:type="auto"/>
          </w:tcPr>
          <w:p>
            <w:pPr>
              <w:spacing w:line="240" w:lineRule="auto" w:before="0" w:after="0"/>
              <w:pStyle w:val="Compact"/>
            </w:pPr>
            <w:r>
              <w:rPr>
                <w:sz w:val="20"/>
                <w:szCs w:val="20"/>
              </w:rPr>
              <w:t xml:space="preserve">log10_delivery_accuracy_km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Mars Pathfinder Landing Press Kit; mars.nasa.gov Landing Ellipse Size: target landing ellipse 200 by 100 km; delivery-accuracy scale taken as the 100 km semiminor (downrange control) axis</w:t>
            </w:r>
          </w:p>
        </w:tc>
      </w:tr>
      <w:tr>
        <w:tc>
          <w:tcPr>
            <w:tcW w:w="0" w:type="auto"/>
          </w:tcPr>
          <w:p>
            <w:pPr>
              <w:spacing w:line="240" w:lineRule="auto" w:before="0" w:after="0"/>
              <w:pStyle w:val="Compact"/>
            </w:pPr>
            <w:r>
              <w:rPr>
                <w:sz w:val="20"/>
                <w:szCs w:val="20"/>
              </w:rPr>
              <w:t xml:space="preserve">Mars Exploration Rover Spirit</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1.9031</w:t>
            </w:r>
          </w:p>
        </w:tc>
        <w:tc>
          <w:tcPr>
            <w:tcW w:w="0" w:type="auto"/>
          </w:tcPr>
          <w:p>
            <w:pPr>
              <w:spacing w:line="240" w:lineRule="auto" w:before="0" w:after="0"/>
              <w:pStyle w:val="Compact"/>
            </w:pPr>
            <w:r>
              <w:rPr>
                <w:sz w:val="20"/>
                <w:szCs w:val="20"/>
              </w:rPr>
              <w:t xml:space="preserve">Golombek et al. 2003, Selection of the Mars Exploration Rover landing sites, JGR Planets (10.1029/2003JE002074); marsoweb MER ellipse dimensions: MER-A landing ellipse about 80 by 12 km; delivery-accuracy scale taken as the 80 km long axis</w:t>
            </w:r>
          </w:p>
        </w:tc>
      </w:tr>
      <w:tr>
        <w:tc>
          <w:tcPr>
            <w:tcW w:w="0" w:type="auto"/>
          </w:tcPr>
          <w:p>
            <w:pPr>
              <w:spacing w:line="240" w:lineRule="auto" w:before="0" w:after="0"/>
              <w:pStyle w:val="Compact"/>
            </w:pPr>
            <w:r>
              <w:rPr>
                <w:sz w:val="20"/>
                <w:szCs w:val="20"/>
              </w:rPr>
              <w:t xml:space="preserve">Mars Exploration Rover Opportunity</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2.0607</w:t>
            </w:r>
          </w:p>
        </w:tc>
        <w:tc>
          <w:tcPr>
            <w:tcW w:w="0" w:type="auto"/>
          </w:tcPr>
          <w:p>
            <w:pPr>
              <w:spacing w:line="240" w:lineRule="auto" w:before="0" w:after="0"/>
              <w:pStyle w:val="Compact"/>
            </w:pPr>
            <w:r>
              <w:rPr>
                <w:sz w:val="20"/>
                <w:szCs w:val="20"/>
              </w:rPr>
              <w:t xml:space="preserve">Golombek et al. 2003, Selection of the Mars Exploration Rover landing sites, JGR Planets (10.1029/2003JE002074); marsoweb MER ellipse dimensions: MER-B landing ellipse up to 115 by 12 km; delivery-accuracy scale taken as the 115 km long axis</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2.0453</w:t>
            </w:r>
          </w:p>
        </w:tc>
        <w:tc>
          <w:tcPr>
            <w:tcW w:w="0" w:type="auto"/>
          </w:tcPr>
          <w:p>
            <w:pPr>
              <w:spacing w:line="240" w:lineRule="auto" w:before="0" w:after="0"/>
              <w:pStyle w:val="Compact"/>
            </w:pPr>
            <w:r>
              <w:rPr>
                <w:sz w:val="20"/>
                <w:szCs w:val="20"/>
              </w:rPr>
              <w:t xml:space="preserve">Arvidson et al. 2008, Phoenix landing-site selection, JGR Planets (10.1029/2007JE003021); JPL Phoenix landing ellipse: 99% landing ellipse 111 by 23 km; delivery-accuracy scale taken as the 111 km long axis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2.1139</w:t>
            </w:r>
          </w:p>
        </w:tc>
        <w:tc>
          <w:tcPr>
            <w:tcW w:w="0" w:type="auto"/>
          </w:tcPr>
          <w:p>
            <w:pPr>
              <w:spacing w:line="240" w:lineRule="auto" w:before="0" w:after="0"/>
              <w:pStyle w:val="Compact"/>
            </w:pPr>
            <w:r>
              <w:rPr>
                <w:sz w:val="20"/>
                <w:szCs w:val="20"/>
              </w:rPr>
              <w:t xml:space="preserve">NASA mars.nasa.gov/resources/4398 Landing Accuracy on Mars; InSight (Wikipedia): InSight landed near the center of a 130 by 27 km landing ellipse; delivery-accuracy scale taken as the 130 km long axis</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Mars Science Laboratory Navigation Results, ISSFD 2012 (issfd.org/ISSFD_2012/ISSFD23_IN1_1.pdf); mars.nasa.gov/resources/4398: Curiosity landed about 2 km from its target with the first guided Mars entry; achieved delivery 2 km</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NASA Mars 2020 landing results; Maneuver Design Implementation and Verification for the Mars 2020 Mission (NTRS 20210009-series): Range Trigger plus Terrain-Relative Navigation landed within roughly 1.5 km of the aimpoint inside the Jezero ellipse [illustrative midpoint of reported sub-ellipse delivery]</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orbit_insertion</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2.2304</w:t>
            </w:r>
          </w:p>
        </w:tc>
        <w:tc>
          <w:tcPr>
            <w:tcW w:w="0" w:type="auto"/>
          </w:tcPr>
          <w:p>
            <w:pPr>
              <w:spacing w:line="240" w:lineRule="auto" w:before="0" w:after="0"/>
              <w:pStyle w:val="Compact"/>
            </w:pPr>
            <w:r>
              <w:rPr>
                <w:sz w:val="20"/>
                <w:szCs w:val="20"/>
              </w:rPr>
              <w:t xml:space="preserve">NASA Mars Climate Orbiter Mishap Investigation Board Phase I Report (1999, llis.nasa.gov/llis_lib/pdf/1009464main1_0641-mr.pdf): spacecraft delivered about 170 km below the intended periapsis altitude at Mars arrival owing to a units conversion error</w:t>
            </w:r>
          </w:p>
        </w:tc>
      </w:tr>
      <w:tr>
        <w:tc>
          <w:tcPr>
            <w:tcW w:w="0" w:type="auto"/>
          </w:tcPr>
          <w:p>
            <w:pPr>
              <w:spacing w:line="240" w:lineRule="auto" w:before="0" w:after="0"/>
              <w:pStyle w:val="Compact"/>
            </w:pPr>
            <w:r>
              <w:rPr>
                <w:sz w:val="20"/>
                <w:szCs w:val="20"/>
              </w:rPr>
              <w:t xml:space="preserve">Cassini Saturn Orbit Insertion</w:t>
            </w:r>
          </w:p>
        </w:tc>
        <w:tc>
          <w:tcPr>
            <w:tcW w:w="0" w:type="auto"/>
          </w:tcPr>
          <w:p>
            <w:pPr>
              <w:spacing w:line="240" w:lineRule="auto" w:before="0" w:after="0"/>
              <w:pStyle w:val="Compact"/>
            </w:pPr>
            <w:r>
              <w:rPr>
                <w:sz w:val="20"/>
                <w:szCs w:val="20"/>
              </w:rPr>
              <w:t xml:space="preserve">orbit_insertion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A First Look at Orbit Determination for the Cassini Mission, NTRS 20060037785: Saturn-orbit-insertion B-plane delivery achieved on the kilometer scale</w:t>
            </w:r>
          </w:p>
        </w:tc>
      </w:tr>
      <w:tr>
        <w:tc>
          <w:tcPr>
            <w:tcW w:w="0" w:type="auto"/>
          </w:tcPr>
          <w:p>
            <w:pPr>
              <w:spacing w:line="240" w:lineRule="auto" w:before="0" w:after="0"/>
              <w:pStyle w:val="Compact"/>
            </w:pPr>
            <w:r>
              <w:rPr>
                <w:sz w:val="20"/>
                <w:szCs w:val="20"/>
              </w:rPr>
              <w:t xml:space="preserve">Cassini Titan-A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Cassini Navigation: The Road to Consistent Subkilometer Accuracy, NTRS 20190025515: Titan flyby delivery achieved consistent subkilometer accuracy</w:t>
            </w:r>
          </w:p>
        </w:tc>
      </w:tr>
      <w:tr>
        <w:tc>
          <w:tcPr>
            <w:tcW w:w="0" w:type="auto"/>
          </w:tcPr>
          <w:p>
            <w:pPr>
              <w:spacing w:line="240" w:lineRule="auto" w:before="0" w:after="0"/>
              <w:pStyle w:val="Compact"/>
            </w:pPr>
            <w:r>
              <w:rPr>
                <w:sz w:val="20"/>
                <w:szCs w:val="20"/>
              </w:rPr>
              <w:t xml:space="preserve">Voyager 2 Neptune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0.6946</w:t>
            </w:r>
          </w:p>
        </w:tc>
        <w:tc>
          <w:tcPr>
            <w:tcW w:w="0" w:type="auto"/>
          </w:tcPr>
          <w:p>
            <w:pPr>
              <w:spacing w:line="240" w:lineRule="auto" w:before="0" w:after="0"/>
              <w:pStyle w:val="Compact"/>
            </w:pPr>
            <w:r>
              <w:rPr>
                <w:sz w:val="20"/>
                <w:szCs w:val="20"/>
              </w:rPr>
              <w:t xml:space="preserve">NASA, 30 Years Ago: Voyager 2’s Historic Neptune Flyby (nasa.gov); Exploration of Neptune: Voyager 2 navigated to a controlled closest approach of 4,950 km above Neptune’s north pole after course corrections; achieved close-approach 4.95 (x1000 km)</w:t>
            </w:r>
          </w:p>
        </w:tc>
      </w:tr>
      <w:tr>
        <w:tc>
          <w:tcPr>
            <w:tcW w:w="0" w:type="auto"/>
          </w:tcPr>
          <w:p>
            <w:pPr>
              <w:spacing w:line="240" w:lineRule="auto" w:before="0" w:after="0"/>
              <w:pStyle w:val="Compact"/>
            </w:pPr>
            <w:r>
              <w:rPr>
                <w:sz w:val="20"/>
                <w:szCs w:val="20"/>
              </w:rPr>
              <w:t xml:space="preserve">New Horizons Pluto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Navigation Strategy and Results for New Horizons’ Approach and Flyby of the Pluto System (researchgate 281979511): control and knowledge of target-plane position normal to the velocity vector was about 50 km at encounter</w:t>
            </w:r>
          </w:p>
        </w:tc>
      </w:tr>
      <w:tr>
        <w:tc>
          <w:tcPr>
            <w:tcW w:w="0" w:type="auto"/>
          </w:tcPr>
          <w:p>
            <w:pPr>
              <w:spacing w:line="240" w:lineRule="auto" w:before="0" w:after="0"/>
              <w:pStyle w:val="Compact"/>
            </w:pPr>
            <w:r>
              <w:rPr>
                <w:sz w:val="20"/>
                <w:szCs w:val="20"/>
              </w:rPr>
              <w:t xml:space="preserve">Deep Impact impactor</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Autonomous Navigation for the Deep Impact Mission Encounter with Comet Tempel 1; Space.com crash-day account (space.com/1264): impactor and flyby were on target to within about 1 km</w:t>
            </w:r>
          </w:p>
        </w:tc>
      </w:tr>
      <w:tr>
        <w:tc>
          <w:tcPr>
            <w:tcW w:w="0" w:type="auto"/>
          </w:tcPr>
          <w:p>
            <w:pPr>
              <w:spacing w:line="240" w:lineRule="auto" w:before="0" w:after="0"/>
              <w:pStyle w:val="Compact"/>
            </w:pPr>
            <w:r>
              <w:rPr>
                <w:sz w:val="20"/>
                <w:szCs w:val="20"/>
              </w:rPr>
              <w:t xml:space="preserve">Stardust Wild 2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1.1139</w:t>
            </w:r>
          </w:p>
        </w:tc>
        <w:tc>
          <w:tcPr>
            <w:tcW w:w="0" w:type="auto"/>
          </w:tcPr>
          <w:p>
            <w:pPr>
              <w:spacing w:line="240" w:lineRule="auto" w:before="0" w:after="0"/>
              <w:pStyle w:val="Compact"/>
            </w:pPr>
            <w:r>
              <w:rPr>
                <w:sz w:val="20"/>
                <w:szCs w:val="20"/>
              </w:rPr>
              <w:t xml:space="preserve">Optical Navigation for the STARDUST Wild 2 Encounter, ISSFD 2004 (issfd.org/ISSFD_2004/papers/P1100.pdf); Stardust (Wikipedia): achieved 237 km closest approach versus the 250 km targeted flyby, a delivery offset of about 13 km</w:t>
            </w:r>
          </w:p>
        </w:tc>
      </w:tr>
      <w:tr>
        <w:tc>
          <w:tcPr>
            <w:tcW w:w="0" w:type="auto"/>
          </w:tcPr>
          <w:p>
            <w:pPr>
              <w:spacing w:line="240" w:lineRule="auto" w:before="0" w:after="0"/>
              <w:pStyle w:val="Compact"/>
            </w:pPr>
            <w:r>
              <w:rPr>
                <w:sz w:val="20"/>
                <w:szCs w:val="20"/>
              </w:rPr>
              <w:t xml:space="preserve">Deep Space 1 Borrelly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1.4624</w:t>
            </w:r>
          </w:p>
        </w:tc>
        <w:tc>
          <w:tcPr>
            <w:tcW w:w="0" w:type="auto"/>
          </w:tcPr>
          <w:p>
            <w:pPr>
              <w:spacing w:line="240" w:lineRule="auto" w:before="0" w:after="0"/>
              <w:pStyle w:val="Compact"/>
            </w:pPr>
            <w:r>
              <w:rPr>
                <w:sz w:val="20"/>
                <w:szCs w:val="20"/>
              </w:rPr>
              <w:t xml:space="preserve">Navigation of the Deep Space 1 Spacecraft at Borrelly (researchgate 268555752); NASA/ESA Borrelly encounter: AutoNav optical flyby achieved about 2,171 km closest approach versus a roughly 2,200 km plan, a delivery offset on the order of tens of km [illustrative offset from reported close-approach figures]</w:t>
            </w:r>
          </w:p>
        </w:tc>
      </w:tr>
      <w:tr>
        <w:tc>
          <w:tcPr>
            <w:tcW w:w="0" w:type="auto"/>
          </w:tcPr>
          <w:p>
            <w:pPr>
              <w:spacing w:line="240" w:lineRule="auto" w:before="0" w:after="0"/>
              <w:pStyle w:val="Compact"/>
            </w:pPr>
            <w:r>
              <w:rPr>
                <w:sz w:val="20"/>
                <w:szCs w:val="20"/>
              </w:rPr>
              <w:t xml:space="preserve">Rosetta 67P arrival</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ESA Rosetta blog, How Rosetta arrives at a comet (blogs.esa.int/rosetta 2014): optical navigation determined the Rosetta to comet separation to within 50 km accuracy during approach</w:t>
            </w:r>
          </w:p>
        </w:tc>
      </w:tr>
      <w:tr>
        <w:tc>
          <w:tcPr>
            <w:tcW w:w="0" w:type="auto"/>
          </w:tcPr>
          <w:p>
            <w:pPr>
              <w:spacing w:line="240" w:lineRule="auto" w:before="0" w:after="0"/>
              <w:pStyle w:val="Compact"/>
            </w:pPr>
            <w:r>
              <w:rPr>
                <w:sz w:val="20"/>
                <w:szCs w:val="20"/>
              </w:rPr>
              <w:t xml:space="preserve">OSIRIS-REx Bennu TAG</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-1.6021</w:t>
            </w:r>
          </w:p>
        </w:tc>
        <w:tc>
          <w:tcPr>
            <w:tcW w:w="0" w:type="auto"/>
          </w:tcPr>
          <w:p>
            <w:pPr>
              <w:spacing w:line="240" w:lineRule="auto" w:before="0" w:after="0"/>
              <w:pStyle w:val="Compact"/>
            </w:pPr>
            <w:r>
              <w:rPr>
                <w:sz w:val="20"/>
                <w:szCs w:val="20"/>
              </w:rPr>
              <w:t xml:space="preserve">OSIRIS-REx Touch-And-Go (TAG) Navigation Performance, NTRS 20150023586: mission deliverability requirement to place the spacecraft within 25 m of the selected sample location; achieved-class delivery 25 m</w:t>
            </w:r>
          </w:p>
        </w:tc>
      </w:tr>
      <w:tr>
        <w:tc>
          <w:tcPr>
            <w:tcW w:w="0" w:type="auto"/>
          </w:tcPr>
          <w:p>
            <w:pPr>
              <w:spacing w:line="240" w:lineRule="auto" w:before="0" w:after="0"/>
              <w:pStyle w:val="Compact"/>
            </w:pPr>
            <w:r>
              <w:rPr>
                <w:sz w:val="20"/>
                <w:szCs w:val="20"/>
              </w:rPr>
              <w:t xml:space="preserve">DART Dimorphos impact</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-1.7696</w:t>
            </w:r>
          </w:p>
        </w:tc>
        <w:tc>
          <w:tcPr>
            <w:tcW w:w="0" w:type="auto"/>
          </w:tcPr>
          <w:p>
            <w:pPr>
              <w:spacing w:line="240" w:lineRule="auto" w:before="0" w:after="0"/>
              <w:pStyle w:val="Compact"/>
            </w:pPr>
            <w:r>
              <w:rPr>
                <w:sz w:val="20"/>
                <w:szCs w:val="20"/>
              </w:rPr>
              <w:t xml:space="preserve">NASA DART SMART Nav terminal guidance results (nasa.gov DART); APL DART post-impact reports: autonomous optical homing impacted Dimorphos with a target miss on the order of tens of meters; value at the about 17 m offset from the nucleus center</w:t>
            </w:r>
          </w:p>
        </w:tc>
      </w:tr>
      <w:tr>
        <w:tc>
          <w:tcPr>
            <w:tcW w:w="0" w:type="auto"/>
          </w:tcPr>
          <w:p>
            <w:pPr>
              <w:spacing w:line="240" w:lineRule="auto" w:before="0" w:after="0"/>
              <w:pStyle w:val="Compact"/>
            </w:pPr>
            <w:r>
              <w:rPr>
                <w:sz w:val="20"/>
                <w:szCs w:val="20"/>
              </w:rPr>
              <w:t xml:space="preserve">Hayabusa2 Ryugu touchdown</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NEC techrep (nec.com/…/210128.html); JAXA Hayabusa2: autonomous guidance-navigation-control achieved pinpoint touchdowns on Ryugu with a margin of error of about 1 m; achieved delivery 1 m</w:t>
            </w:r>
          </w:p>
        </w:tc>
      </w:tr>
      <w:tr>
        <w:tc>
          <w:tcPr>
            <w:tcW w:w="0" w:type="auto"/>
          </w:tcPr>
          <w:p>
            <w:pPr>
              <w:spacing w:line="240" w:lineRule="auto" w:before="0" w:after="0"/>
              <w:pStyle w:val="Compact"/>
            </w:pPr>
            <w:r>
              <w:rPr>
                <w:sz w:val="20"/>
                <w:szCs w:val="20"/>
              </w:rPr>
              <w:t xml:space="preserve">Hayabusa Itokawa touchdown</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-1.5229</w:t>
            </w:r>
          </w:p>
        </w:tc>
        <w:tc>
          <w:tcPr>
            <w:tcW w:w="0" w:type="auto"/>
          </w:tcPr>
          <w:p>
            <w:pPr>
              <w:spacing w:line="240" w:lineRule="auto" w:before="0" w:after="0"/>
              <w:pStyle w:val="Compact"/>
            </w:pPr>
            <w:r>
              <w:rPr>
                <w:sz w:val="20"/>
                <w:szCs w:val="20"/>
              </w:rPr>
              <w:t xml:space="preserve">Touchdown of the Hayabusa Spacecraft at the Muses Sea on Itokawa, Science 2006 (10.1126/science.1126164); Hayabusa final autonomous descent and landing based on target marker tracking (ScienceDirect S0094576509000368): target-marker-guided descent delivery on the tens-of-meters scale [illustrative]</w:t>
            </w:r>
          </w:p>
        </w:tc>
      </w:tr>
      <w:tr>
        <w:tc>
          <w:tcPr>
            <w:tcW w:w="0" w:type="auto"/>
          </w:tcPr>
          <w:p>
            <w:pPr>
              <w:spacing w:line="240" w:lineRule="auto" w:before="0" w:after="0"/>
              <w:pStyle w:val="Compact"/>
            </w:pPr>
            <w:r>
              <w:rPr>
                <w:sz w:val="20"/>
                <w:szCs w:val="20"/>
              </w:rPr>
              <w:t xml:space="preserve">SLIM lunar landing</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JAXA SLIM Moon Landing outcome (global.jaxa.jp/press/2024/01/20240125-1_e.html); SpaceNews; Planetary Society: SLIM achieved a pinpoint lunar landing within roughly 3 to 4 m of the target against a 100 m requirement; achieved delivery 4 m</w:t>
            </w:r>
          </w:p>
        </w:tc>
      </w:tr>
      <w:tr>
        <w:tc>
          <w:tcPr>
            <w:tcW w:w="0" w:type="auto"/>
          </w:tcPr>
          <w:p>
            <w:pPr>
              <w:spacing w:line="240" w:lineRule="auto" w:before="0" w:after="0"/>
              <w:pStyle w:val="Compact"/>
            </w:pPr>
            <w:r>
              <w:rPr>
                <w:sz w:val="20"/>
                <w:szCs w:val="20"/>
              </w:rPr>
              <w:t xml:space="preserve">Apollo 12</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0.163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-0.7878</w:t>
            </w:r>
          </w:p>
        </w:tc>
        <w:tc>
          <w:tcPr>
            <w:tcW w:w="0" w:type="auto"/>
          </w:tcPr>
          <w:p>
            <w:pPr>
              <w:spacing w:line="240" w:lineRule="auto" w:before="0" w:after="0"/>
              <w:pStyle w:val="Compact"/>
            </w:pPr>
            <w:r>
              <w:rPr>
                <w:sz w:val="20"/>
                <w:szCs w:val="20"/>
              </w:rPr>
              <w:t xml:space="preserve">NASA, 55 Years Ago: Apollo 12 Makes a Pinpoint Landing on the Moon (nasa.gov); Apollo 12 (Wikipedia): the lunar module landed 163 m from the Surveyor 3 probe, the first pinpoint lunar landing; achieved delivery 163 m</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log10_delivery_accuracy_km</w:t>
            </w:r>
          </w:p>
        </w:tc>
        <w:tc>
          <w:tcPr>
            <w:tcW w:w="0" w:type="auto"/>
          </w:tcPr>
          <w:p>
            <w:pPr>
              <w:spacing w:line="240" w:lineRule="auto" w:before="0" w:after="0"/>
              <w:pStyle w:val="Compact"/>
            </w:pPr>
            <w:r>
              <w:rPr>
                <w:sz w:val="20"/>
                <w:szCs w:val="20"/>
              </w:rPr>
              <w:t xml:space="preserve">Base-10 logarithm of the achieved or specified navigation delivery accuracy at the target (kilometers), the dependent variable; lower values mean tighter delivery</w:t>
            </w:r>
          </w:p>
        </w:tc>
        <w:tc>
          <w:tcPr>
            <w:tcW w:w="0" w:type="auto"/>
          </w:tcPr>
          <w:p>
            <w:pPr>
              <w:spacing w:line="240" w:lineRule="auto" w:before="0" w:after="0"/>
              <w:pStyle w:val="Compact"/>
            </w:pPr>
            <w:r>
              <w:rPr>
                <w:sz w:val="20"/>
                <w:szCs w:val="20"/>
              </w:rPr>
              <w:t xml:space="preserve">Computed from delivery_accuracy_km drawn from per-mission navigation-results papers, mishap-board reports, landing-site-selection studies, and mission press kits cited in the source column</w:t>
            </w:r>
          </w:p>
        </w:tc>
      </w:tr>
      <w:tr>
        <w:tc>
          <w:tcPr>
            <w:tcW w:w="0" w:type="auto"/>
          </w:tcPr>
          <w:p>
            <w:pPr>
              <w:spacing w:line="240" w:lineRule="auto" w:before="0" w:after="0"/>
              <w:pStyle w:val="Compact"/>
            </w:pPr>
            <w:r>
              <w:rPr>
                <w:sz w:val="20"/>
                <w:szCs w:val="20"/>
              </w:rPr>
              <w:t xml:space="preserve">delivery_accuracy_km</w:t>
            </w:r>
          </w:p>
        </w:tc>
        <w:tc>
          <w:tcPr>
            <w:tcW w:w="0" w:type="auto"/>
          </w:tcPr>
          <w:p>
            <w:pPr>
              <w:spacing w:line="240" w:lineRule="auto" w:before="0" w:after="0"/>
              <w:pStyle w:val="Compact"/>
            </w:pPr>
            <w:r>
              <w:rPr>
                <w:sz w:val="20"/>
                <w:szCs w:val="20"/>
              </w:rPr>
              <w:t xml:space="preserve">Achieved or specified navigation delivery accuracy at the target in kilometers: landing-ellipse downrange scale for unguided entries, achieved miss or target-plane control for guided entries and encounters, and sample-site or touchdown delivery for proximity operations</w:t>
            </w:r>
          </w:p>
        </w:tc>
        <w:tc>
          <w:tcPr>
            <w:tcW w:w="0" w:type="auto"/>
          </w:tcPr>
          <w:p>
            <w:pPr>
              <w:spacing w:line="240" w:lineRule="auto" w:before="0" w:after="0"/>
              <w:pStyle w:val="Compact"/>
            </w:pPr>
            <w:r>
              <w:rPr>
                <w:sz w:val="20"/>
                <w:szCs w:val="20"/>
              </w:rPr>
              <w:t xml:space="preserve">Per-mission documented figures, source column of data.csv</w:t>
            </w:r>
          </w:p>
        </w:tc>
      </w:tr>
      <w:tr>
        <w:tc>
          <w:tcPr>
            <w:tcW w:w="0" w:type="auto"/>
          </w:tcPr>
          <w:p>
            <w:pPr>
              <w:spacing w:line="240" w:lineRule="auto" w:before="0" w:after="0"/>
              <w:pStyle w:val="Compact"/>
            </w:pPr>
            <w:r>
              <w:rPr>
                <w:sz w:val="20"/>
                <w:szCs w:val="20"/>
              </w:rPr>
              <w:t xml:space="preserve">optical_nav</w:t>
            </w:r>
          </w:p>
        </w:tc>
        <w:tc>
          <w:tcPr>
            <w:tcW w:w="0" w:type="auto"/>
          </w:tcPr>
          <w:p>
            <w:pPr>
              <w:spacing w:line="240" w:lineRule="auto" w:before="0" w:after="0"/>
              <w:pStyle w:val="Compact"/>
            </w:pPr>
            <w:r>
              <w:rPr>
                <w:sz w:val="20"/>
                <w:szCs w:val="20"/>
              </w:rPr>
              <w:t xml:space="preserve">Indicator equal to 1 if the mission used onboard optical or terrain-relative navigation in the terminal delivery phase, 0 if radiometric tracking only</w:t>
            </w:r>
          </w:p>
        </w:tc>
        <w:tc>
          <w:tcPr>
            <w:tcW w:w="0" w:type="auto"/>
          </w:tcPr>
          <w:p>
            <w:pPr>
              <w:spacing w:line="240" w:lineRule="auto" w:before="0" w:after="0"/>
              <w:pStyle w:val="Compact"/>
            </w:pPr>
            <w:r>
              <w:rPr>
                <w:sz w:val="20"/>
                <w:szCs w:val="20"/>
              </w:rPr>
              <w:t xml:space="preserve">Coded from mission navigation descriptions in the cited sources</w:t>
            </w:r>
          </w:p>
        </w:tc>
      </w:tr>
      <w:tr>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Indicator equal to 1 if the target is a small body (comet, asteroid, or small moon) supporting proximity operations or a close optical encounter, 0 for a planet or large moon</w:t>
            </w:r>
          </w:p>
        </w:tc>
        <w:tc>
          <w:tcPr>
            <w:tcW w:w="0" w:type="auto"/>
          </w:tcPr>
          <w:p>
            <w:pPr>
              <w:spacing w:line="240" w:lineRule="auto" w:before="0" w:after="0"/>
              <w:pStyle w:val="Compact"/>
            </w:pPr>
            <w:r>
              <w:rPr>
                <w:sz w:val="20"/>
                <w:szCs w:val="20"/>
              </w:rPr>
              <w:t xml:space="preserve">Coded from target_type and the cited mission sources</w:t>
            </w:r>
          </w:p>
        </w:tc>
      </w:tr>
      <w:tr>
        <w:tc>
          <w:tcPr>
            <w:tcW w:w="0" w:type="auto"/>
          </w:tcPr>
          <w:p>
            <w:pPr>
              <w:spacing w:line="240" w:lineRule="auto" w:before="0" w:after="0"/>
              <w:pStyle w:val="Compact"/>
            </w:pPr>
            <w:r>
              <w:rPr>
                <w:sz w:val="20"/>
                <w:szCs w:val="20"/>
              </w:rPr>
              <w:t xml:space="preserve">one_way_lt_min</w:t>
            </w:r>
          </w:p>
        </w:tc>
        <w:tc>
          <w:tcPr>
            <w:tcW w:w="0" w:type="auto"/>
          </w:tcPr>
          <w:p>
            <w:pPr>
              <w:spacing w:line="240" w:lineRule="auto" w:before="0" w:after="0"/>
              <w:pStyle w:val="Compact"/>
            </w:pPr>
            <w:r>
              <w:rPr>
                <w:sz w:val="20"/>
                <w:szCs w:val="20"/>
              </w:rPr>
              <w:t xml:space="preserve">One-way light time from Earth to the target at encounter, in minutes, proxying the radiometric tracking geometry and command latency that constrain ground-in-the-loop correction</w:t>
            </w:r>
          </w:p>
        </w:tc>
        <w:tc>
          <w:tcPr>
            <w:tcW w:w="0" w:type="auto"/>
          </w:tcPr>
          <w:p>
            <w:pPr>
              <w:spacing w:line="240" w:lineRule="auto" w:before="0" w:after="0"/>
              <w:pStyle w:val="Compact"/>
            </w:pPr>
            <w:r>
              <w:rPr>
                <w:sz w:val="20"/>
                <w:szCs w:val="20"/>
              </w:rPr>
              <w:t xml:space="preserve">Computed from the heliocentric distance of each target body and cross-checked against mission press kits</w:t>
            </w:r>
          </w:p>
        </w:tc>
      </w:tr>
      <w:tr>
        <w:tc>
          <w:tcPr>
            <w:tcW w:w="0" w:type="auto"/>
          </w:tcPr>
          <w:p>
            <w:pPr>
              <w:spacing w:line="240" w:lineRule="auto" w:before="0" w:after="0"/>
              <w:pStyle w:val="Compact"/>
            </w:pPr>
            <w:r>
              <w:rPr>
                <w:sz w:val="20"/>
                <w:szCs w:val="20"/>
              </w:rPr>
              <w:t xml:space="preserve">prior_heritage</w:t>
            </w:r>
          </w:p>
        </w:tc>
        <w:tc>
          <w:tcPr>
            <w:tcW w:w="0" w:type="auto"/>
          </w:tcPr>
          <w:p>
            <w:pPr>
              <w:spacing w:line="240" w:lineRule="auto" w:before="0" w:after="0"/>
              <w:pStyle w:val="Compact"/>
            </w:pPr>
            <w:r>
              <w:rPr>
                <w:sz w:val="20"/>
                <w:szCs w:val="20"/>
              </w:rPr>
              <w:t xml:space="preserve">Indicator equal to 1 if the operating institution had previously flown a successful mission of the same delivery class (landed, inserted, or encountered a comparable target type), 0 otherwise</w:t>
            </w:r>
          </w:p>
        </w:tc>
        <w:tc>
          <w:tcPr>
            <w:tcW w:w="0" w:type="auto"/>
          </w:tcPr>
          <w:p>
            <w:pPr>
              <w:spacing w:line="240" w:lineRule="auto" w:before="0" w:after="0"/>
              <w:pStyle w:val="Compact"/>
            </w:pPr>
            <w:r>
              <w:rPr>
                <w:sz w:val="20"/>
                <w:szCs w:val="20"/>
              </w:rPr>
              <w:t xml:space="preserve">Coded from mission heritage in the cited sources</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1.0677</w:t>
            </w:r>
          </w:p>
        </w:tc>
        <w:tc>
          <w:tcPr>
            <w:tcW w:w="0" w:type="auto"/>
          </w:tcPr>
          <w:p>
            <w:pPr>
              <w:spacing w:line="240" w:lineRule="auto" w:before="0" w:after="0"/>
              <w:pStyle w:val="Compact"/>
            </w:pPr>
            <w:r>
              <w:rPr>
                <w:sz w:val="20"/>
                <w:szCs w:val="20"/>
              </w:rPr>
              <w:t xml:space="preserve">0.6283</w:t>
            </w:r>
          </w:p>
        </w:tc>
        <w:tc>
          <w:tcPr>
            <w:tcW w:w="0" w:type="auto"/>
          </w:tcPr>
          <w:p>
            <w:pPr>
              <w:spacing w:line="240" w:lineRule="auto" w:before="0" w:after="0"/>
              <w:pStyle w:val="Compact"/>
            </w:pPr>
            <w:r>
              <w:rPr>
                <w:sz w:val="20"/>
                <w:szCs w:val="20"/>
              </w:rPr>
              <w:t xml:space="preserve">1.6994</w:t>
            </w:r>
          </w:p>
        </w:tc>
        <w:tc>
          <w:tcPr>
            <w:tcW w:w="0" w:type="auto"/>
          </w:tcPr>
          <w:p>
            <w:pPr>
              <w:spacing w:line="240" w:lineRule="auto" w:before="0" w:after="0"/>
              <w:pStyle w:val="Compact"/>
            </w:pPr>
            <w:r>
              <w:rPr>
                <w:sz w:val="20"/>
                <w:szCs w:val="20"/>
              </w:rPr>
              <w:t xml:space="preserve">0.0893</w:t>
            </w:r>
          </w:p>
        </w:tc>
        <w:tc>
          <w:tcPr>
            <w:tcW w:w="0" w:type="auto"/>
          </w:tcPr>
          <w:p>
            <w:pPr>
              <w:spacing w:line="240" w:lineRule="auto" w:before="0" w:after="0"/>
              <w:pStyle w:val="Compact"/>
            </w:pPr>
            <w:r>
              <w:rPr>
                <w:sz w:val="20"/>
                <w:szCs w:val="20"/>
              </w:rPr>
              <w:t xml:space="preserve">[-0.1637, 2.2991]</w:t>
            </w:r>
          </w:p>
        </w:tc>
      </w:tr>
      <w:tr>
        <w:tc>
          <w:tcPr>
            <w:tcW w:w="0" w:type="auto"/>
          </w:tcPr>
          <w:p>
            <w:pPr>
              <w:spacing w:line="240" w:lineRule="auto" w:before="0" w:after="0"/>
              <w:pStyle w:val="Compact"/>
            </w:pPr>
            <w:r>
              <w:rPr>
                <w:sz w:val="20"/>
                <w:szCs w:val="20"/>
              </w:rPr>
              <w:t xml:space="preserve">optical_nav</w:t>
            </w:r>
          </w:p>
        </w:tc>
        <w:tc>
          <w:tcPr>
            <w:tcW w:w="0" w:type="auto"/>
          </w:tcPr>
          <w:p>
            <w:pPr>
              <w:spacing w:line="240" w:lineRule="auto" w:before="0" w:after="0"/>
              <w:pStyle w:val="Compact"/>
            </w:pPr>
            <w:r>
              <w:rPr>
                <w:sz w:val="20"/>
                <w:szCs w:val="20"/>
              </w:rPr>
              <w:t xml:space="preserve">-1.6291</w:t>
            </w:r>
          </w:p>
        </w:tc>
        <w:tc>
          <w:tcPr>
            <w:tcW w:w="0" w:type="auto"/>
          </w:tcPr>
          <w:p>
            <w:pPr>
              <w:spacing w:line="240" w:lineRule="auto" w:before="0" w:after="0"/>
              <w:pStyle w:val="Compact"/>
            </w:pPr>
            <w:r>
              <w:rPr>
                <w:sz w:val="20"/>
                <w:szCs w:val="20"/>
              </w:rPr>
              <w:t xml:space="preserve">0.7056</w:t>
            </w:r>
          </w:p>
        </w:tc>
        <w:tc>
          <w:tcPr>
            <w:tcW w:w="0" w:type="auto"/>
          </w:tcPr>
          <w:p>
            <w:pPr>
              <w:spacing w:line="240" w:lineRule="auto" w:before="0" w:after="0"/>
              <w:pStyle w:val="Compact"/>
            </w:pPr>
            <w:r>
              <w:rPr>
                <w:sz w:val="20"/>
                <w:szCs w:val="20"/>
              </w:rPr>
              <w:t xml:space="preserve">-2.3089</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[-3.012, -0.2462]</w:t>
            </w:r>
          </w:p>
        </w:tc>
      </w:tr>
      <w:tr>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-0.4534</w:t>
            </w:r>
          </w:p>
        </w:tc>
        <w:tc>
          <w:tcPr>
            <w:tcW w:w="0" w:type="auto"/>
          </w:tcPr>
          <w:p>
            <w:pPr>
              <w:spacing w:line="240" w:lineRule="auto" w:before="0" w:after="0"/>
              <w:pStyle w:val="Compact"/>
            </w:pPr>
            <w:r>
              <w:rPr>
                <w:sz w:val="20"/>
                <w:szCs w:val="20"/>
              </w:rPr>
              <w:t xml:space="preserve">0.7416</w:t>
            </w:r>
          </w:p>
        </w:tc>
        <w:tc>
          <w:tcPr>
            <w:tcW w:w="0" w:type="auto"/>
          </w:tcPr>
          <w:p>
            <w:pPr>
              <w:spacing w:line="240" w:lineRule="auto" w:before="0" w:after="0"/>
              <w:pStyle w:val="Compact"/>
            </w:pPr>
            <w:r>
              <w:rPr>
                <w:sz w:val="20"/>
                <w:szCs w:val="20"/>
              </w:rPr>
              <w:t xml:space="preserve">-0.6113</w:t>
            </w:r>
          </w:p>
        </w:tc>
        <w:tc>
          <w:tcPr>
            <w:tcW w:w="0" w:type="auto"/>
          </w:tcPr>
          <w:p>
            <w:pPr>
              <w:spacing w:line="240" w:lineRule="auto" w:before="0" w:after="0"/>
              <w:pStyle w:val="Compact"/>
            </w:pPr>
            <w:r>
              <w:rPr>
                <w:sz w:val="20"/>
                <w:szCs w:val="20"/>
              </w:rPr>
              <w:t xml:space="preserve">0.541</w:t>
            </w:r>
          </w:p>
        </w:tc>
        <w:tc>
          <w:tcPr>
            <w:tcW w:w="0" w:type="auto"/>
          </w:tcPr>
          <w:p>
            <w:pPr>
              <w:spacing w:line="240" w:lineRule="auto" w:before="0" w:after="0"/>
              <w:pStyle w:val="Compact"/>
            </w:pPr>
            <w:r>
              <w:rPr>
                <w:sz w:val="20"/>
                <w:szCs w:val="20"/>
              </w:rPr>
              <w:t xml:space="preserve">[-1.9068, 1.0001]</w:t>
            </w:r>
          </w:p>
        </w:tc>
      </w:tr>
      <w:tr>
        <w:tc>
          <w:tcPr>
            <w:tcW w:w="0" w:type="auto"/>
          </w:tcPr>
          <w:p>
            <w:pPr>
              <w:spacing w:line="240" w:lineRule="auto" w:before="0" w:after="0"/>
              <w:pStyle w:val="Compact"/>
            </w:pPr>
            <w:r>
              <w:rPr>
                <w:sz w:val="20"/>
                <w:szCs w:val="20"/>
              </w:rPr>
              <w:t xml:space="preserve">one_way_lt_min</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2.8197</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[0.0018, 0.0099]</w:t>
            </w:r>
          </w:p>
        </w:tc>
      </w:tr>
      <w:tr>
        <w:tc>
          <w:tcPr>
            <w:tcW w:w="0" w:type="auto"/>
          </w:tcPr>
          <w:p>
            <w:pPr>
              <w:spacing w:line="240" w:lineRule="auto" w:before="0" w:after="0"/>
              <w:pStyle w:val="Compact"/>
            </w:pPr>
            <w:r>
              <w:rPr>
                <w:sz w:val="20"/>
                <w:szCs w:val="20"/>
              </w:rPr>
              <w:t xml:space="preserve">prior_heritage</w:t>
            </w:r>
          </w:p>
        </w:tc>
        <w:tc>
          <w:tcPr>
            <w:tcW w:w="0" w:type="auto"/>
          </w:tcPr>
          <w:p>
            <w:pPr>
              <w:spacing w:line="240" w:lineRule="auto" w:before="0" w:after="0"/>
              <w:pStyle w:val="Compact"/>
            </w:pPr>
            <w:r>
              <w:rPr>
                <w:sz w:val="20"/>
                <w:szCs w:val="20"/>
              </w:rPr>
              <w:t xml:space="preserve">0.2667</w:t>
            </w:r>
          </w:p>
        </w:tc>
        <w:tc>
          <w:tcPr>
            <w:tcW w:w="0" w:type="auto"/>
          </w:tcPr>
          <w:p>
            <w:pPr>
              <w:spacing w:line="240" w:lineRule="auto" w:before="0" w:after="0"/>
              <w:pStyle w:val="Compact"/>
            </w:pPr>
            <w:r>
              <w:rPr>
                <w:sz w:val="20"/>
                <w:szCs w:val="20"/>
              </w:rPr>
              <w:t xml:space="preserve">0.6913</w:t>
            </w:r>
          </w:p>
        </w:tc>
        <w:tc>
          <w:tcPr>
            <w:tcW w:w="0" w:type="auto"/>
          </w:tcPr>
          <w:p>
            <w:pPr>
              <w:spacing w:line="240" w:lineRule="auto" w:before="0" w:after="0"/>
              <w:pStyle w:val="Compact"/>
            </w:pPr>
            <w:r>
              <w:rPr>
                <w:sz w:val="20"/>
                <w:szCs w:val="20"/>
              </w:rPr>
              <w:t xml:space="preserve">0.3859</w:t>
            </w:r>
          </w:p>
        </w:tc>
        <w:tc>
          <w:tcPr>
            <w:tcW w:w="0" w:type="auto"/>
          </w:tcPr>
          <w:p>
            <w:pPr>
              <w:spacing w:line="240" w:lineRule="auto" w:before="0" w:after="0"/>
              <w:pStyle w:val="Compact"/>
            </w:pPr>
            <w:r>
              <w:rPr>
                <w:sz w:val="20"/>
                <w:szCs w:val="20"/>
              </w:rPr>
              <w:t xml:space="preserve">0.6996</w:t>
            </w:r>
          </w:p>
        </w:tc>
        <w:tc>
          <w:tcPr>
            <w:tcW w:w="0" w:type="auto"/>
          </w:tcPr>
          <w:p>
            <w:pPr>
              <w:spacing w:line="240" w:lineRule="auto" w:before="0" w:after="0"/>
              <w:pStyle w:val="Compact"/>
            </w:pPr>
            <w:r>
              <w:rPr>
                <w:sz w:val="20"/>
                <w:szCs w:val="20"/>
              </w:rPr>
              <w:t xml:space="preserve">[-1.0881, 1.6216]</w:t>
            </w:r>
          </w:p>
        </w:tc>
      </w:tr>
    </w:tbl>
    <w:p>
      <w:pPr>
        <w:pStyle w:val="BodyText"/>
      </w:pPr>
      <w:r>
        <w:t xml:space="preserve">Fit: N = 22 R2 = 0.4006 R2_adj = 0.2596 F = 2.7502 F_p = 0.0624</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68" Target="https://doi.org/10.1016/j.actaastro.2021.12.030" TargetMode="External" /><Relationship Type="http://schemas.openxmlformats.org/officeDocument/2006/relationships/hyperlink" Id="rId71" Target="https://doi.org/10.1016/j.actaastro.2023.05.022"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1.12.030" TargetMode="External" /><Relationship Type="http://schemas.openxmlformats.org/officeDocument/2006/relationships/hyperlink" Id="rId71" Target="https://doi.org/10.1016/j.actaastro.2023.05.02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2026-06-25T14:25:44Z</dcterms:created>
  <dcterms:modified xsi:type="dcterms:W3CDTF">2026-06-25T14:25:44Z</dcterms:modified>
</cp:coreProperties>
</file>

<file path=docProps/custom.xml><?xml version="1.0" encoding="utf-8"?>
<Properties xmlns="http://schemas.openxmlformats.org/officeDocument/2006/custom-properties" xmlns:vt="http://schemas.openxmlformats.org/officeDocument/2006/docPropsVTypes"/>
</file>