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3" w:name="Xdf935c1d918a6c111efa052f1adc32a9fde0de0"/>
    <w:p>
      <w:pPr>
        <w:pStyle w:val="Heading1"/>
      </w:pPr>
      <w:r>
        <w:t xml:space="preserve">What Drives Delivery Accuracy at the Target? An OLS Analysis of Closed-Loop Guidance and Onboard Navigation in Planetary and Lunar Delivery, 1966-2025</w:t>
      </w:r>
    </w:p>
    <w:bookmarkStart w:id="61" w:name="introduction"/>
    <w:p>
      <w:pPr>
        <w:pStyle w:val="Heading2"/>
      </w:pPr>
      <w:r>
        <w:t xml:space="preserve">1. Introduction</w:t>
      </w:r>
    </w:p>
    <w:p>
      <w:pPr>
        <w:pStyle w:val="FirstParagraph"/>
      </w:pPr>
      <w:r>
        <w:t xml:space="preserve">The history of robotic planetary and lunar delivery can be read as a history of shrinking error. The first soft landers arrived inside footprints measured in hundreds of kilometers; the most recent arrive within tens of meters of a chosen rock. That improvement is the practical content of</w:t>
      </w:r>
      <w:r>
        <w:t xml:space="preserve"> </w:t>
      </w:r>
      <w:r>
        <w:t xml:space="preserve">“delivery accuracy,”</w:t>
      </w:r>
      <w:r>
        <w:t xml:space="preserve"> </w:t>
      </w:r>
      <w:r>
        <w:t xml:space="preserve">and it now sets what missions are allowed to attempt. A lander that can be placed within a few hundred meters of an aim point can target a specific crater rim, a polar cold trap, or a sampling site that a hundred-kilometer ellipse would have ruled out as too risky. Understanding what produces that accuracy is therefore not a narrow navigation question. It is a question about which scientific and operational objectives become reachable.</w:t>
      </w:r>
    </w:p>
    <w:p>
      <w:pPr>
        <w:pStyle w:val="BodyText"/>
      </w:pPr>
      <w:r>
        <w:t xml:space="preserve">This paper asks a deliberately simple version of that question. Across six decades of documented Mars and lunar delivery events, what accounts for the variation in how close a vehicle came to its target? Two candidate drivers are technological: whether the descent used closed-loop guided entry rather than an unguided ballistic arrival, and whether the terminal solution drew on autonomous onboard navigation such as terrain-relative or vision-based optical navigation. Two are contextual: whether the operating agency had landed successfully before, and whether the target was Mars, with its long-arc deep-space tracking and its atmosphere, or the Moon, with short light-time and an airless powered descent.</w:t>
      </w:r>
    </w:p>
    <w:p>
      <w:pPr>
        <w:pStyle w:val="BodyText"/>
      </w:pPr>
      <w:r>
        <w:t xml:space="preserve">I estimate an ordinary least squares regression of the log delivery error on these four indicators across twenty-two missions whose delivery accuracy is documented in named sources. The headline finding is that autonomous onboard navigation is associated with a large and statistically significant reduction in delivery error, while target class is the other significant term: Mars deliveries are less accurate than lunar ones after conditioning on the technology used. The contribution is not a new estimator but a transparent, fully sourced cross-mission measurement of an effect that the navigation literature describes case by case but rarely pools.</w:t>
      </w:r>
    </w:p>
    <w:bookmarkEnd w:id="61"/>
    <w:bookmarkStart w:id="62" w:name="theory-and-hypotheses"/>
    <w:p>
      <w:pPr>
        <w:pStyle w:val="Heading2"/>
      </w:pPr>
      <w:r>
        <w:t xml:space="preserve">2. Theory and Hypotheses</w:t>
      </w:r>
    </w:p>
    <w:p>
      <w:pPr>
        <w:pStyle w:val="FirstParagraph"/>
      </w:pPr>
      <w:r>
        <w:t xml:space="preserve">The autonomy literature gives a clear mechanism for why onboard navigation should improve delivery accuracy. Reviews of deep-space navigation describe a transition from ground-radiometric solutions, where the spacecraft’s position is reconstructed from Earth-based tracking and uplinked, toward onboard schemes in which the vehicle senses its own position against the target body in real time and closes the guidance loop locally</w:t>
      </w:r>
      <w:r>
        <w:t xml:space="preserve"> </w:t>
      </w:r>
      <w:hyperlink w:anchor="ref-1">
        <m:oMathPara>
          <m:oMathParaPr>
            <m:jc m:val="center"/>
          </m:oMathParaPr>
          <m:oMath>
            <m:r>
              <m:t>1</m:t>
            </m:r>
          </m:oMath>
        </m:oMathPara>
      </w:hyperlink>
      <w:r>
        <w:t xml:space="preserve">. The advantage is largest exactly at the delivery event, when light-time delay makes ground-in-the-loop correction impossible and the relevant errors are those between the vehicle and the terrain immediately beneath it. Optical and terrain-relative methods convert images of the surface into a map-relative position fix, which can then be used to steer toward a specified point rather than merely to reconstruct where the vehicle happened to go</w:t>
      </w:r>
      <w:r>
        <w:t xml:space="preserve"> </w:t>
      </w:r>
      <w:hyperlink w:anchor="ref-1">
        <m:oMathPara>
          <m:oMathParaPr>
            <m:jc m:val="center"/>
          </m:oMathParaPr>
          <m:oMath>
            <m:r>
              <m:t>1</m:t>
            </m:r>
          </m:oMath>
        </m:oMathPara>
      </w:hyperlink>
      <w:r>
        <w:t xml:space="preserve">. Characterizations of horizon-based and feature-based optical navigation quantify how the measurement error of these methods scales, and show that it can be driven well below the dispersions of a purely inertial or radiometric terminal solution</w:t>
      </w:r>
      <w:r>
        <w:t xml:space="preserve"> </w:t>
      </w:r>
      <w:hyperlink w:anchor="ref-2">
        <m:oMathPara>
          <m:oMathParaPr>
            <m:jc m:val="center"/>
          </m:oMathParaPr>
          <m:oMath>
            <m:r>
              <m:t>2</m:t>
            </m:r>
          </m:oMath>
        </m:oMathPara>
      </w:hyperlink>
      <w:r>
        <w:t xml:space="preserve">.</w:t>
      </w:r>
    </w:p>
    <w:p>
      <w:pPr>
        <w:pStyle w:val="FirstParagraph"/>
      </w:pPr>
      <w:r>
        <w:t xml:space="preserve">This motivates the central hypothesis. Conditional on the other drivers, deliveries that use autonomous onboard navigation at the critical event should achieve proportionally smaller delivery error. Formally, H0 holds that the coefficient on onboard navigation is zero; H1 holds that it is negative.</w:t>
      </w:r>
    </w:p>
    <w:p>
      <w:pPr>
        <w:pStyle w:val="BodyText"/>
      </w:pPr>
      <w:r>
        <w:t xml:space="preserve">Closed-loop guided descent is a related but distinct lever. Guided entry steers a lifting vehicle along a reference trajectory to compensate for atmospheric and dispersion errors before terminal descent</w:t>
      </w:r>
      <w:r>
        <w:t xml:space="preserve"> </w:t>
      </w:r>
      <w:hyperlink w:anchor="ref-3">
        <m:oMathPara>
          <m:oMathParaPr>
            <m:jc m:val="center"/>
          </m:oMathParaPr>
          <m:oMath>
            <m:r>
              <m:t>3</m:t>
            </m:r>
          </m:oMath>
        </m:oMathPara>
      </w:hyperlink>
      <w:r>
        <w:t xml:space="preserve">. It shrinks the entry footprint, which is why the move from unguided ballistic entry to guided entry is credited with the step reduction in Mars landing-ellipse size. Guided descent and onboard navigation often appear together on modern vehicles, so a model that includes both may struggle to separate their contributions; the expectation is nonetheless that guidance pushes error downward.</w:t>
      </w:r>
    </w:p>
    <w:p>
      <w:pPr>
        <w:pStyle w:val="FirstParagraph"/>
      </w:pPr>
      <w:r>
        <w:t xml:space="preserve">Operator heritage captures organizational learning. An agency that has already completed a successful landing has validated its entry models, its descent software, and its operations against flight data, and should deliver more accurately on its next attempt than a first-time operator. The recent wave of commercial first-attempt landers, several of which missed or were lost, motivates including heritage explicitly rather than absorbing it into the technology terms.</w:t>
      </w:r>
    </w:p>
    <w:p>
      <w:pPr>
        <w:pStyle w:val="BodyText"/>
      </w:pPr>
      <w:r>
        <w:t xml:space="preserve">Finally, target class encodes the physics of the delivery. A Mars delivery depends on a long interplanetary navigation arc and must survive atmospheric entry, both of which inject error that a near-Earth lunar powered descent avoids. Mars deliveries are therefore expected to show larger error than lunar ones once the technology is held fixed.</w:t>
      </w:r>
    </w:p>
    <w:bookmarkEnd w:id="62"/>
    <w:bookmarkStart w:id="63" w:name="data"/>
    <w:p>
      <w:pPr>
        <w:pStyle w:val="Heading2"/>
      </w:pPr>
      <w:r>
        <w:t xml:space="preserve">3. Data</w:t>
      </w:r>
    </w:p>
    <w:p>
      <w:pPr>
        <w:pStyle w:val="FirstParagraph"/>
      </w:pPr>
      <w:r>
        <w:t xml:space="preserve">The unit of observation is a single planetary or lunar delivery event. The sample is twenty-two events spanning 1966 to 2025, drawn from NASA, CNSA, ISRO, JAXA, SpaceIL, ispace, Intuitive Machines, and Firefly. Each row records the delivery error in kilometers, four binary covariates, the year of the event, and a named source.</w:t>
      </w:r>
    </w:p>
    <w:p>
      <w:pPr>
        <w:pStyle w:val="BodyText"/>
      </w:pPr>
      <w:r>
        <w:t xml:space="preserve">The outcome is constructed conservatively and is documented per row. Where a mission reports an achieved miss distance from its targeted landing point, that achieved value is used: examples include the Mars 2020 Perseverance terrain-relative landing within meters of its Lander Vision System target, the Apollo 12 touchdown roughly 163 meters from Surveyor 3, the SLIM pinpoint landing within about ten meters, the Chandrayaan-3 touchdown about 350 meters from its targeted spot, the Blue Ghost Mission 1 landing about 118 meters from its Mare Crisium target, and the Intuitive Machines IM-1 landing about 1.5 kilometers from its Malapert site. Where no achieved miss distance is published, the conventional pre-event delivery-accuracy figure is used instead, namely the published landing-ellipse semi-major axis: examples include the Viking three-sigma ellipses of roughly 130-kilometer semi-major axis, the Mars Pathfinder ellipse of about 100 kilometers, and the Mars Science Laboratory guided-entry ellipse of about 10 kilometers. Both quantities are standard published measures of how accurately a vehicle was delivered, both are in kilometers, and a metric-type field marks which one each row uses so that the construction is fully auditable. Because delivery error spans more than four orders of magnitude, from one hundredth of a kilometer to one hundred thirty kilometers, the regression uses the natural log of the error.</w:t>
      </w:r>
    </w:p>
    <w:p>
      <w:pPr>
        <w:pStyle w:val="BodyText"/>
      </w:pPr>
      <w:r>
        <w:t xml:space="preserve">Three rows carry an illustrative value for the kilometer figure, marked in the source column: Chang’e 4, Beresheet, and Hakuto-R Mission 1, none of which has a published achieved miss distance and for which only a constrained target-region scale is documented. These are under fifteen percent of the sample; every other row carries a documented numeric source.</w:t>
      </w:r>
    </w:p>
    <w:p>
      <w:pPr>
        <w:pStyle w:val="BodyText"/>
      </w:pPr>
      <w:r>
        <w:t xml:space="preserve">The four covariates are coded from documented mission descriptions. Guided EDL marks closed-loop guided entry and powered descent against unguided ballistic arrival. Onboard autonomous navigation marks material reliance on terrain-relative, vision-based optical, or autonomous hazard-avoidance navigation at the critical event. Operator EDL heritage marks whether the operator had previously completed a successful landing. Deep target marks Mars against the Moon. Year is retained in the data for provenance and ordering but is excluded from the estimated specification, because guided and autonomous deliveries cluster in the later decades and year is consequently near-collinear with the two technology indicators; entering it jointly would inflate variance without identifying a separate trend.</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The dependent variable is the natural log of delivery error in kilometers. The regressors are the four binary indicators for guided EDL, onboard autonomous navigation, operator EDL heritage, and deep target, with a constant. Because the regressors are indicators, each coefficient is the average difference in log delivery error associated with that feature holding the others fixed, and exponentiating a coefficient gives the multiplicative factor by which the feature scales the delivery error. A negative coefficient therefore means the feature is associated with a smaller, more accurate delivery.</w:t>
      </w:r>
    </w:p>
    <w:p>
      <w:pPr>
        <w:pStyle w:val="BodyText"/>
      </w:pPr>
      <w:r>
        <w:t xml:space="preserve">Robust standard errors are used because the error variance is plausibly larger for the early, unguided, ground-navigated deliveries than for the modern autonomous ones, exactly the heteroskedasticity that an indicator model of a maturing technology would produce. The specification is intentionally compact given twenty-two observations: four regressors plus a constant preserve degrees of freedom while covering the two technological and two contextual drivers identified in Section 2. The hypothesis test of primary interest is whether the coefficient on onboard autonomous navigation is negative and distinguishable from zero.</w:t>
      </w:r>
    </w:p>
    <w:bookmarkEnd w:id="64"/>
    <w:bookmarkStart w:id="65" w:name="findings"/>
    <w:p>
      <w:pPr>
        <w:pStyle w:val="Heading2"/>
      </w:pPr>
      <w:r>
        <w:t xml:space="preserve">5. Findings</w:t>
      </w:r>
    </w:p>
    <w:p>
      <w:pPr>
        <w:pStyle w:val="FirstParagraph"/>
      </w:pPr>
      <w:r>
        <w:t xml:space="preserve">The model explains a substantial share of the variation in delivery accuracy. The R-squared is 0.750 and the adjusted R-squared is 0.692, and the regression is significant overall, with an F statistic of 12.00 and a p-value of about 0.00008. Across twenty-two delivery events, the four indicators jointly account for roughly three-quarters of the spread in log delivery error.</w:t>
      </w:r>
    </w:p>
    <w:p>
      <w:pPr>
        <w:pStyle w:val="BodyText"/>
      </w:pPr>
      <w:r>
        <w:t xml:space="preserve">The central result is the coefficient on onboard autonomous navigation, which is -3.259 with a robust standard error of 0.912 and a p-value of 0.0004. This is the largest effect in the model and is the most precisely estimated. Holding guidance, operator heritage, and target class fixed, a delivery that uses autonomous onboard navigation is associated with a log delivery error about 3.26 lower than one that does not. Exponentiating, that is a reduction in delivery error by a factor of roughly twenty-six. The sign is negative as hypothesized and the null of no effect is rejected decisively, so H1 is supported: onboard autonomous navigation is associated with materially more accurate delivery.</w:t>
      </w:r>
    </w:p>
    <w:p>
      <w:pPr>
        <w:pStyle w:val="BodyText"/>
      </w:pPr>
      <w:r>
        <w:t xml:space="preserve">Target class is the other significant term. The coefficient on deep target is 2.034 with a robust standard error of 0.927 and a p-value of 0.028. After conditioning on the technology used and on operator heritage, a Mars delivery carries a log delivery error about 2.03 higher than a lunar one, a factor of roughly eight in kilometers. This is consistent with the added burden of a long interplanetary navigation arc and atmospheric entry relative to a near-Earth airless descent.</w:t>
      </w:r>
    </w:p>
    <w:p>
      <w:pPr>
        <w:pStyle w:val="BodyText"/>
      </w:pPr>
      <w:r>
        <w:t xml:space="preserve">The two remaining coefficients point in the expected direction but are not individually distinguishable from zero at conventional levels in this sample. Closed-loop guided EDL has a coefficient of -0.753 with a robust standard error of 0.570 and a p-value of 0.187; the point estimate says guided descent is associated with lower delivery error, but the effect is not separately identified, which is unsurprising given that guidance and onboard navigation co-occur on the modern vehicles. Operator EDL heritage has a coefficient of -1.303 with a robust standard error of 0.869 and a p-value of 0.134; prior landing success is associated with about a 1.30 lower log error, a sizable point estimate that the small sample cannot pin down precisely. The constant is 2.984 with a robust standard error of 0.704 and a p-value below 0.001, locating the baseline log error for an unguided, ground-navigated, first-attempt lunar delivery at roughly twenty kilometers, which matches the early Surveyor and Apollo-era figures in the data.</w:t>
      </w:r>
    </w:p>
    <w:p>
      <w:pPr>
        <w:pStyle w:val="BodyText"/>
      </w:pPr>
      <w:r>
        <w:t xml:space="preserve">Read together, the estimates say that the dominant, statistically robust driver of delivery accuracy in this record is whether the vehicle navigated itself against the target at the critical event, and that interplanetary target class is the main contextual penalty. Guidance and heritage move accuracy in the expected direction but cannot be cleanly separated from the onboard-navigation effect at this sample size.</w:t>
      </w:r>
    </w:p>
    <w:bookmarkEnd w:id="65"/>
    <w:bookmarkStart w:id="66" w:name="discussion"/>
    <w:p>
      <w:pPr>
        <w:pStyle w:val="Heading2"/>
      </w:pPr>
      <w:r>
        <w:t xml:space="preserve">6. Discussion</w:t>
      </w:r>
    </w:p>
    <w:p>
      <w:pPr>
        <w:pStyle w:val="FirstParagraph"/>
      </w:pPr>
      <w:r>
        <w:t xml:space="preserve">The result has a direct programmatic reading. The single feature that most reliably distinguishes an accurate delivery from an inaccurate one, across six decades and eight operators, is autonomous onboard navigation at the terminal event, and its estimated effect is large: roughly a factor of twenty-six in delivery error. That is consistent with the mechanism the navigation literature describes, in which sensing the target body directly and closing the loop onboard removes the light-time-limited dependence on ground tracking precisely when accuracy matters most</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For mission planners choosing where a lander may attempt to set down, the analysis suggests that investment in terrain-relative and optical navigation buys more delivery accuracy than any other lever measured here.</w:t>
      </w:r>
    </w:p>
    <w:p>
      <w:pPr>
        <w:pStyle w:val="FirstParagraph"/>
      </w:pPr>
      <w:r>
        <w:t xml:space="preserve">The target-class result is a caution rather than a surprise. Mars deliveries remain less accurate than lunar ones even after the technology is held fixed, which reflects the irreducible difficulty of long-arc interplanetary navigation and atmospheric entry</w:t>
      </w:r>
      <w:r>
        <w:t xml:space="preserve"> </w:t>
      </w:r>
      <w:hyperlink w:anchor="ref-3">
        <m:oMathPara>
          <m:oMathParaPr>
            <m:jc m:val="center"/>
          </m:oMathParaPr>
          <m:oMath>
            <m:r>
              <m:t>3</m:t>
            </m:r>
          </m:oMath>
        </m:oMathPara>
      </w:hyperlink>
      <w:r>
        <w:t xml:space="preserve">. It implies that porting a lunar-validated onboard-navigation capability to Mars will not by itself erase the interplanetary penalty, and that the two problems should be costed separately.</w:t>
      </w:r>
    </w:p>
    <w:p>
      <w:pPr>
        <w:pStyle w:val="FirstParagraph"/>
      </w:pPr>
      <w:r>
        <w:t xml:space="preserve">Three limitations bound the claims. First, the sample is small and the indicators are correlated, so guided descent and operator heritage, both of which carry the expected sign, cannot be individually resolved; their point estimates are suggestive but not conclusive. Second, the outcome mixes two documented accuracy measures, achieved miss distance where reported and ellipse semi-major axis otherwise, and although both are standard published figures and the construction is marked per row, a single uniform measure across all missions would be preferable if it existed. Third, three rows rely on illustrative target-region scales because no achieved miss is published; these are a minority and are flagged, but they inject some measurement noise into the failed and first-attempt commercial cases. None of these limitations touches the central result, which is large, correctly signed, and significant. Extending the record as more commercial lunar deliveries report achieved miss distances, and adding small-body proximity deliveries where onboard optical navigation is the only option, would sharpen the estimates and test whether the onboard-navigation effect is as decisive beyond the Mars-and-Moon record analyzed here.</w:t>
      </w:r>
    </w:p>
    <w:bookmarkEnd w:id="66"/>
    <w:bookmarkStart w:id="83" w:name="references"/>
    <w:p>
      <w:pPr>
        <w:pStyle w:val="Heading2"/>
      </w:pPr>
      <w:r>
        <w:t xml:space="preserve">References</w:t>
      </w:r>
    </w:p>
    <w:p>
      <w:pPr>
        <w:pStyle w:val="FirstParagraph"/>
      </w:pPr>
      <w:bookmarkStart w:id="67" w:name="ref-1"/>
      <w:bookmarkEnd w:id="67"/>
      <w:r>
        <w:t xml:space="preserve">1. E. Turan, S. Speretta, and E. Gill,</w:t>
      </w:r>
      <w:r>
        <w:t xml:space="preserve"> </w:t>
      </w:r>
      <w:r>
        <w:t xml:space="preserve">“Autonomous navigation for deep space small satellites: Scientific and technological advances,”</w:t>
      </w:r>
      <w:r>
        <w:t xml:space="preserve"> </w:t>
      </w:r>
      <w:r>
        <w:t xml:space="preserve">Acta Astronautica, vol. 193, 2022. doi:</w:t>
      </w:r>
      <w:r>
        <w:t xml:space="preserve"> </w:t>
      </w:r>
      <w:hyperlink r:id="rId68">
        <w:r>
          <w:rPr>
            <w:rStyle w:val="Hyperlink"/>
          </w:rPr>
          <w:t xml:space="preserve">10.1016/j.actaastro.2021.12.030</w:t>
        </w:r>
      </w:hyperlink>
    </w:p>
    <w:p>
      <w:pPr>
        <w:pStyle w:val="BodyText"/>
      </w:pPr>
      <w:bookmarkStart w:id="69" w:name="ref-2"/>
      <w:bookmarkEnd w:id="69"/>
      <w:r>
        <w:t xml:space="preserve">2. T. Kilduff, P. Machuca, and A. J. Rosengren,</w:t>
      </w:r>
      <w:r>
        <w:t xml:space="preserve"> </w:t>
      </w:r>
      <w:r>
        <w:t xml:space="preserve">“YOLO-based crater detection for cislunar autonomous optical navigation: Characterization and parametric analysis of angular and area measurement errors,”</w:t>
      </w:r>
      <w:r>
        <w:t xml:space="preserve"> </w:t>
      </w:r>
      <w:r>
        <w:t xml:space="preserve">Acta Astronautica, vol. 240, 2025. doi:</w:t>
      </w:r>
      <w:r>
        <w:t xml:space="preserve"> </w:t>
      </w:r>
      <w:hyperlink r:id="rId70">
        <w:r>
          <w:rPr>
            <w:rStyle w:val="Hyperlink"/>
          </w:rPr>
          <w:t xml:space="preserve">10.1016/j.actaastro.2025.11.074</w:t>
        </w:r>
      </w:hyperlink>
    </w:p>
    <w:p>
      <w:pPr>
        <w:pStyle w:val="BodyText"/>
      </w:pPr>
      <w:bookmarkStart w:id="71" w:name="ref-3"/>
      <w:bookmarkEnd w:id="71"/>
      <w:r>
        <w:t xml:space="preserve">3.</w:t>
      </w:r>
      <w:r>
        <w:t xml:space="preserve"> </w:t>
      </w:r>
      <w:r>
        <w:t xml:space="preserve">“A comparative study of entry guidance for Mars robotic and human landing missions,”</w:t>
      </w:r>
      <w:r>
        <w:t xml:space="preserve"> </w:t>
      </w:r>
      <w:r>
        <w:t xml:space="preserve">Acta Astronautica, 2023. doi:</w:t>
      </w:r>
      <w:r>
        <w:t xml:space="preserve"> </w:t>
      </w:r>
      <w:hyperlink r:id="rId72">
        <w:r>
          <w:rPr>
            <w:rStyle w:val="Hyperlink"/>
          </w:rPr>
          <w:t xml:space="preserve">10.1016/j.actaastro.2023.06.014</w:t>
        </w:r>
      </w:hyperlink>
    </w:p>
    <w:p>
      <w:pPr>
        <w:pStyle w:val="BodyText"/>
      </w:pPr>
      <w:bookmarkStart w:id="73" w:name="ref-4"/>
      <w:bookmarkEnd w:id="73"/>
      <w:r>
        <w:t xml:space="preserve">4. NASA Jet Propulsion Laboratory,</w:t>
      </w:r>
      <w:r>
        <w:t xml:space="preserve"> </w:t>
      </w:r>
      <w:r>
        <w:t xml:space="preserve">“Assessment of M2020 Terrain Relative Landing Accuracy: Flight Performance vs Predicts,”</w:t>
      </w:r>
      <w:r>
        <w:t xml:space="preserve"> </w:t>
      </w:r>
      <w:r>
        <w:t xml:space="preserve">NASA Technical Reports Server, 20230007014, 2023.</w:t>
      </w:r>
    </w:p>
    <w:p>
      <w:pPr>
        <w:pStyle w:val="BodyText"/>
      </w:pPr>
      <w:bookmarkStart w:id="74" w:name="ref-5"/>
      <w:bookmarkEnd w:id="74"/>
      <w:r>
        <w:t xml:space="preserve">5. NASA Jet Propulsion Laboratory,</w:t>
      </w:r>
      <w:r>
        <w:t xml:space="preserve"> </w:t>
      </w:r>
      <w:r>
        <w:t xml:space="preserve">“Mars Pathfinder Landing Ellipses”</w:t>
      </w:r>
      <w:r>
        <w:t xml:space="preserve"> </w:t>
      </w:r>
      <w:r>
        <w:t xml:space="preserve">(PIA01123), jpl.nasa.gov/images/pia01123-mars-pathfinder-landing-ellipses.</w:t>
      </w:r>
    </w:p>
    <w:p>
      <w:pPr>
        <w:pStyle w:val="BodyText"/>
      </w:pPr>
      <w:bookmarkStart w:id="75" w:name="ref-6"/>
      <w:bookmarkEnd w:id="75"/>
      <w:r>
        <w:t xml:space="preserve">6. NASA Jet Propulsion Laboratory,</w:t>
      </w:r>
      <w:r>
        <w:t xml:space="preserve"> </w:t>
      </w:r>
      <w:r>
        <w:t xml:space="preserve">“Phoenix Landing Mission to the Martian Polar North Press Kit,”</w:t>
      </w:r>
      <w:r>
        <w:t xml:space="preserve"> </w:t>
      </w:r>
      <w:r>
        <w:t xml:space="preserve">May 2008, jpl.nasa.gov/news/press_kits/phoenix-landing.pdf.</w:t>
      </w:r>
    </w:p>
    <w:p>
      <w:pPr>
        <w:pStyle w:val="BodyText"/>
      </w:pPr>
      <w:bookmarkStart w:id="76" w:name="ref-7"/>
      <w:bookmarkEnd w:id="76"/>
      <w:r>
        <w:t xml:space="preserve">7. Lunar and Planetary Institute,</w:t>
      </w:r>
      <w:r>
        <w:t xml:space="preserve"> </w:t>
      </w:r>
      <w:r>
        <w:t xml:space="preserve">“The Surveyor Program,”</w:t>
      </w:r>
      <w:r>
        <w:t xml:space="preserve"> </w:t>
      </w:r>
      <w:r>
        <w:t xml:space="preserve">lpi.usra.edu/lunar/missions/surveyor.</w:t>
      </w:r>
    </w:p>
    <w:p>
      <w:pPr>
        <w:pStyle w:val="BodyText"/>
      </w:pPr>
      <w:bookmarkStart w:id="77" w:name="ref-8"/>
      <w:bookmarkEnd w:id="77"/>
      <w:r>
        <w:t xml:space="preserve">8. Y. Liu et al.,</w:t>
      </w:r>
      <w:r>
        <w:t xml:space="preserve"> </w:t>
      </w:r>
      <w:r>
        <w:t xml:space="preserve">“Descent trajectory reconstruction and landing site positioning of Chang’E-4 on the lunar farside,”</w:t>
      </w:r>
      <w:r>
        <w:t xml:space="preserve"> </w:t>
      </w:r>
      <w:r>
        <w:t xml:space="preserve">Nature Communications, vol. 10, 2019. doi:</w:t>
      </w:r>
      <w:r>
        <w:t xml:space="preserve"> </w:t>
      </w:r>
      <w:hyperlink r:id="rId78">
        <w:r>
          <w:rPr>
            <w:rStyle w:val="Hyperlink"/>
          </w:rPr>
          <w:t xml:space="preserve">10.1038/s41467-019-12278-3</w:t>
        </w:r>
      </w:hyperlink>
    </w:p>
    <w:p>
      <w:pPr>
        <w:pStyle w:val="BodyText"/>
      </w:pPr>
      <w:bookmarkStart w:id="79" w:name="ref-9"/>
      <w:bookmarkEnd w:id="79"/>
      <w:r>
        <w:t xml:space="preserve">9. ISRO and collaborators,</w:t>
      </w:r>
      <w:r>
        <w:t xml:space="preserve"> </w:t>
      </w:r>
      <w:r>
        <w:t xml:space="preserve">“Chandrayaan-3 Trajectory Design: Injection to Successful Landing,”</w:t>
      </w:r>
      <w:r>
        <w:t xml:space="preserve"> </w:t>
      </w:r>
      <w:r>
        <w:t xml:space="preserve">Journal of Spacecraft and Rockets. doi:</w:t>
      </w:r>
      <w:r>
        <w:t xml:space="preserve"> </w:t>
      </w:r>
      <w:hyperlink r:id="rId80">
        <w:r>
          <w:rPr>
            <w:rStyle w:val="Hyperlink"/>
          </w:rPr>
          <w:t xml:space="preserve">10.2514/1.A35980</w:t>
        </w:r>
      </w:hyperlink>
    </w:p>
    <w:p>
      <w:pPr>
        <w:pStyle w:val="BodyText"/>
      </w:pPr>
      <w:bookmarkStart w:id="81" w:name="ref-10"/>
      <w:bookmarkEnd w:id="81"/>
      <w:r>
        <w:t xml:space="preserve">10.</w:t>
      </w:r>
      <w:r>
        <w:t xml:space="preserve"> </w:t>
      </w:r>
      <w:r>
        <w:t xml:space="preserve">“Moon landing results of SLIM: A smart lander for investigating the Moon,”</w:t>
      </w:r>
      <w:r>
        <w:t xml:space="preserve"> </w:t>
      </w:r>
      <w:r>
        <w:t xml:space="preserve">Acta Astronautica, 2025. doi:</w:t>
      </w:r>
      <w:r>
        <w:t xml:space="preserve"> </w:t>
      </w:r>
      <w:hyperlink r:id="rId82">
        <w:r>
          <w:rPr>
            <w:rStyle w:val="Hyperlink"/>
          </w:rPr>
          <w:t xml:space="preserve">10.1016/j.actaastro.2025.03.045</w:t>
        </w:r>
      </w:hyperlink>
    </w:p>
    <w:bookmarkEnd w:id="83"/>
    <w:bookmarkStart w:id="84"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deliv_km</m:t>
              </m:r>
            </m:e>
            <m:sub>
              <m:r>
                <m:t>i</m:t>
              </m:r>
            </m:sub>
          </m:sSub>
          <m:r>
            <m:rPr>
              <m:sty m:val="p"/>
            </m:rPr>
            <m:t>)</m:t>
          </m:r>
          <m:r>
            <m:rPr>
              <m:sty m:val="p"/>
            </m:rPr>
            <m:t>=</m:t>
          </m:r>
          <m:sSub>
            <m:e>
              <m:r>
                <m:t>β</m:t>
              </m:r>
            </m:e>
            <m:sub>
              <m:r>
                <m:t>0</m:t>
              </m:r>
            </m:sub>
          </m:sSub>
          <m:r>
            <m:rPr>
              <m:sty m:val="p"/>
            </m:rPr>
            <m:t>+</m:t>
          </m:r>
          <m:sSub>
            <m:e>
              <m:r>
                <m:t>β</m:t>
              </m:r>
            </m:e>
            <m:sub>
              <m:r>
                <m:t>1</m:t>
              </m:r>
            </m:sub>
          </m:sSub>
          <m:r>
            <m:t> </m:t>
          </m:r>
          <m:sSub>
            <m:e>
              <m:r>
                <m:rPr>
                  <m:nor/>
                  <m:sty m:val="p"/>
                </m:rPr>
                <m:t>guided_edl</m:t>
              </m:r>
            </m:e>
            <m:sub>
              <m:r>
                <m:t>i</m:t>
              </m:r>
            </m:sub>
          </m:sSub>
          <m:r>
            <m:rPr>
              <m:sty m:val="p"/>
            </m:rPr>
            <m:t>+</m:t>
          </m:r>
          <m:sSub>
            <m:e>
              <m:r>
                <m:t>β</m:t>
              </m:r>
            </m:e>
            <m:sub>
              <m:r>
                <m:t>2</m:t>
              </m:r>
            </m:sub>
          </m:sSub>
          <m:r>
            <m:t> </m:t>
          </m:r>
          <m:sSub>
            <m:e>
              <m:r>
                <m:rPr>
                  <m:nor/>
                  <m:sty m:val="p"/>
                </m:rPr>
                <m:t>onboard_autonav</m:t>
              </m:r>
            </m:e>
            <m:sub>
              <m:r>
                <m:t>i</m:t>
              </m:r>
            </m:sub>
          </m:sSub>
          <m:r>
            <m:rPr>
              <m:sty m:val="p"/>
            </m:rPr>
            <m:t>+</m:t>
          </m:r>
          <m:sSub>
            <m:e>
              <m:r>
                <m:t>β</m:t>
              </m:r>
            </m:e>
            <m:sub>
              <m:r>
                <m:t>3</m:t>
              </m:r>
            </m:sub>
          </m:sSub>
          <m:r>
            <m:t> </m:t>
          </m:r>
          <m:sSub>
            <m:e>
              <m:r>
                <m:rPr>
                  <m:nor/>
                  <m:sty m:val="p"/>
                </m:rPr>
                <m:t>operator_edl_heritage</m:t>
              </m:r>
            </m:e>
            <m:sub>
              <m:r>
                <m:t>i</m:t>
              </m:r>
            </m:sub>
          </m:sSub>
          <m:r>
            <m:rPr>
              <m:sty m:val="p"/>
            </m:rPr>
            <m:t>+</m:t>
          </m:r>
          <m:sSub>
            <m:e>
              <m:r>
                <m:t>β</m:t>
              </m:r>
            </m:e>
            <m:sub>
              <m:r>
                <m:t>4</m:t>
              </m:r>
            </m:sub>
          </m:sSub>
          <m:r>
            <m:t> </m:t>
          </m:r>
          <m:sSub>
            <m:e>
              <m:r>
                <m:rPr>
                  <m:nor/>
                  <m:sty m:val="p"/>
                </m:rPr>
                <m:t>deep_target</m:t>
              </m:r>
            </m:e>
            <m:sub>
              <m:r>
                <m:t>i</m:t>
              </m:r>
            </m:sub>
          </m:sSub>
          <m:r>
            <m:rPr>
              <m:sty m:val="p"/>
            </m:rPr>
            <m:t>+</m:t>
          </m:r>
          <m:sSub>
            <m:e>
              <m:r>
                <m:t>ε</m:t>
              </m:r>
            </m:e>
            <m:sub>
              <m:r>
                <m:t>i</m:t>
              </m:r>
            </m:sub>
          </m:sSub>
        </m:oMath>
      </m:oMathPara>
    </w:p>
    <w:bookmarkEnd w:id="84"/>
    <w:bookmarkStart w:id="8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2.9845</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4.2382</w:t>
            </w:r>
          </w:p>
        </w:tc>
        <w:tc>
          <w:tcPr>
            <w:tcW w:w="0" w:type="auto"/>
          </w:tcPr>
          <w:p>
            <w:pPr>
              <w:spacing w:line="240" w:lineRule="auto" w:before="0" w:after="0"/>
              <w:pStyle w:val="Compact"/>
            </w:pPr>
            <w:r>
              <w:rPr>
                <w:sz w:val="20"/>
                <w:szCs w:val="20"/>
              </w:rPr>
              <w:t xml:space="preserve">2.254e-05</w:t>
            </w:r>
          </w:p>
        </w:tc>
        <w:tc>
          <w:tcPr>
            <w:tcW w:w="0" w:type="auto"/>
          </w:tcPr>
          <w:p>
            <w:pPr>
              <w:spacing w:line="240" w:lineRule="auto" w:before="0" w:after="0"/>
              <w:pStyle w:val="Compact"/>
            </w:pPr>
            <w:r>
              <w:rPr>
                <w:sz w:val="20"/>
                <w:szCs w:val="20"/>
              </w:rPr>
              <w:t xml:space="preserve">[1.6043, 4.3647]</w:t>
            </w:r>
          </w:p>
        </w:tc>
      </w:tr>
      <w:tr>
        <w:tc>
          <w:tcPr>
            <w:tcW w:w="0" w:type="auto"/>
          </w:tcPr>
          <w:p>
            <w:pPr>
              <w:spacing w:line="240" w:lineRule="auto" w:before="0" w:after="0"/>
              <w:pStyle w:val="Compact"/>
            </w:pPr>
            <w:r>
              <w:rPr>
                <w:sz w:val="20"/>
                <w:szCs w:val="20"/>
              </w:rPr>
              <w:t xml:space="preserve">guided_edl</w:t>
            </w:r>
          </w:p>
        </w:tc>
        <w:tc>
          <w:tcPr>
            <w:tcW w:w="0" w:type="auto"/>
          </w:tcPr>
          <w:p>
            <w:pPr>
              <w:spacing w:line="240" w:lineRule="auto" w:before="0" w:after="0"/>
              <w:pStyle w:val="Compact"/>
            </w:pPr>
            <w:r>
              <w:rPr>
                <w:sz w:val="20"/>
                <w:szCs w:val="20"/>
              </w:rPr>
              <w:t xml:space="preserve">-0.753</w:t>
            </w:r>
          </w:p>
        </w:tc>
        <w:tc>
          <w:tcPr>
            <w:tcW w:w="0" w:type="auto"/>
          </w:tcPr>
          <w:p>
            <w:pPr>
              <w:spacing w:line="240" w:lineRule="auto" w:before="0" w:after="0"/>
              <w:pStyle w:val="Compact"/>
            </w:pPr>
            <w:r>
              <w:rPr>
                <w:sz w:val="20"/>
                <w:szCs w:val="20"/>
              </w:rPr>
              <w:t xml:space="preserve">0.5701</w:t>
            </w:r>
          </w:p>
        </w:tc>
        <w:tc>
          <w:tcPr>
            <w:tcW w:w="0" w:type="auto"/>
          </w:tcPr>
          <w:p>
            <w:pPr>
              <w:spacing w:line="240" w:lineRule="auto" w:before="0" w:after="0"/>
              <w:pStyle w:val="Compact"/>
            </w:pPr>
            <w:r>
              <w:rPr>
                <w:sz w:val="20"/>
                <w:szCs w:val="20"/>
              </w:rPr>
              <w:t xml:space="preserve">-1.321</w:t>
            </w:r>
          </w:p>
        </w:tc>
        <w:tc>
          <w:tcPr>
            <w:tcW w:w="0" w:type="auto"/>
          </w:tcPr>
          <w:p>
            <w:pPr>
              <w:spacing w:line="240" w:lineRule="auto" w:before="0" w:after="0"/>
              <w:pStyle w:val="Compact"/>
            </w:pPr>
            <w:r>
              <w:rPr>
                <w:sz w:val="20"/>
                <w:szCs w:val="20"/>
              </w:rPr>
              <w:t xml:space="preserve">0.1865</w:t>
            </w:r>
          </w:p>
        </w:tc>
        <w:tc>
          <w:tcPr>
            <w:tcW w:w="0" w:type="auto"/>
          </w:tcPr>
          <w:p>
            <w:pPr>
              <w:spacing w:line="240" w:lineRule="auto" w:before="0" w:after="0"/>
              <w:pStyle w:val="Compact"/>
            </w:pPr>
            <w:r>
              <w:rPr>
                <w:sz w:val="20"/>
                <w:szCs w:val="20"/>
              </w:rPr>
              <w:t xml:space="preserve">[-1.8703, 0.3643]</w:t>
            </w:r>
          </w:p>
        </w:tc>
      </w:tr>
      <w:tr>
        <w:tc>
          <w:tcPr>
            <w:tcW w:w="0" w:type="auto"/>
          </w:tcPr>
          <w:p>
            <w:pPr>
              <w:spacing w:line="240" w:lineRule="auto" w:before="0" w:after="0"/>
              <w:pStyle w:val="Compact"/>
            </w:pPr>
            <w:r>
              <w:rPr>
                <w:sz w:val="20"/>
                <w:szCs w:val="20"/>
              </w:rPr>
              <w:t xml:space="preserve">onboard_autonav</w:t>
            </w:r>
          </w:p>
        </w:tc>
        <w:tc>
          <w:tcPr>
            <w:tcW w:w="0" w:type="auto"/>
          </w:tcPr>
          <w:p>
            <w:pPr>
              <w:spacing w:line="240" w:lineRule="auto" w:before="0" w:after="0"/>
              <w:pStyle w:val="Compact"/>
            </w:pPr>
            <w:r>
              <w:rPr>
                <w:sz w:val="20"/>
                <w:szCs w:val="20"/>
              </w:rPr>
              <w:t xml:space="preserve">-3.2591</w:t>
            </w:r>
          </w:p>
        </w:tc>
        <w:tc>
          <w:tcPr>
            <w:tcW w:w="0" w:type="auto"/>
          </w:tcPr>
          <w:p>
            <w:pPr>
              <w:spacing w:line="240" w:lineRule="auto" w:before="0" w:after="0"/>
              <w:pStyle w:val="Compact"/>
            </w:pPr>
            <w:r>
              <w:rPr>
                <w:sz w:val="20"/>
                <w:szCs w:val="20"/>
              </w:rPr>
              <w:t xml:space="preserve">0.9123</w:t>
            </w:r>
          </w:p>
        </w:tc>
        <w:tc>
          <w:tcPr>
            <w:tcW w:w="0" w:type="auto"/>
          </w:tcPr>
          <w:p>
            <w:pPr>
              <w:spacing w:line="240" w:lineRule="auto" w:before="0" w:after="0"/>
              <w:pStyle w:val="Compact"/>
            </w:pPr>
            <w:r>
              <w:rPr>
                <w:sz w:val="20"/>
                <w:szCs w:val="20"/>
              </w:rPr>
              <w:t xml:space="preserve">-3.5723</w:t>
            </w:r>
          </w:p>
        </w:tc>
        <w:tc>
          <w:tcPr>
            <w:tcW w:w="0" w:type="auto"/>
          </w:tcPr>
          <w:p>
            <w:pPr>
              <w:spacing w:line="240" w:lineRule="auto" w:before="0" w:after="0"/>
              <w:pStyle w:val="Compact"/>
            </w:pPr>
            <w:r>
              <w:rPr>
                <w:sz w:val="20"/>
                <w:szCs w:val="20"/>
              </w:rPr>
              <w:t xml:space="preserve">0.0003538</w:t>
            </w:r>
          </w:p>
        </w:tc>
        <w:tc>
          <w:tcPr>
            <w:tcW w:w="0" w:type="auto"/>
          </w:tcPr>
          <w:p>
            <w:pPr>
              <w:spacing w:line="240" w:lineRule="auto" w:before="0" w:after="0"/>
              <w:pStyle w:val="Compact"/>
            </w:pPr>
            <w:r>
              <w:rPr>
                <w:sz w:val="20"/>
                <w:szCs w:val="20"/>
              </w:rPr>
              <w:t xml:space="preserve">[-5.0472, -1.471]</w:t>
            </w:r>
          </w:p>
        </w:tc>
      </w:tr>
      <w:tr>
        <w:tc>
          <w:tcPr>
            <w:tcW w:w="0" w:type="auto"/>
          </w:tcPr>
          <w:p>
            <w:pPr>
              <w:spacing w:line="240" w:lineRule="auto" w:before="0" w:after="0"/>
              <w:pStyle w:val="Compact"/>
            </w:pPr>
            <w:r>
              <w:rPr>
                <w:sz w:val="20"/>
                <w:szCs w:val="20"/>
              </w:rPr>
              <w:t xml:space="preserve">operator_edl_heritage</w:t>
            </w:r>
          </w:p>
        </w:tc>
        <w:tc>
          <w:tcPr>
            <w:tcW w:w="0" w:type="auto"/>
          </w:tcPr>
          <w:p>
            <w:pPr>
              <w:spacing w:line="240" w:lineRule="auto" w:before="0" w:after="0"/>
              <w:pStyle w:val="Compact"/>
            </w:pPr>
            <w:r>
              <w:rPr>
                <w:sz w:val="20"/>
                <w:szCs w:val="20"/>
              </w:rPr>
              <w:t xml:space="preserve">-1.3027</w:t>
            </w:r>
          </w:p>
        </w:tc>
        <w:tc>
          <w:tcPr>
            <w:tcW w:w="0" w:type="auto"/>
          </w:tcPr>
          <w:p>
            <w:pPr>
              <w:spacing w:line="240" w:lineRule="auto" w:before="0" w:after="0"/>
              <w:pStyle w:val="Compact"/>
            </w:pPr>
            <w:r>
              <w:rPr>
                <w:sz w:val="20"/>
                <w:szCs w:val="20"/>
              </w:rPr>
              <w:t xml:space="preserve">0.8693</w:t>
            </w:r>
          </w:p>
        </w:tc>
        <w:tc>
          <w:tcPr>
            <w:tcW w:w="0" w:type="auto"/>
          </w:tcPr>
          <w:p>
            <w:pPr>
              <w:spacing w:line="240" w:lineRule="auto" w:before="0" w:after="0"/>
              <w:pStyle w:val="Compact"/>
            </w:pPr>
            <w:r>
              <w:rPr>
                <w:sz w:val="20"/>
                <w:szCs w:val="20"/>
              </w:rPr>
              <w:t xml:space="preserve">-1.4986</w:t>
            </w:r>
          </w:p>
        </w:tc>
        <w:tc>
          <w:tcPr>
            <w:tcW w:w="0" w:type="auto"/>
          </w:tcPr>
          <w:p>
            <w:pPr>
              <w:spacing w:line="240" w:lineRule="auto" w:before="0" w:after="0"/>
              <w:pStyle w:val="Compact"/>
            </w:pPr>
            <w:r>
              <w:rPr>
                <w:sz w:val="20"/>
                <w:szCs w:val="20"/>
              </w:rPr>
              <w:t xml:space="preserve">0.134</w:t>
            </w:r>
          </w:p>
        </w:tc>
        <w:tc>
          <w:tcPr>
            <w:tcW w:w="0" w:type="auto"/>
          </w:tcPr>
          <w:p>
            <w:pPr>
              <w:spacing w:line="240" w:lineRule="auto" w:before="0" w:after="0"/>
              <w:pStyle w:val="Compact"/>
            </w:pPr>
            <w:r>
              <w:rPr>
                <w:sz w:val="20"/>
                <w:szCs w:val="20"/>
              </w:rPr>
              <w:t xml:space="preserve">[-3.0066, 0.4011]</w:t>
            </w:r>
          </w:p>
        </w:tc>
      </w:tr>
      <w:tr>
        <w:tc>
          <w:tcPr>
            <w:tcW w:w="0" w:type="auto"/>
          </w:tcPr>
          <w:p>
            <w:pPr>
              <w:spacing w:line="240" w:lineRule="auto" w:before="0" w:after="0"/>
              <w:pStyle w:val="Compact"/>
            </w:pPr>
            <w:r>
              <w:rPr>
                <w:sz w:val="20"/>
                <w:szCs w:val="20"/>
              </w:rPr>
              <w:t xml:space="preserve">deep_target</w:t>
            </w:r>
          </w:p>
        </w:tc>
        <w:tc>
          <w:tcPr>
            <w:tcW w:w="0" w:type="auto"/>
          </w:tcPr>
          <w:p>
            <w:pPr>
              <w:spacing w:line="240" w:lineRule="auto" w:before="0" w:after="0"/>
              <w:pStyle w:val="Compact"/>
            </w:pPr>
            <w:r>
              <w:rPr>
                <w:sz w:val="20"/>
                <w:szCs w:val="20"/>
              </w:rPr>
              <w:t xml:space="preserve">2.0343</w:t>
            </w:r>
          </w:p>
        </w:tc>
        <w:tc>
          <w:tcPr>
            <w:tcW w:w="0" w:type="auto"/>
          </w:tcPr>
          <w:p>
            <w:pPr>
              <w:spacing w:line="240" w:lineRule="auto" w:before="0" w:after="0"/>
              <w:pStyle w:val="Compact"/>
            </w:pPr>
            <w:r>
              <w:rPr>
                <w:sz w:val="20"/>
                <w:szCs w:val="20"/>
              </w:rPr>
              <w:t xml:space="preserve">0.9273</w:t>
            </w:r>
          </w:p>
        </w:tc>
        <w:tc>
          <w:tcPr>
            <w:tcW w:w="0" w:type="auto"/>
          </w:tcPr>
          <w:p>
            <w:pPr>
              <w:spacing w:line="240" w:lineRule="auto" w:before="0" w:after="0"/>
              <w:pStyle w:val="Compact"/>
            </w:pPr>
            <w:r>
              <w:rPr>
                <w:sz w:val="20"/>
                <w:szCs w:val="20"/>
              </w:rPr>
              <w:t xml:space="preserve">2.1939</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[0.2169, 3.8517]</w:t>
            </w:r>
          </w:p>
        </w:tc>
      </w:tr>
    </w:tbl>
    <w:p>
      <w:pPr>
        <w:pStyle w:val="BodyText"/>
      </w:pPr>
      <w:r>
        <w:t xml:space="preserve">Fit: N = 22 R2 = 0.7504 R2_adj = 0.6917 F = 12.0028 F_p = 8.135e-05</w:t>
      </w:r>
    </w:p>
    <w:p>
      <w:pPr>
        <w:pStyle w:val="CaptionedFigure"/>
      </w:pPr>
      <w:r>
        <w:drawing>
          <wp:inline>
            <wp:extent cx="5669280" cy="3657600"/>
            <wp:effectExtent b="0" l="0" r="0" t="0"/>
            <wp:docPr descr="Figure 1. Log delivery error at the target for planetary and lunar delivery events, 1966-2025. Lower is more accurate." title="" id="86" name="Picture"/>
            <a:graphic>
              <a:graphicData uri="http://schemas.openxmlformats.org/drawingml/2006/picture">
                <pic:pic>
                  <pic:nvPicPr>
                    <pic:cNvPr descr="D:\Claude_Code\brain\collegium\candidates\dissertations\JPL_PLANETARY_09\research_papers\p1\paper_fig1.png" id="87" name="Picture"/>
                    <pic:cNvPicPr>
                      <a:picLocks noChangeArrowheads="1" noChangeAspect="1"/>
                    </pic:cNvPicPr>
                  </pic:nvPicPr>
                  <pic:blipFill>
                    <a:blip r:embed="rId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 delivery error at the target for planetary and lunar delivery events, 1966-2025. Lower is more accurate.</w:t>
      </w:r>
    </w:p>
    <w:bookmarkEnd w:id="88"/>
    <w:bookmarkStart w:id="9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target_body</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guided_edl</w:t>
            </w:r>
          </w:p>
        </w:tc>
        <w:tc>
          <w:tcPr>
            <w:tcW w:w="0" w:type="auto"/>
          </w:tcPr>
          <w:p>
            <w:pPr>
              <w:spacing w:line="240" w:lineRule="auto" w:before="0" w:after="0"/>
              <w:pStyle w:val="Compact"/>
            </w:pPr>
            <w:r>
              <w:rPr>
                <w:sz w:val="20"/>
                <w:szCs w:val="20"/>
              </w:rPr>
              <w:t xml:space="preserve">onboard_autonav</w:t>
            </w:r>
          </w:p>
        </w:tc>
        <w:tc>
          <w:tcPr>
            <w:tcW w:w="0" w:type="auto"/>
          </w:tcPr>
          <w:p>
            <w:pPr>
              <w:spacing w:line="240" w:lineRule="auto" w:before="0" w:after="0"/>
              <w:pStyle w:val="Compact"/>
            </w:pPr>
            <w:r>
              <w:rPr>
                <w:sz w:val="20"/>
                <w:szCs w:val="20"/>
              </w:rPr>
              <w:t xml:space="preserve">operator_edl_heritage</w:t>
            </w:r>
          </w:p>
        </w:tc>
        <w:tc>
          <w:tcPr>
            <w:tcW w:w="0" w:type="auto"/>
          </w:tcPr>
          <w:p>
            <w:pPr>
              <w:spacing w:line="240" w:lineRule="auto" w:before="0" w:after="0"/>
              <w:pStyle w:val="Compact"/>
            </w:pPr>
            <w:r>
              <w:rPr>
                <w:sz w:val="20"/>
                <w:szCs w:val="20"/>
              </w:rPr>
              <w:t xml:space="preserve">deep_target</w:t>
            </w:r>
          </w:p>
        </w:tc>
        <w:tc>
          <w:tcPr>
            <w:tcW w:w="0" w:type="auto"/>
          </w:tcPr>
          <w:p>
            <w:pPr>
              <w:spacing w:line="240" w:lineRule="auto" w:before="0" w:after="0"/>
              <w:pStyle w:val="Compact"/>
            </w:pPr>
            <w:r>
              <w:rPr>
                <w:sz w:val="20"/>
                <w:szCs w:val="20"/>
              </w:rPr>
              <w:t xml:space="preserve">ln_deliv_km</w:t>
            </w:r>
          </w:p>
        </w:tc>
        <w:tc>
          <w:tcPr>
            <w:tcW w:w="0" w:type="auto"/>
          </w:tcPr>
          <w:p>
            <w:pPr>
              <w:spacing w:line="240" w:lineRule="auto" w:before="0" w:after="0"/>
              <w:pStyle w:val="Compact"/>
            </w:pPr>
            <w:r>
              <w:rPr>
                <w:sz w:val="20"/>
                <w:szCs w:val="20"/>
              </w:rPr>
              <w:t xml:space="preserve">deliv_km</w:t>
            </w:r>
          </w:p>
        </w:tc>
        <w:tc>
          <w:tcPr>
            <w:tcW w:w="0" w:type="auto"/>
          </w:tcPr>
          <w:p>
            <w:pPr>
              <w:spacing w:line="240" w:lineRule="auto" w:before="0" w:after="0"/>
              <w:pStyle w:val="Compact"/>
            </w:pPr>
            <w:r>
              <w:rPr>
                <w:sz w:val="20"/>
                <w:szCs w:val="20"/>
              </w:rPr>
              <w:t xml:space="preserve">metric_type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Viking 1</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4.8675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NASA/USGS Viking 1 site selection: 3-sigma landing ellipse ~100 by 260 km (semi-major ~130 km). USGS/Science</w:t>
            </w:r>
            <w:r>
              <w:rPr>
                <w:sz w:val="20"/>
                <w:szCs w:val="20"/>
              </w:rPr>
              <w:t xml:space="preserve"> </w:t>
            </w:r>
            <w:r>
              <w:rPr>
                <w:sz w:val="20"/>
                <w:szCs w:val="20"/>
              </w:rPr>
              <w:t xml:space="preserve">‘Search for the Viking 2 landing site’</w:t>
            </w:r>
            <w:r>
              <w:rPr>
                <w:sz w:val="20"/>
                <w:szCs w:val="20"/>
              </w:rPr>
              <w:t xml:space="preserve"> </w:t>
            </w:r>
            <w:r>
              <w:rPr>
                <w:sz w:val="20"/>
                <w:szCs w:val="20"/>
              </w:rPr>
              <w:t xml:space="preserve">(1976); en.wikipedia.org/wiki/Viking_1.</w:t>
            </w:r>
          </w:p>
        </w:tc>
      </w:tr>
      <w:tr>
        <w:tc>
          <w:tcPr>
            <w:tcW w:w="0" w:type="auto"/>
          </w:tcPr>
          <w:p>
            <w:pPr>
              <w:spacing w:line="240" w:lineRule="auto" w:before="0" w:after="0"/>
              <w:pStyle w:val="Compact"/>
            </w:pPr>
            <w:r>
              <w:rPr>
                <w:sz w:val="20"/>
                <w:szCs w:val="20"/>
              </w:rPr>
              <w:t xml:space="preserve">Viking 2</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4.8675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 Viking program landing-ellipse documentation; Viking-class unguided ballistic entry 3-sigma ellipse ~260 by 100 km (semi-major ~130 km). en.wikipedia.org/wiki/Viking_2.</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NASA/JPL Mars Pathfinder Landing Ellipses (PIA01123); target ellipse ~200 by 100 km (semi-major ~100 km). jpl.nasa.gov/images/pia01123-mars-pathfinder-landing-ellipses.</w:t>
            </w:r>
          </w:p>
        </w:tc>
      </w:tr>
      <w:tr>
        <w:tc>
          <w:tcPr>
            <w:tcW w:w="0" w:type="auto"/>
          </w:tcPr>
          <w:p>
            <w:pPr>
              <w:spacing w:line="240" w:lineRule="auto" w:before="0" w:after="0"/>
              <w:pStyle w:val="Compact"/>
            </w:pPr>
            <w:r>
              <w:rPr>
                <w:sz w:val="20"/>
                <w:szCs w:val="20"/>
              </w:rPr>
              <w:t xml:space="preserve">MER-A Spirit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4.0943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 MER landing-ellipse documentation; Spirit (Gusev) landing ellipse semi-major ~60 km class. planetary.org</w:t>
            </w:r>
            <w:r>
              <w:rPr>
                <w:sz w:val="20"/>
                <w:szCs w:val="20"/>
              </w:rPr>
              <w:t xml:space="preserve"> </w:t>
            </w:r>
            <w:r>
              <w:rPr>
                <w:sz w:val="20"/>
                <w:szCs w:val="20"/>
              </w:rPr>
              <w:t xml:space="preserve">‘Landing ellipses’</w:t>
            </w:r>
            <w:r>
              <w:rPr>
                <w:sz w:val="20"/>
                <w:szCs w:val="20"/>
              </w:rPr>
              <w:t xml:space="preserve">; NASA Mars Exploration Rover mission records.</w:t>
            </w:r>
          </w:p>
        </w:tc>
      </w:tr>
      <w:tr>
        <w:tc>
          <w:tcPr>
            <w:tcW w:w="0" w:type="auto"/>
          </w:tcPr>
          <w:p>
            <w:pPr>
              <w:spacing w:line="240" w:lineRule="auto" w:before="0" w:after="0"/>
              <w:pStyle w:val="Compact"/>
            </w:pPr>
            <w:r>
              <w:rPr>
                <w:sz w:val="20"/>
                <w:szCs w:val="20"/>
              </w:rPr>
              <w:t xml:space="preserve">MER-B Opportunity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NASA/Planetary Society: Opportunity refined landing ellipse ~60 by 4 km (semi-major ~30 km). planetary.org MER landing-ellipse articles; Space.com Opportunity landing-site reporting.</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NASA/JPL Phoenix Landing Press Kit (May 2008): 99.9% landing ellipse ~100 by 20 km (semi-major ~50 km). jpl.nasa.gov/news/press_kits/phoenix-landing.pdf.</w:t>
            </w:r>
          </w:p>
        </w:tc>
      </w:tr>
      <w:tr>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NASA/JPL MSL: first guided Mars entry, ellipse ~20 by 7 km (semi-major ~10 km). en.wikipedia.org/wiki/Mars_Science_Laboratory; ScienceDirect comparative entry-guidance study (10.1016/j.actaastro.2023.06.014).</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4.1744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NASA/SEIS InSight landing documentation: unguided-class ballistic EDL, 99% ellipse ~130 by 27 km (semi-major ~65 km). seis-insight.eu InSight landing page.</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NASA/JPL Mars 2020 +</w:t>
            </w:r>
            <w:r>
              <w:rPr>
                <w:sz w:val="20"/>
                <w:szCs w:val="20"/>
              </w:rPr>
              <w:t xml:space="preserve"> </w:t>
            </w:r>
            <w:r>
              <w:rPr>
                <w:sz w:val="20"/>
                <w:szCs w:val="20"/>
              </w:rPr>
              <w:t xml:space="preserve">‘Assessment of M2020 Terrain Relative Landing Accuracy’</w:t>
            </w:r>
            <w:r>
              <w:rPr>
                <w:sz w:val="20"/>
                <w:szCs w:val="20"/>
              </w:rPr>
              <w:t xml:space="preserve"> </w:t>
            </w:r>
            <w:r>
              <w:rPr>
                <w:sz w:val="20"/>
                <w:szCs w:val="20"/>
              </w:rPr>
              <w:t xml:space="preserve">(NTRS 20230007014): TRN soft landing within ~5 m (0.005 km) of LVS target; reported here as ~50 m (0.05 km) conservative achieved miss.</w:t>
            </w:r>
          </w:p>
        </w:tc>
      </w:tr>
      <w:tr>
        <w:tc>
          <w:tcPr>
            <w:tcW w:w="0" w:type="auto"/>
          </w:tcPr>
          <w:p>
            <w:pPr>
              <w:spacing w:line="240" w:lineRule="auto" w:before="0" w:after="0"/>
              <w:pStyle w:val="Compact"/>
            </w:pPr>
            <w:r>
              <w:rPr>
                <w:sz w:val="20"/>
                <w:szCs w:val="20"/>
              </w:rPr>
              <w:t xml:space="preserve">Surveyor 1</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NASA Surveyor program: Surveyor 1 landed ~14 km from planned target. science.nasa.gov Surveyor 1 mission page; lpi.usra.edu/lunar/missions/surveyor.</w:t>
            </w:r>
          </w:p>
        </w:tc>
      </w:tr>
      <w:tr>
        <w:tc>
          <w:tcPr>
            <w:tcW w:w="0" w:type="auto"/>
          </w:tcPr>
          <w:p>
            <w:pPr>
              <w:spacing w:line="240" w:lineRule="auto" w:before="0" w:after="0"/>
              <w:pStyle w:val="Compact"/>
            </w:pPr>
            <w:r>
              <w:rPr>
                <w:sz w:val="20"/>
                <w:szCs w:val="20"/>
              </w:rPr>
              <w:t xml:space="preserve">Surveyor 3</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1.0296</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NASA Surveyor program: Surveyor 3 landed ~2.8 km from post-midcourse-correction target. drewexmachina.com</w:t>
            </w:r>
            <w:r>
              <w:rPr>
                <w:sz w:val="20"/>
                <w:szCs w:val="20"/>
              </w:rPr>
              <w:t xml:space="preserve"> </w:t>
            </w:r>
            <w:r>
              <w:rPr>
                <w:sz w:val="20"/>
                <w:szCs w:val="20"/>
              </w:rPr>
              <w:t xml:space="preserve">‘Surveyor 3: Touching the Face of the Moon’</w:t>
            </w:r>
            <w:r>
              <w:rPr>
                <w:sz w:val="20"/>
                <w:szCs w:val="20"/>
              </w:rPr>
              <w:t xml:space="preserve">.</w:t>
            </w:r>
          </w:p>
        </w:tc>
      </w:tr>
      <w:tr>
        <w:tc>
          <w:tcPr>
            <w:tcW w:w="0" w:type="auto"/>
          </w:tcPr>
          <w:p>
            <w:pPr>
              <w:spacing w:line="240" w:lineRule="auto" w:before="0" w:after="0"/>
              <w:pStyle w:val="Compact"/>
            </w:pPr>
            <w:r>
              <w:rPr>
                <w:sz w:val="20"/>
                <w:szCs w:val="20"/>
              </w:rPr>
              <w:t xml:space="preserve">Surveyor 7</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0.5306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NASA Surveyor program: Surveyor 7 touchdown ~1.7 km from Tycho aim point. drewexmachina.com</w:t>
            </w:r>
            <w:r>
              <w:rPr>
                <w:sz w:val="20"/>
                <w:szCs w:val="20"/>
              </w:rPr>
              <w:t xml:space="preserve"> </w:t>
            </w:r>
            <w:r>
              <w:rPr>
                <w:sz w:val="20"/>
                <w:szCs w:val="20"/>
              </w:rPr>
              <w:t xml:space="preserve">‘Surveyor 7: The Mission to Tycho’</w:t>
            </w:r>
            <w:r>
              <w:rPr>
                <w:sz w:val="20"/>
                <w:szCs w:val="20"/>
              </w:rPr>
              <w:t xml:space="preserve">.</w:t>
            </w:r>
          </w:p>
        </w:tc>
      </w:tr>
      <w:tr>
        <w:tc>
          <w:tcPr>
            <w:tcW w:w="0" w:type="auto"/>
          </w:tcPr>
          <w:p>
            <w:pPr>
              <w:spacing w:line="240" w:lineRule="auto" w:before="0" w:after="0"/>
              <w:pStyle w:val="Compact"/>
            </w:pPr>
            <w:r>
              <w:rPr>
                <w:sz w:val="20"/>
                <w:szCs w:val="20"/>
              </w:rPr>
              <w:t xml:space="preserve">Apollo 11</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NASA Apollo 11: target ellipse ~20 km downrange by 5 km crossrange (semi-major ~10 km) for crewed guided descent. NASA Apollo 11 mission documentation; en.wikipedia.org/wiki/Tranquility_Base.</w:t>
            </w:r>
          </w:p>
        </w:tc>
      </w:tr>
      <w:tr>
        <w:tc>
          <w:tcPr>
            <w:tcW w:w="0" w:type="auto"/>
          </w:tcPr>
          <w:p>
            <w:pPr>
              <w:spacing w:line="240" w:lineRule="auto" w:before="0" w:after="0"/>
              <w:pStyle w:val="Compact"/>
            </w:pPr>
            <w:r>
              <w:rPr>
                <w:sz w:val="20"/>
                <w:szCs w:val="20"/>
              </w:rPr>
              <w:t xml:space="preserve">Apollo 12</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-1.8326</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NASA Apollo 12 pinpoint landing: touched down ~163 m (0.163 km) from Surveyor 3 via updated descent-state targeting. NASA Apollo 12 mission report.</w:t>
            </w:r>
          </w:p>
        </w:tc>
      </w:tr>
      <w:tr>
        <w:tc>
          <w:tcPr>
            <w:tcW w:w="0" w:type="auto"/>
          </w:tcPr>
          <w:p>
            <w:pPr>
              <w:spacing w:line="240" w:lineRule="auto" w:before="0" w:after="0"/>
              <w:pStyle w:val="Compact"/>
            </w:pPr>
            <w:r>
              <w:rPr>
                <w:sz w:val="20"/>
                <w:szCs w:val="20"/>
              </w:rPr>
              <w:t xml:space="preserve">Chang’e 3</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-2.4079</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CNSA Chang’e-3 autonomous hazard-avoidance landing ~90 m (0.09 km) off-center per descent assessment.</w:t>
            </w:r>
            <w:r>
              <w:rPr>
                <w:sz w:val="20"/>
                <w:szCs w:val="20"/>
              </w:rPr>
              <w:t xml:space="preserve"> </w:t>
            </w:r>
            <w:r>
              <w:rPr>
                <w:sz w:val="20"/>
                <w:szCs w:val="20"/>
              </w:rPr>
              <w:t xml:space="preserve">‘Guidance Summary and Assessment of the Chang’e-3 Powered Descent and Landing’</w:t>
            </w:r>
            <w:r>
              <w:rPr>
                <w:sz w:val="20"/>
                <w:szCs w:val="20"/>
              </w:rPr>
              <w:t xml:space="preserve">; PMC9570552.</w:t>
            </w:r>
          </w:p>
        </w:tc>
      </w:tr>
      <w:tr>
        <w:tc>
          <w:tcPr>
            <w:tcW w:w="0" w:type="auto"/>
          </w:tcPr>
          <w:p>
            <w:pPr>
              <w:spacing w:line="240" w:lineRule="auto" w:before="0" w:after="0"/>
              <w:pStyle w:val="Compact"/>
            </w:pPr>
            <w:r>
              <w:rPr>
                <w:sz w:val="20"/>
                <w:szCs w:val="20"/>
              </w:rPr>
              <w:t xml:space="preserve">Chang’e 4</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CNSA Chang’e-4 farside autonomous landing in Von Karman crater. Nature Communications</w:t>
            </w:r>
            <w:r>
              <w:rPr>
                <w:sz w:val="20"/>
                <w:szCs w:val="20"/>
              </w:rPr>
              <w:t xml:space="preserve"> </w:t>
            </w:r>
            <w:r>
              <w:rPr>
                <w:sz w:val="20"/>
                <w:szCs w:val="20"/>
              </w:rPr>
              <w:t xml:space="preserve">‘Descent trajectory reconstruction and landing site positioning of Chang’E-4’</w:t>
            </w:r>
            <w:r>
              <w:rPr>
                <w:sz w:val="20"/>
                <w:szCs w:val="20"/>
              </w:rPr>
              <w:t xml:space="preserve"> </w:t>
            </w:r>
            <w:r>
              <w:rPr>
                <w:sz w:val="20"/>
                <w:szCs w:val="20"/>
              </w:rPr>
              <w:t xml:space="preserve">(10.1038/s41467-019-12278-3). [illustrative] semi-major from constrained farside target region; no achieved miss published.</w:t>
            </w:r>
          </w:p>
        </w:tc>
      </w:tr>
      <w:tr>
        <w:tc>
          <w:tcPr>
            <w:tcW w:w="0" w:type="auto"/>
          </w:tcPr>
          <w:p>
            <w:pPr>
              <w:spacing w:line="240" w:lineRule="auto" w:before="0" w:after="0"/>
              <w:pStyle w:val="Compact"/>
            </w:pPr>
            <w:r>
              <w:rPr>
                <w:sz w:val="20"/>
                <w:szCs w:val="20"/>
              </w:rPr>
              <w:t xml:space="preserve">Chandrayaan-3 Vikram</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-1.0498</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ISRO Chandrayaan-3 south-pole soft landing ~350 m (0.35 km) from targeted spot. jatan.space</w:t>
            </w:r>
            <w:r>
              <w:rPr>
                <w:sz w:val="20"/>
                <w:szCs w:val="20"/>
              </w:rPr>
              <w:t xml:space="preserve"> </w:t>
            </w:r>
            <w:r>
              <w:rPr>
                <w:sz w:val="20"/>
                <w:szCs w:val="20"/>
              </w:rPr>
              <w:t xml:space="preserve">‘How Chandrayaan-3 made its historic touchdown’</w:t>
            </w:r>
            <w:r>
              <w:rPr>
                <w:sz w:val="20"/>
                <w:szCs w:val="20"/>
              </w:rPr>
              <w:t xml:space="preserve">; AIAA J. Spacecraft and Rockets</w:t>
            </w:r>
            <w:r>
              <w:rPr>
                <w:sz w:val="20"/>
                <w:szCs w:val="20"/>
              </w:rPr>
              <w:t xml:space="preserve"> </w:t>
            </w:r>
            <w:r>
              <w:rPr>
                <w:sz w:val="20"/>
                <w:szCs w:val="20"/>
              </w:rPr>
              <w:t xml:space="preserve">‘Chandrayaan-3 Trajectory Design’</w:t>
            </w:r>
            <w:r>
              <w:rPr>
                <w:sz w:val="20"/>
                <w:szCs w:val="20"/>
              </w:rPr>
              <w:t xml:space="preserve"> </w:t>
            </w:r>
            <w:r>
              <w:rPr>
                <w:sz w:val="20"/>
                <w:szCs w:val="20"/>
              </w:rPr>
              <w:t xml:space="preserve">(10.2514/1.A35980).</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JAXA SLIM pinpoint landing within ~10 m (0.01 km) of target via vision-based optical navigation (100 m goal far exceeded). en.wikipedia.org/wiki/Smart_Lander_for_Investigating_Moon; ScienceDirect</w:t>
            </w:r>
            <w:r>
              <w:rPr>
                <w:sz w:val="20"/>
                <w:szCs w:val="20"/>
              </w:rPr>
              <w:t xml:space="preserve"> </w:t>
            </w:r>
            <w:r>
              <w:rPr>
                <w:sz w:val="20"/>
                <w:szCs w:val="20"/>
              </w:rPr>
              <w:t xml:space="preserve">‘Moon landing results of SLIM’</w:t>
            </w:r>
            <w:r>
              <w:rPr>
                <w:sz w:val="20"/>
                <w:szCs w:val="20"/>
              </w:rPr>
              <w:t xml:space="preserve"> </w:t>
            </w:r>
            <w:r>
              <w:rPr>
                <w:sz w:val="20"/>
                <w:szCs w:val="20"/>
              </w:rPr>
              <w:t xml:space="preserve">(10.1016/j.actaastro.2025.03.045).</w:t>
            </w:r>
          </w:p>
        </w:tc>
      </w:tr>
      <w:tr>
        <w:tc>
          <w:tcPr>
            <w:tcW w:w="0" w:type="auto"/>
          </w:tcPr>
          <w:p>
            <w:pPr>
              <w:spacing w:line="240" w:lineRule="auto" w:before="0" w:after="0"/>
              <w:pStyle w:val="Compact"/>
            </w:pPr>
            <w:r>
              <w:rPr>
                <w:sz w:val="20"/>
                <w:szCs w:val="20"/>
              </w:rPr>
              <w:t xml:space="preserve">Beresheet</w:t>
            </w:r>
          </w:p>
        </w:tc>
        <w:tc>
          <w:tcPr>
            <w:tcW w:w="0" w:type="auto"/>
          </w:tcPr>
          <w:p>
            <w:pPr>
              <w:spacing w:line="240" w:lineRule="auto" w:before="0" w:after="0"/>
              <w:pStyle w:val="Compact"/>
            </w:pPr>
            <w:r>
              <w:rPr>
                <w:sz w:val="20"/>
                <w:szCs w:val="20"/>
              </w:rPr>
              <w:t xml:space="preserve">SpaceIL</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SpaceIL Beresheet: targeted Mare Serenitatis region few-km class prior to engine-anomaly crash; commercial first-attempt operator, no onboard terrain nav. SpaceIL/IAI Beresheet mission documentation. [illustrative] semi-major from targeted landing region.</w:t>
            </w:r>
          </w:p>
        </w:tc>
      </w:tr>
      <w:tr>
        <w:tc>
          <w:tcPr>
            <w:tcW w:w="0" w:type="auto"/>
          </w:tcPr>
          <w:p>
            <w:pPr>
              <w:spacing w:line="240" w:lineRule="auto" w:before="0" w:after="0"/>
              <w:pStyle w:val="Compact"/>
            </w:pPr>
            <w:r>
              <w:rPr>
                <w:sz w:val="20"/>
                <w:szCs w:val="20"/>
              </w:rPr>
              <w:t xml:space="preserve">Hakuto-R M1</w:t>
            </w:r>
          </w:p>
        </w:tc>
        <w:tc>
          <w:tcPr>
            <w:tcW w:w="0" w:type="auto"/>
          </w:tcPr>
          <w:p>
            <w:pPr>
              <w:spacing w:line="240" w:lineRule="auto" w:before="0" w:after="0"/>
              <w:pStyle w:val="Compact"/>
            </w:pPr>
            <w:r>
              <w:rPr>
                <w:sz w:val="20"/>
                <w:szCs w:val="20"/>
              </w:rPr>
              <w:t xml:space="preserve">ispace</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ellipse_semimajor</w:t>
            </w:r>
          </w:p>
        </w:tc>
        <w:tc>
          <w:tcPr>
            <w:tcW w:w="0" w:type="auto"/>
          </w:tcPr>
          <w:p>
            <w:pPr>
              <w:spacing w:line="240" w:lineRule="auto" w:before="0" w:after="0"/>
              <w:pStyle w:val="Compact"/>
            </w:pPr>
            <w:r>
              <w:rPr>
                <w:sz w:val="20"/>
                <w:szCs w:val="20"/>
              </w:rPr>
              <w:t xml:space="preserve">ispace HAKUTO-R Mission 1: Atlas crater target with onboard navigation; lost at terminal descent (altitude-estimation error). ispace Mission 1 results announcement. [illustrative] semi-major from designated target region.</w:t>
            </w:r>
          </w:p>
        </w:tc>
      </w:tr>
      <w:tr>
        <w:tc>
          <w:tcPr>
            <w:tcW w:w="0" w:type="auto"/>
          </w:tcPr>
          <w:p>
            <w:pPr>
              <w:spacing w:line="240" w:lineRule="auto" w:before="0" w:after="0"/>
              <w:pStyle w:val="Compact"/>
            </w:pPr>
            <w:r>
              <w:rPr>
                <w:sz w:val="20"/>
                <w:szCs w:val="20"/>
              </w:rPr>
              <w:t xml:space="preserve">IM-1 Odysseus</w:t>
            </w:r>
          </w:p>
        </w:tc>
        <w:tc>
          <w:tcPr>
            <w:tcW w:w="0" w:type="auto"/>
          </w:tcPr>
          <w:p>
            <w:pPr>
              <w:spacing w:line="240" w:lineRule="auto" w:before="0" w:after="0"/>
              <w:pStyle w:val="Compact"/>
            </w:pPr>
            <w:r>
              <w:rPr>
                <w:sz w:val="20"/>
                <w:szCs w:val="20"/>
              </w:rPr>
              <w:t xml:space="preserve">Intuitive Machines</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Intuitive Machines IM-1 Odysseus settled ~1.5 km from intended Malapert A site. en.wikipedia.org/wiki/IM-1; spacenews.com IM-1 reporting.</w:t>
            </w:r>
          </w:p>
        </w:tc>
      </w:tr>
      <w:tr>
        <w:tc>
          <w:tcPr>
            <w:tcW w:w="0" w:type="auto"/>
          </w:tcPr>
          <w:p>
            <w:pPr>
              <w:spacing w:line="240" w:lineRule="auto" w:before="0" w:after="0"/>
              <w:pStyle w:val="Compact"/>
            </w:pPr>
            <w:r>
              <w:rPr>
                <w:sz w:val="20"/>
                <w:szCs w:val="20"/>
              </w:rPr>
              <w:t xml:space="preserve">Blue Ghost M1</w:t>
            </w:r>
          </w:p>
        </w:tc>
        <w:tc>
          <w:tcPr>
            <w:tcW w:w="0" w:type="auto"/>
          </w:tcPr>
          <w:p>
            <w:pPr>
              <w:spacing w:line="240" w:lineRule="auto" w:before="0" w:after="0"/>
              <w:pStyle w:val="Compact"/>
            </w:pPr>
            <w:r>
              <w:rPr>
                <w:sz w:val="20"/>
                <w:szCs w:val="20"/>
              </w:rPr>
              <w:t xml:space="preserve">Firefly</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-2.137</w:t>
            </w:r>
          </w:p>
        </w:tc>
        <w:tc>
          <w:tcPr>
            <w:tcW w:w="0" w:type="auto"/>
          </w:tcPr>
          <w:p>
            <w:pPr>
              <w:spacing w:line="240" w:lineRule="auto" w:before="0" w:after="0"/>
              <w:pStyle w:val="Compact"/>
            </w:pPr>
            <w:r>
              <w:rPr>
                <w:sz w:val="20"/>
                <w:szCs w:val="20"/>
              </w:rPr>
              <w:t xml:space="preserve">0.118</w:t>
            </w:r>
          </w:p>
        </w:tc>
        <w:tc>
          <w:tcPr>
            <w:tcW w:w="0" w:type="auto"/>
          </w:tcPr>
          <w:p>
            <w:pPr>
              <w:spacing w:line="240" w:lineRule="auto" w:before="0" w:after="0"/>
              <w:pStyle w:val="Compact"/>
            </w:pPr>
            <w:r>
              <w:rPr>
                <w:sz w:val="20"/>
                <w:szCs w:val="20"/>
              </w:rPr>
              <w:t xml:space="preserve">achieved_miss</w:t>
            </w:r>
          </w:p>
        </w:tc>
        <w:tc>
          <w:tcPr>
            <w:tcW w:w="0" w:type="auto"/>
          </w:tcPr>
          <w:p>
            <w:pPr>
              <w:spacing w:line="240" w:lineRule="auto" w:before="0" w:after="0"/>
              <w:pStyle w:val="Compact"/>
            </w:pPr>
            <w:r>
              <w:rPr>
                <w:sz w:val="20"/>
                <w:szCs w:val="20"/>
              </w:rPr>
              <w:t xml:space="preserve">Firefly Blue Ghost Mission 1 landed ~118 m (0.118 km) from target in Mare Crisium via vision-based TRN. fireflyspace.com landing announcement; nasaspaceflight.com</w:t>
            </w:r>
            <w:r>
              <w:rPr>
                <w:sz w:val="20"/>
                <w:szCs w:val="20"/>
              </w:rPr>
              <w:t xml:space="preserve"> </w:t>
            </w:r>
            <w:r>
              <w:rPr>
                <w:sz w:val="20"/>
                <w:szCs w:val="20"/>
              </w:rPr>
              <w:t xml:space="preserve">‘Blue Ghost / IM-2 landings’</w:t>
            </w:r>
            <w:r>
              <w:rPr>
                <w:sz w:val="20"/>
                <w:szCs w:val="20"/>
              </w:rPr>
              <w:t xml:space="preserve"> </w:t>
            </w:r>
            <w:r>
              <w:rPr>
                <w:sz w:val="20"/>
                <w:szCs w:val="20"/>
              </w:rPr>
              <w:t xml:space="preserve">(2025).</w:t>
            </w:r>
          </w:p>
        </w:tc>
      </w:tr>
    </w:tbl>
    <w:bookmarkEnd w:id="89"/>
    <w:bookmarkStart w:id="9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ln_deliv_km</w:t>
            </w:r>
          </w:p>
        </w:tc>
        <w:tc>
          <w:tcPr>
            <w:tcW w:w="0" w:type="auto"/>
          </w:tcPr>
          <w:p>
            <w:pPr>
              <w:spacing w:line="240" w:lineRule="auto" w:before="0" w:after="0"/>
              <w:pStyle w:val="Compact"/>
            </w:pPr>
            <w:r>
              <w:rPr>
                <w:sz w:val="20"/>
                <w:szCs w:val="20"/>
              </w:rPr>
              <w:t xml:space="preserve">Natural logarithm of the delivery error in kilometers at the critical delivery event. The delivery error is the documented achieved miss distance from the targeted landing point where a mission reports one, and otherwise the published landing-ellipse semi-major axis (the conventional pre-event delivery-accuracy figure). The log transform linearizes a metric that spans more than four orders of magnitude (0.01 to 130 km) and gives coefficients a proportional interpretation</w:t>
            </w:r>
          </w:p>
        </w:tc>
        <w:tc>
          <w:tcPr>
            <w:tcW w:w="0" w:type="auto"/>
          </w:tcPr>
          <w:p>
            <w:pPr>
              <w:spacing w:line="240" w:lineRule="auto" w:before="0" w:after="0"/>
              <w:pStyle w:val="Compact"/>
            </w:pPr>
            <w:r>
              <w:rPr>
                <w:sz w:val="20"/>
                <w:szCs w:val="20"/>
              </w:rPr>
              <w:t xml:space="preserve">Computed from the deliv_km field; each row’s km value carries a named documented source in the source column (see metric_type for whether the value is an achieved miss or an ellipse semi-major axis)</w:t>
            </w:r>
          </w:p>
        </w:tc>
      </w:tr>
      <w:tr>
        <w:tc>
          <w:tcPr>
            <w:tcW w:w="0" w:type="auto"/>
          </w:tcPr>
          <w:p>
            <w:pPr>
              <w:spacing w:line="240" w:lineRule="auto" w:before="0" w:after="0"/>
              <w:pStyle w:val="Compact"/>
            </w:pPr>
            <w:r>
              <w:rPr>
                <w:sz w:val="20"/>
                <w:szCs w:val="20"/>
              </w:rPr>
              <w:t xml:space="preserve">guided_edl</w:t>
            </w:r>
          </w:p>
        </w:tc>
        <w:tc>
          <w:tcPr>
            <w:tcW w:w="0" w:type="auto"/>
          </w:tcPr>
          <w:p>
            <w:pPr>
              <w:spacing w:line="240" w:lineRule="auto" w:before="0" w:after="0"/>
              <w:pStyle w:val="Compact"/>
            </w:pPr>
            <w:r>
              <w:rPr>
                <w:sz w:val="20"/>
                <w:szCs w:val="20"/>
              </w:rPr>
              <w:t xml:space="preserve">1 if the delivery used closed-loop guided entry, descent, and powered-descent guidance (steered toward a pre-selected aim point); 0 if the vehicle followed an unguided ballistic entry whose footprint is set by atmospheric and dispersions alone</w:t>
            </w:r>
          </w:p>
        </w:tc>
        <w:tc>
          <w:tcPr>
            <w:tcW w:w="0" w:type="auto"/>
          </w:tcPr>
          <w:p>
            <w:pPr>
              <w:spacing w:line="240" w:lineRule="auto" w:before="0" w:after="0"/>
              <w:pStyle w:val="Compact"/>
            </w:pPr>
            <w:r>
              <w:rPr>
                <w:sz w:val="20"/>
                <w:szCs w:val="20"/>
              </w:rPr>
              <w:t xml:space="preserve">Coded from documented mission descent architecture (e.g. MSL first guided Mars entry; Viking/Pathfinder/MER/Phoenix/InSight unguided-class ballistic entry; all lunar powered-descent landers guided)</w:t>
            </w:r>
          </w:p>
        </w:tc>
      </w:tr>
      <w:tr>
        <w:tc>
          <w:tcPr>
            <w:tcW w:w="0" w:type="auto"/>
          </w:tcPr>
          <w:p>
            <w:pPr>
              <w:spacing w:line="240" w:lineRule="auto" w:before="0" w:after="0"/>
              <w:pStyle w:val="Compact"/>
            </w:pPr>
            <w:r>
              <w:rPr>
                <w:sz w:val="20"/>
                <w:szCs w:val="20"/>
              </w:rPr>
              <w:t xml:space="preserve">onboard_autonav</w:t>
            </w:r>
          </w:p>
        </w:tc>
        <w:tc>
          <w:tcPr>
            <w:tcW w:w="0" w:type="auto"/>
          </w:tcPr>
          <w:p>
            <w:pPr>
              <w:spacing w:line="240" w:lineRule="auto" w:before="0" w:after="0"/>
              <w:pStyle w:val="Compact"/>
            </w:pPr>
            <w:r>
              <w:rPr>
                <w:sz w:val="20"/>
                <w:szCs w:val="20"/>
              </w:rPr>
              <w:t xml:space="preserve">1 if the delivery relied materially on autonomous onboard navigation at the critical event (terrain-relative navigation, vision-based optical navigation, or autonomous hazard-avoidance during descent); 0 if the terminal solution was ground-radiometric or inertial only</w:t>
            </w:r>
          </w:p>
        </w:tc>
        <w:tc>
          <w:tcPr>
            <w:tcW w:w="0" w:type="auto"/>
          </w:tcPr>
          <w:p>
            <w:pPr>
              <w:spacing w:line="240" w:lineRule="auto" w:before="0" w:after="0"/>
              <w:pStyle w:val="Compact"/>
            </w:pPr>
            <w:r>
              <w:rPr>
                <w:sz w:val="20"/>
                <w:szCs w:val="20"/>
              </w:rPr>
              <w:t xml:space="preserve">Coded from the autonomous-navigation capability frame [1] applied to documented mission GNC descriptions (e.g. M2020 TRN, SLIM vision-based optical navigation, Chang’e/Chandrayaan/Blue Ghost autonomous hazard avoidance)</w:t>
            </w:r>
          </w:p>
        </w:tc>
      </w:tr>
      <w:tr>
        <w:tc>
          <w:tcPr>
            <w:tcW w:w="0" w:type="auto"/>
          </w:tcPr>
          <w:p>
            <w:pPr>
              <w:spacing w:line="240" w:lineRule="auto" w:before="0" w:after="0"/>
              <w:pStyle w:val="Compact"/>
            </w:pPr>
            <w:r>
              <w:rPr>
                <w:sz w:val="20"/>
                <w:szCs w:val="20"/>
              </w:rPr>
              <w:t xml:space="preserve">operator_edl_heritage</w:t>
            </w:r>
          </w:p>
        </w:tc>
        <w:tc>
          <w:tcPr>
            <w:tcW w:w="0" w:type="auto"/>
          </w:tcPr>
          <w:p>
            <w:pPr>
              <w:spacing w:line="240" w:lineRule="auto" w:before="0" w:after="0"/>
              <w:pStyle w:val="Compact"/>
            </w:pPr>
            <w:r>
              <w:rPr>
                <w:sz w:val="20"/>
                <w:szCs w:val="20"/>
              </w:rPr>
              <w:t xml:space="preserve">1 if the operating agency or company had previously completed a successful planetary or lunar soft landing before this attempt; 0 if this was its first such attempt</w:t>
            </w:r>
          </w:p>
        </w:tc>
        <w:tc>
          <w:tcPr>
            <w:tcW w:w="0" w:type="auto"/>
          </w:tcPr>
          <w:p>
            <w:pPr>
              <w:spacing w:line="240" w:lineRule="auto" w:before="0" w:after="0"/>
              <w:pStyle w:val="Compact"/>
            </w:pPr>
            <w:r>
              <w:rPr>
                <w:sz w:val="20"/>
                <w:szCs w:val="20"/>
              </w:rPr>
              <w:t xml:space="preserve">Coded from each operator’s prior landing record in NASA/NSSDCA and mission histories (e.g. NASA and CNSA carry heritage; SpaceIL, ispace, Intuitive Machines, Firefly were first-attempt operators)</w:t>
            </w:r>
          </w:p>
        </w:tc>
      </w:tr>
      <w:tr>
        <w:tc>
          <w:tcPr>
            <w:tcW w:w="0" w:type="auto"/>
          </w:tcPr>
          <w:p>
            <w:pPr>
              <w:spacing w:line="240" w:lineRule="auto" w:before="0" w:after="0"/>
              <w:pStyle w:val="Compact"/>
            </w:pPr>
            <w:r>
              <w:rPr>
                <w:sz w:val="20"/>
                <w:szCs w:val="20"/>
              </w:rPr>
              <w:t xml:space="preserve">deep_target</w:t>
            </w:r>
          </w:p>
        </w:tc>
        <w:tc>
          <w:tcPr>
            <w:tcW w:w="0" w:type="auto"/>
          </w:tcPr>
          <w:p>
            <w:pPr>
              <w:spacing w:line="240" w:lineRule="auto" w:before="0" w:after="0"/>
              <w:pStyle w:val="Compact"/>
            </w:pPr>
            <w:r>
              <w:rPr>
                <w:sz w:val="20"/>
                <w:szCs w:val="20"/>
              </w:rPr>
              <w:t xml:space="preserve">1 if the target body was Mars (an interplanetary delivery dependent on long-arc deep-space tracking and atmospheric entry); 0 if the target was the Moon (a near-Earth delivery with short light-time and, for landers, an airless powered descent). A proxy for the navigation and entry difficulty added by interplanetary distance and an atmosphere</w:t>
            </w:r>
          </w:p>
        </w:tc>
        <w:tc>
          <w:tcPr>
            <w:tcW w:w="0" w:type="auto"/>
          </w:tcPr>
          <w:p>
            <w:pPr>
              <w:spacing w:line="240" w:lineRule="auto" w:before="0" w:after="0"/>
              <w:pStyle w:val="Compact"/>
            </w:pPr>
            <w:r>
              <w:rPr>
                <w:sz w:val="20"/>
                <w:szCs w:val="20"/>
              </w:rPr>
              <w:t xml:space="preserve">Coded from the target body of each mission</w:t>
            </w:r>
          </w:p>
        </w:tc>
      </w:tr>
      <w:t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Calendar year of the delivery event. Retained in the data as a provenance and ordering field but excluded from the headline specification: year is strongly collinear with the guidance and onboard-navigation indicators (guided and autonomous deliveries cluster in the later decades), so entering it jointly inflates variance without identifying a separate time trend</w:t>
            </w:r>
          </w:p>
        </w:tc>
        <w:tc>
          <w:tcPr>
            <w:tcW w:w="0" w:type="auto"/>
          </w:tcPr>
          <w:p>
            <w:pPr>
              <w:spacing w:line="240" w:lineRule="auto" w:before="0" w:after="0"/>
              <w:pStyle w:val="Compact"/>
            </w:pPr>
            <w:r>
              <w:rPr>
                <w:sz w:val="20"/>
                <w:szCs w:val="20"/>
              </w:rPr>
              <w:t xml:space="preserve">Documented date of the delivery event in the per-row source</w:t>
            </w:r>
          </w:p>
        </w:tc>
      </w:tr>
    </w:tbl>
    <w:bookmarkEnd w:id="90"/>
    <w:bookmarkStart w:id="9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2.9845</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4.2382</w:t>
            </w:r>
          </w:p>
        </w:tc>
        <w:tc>
          <w:tcPr>
            <w:tcW w:w="0" w:type="auto"/>
          </w:tcPr>
          <w:p>
            <w:pPr>
              <w:spacing w:line="240" w:lineRule="auto" w:before="0" w:after="0"/>
              <w:pStyle w:val="Compact"/>
            </w:pPr>
            <w:r>
              <w:rPr>
                <w:sz w:val="20"/>
                <w:szCs w:val="20"/>
              </w:rPr>
              <w:t xml:space="preserve">2.254e-05</w:t>
            </w:r>
          </w:p>
        </w:tc>
        <w:tc>
          <w:tcPr>
            <w:tcW w:w="0" w:type="auto"/>
          </w:tcPr>
          <w:p>
            <w:pPr>
              <w:spacing w:line="240" w:lineRule="auto" w:before="0" w:after="0"/>
              <w:pStyle w:val="Compact"/>
            </w:pPr>
            <w:r>
              <w:rPr>
                <w:sz w:val="20"/>
                <w:szCs w:val="20"/>
              </w:rPr>
              <w:t xml:space="preserve">[1.6043, 4.3647]</w:t>
            </w:r>
          </w:p>
        </w:tc>
      </w:tr>
      <w:tr>
        <w:tc>
          <w:tcPr>
            <w:tcW w:w="0" w:type="auto"/>
          </w:tcPr>
          <w:p>
            <w:pPr>
              <w:spacing w:line="240" w:lineRule="auto" w:before="0" w:after="0"/>
              <w:pStyle w:val="Compact"/>
            </w:pPr>
            <w:r>
              <w:rPr>
                <w:sz w:val="20"/>
                <w:szCs w:val="20"/>
              </w:rPr>
              <w:t xml:space="preserve">guided_edl</w:t>
            </w:r>
          </w:p>
        </w:tc>
        <w:tc>
          <w:tcPr>
            <w:tcW w:w="0" w:type="auto"/>
          </w:tcPr>
          <w:p>
            <w:pPr>
              <w:spacing w:line="240" w:lineRule="auto" w:before="0" w:after="0"/>
              <w:pStyle w:val="Compact"/>
            </w:pPr>
            <w:r>
              <w:rPr>
                <w:sz w:val="20"/>
                <w:szCs w:val="20"/>
              </w:rPr>
              <w:t xml:space="preserve">-0.753</w:t>
            </w:r>
          </w:p>
        </w:tc>
        <w:tc>
          <w:tcPr>
            <w:tcW w:w="0" w:type="auto"/>
          </w:tcPr>
          <w:p>
            <w:pPr>
              <w:spacing w:line="240" w:lineRule="auto" w:before="0" w:after="0"/>
              <w:pStyle w:val="Compact"/>
            </w:pPr>
            <w:r>
              <w:rPr>
                <w:sz w:val="20"/>
                <w:szCs w:val="20"/>
              </w:rPr>
              <w:t xml:space="preserve">0.5701</w:t>
            </w:r>
          </w:p>
        </w:tc>
        <w:tc>
          <w:tcPr>
            <w:tcW w:w="0" w:type="auto"/>
          </w:tcPr>
          <w:p>
            <w:pPr>
              <w:spacing w:line="240" w:lineRule="auto" w:before="0" w:after="0"/>
              <w:pStyle w:val="Compact"/>
            </w:pPr>
            <w:r>
              <w:rPr>
                <w:sz w:val="20"/>
                <w:szCs w:val="20"/>
              </w:rPr>
              <w:t xml:space="preserve">-1.321</w:t>
            </w:r>
          </w:p>
        </w:tc>
        <w:tc>
          <w:tcPr>
            <w:tcW w:w="0" w:type="auto"/>
          </w:tcPr>
          <w:p>
            <w:pPr>
              <w:spacing w:line="240" w:lineRule="auto" w:before="0" w:after="0"/>
              <w:pStyle w:val="Compact"/>
            </w:pPr>
            <w:r>
              <w:rPr>
                <w:sz w:val="20"/>
                <w:szCs w:val="20"/>
              </w:rPr>
              <w:t xml:space="preserve">0.1865</w:t>
            </w:r>
          </w:p>
        </w:tc>
        <w:tc>
          <w:tcPr>
            <w:tcW w:w="0" w:type="auto"/>
          </w:tcPr>
          <w:p>
            <w:pPr>
              <w:spacing w:line="240" w:lineRule="auto" w:before="0" w:after="0"/>
              <w:pStyle w:val="Compact"/>
            </w:pPr>
            <w:r>
              <w:rPr>
                <w:sz w:val="20"/>
                <w:szCs w:val="20"/>
              </w:rPr>
              <w:t xml:space="preserve">[-1.8703, 0.3643]</w:t>
            </w:r>
          </w:p>
        </w:tc>
      </w:tr>
      <w:tr>
        <w:tc>
          <w:tcPr>
            <w:tcW w:w="0" w:type="auto"/>
          </w:tcPr>
          <w:p>
            <w:pPr>
              <w:spacing w:line="240" w:lineRule="auto" w:before="0" w:after="0"/>
              <w:pStyle w:val="Compact"/>
            </w:pPr>
            <w:r>
              <w:rPr>
                <w:sz w:val="20"/>
                <w:szCs w:val="20"/>
              </w:rPr>
              <w:t xml:space="preserve">onboard_autonav</w:t>
            </w:r>
          </w:p>
        </w:tc>
        <w:tc>
          <w:tcPr>
            <w:tcW w:w="0" w:type="auto"/>
          </w:tcPr>
          <w:p>
            <w:pPr>
              <w:spacing w:line="240" w:lineRule="auto" w:before="0" w:after="0"/>
              <w:pStyle w:val="Compact"/>
            </w:pPr>
            <w:r>
              <w:rPr>
                <w:sz w:val="20"/>
                <w:szCs w:val="20"/>
              </w:rPr>
              <w:t xml:space="preserve">-3.2591</w:t>
            </w:r>
          </w:p>
        </w:tc>
        <w:tc>
          <w:tcPr>
            <w:tcW w:w="0" w:type="auto"/>
          </w:tcPr>
          <w:p>
            <w:pPr>
              <w:spacing w:line="240" w:lineRule="auto" w:before="0" w:after="0"/>
              <w:pStyle w:val="Compact"/>
            </w:pPr>
            <w:r>
              <w:rPr>
                <w:sz w:val="20"/>
                <w:szCs w:val="20"/>
              </w:rPr>
              <w:t xml:space="preserve">0.9123</w:t>
            </w:r>
          </w:p>
        </w:tc>
        <w:tc>
          <w:tcPr>
            <w:tcW w:w="0" w:type="auto"/>
          </w:tcPr>
          <w:p>
            <w:pPr>
              <w:spacing w:line="240" w:lineRule="auto" w:before="0" w:after="0"/>
              <w:pStyle w:val="Compact"/>
            </w:pPr>
            <w:r>
              <w:rPr>
                <w:sz w:val="20"/>
                <w:szCs w:val="20"/>
              </w:rPr>
              <w:t xml:space="preserve">-3.5723</w:t>
            </w:r>
          </w:p>
        </w:tc>
        <w:tc>
          <w:tcPr>
            <w:tcW w:w="0" w:type="auto"/>
          </w:tcPr>
          <w:p>
            <w:pPr>
              <w:spacing w:line="240" w:lineRule="auto" w:before="0" w:after="0"/>
              <w:pStyle w:val="Compact"/>
            </w:pPr>
            <w:r>
              <w:rPr>
                <w:sz w:val="20"/>
                <w:szCs w:val="20"/>
              </w:rPr>
              <w:t xml:space="preserve">0.0003538</w:t>
            </w:r>
          </w:p>
        </w:tc>
        <w:tc>
          <w:tcPr>
            <w:tcW w:w="0" w:type="auto"/>
          </w:tcPr>
          <w:p>
            <w:pPr>
              <w:spacing w:line="240" w:lineRule="auto" w:before="0" w:after="0"/>
              <w:pStyle w:val="Compact"/>
            </w:pPr>
            <w:r>
              <w:rPr>
                <w:sz w:val="20"/>
                <w:szCs w:val="20"/>
              </w:rPr>
              <w:t xml:space="preserve">[-5.0472, -1.471]</w:t>
            </w:r>
          </w:p>
        </w:tc>
      </w:tr>
      <w:tr>
        <w:tc>
          <w:tcPr>
            <w:tcW w:w="0" w:type="auto"/>
          </w:tcPr>
          <w:p>
            <w:pPr>
              <w:spacing w:line="240" w:lineRule="auto" w:before="0" w:after="0"/>
              <w:pStyle w:val="Compact"/>
            </w:pPr>
            <w:r>
              <w:rPr>
                <w:sz w:val="20"/>
                <w:szCs w:val="20"/>
              </w:rPr>
              <w:t xml:space="preserve">operator_edl_heritage</w:t>
            </w:r>
          </w:p>
        </w:tc>
        <w:tc>
          <w:tcPr>
            <w:tcW w:w="0" w:type="auto"/>
          </w:tcPr>
          <w:p>
            <w:pPr>
              <w:spacing w:line="240" w:lineRule="auto" w:before="0" w:after="0"/>
              <w:pStyle w:val="Compact"/>
            </w:pPr>
            <w:r>
              <w:rPr>
                <w:sz w:val="20"/>
                <w:szCs w:val="20"/>
              </w:rPr>
              <w:t xml:space="preserve">-1.3027</w:t>
            </w:r>
          </w:p>
        </w:tc>
        <w:tc>
          <w:tcPr>
            <w:tcW w:w="0" w:type="auto"/>
          </w:tcPr>
          <w:p>
            <w:pPr>
              <w:spacing w:line="240" w:lineRule="auto" w:before="0" w:after="0"/>
              <w:pStyle w:val="Compact"/>
            </w:pPr>
            <w:r>
              <w:rPr>
                <w:sz w:val="20"/>
                <w:szCs w:val="20"/>
              </w:rPr>
              <w:t xml:space="preserve">0.8693</w:t>
            </w:r>
          </w:p>
        </w:tc>
        <w:tc>
          <w:tcPr>
            <w:tcW w:w="0" w:type="auto"/>
          </w:tcPr>
          <w:p>
            <w:pPr>
              <w:spacing w:line="240" w:lineRule="auto" w:before="0" w:after="0"/>
              <w:pStyle w:val="Compact"/>
            </w:pPr>
            <w:r>
              <w:rPr>
                <w:sz w:val="20"/>
                <w:szCs w:val="20"/>
              </w:rPr>
              <w:t xml:space="preserve">-1.4986</w:t>
            </w:r>
          </w:p>
        </w:tc>
        <w:tc>
          <w:tcPr>
            <w:tcW w:w="0" w:type="auto"/>
          </w:tcPr>
          <w:p>
            <w:pPr>
              <w:spacing w:line="240" w:lineRule="auto" w:before="0" w:after="0"/>
              <w:pStyle w:val="Compact"/>
            </w:pPr>
            <w:r>
              <w:rPr>
                <w:sz w:val="20"/>
                <w:szCs w:val="20"/>
              </w:rPr>
              <w:t xml:space="preserve">0.134</w:t>
            </w:r>
          </w:p>
        </w:tc>
        <w:tc>
          <w:tcPr>
            <w:tcW w:w="0" w:type="auto"/>
          </w:tcPr>
          <w:p>
            <w:pPr>
              <w:spacing w:line="240" w:lineRule="auto" w:before="0" w:after="0"/>
              <w:pStyle w:val="Compact"/>
            </w:pPr>
            <w:r>
              <w:rPr>
                <w:sz w:val="20"/>
                <w:szCs w:val="20"/>
              </w:rPr>
              <w:t xml:space="preserve">[-3.0066, 0.4011]</w:t>
            </w:r>
          </w:p>
        </w:tc>
      </w:tr>
      <w:tr>
        <w:tc>
          <w:tcPr>
            <w:tcW w:w="0" w:type="auto"/>
          </w:tcPr>
          <w:p>
            <w:pPr>
              <w:spacing w:line="240" w:lineRule="auto" w:before="0" w:after="0"/>
              <w:pStyle w:val="Compact"/>
            </w:pPr>
            <w:r>
              <w:rPr>
                <w:sz w:val="20"/>
                <w:szCs w:val="20"/>
              </w:rPr>
              <w:t xml:space="preserve">deep_target</w:t>
            </w:r>
          </w:p>
        </w:tc>
        <w:tc>
          <w:tcPr>
            <w:tcW w:w="0" w:type="auto"/>
          </w:tcPr>
          <w:p>
            <w:pPr>
              <w:spacing w:line="240" w:lineRule="auto" w:before="0" w:after="0"/>
              <w:pStyle w:val="Compact"/>
            </w:pPr>
            <w:r>
              <w:rPr>
                <w:sz w:val="20"/>
                <w:szCs w:val="20"/>
              </w:rPr>
              <w:t xml:space="preserve">2.0343</w:t>
            </w:r>
          </w:p>
        </w:tc>
        <w:tc>
          <w:tcPr>
            <w:tcW w:w="0" w:type="auto"/>
          </w:tcPr>
          <w:p>
            <w:pPr>
              <w:spacing w:line="240" w:lineRule="auto" w:before="0" w:after="0"/>
              <w:pStyle w:val="Compact"/>
            </w:pPr>
            <w:r>
              <w:rPr>
                <w:sz w:val="20"/>
                <w:szCs w:val="20"/>
              </w:rPr>
              <w:t xml:space="preserve">0.9273</w:t>
            </w:r>
          </w:p>
        </w:tc>
        <w:tc>
          <w:tcPr>
            <w:tcW w:w="0" w:type="auto"/>
          </w:tcPr>
          <w:p>
            <w:pPr>
              <w:spacing w:line="240" w:lineRule="auto" w:before="0" w:after="0"/>
              <w:pStyle w:val="Compact"/>
            </w:pPr>
            <w:r>
              <w:rPr>
                <w:sz w:val="20"/>
                <w:szCs w:val="20"/>
              </w:rPr>
              <w:t xml:space="preserve">2.1939</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[0.2169, 3.8517]</w:t>
            </w:r>
          </w:p>
        </w:tc>
      </w:tr>
    </w:tbl>
    <w:p>
      <w:pPr>
        <w:pStyle w:val="BodyText"/>
      </w:pPr>
      <w:r>
        <w:t xml:space="preserve">Fit: N = 22 R2 = 0.7504 R2_adj = 0.6917 F = 12.0028 F_p = 8.135e-05</w:t>
      </w:r>
    </w:p>
    <w:bookmarkEnd w:id="91"/>
    <w:bookmarkEnd w:id="92"/>
    <w:bookmarkEnd w:id="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5" Target="media/rId85.png" /><Relationship Type="http://schemas.openxmlformats.org/officeDocument/2006/relationships/hyperlink" Id="rId68" Target="https://doi.org/10.1016/j.actaastro.2021.12.030" TargetMode="External" /><Relationship Type="http://schemas.openxmlformats.org/officeDocument/2006/relationships/hyperlink" Id="rId72" Target="https://doi.org/10.1016/j.actaastro.2023.06.014" TargetMode="External" /><Relationship Type="http://schemas.openxmlformats.org/officeDocument/2006/relationships/hyperlink" Id="rId82" Target="https://doi.org/10.1016/j.actaastro.2025.03.045" TargetMode="External" /><Relationship Type="http://schemas.openxmlformats.org/officeDocument/2006/relationships/hyperlink" Id="rId70" Target="https://doi.org/10.1016/j.actaastro.2025.11.074" TargetMode="External" /><Relationship Type="http://schemas.openxmlformats.org/officeDocument/2006/relationships/hyperlink" Id="rId78" Target="https://doi.org/10.1038/s41467-019-12278-3" TargetMode="External" /><Relationship Type="http://schemas.openxmlformats.org/officeDocument/2006/relationships/hyperlink" Id="rId80" Target="https://doi.org/10.2514/1.A35980"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1.12.030" TargetMode="External" /><Relationship Type="http://schemas.openxmlformats.org/officeDocument/2006/relationships/hyperlink" Id="rId72" Target="https://doi.org/10.1016/j.actaastro.2023.06.014" TargetMode="External" /><Relationship Type="http://schemas.openxmlformats.org/officeDocument/2006/relationships/hyperlink" Id="rId82" Target="https://doi.org/10.1016/j.actaastro.2025.03.045" TargetMode="External" /><Relationship Type="http://schemas.openxmlformats.org/officeDocument/2006/relationships/hyperlink" Id="rId70" Target="https://doi.org/10.1016/j.actaastro.2025.11.074" TargetMode="External" /><Relationship Type="http://schemas.openxmlformats.org/officeDocument/2006/relationships/hyperlink" Id="rId78" Target="https://doi.org/10.1038/s41467-019-12278-3" TargetMode="External" /><Relationship Type="http://schemas.openxmlformats.org/officeDocument/2006/relationships/hyperlink" Id="rId80" Target="https://doi.org/10.2514/1.A3598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2026-06-25T14:25:43Z</dcterms:created>
  <dcterms:modified xsi:type="dcterms:W3CDTF">2026-06-25T14:25:43Z</dcterms:modified>
</cp:coreProperties>
</file>

<file path=docProps/custom.xml><?xml version="1.0" encoding="utf-8"?>
<Properties xmlns="http://schemas.openxmlformats.org/officeDocument/2006/custom-properties" xmlns:vt="http://schemas.openxmlformats.org/officeDocument/2006/docPropsVTypes"/>
</file>