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NAVIGATION PERFORMANCE REGRESSION: WHAT DRIVES DELIVERY ACCURACY AT O</w:t>
      </w:r>
    </w:p>
    <w:p>
      <w:pPr>
        <w:jc w:val="center"/>
      </w:pPr>
    </w:p>
    <w:p>
      <w:pPr>
        <w:jc w:val="center"/>
      </w:pPr>
      <w:r>
        <w:rPr>
          <w:rFonts w:ascii="Times New Roman" w:hAnsi="Times New Roman"/>
          <w:sz w:val="24"/>
        </w:rPr>
        <w:t>by</w:t>
      </w:r>
    </w:p>
    <w:p>
      <w:pPr>
        <w:jc w:val="center"/>
      </w:pPr>
      <w:r>
        <w:rPr>
          <w:rFonts w:ascii="Times New Roman" w:hAnsi="Times New Roman"/>
          <w:b/>
          <w:sz w:val="28"/>
        </w:rPr>
        <w:t>Greta Romano</w:t>
      </w:r>
    </w:p>
    <w:p>
      <w:pPr>
        <w:jc w:val="center"/>
      </w:pPr>
      <w:r>
        <w:rPr>
          <w:rFonts w:ascii="Times New Roman" w:hAnsi="Times New Roman"/>
          <w:sz w:val="24"/>
        </w:rPr>
        <w:t>1B-DSX-043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number-that-decides-the-mission"/>
    <w:p>
      <w:pPr>
        <w:pStyle w:val="Heading2"/>
        <w:spacing w:line="480" w:lineRule="auto"/>
      </w:pPr>
      <w:r>
        <w:t xml:space="preserve">1.1 The Number That Decides the Mission</w:t>
      </w:r>
    </w:p>
    <w:p>
      <w:pPr>
        <w:pStyle w:val="FirstParagraph"/>
        <w:spacing w:line="480" w:lineRule="auto"/>
      </w:pPr>
      <w:r>
        <w:t xml:space="preserve">Every deep space mission narrows, at its decisive moments, to a single quantity. When a spacecraft commits to orbit insertion at Mars, to a powered descent toward a lunar cold trap, to an atmospheric entry corridor a few kilometers wide, or to a touchdown on the surface of an asteroid, the navigation team has already locked an estimate of where the vehicle is and where it is going. The error in that estimate, taken at the instant the mission-critical maneuver is committed and measured against the targeted aim point, is the delivery accuracy. It is the quantity this dissertation studies. Why does it warrant a dissertation? Because it does more than describe a mission after the fact. It determines which missions are permitted to be attempted at all.</w:t>
      </w:r>
    </w:p>
    <w:p>
      <w:pPr>
        <w:pStyle w:val="BodyText"/>
        <w:spacing w:line="480" w:lineRule="auto"/>
        <w:ind w:firstLine="720"/>
      </w:pPr>
      <w:r>
        <w:t xml:space="preserve">The stakes are concrete, and they are nonlinear. Delivery accuracy propagates directly into propellant margin, into the achievable width of a safe corridor, and into the binary outcome of capture versus escape or survivable entry versus loss of vehicle. A lander that can be placed within a few hundred meters of a chosen aim point can target a specific crater rim, a polar cold trap, or a sampling site that a hundred-kilometer dispersion ellipse would have excluded as unacceptably risky. The history of robotic planetary and lunar delivery is, read this way, a history of shrinking error: the first soft landers arrived inside footprints measured in hundreds of kilometers, while the most recent arrive within tens of meters of a chosen rock. That contraction is no curiosity of navigation engineering. It is the mechanism by which whole classes of scientific and operational objectives became reachable.</w:t>
      </w:r>
    </w:p>
    <w:p>
      <w:pPr>
        <w:pStyle w:val="BodyText"/>
        <w:spacing w:line="480" w:lineRule="auto"/>
        <w:ind w:firstLine="720"/>
      </w:pPr>
      <w:r>
        <w:t xml:space="preserve">For NASA and for the Jet Propulsion Laboratory in particular, the stakes are institutional as well as physical. JPL navigates the United States interplanetary fleet, and the choices it makes about how to navigate, ground-based radiometric tracking through the Deep Space Network, autonomous onboard optical navigation, or a blend of the two, are made under finite budget and finite ground-segment capacity. The Deep Space Network is a shared and oversubscribed asset, and the autonomous-navigation literature has long argued that onboard sensing is the route to relieving that bottleneck while extending navigation capability into mission phases where ground-in-the-loop correction is physically impossible</w:t>
      </w:r>
      <w:r>
        <w:t xml:space="preserve"> </w:t>
      </w:r>
      <w:hyperlink w:anchor="ref-1">
        <w:r>
          <w:rPr>
            <w:rStyle w:val="Hyperlink"/>
          </w:rPr>
          <w:t xml:space="preserve">[1]</w:t>
        </w:r>
      </w:hyperlink>
      <w:r>
        <w:t xml:space="preserve">. When a program office at JPL selects a navigation architecture for a new mission, it is implicitly placing a bet on how much delivery accuracy each architecture will buy. The premise of this dissertation is that the bet is currently placed on expert judgment rather than on a transparent, auditable estimate, and that the field is now mature enough, and the public flight record long enough, to supply the missing number.</w:t>
      </w:r>
    </w:p>
    <w:bookmarkEnd w:id="61"/>
    <w:bookmarkStart w:id="62" w:name="X68d6ded5eb21ad96ee558d9f87fa2a9aadbeb1a"/>
    <w:p>
      <w:pPr>
        <w:pStyle w:val="Heading2"/>
        <w:spacing w:line="480" w:lineRule="auto"/>
      </w:pPr>
      <w:r>
        <w:t xml:space="preserve">1.2 A Mature Practice With an Unmeasured Trade</w:t>
      </w:r>
    </w:p>
    <w:p>
      <w:pPr>
        <w:pStyle w:val="FirstParagraph"/>
        <w:spacing w:line="480" w:lineRule="auto"/>
      </w:pPr>
      <w:r>
        <w:t xml:space="preserve">The operational practice that produces delivery accuracy is itself well established. Ground-based radiometric tracking through the Deep Space Network, combined with sequential filtering, has navigated interplanetary spacecraft for six decades, and the estimation machinery that underlies orbit determination is thoroughly characterized in the technical literature, including the nonlinear filtering formulations developed for autonomous operation in demanding dynamical regimes</w:t>
      </w:r>
      <w:r>
        <w:t xml:space="preserve"> </w:t>
      </w:r>
      <w:hyperlink w:anchor="ref-2">
        <w:r>
          <w:rPr>
            <w:rStyle w:val="Hyperlink"/>
          </w:rPr>
          <w:t xml:space="preserve">[2]</w:t>
        </w:r>
      </w:hyperlink>
      <w:r>
        <w:t xml:space="preserve">. The long campaign at Saturn, in which the Cassini navigation team drove encounter control toward consistent sub-kilometer accuracy, stands as a demonstration of how far the radiometric-plus-filtering approach can be pushed when distance and geometry are adverse</w:t>
      </w:r>
      <w:r>
        <w:t xml:space="preserve"> </w:t>
      </w:r>
      <w:hyperlink w:anchor="ref-15">
        <w:r>
          <w:rPr>
            <w:rStyle w:val="Hyperlink"/>
          </w:rPr>
          <w:t xml:space="preserve">[15]</w:t>
        </w:r>
      </w:hyperlink>
      <w:r>
        <w:t xml:space="preserve">. Against this backbone a newer practice has matured. Autonomous onboard navigation, in which the vehicle senses its own position against the target body or its horizon in real time and closes the guidance loop locally, promises both to reduce reliance on ground tracking and to deliver accuracy precisely at the terminal event, when light-time delay makes a ground-computed correction useless</w:t>
      </w:r>
      <w:r>
        <w:t xml:space="preserve"> </w:t>
      </w:r>
      <w:hyperlink w:anchor="ref-1">
        <w:r>
          <w:rPr>
            <w:rStyle w:val="Hyperlink"/>
          </w:rPr>
          <w:t xml:space="preserve">[1]</w:t>
        </w:r>
      </w:hyperlink>
      <w:r>
        <w:t xml:space="preserve">. Horizon-based optical navigation around the Moon has been characterized in measurement-error terms, with explicit modeling of the residual structure and its evolution</w:t>
      </w:r>
      <w:r>
        <w:t xml:space="preserve"> </w:t>
      </w:r>
      <w:hyperlink w:anchor="ref-3">
        <w:r>
          <w:rPr>
            <w:rStyle w:val="Hyperlink"/>
          </w:rPr>
          <w:t xml:space="preserve">[3]</w:t>
        </w:r>
      </w:hyperlink>
      <w:r>
        <w:t xml:space="preserve">, and feature-based methods such as crater detection have been parameterized for their angular and area measurement errors in the cislunar regime</w:t>
      </w:r>
      <w:r>
        <w:t xml:space="preserve"> </w:t>
      </w:r>
      <w:hyperlink w:anchor="ref-6">
        <w:r>
          <w:rPr>
            <w:rStyle w:val="Hyperlink"/>
          </w:rPr>
          <w:t xml:space="preserve">[6]</w:t>
        </w:r>
      </w:hyperlink>
      <w:r>
        <w:t xml:space="preserve">.</w:t>
      </w:r>
    </w:p>
    <w:p>
      <w:pPr>
        <w:pStyle w:val="BodyText"/>
        <w:spacing w:line="480" w:lineRule="auto"/>
        <w:ind w:firstLine="720"/>
      </w:pPr>
      <w:r>
        <w:t xml:space="preserve">Two competing intuitions therefore run through the community. One holds that ground radiometric tracking remains the accuracy backbone and that onboard optical navigation earns its keep mainly in ground-segment relief. The other holds that onboard optical navigation has crossed the threshold at which it materially improves delivery accuracy on its own terms. These intuitions are adjudicated mission by mission, in reconstruction reports written after each flight, each conditioned on the specifics of one trajectory. The terrain-relative landing of Mars 2020 within meters of its Lander Vision System target</w:t>
      </w:r>
      <w:r>
        <w:t xml:space="preserve"> </w:t>
      </w:r>
      <w:hyperlink w:anchor="ref-8">
        <w:r>
          <w:rPr>
            <w:rStyle w:val="Hyperlink"/>
          </w:rPr>
          <w:t xml:space="preserve">[8]</w:t>
        </w:r>
      </w:hyperlink>
      <w:r>
        <w:t xml:space="preserve">, the SLIM pinpoint landing within roughly ten meters</w:t>
      </w:r>
      <w:r>
        <w:t xml:space="preserve"> </w:t>
      </w:r>
      <w:hyperlink w:anchor="ref-14">
        <w:r>
          <w:rPr>
            <w:rStyle w:val="Hyperlink"/>
          </w:rPr>
          <w:t xml:space="preserve">[14]</w:t>
        </w:r>
      </w:hyperlink>
      <w:r>
        <w:t xml:space="preserve">, the Chandrayaan-3 touchdown a few hundred meters from its targeted spot</w:t>
      </w:r>
      <w:r>
        <w:t xml:space="preserve"> </w:t>
      </w:r>
      <w:hyperlink w:anchor="ref-13">
        <w:r>
          <w:rPr>
            <w:rStyle w:val="Hyperlink"/>
          </w:rPr>
          <w:t xml:space="preserve">[13]</w:t>
        </w:r>
      </w:hyperlink>
      <w:r>
        <w:t xml:space="preserve">, and the guided-entry ellipses of the Mars Science Laboratory</w:t>
      </w:r>
      <w:r>
        <w:t xml:space="preserve"> </w:t>
      </w:r>
      <w:hyperlink w:anchor="ref-17">
        <w:r>
          <w:rPr>
            <w:rStyle w:val="Hyperlink"/>
          </w:rPr>
          <w:t xml:space="preserve">[17]</w:t>
        </w:r>
      </w:hyperlink>
      <w:r>
        <w:t xml:space="preserve"> </w:t>
      </w:r>
      <w:r>
        <w:t xml:space="preserve">are each impressive and each, individually, ambiguous as evidence about the general value of a navigation choice. A mission that flew autonomous optical navigation and delivered tightly may have done so because optical navigation helped, or because it happened to enjoy a long tracking arc and a benign dynamical environment. No pooled estimate exists of how much delivery accuracy a given navigation configuration buys once the mission geometry is held fixed. The optical-versus-radiometric trade, which every new mission must make, is therefore made without a conditional effect size that the whole community could audit.</w:t>
      </w:r>
    </w:p>
    <w:bookmarkEnd w:id="62"/>
    <w:bookmarkStart w:id="63" w:name="two-literatures-that-do-not-meet"/>
    <w:p>
      <w:pPr>
        <w:pStyle w:val="Heading2"/>
        <w:spacing w:line="480" w:lineRule="auto"/>
      </w:pPr>
      <w:r>
        <w:t xml:space="preserve">1.3 Two Literatures That Do Not Meet</w:t>
      </w:r>
    </w:p>
    <w:p>
      <w:pPr>
        <w:pStyle w:val="FirstParagraph"/>
        <w:spacing w:line="480" w:lineRule="auto"/>
      </w:pPr>
      <w:r>
        <w:t xml:space="preserve">The contribution of this dissertation lies in the space between two literatures that, despite addressing the same phenomenon, do not meet. Naming that gap precisely is the work of this section.</w:t>
      </w:r>
    </w:p>
    <w:p>
      <w:pPr>
        <w:pStyle w:val="BodyText"/>
        <w:spacing w:line="480" w:lineRule="auto"/>
        <w:ind w:firstLine="720"/>
      </w:pPr>
      <w:r>
        <w:t xml:space="preserve">The first literature is the deep space navigation and autonomy literature. It is rich in two modes. The first mode is method development: new filters, new observability formulations, and new estimators. Cooperative orbit determination using inter-spacecraft angle measurements has been analyzed for its observability properties</w:t>
      </w:r>
      <w:r>
        <w:t xml:space="preserve"> </w:t>
      </w:r>
      <w:hyperlink w:anchor="ref-4">
        <w:r>
          <w:rPr>
            <w:rStyle w:val="Hyperlink"/>
          </w:rPr>
          <w:t xml:space="preserve">[4]</w:t>
        </w:r>
      </w:hyperlink>
      <w:r>
        <w:t xml:space="preserve">; nonlinear filtering has been developed for autonomous navigation in highly elliptical orbit</w:t>
      </w:r>
      <w:r>
        <w:t xml:space="preserve"> </w:t>
      </w:r>
      <w:hyperlink w:anchor="ref-2">
        <w:r>
          <w:rPr>
            <w:rStyle w:val="Hyperlink"/>
          </w:rPr>
          <w:t xml:space="preserve">[2]</w:t>
        </w:r>
      </w:hyperlink>
      <w:r>
        <w:t xml:space="preserve">; and stochastic variants of the unscented transform have been proposed to deliver covariance-realistic state estimates rather than merely point solutions</w:t>
      </w:r>
      <w:r>
        <w:t xml:space="preserve"> </w:t>
      </w:r>
      <w:hyperlink w:anchor="ref-5">
        <w:r>
          <w:rPr>
            <w:rStyle w:val="Hyperlink"/>
          </w:rPr>
          <w:t xml:space="preserve">[5]</w:t>
        </w:r>
      </w:hyperlink>
      <w:r>
        <w:t xml:space="preserve">. Optical sensing has been advanced through horizon-based error characterization around the Moon</w:t>
      </w:r>
      <w:r>
        <w:t xml:space="preserve"> </w:t>
      </w:r>
      <w:hyperlink w:anchor="ref-3">
        <w:r>
          <w:rPr>
            <w:rStyle w:val="Hyperlink"/>
          </w:rPr>
          <w:t xml:space="preserve">[3]</w:t>
        </w:r>
      </w:hyperlink>
      <w:r>
        <w:t xml:space="preserve">, crater-detection pipelines for cislunar navigation</w:t>
      </w:r>
      <w:r>
        <w:t xml:space="preserve"> </w:t>
      </w:r>
      <w:hyperlink w:anchor="ref-6">
        <w:r>
          <w:rPr>
            <w:rStyle w:val="Hyperlink"/>
          </w:rPr>
          <w:t xml:space="preserve">[6]</w:t>
        </w:r>
      </w:hyperlink>
      <w:r>
        <w:t xml:space="preserve">, and architectures for visual-based positioning, navigation, and timing alternatives</w:t>
      </w:r>
      <w:r>
        <w:t xml:space="preserve"> </w:t>
      </w:r>
      <w:hyperlink w:anchor="ref-16">
        <w:r>
          <w:rPr>
            <w:rStyle w:val="Hyperlink"/>
          </w:rPr>
          <w:t xml:space="preserve">[16]</w:t>
        </w:r>
      </w:hyperlink>
      <w:r>
        <w:t xml:space="preserve">. The second mode is per-mission reconstruction, in which a single mission’s achieved accuracy is explained by its own tracking history and its own force-model choices</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 Both modes are indispensable, and both are case-bound. The autonomous-navigation surveys catalogue capability and argue, qualitatively and often persuasively, that onboard navigation will reduce ground reliance and enable precise delivery to distant and small-body targets</w:t>
      </w:r>
      <w:r>
        <w:t xml:space="preserve"> </w:t>
      </w:r>
      <w:hyperlink w:anchor="ref-1">
        <w:r>
          <w:rPr>
            <w:rStyle w:val="Hyperlink"/>
          </w:rPr>
          <w:t xml:space="preserve">[1]</w:t>
        </w:r>
      </w:hyperlink>
      <w:r>
        <w:t xml:space="preserve">. What they do not do is estimate the conditional marginal effect of that onboard capability on delivery accuracy, across missions, with the geometry partialed out.</w:t>
      </w:r>
    </w:p>
    <w:p>
      <w:pPr>
        <w:pStyle w:val="BodyText"/>
        <w:spacing w:line="480" w:lineRule="auto"/>
        <w:ind w:firstLine="720"/>
      </w:pPr>
      <w:r>
        <w:t xml:space="preserve">The second literature is the econometric method literature on causal inference from observational panels. It supplies the apparatus that the navigation field, in its pooled aspirations, in fact requires: fixed-effects estimation to absorb unit-level and era-level confounders, cluster-robust inference to respect the dependence structure of the data, and specification-curve and sensitivity analysis to bound the influence of coding choices. This apparatus is standard outside the space domain. It is almost entirely absent from the delivery-accuracy literature, which treats each mission as a self-contained narrative rather than as one observation in a population from which a coefficient can be estimated.</w:t>
      </w:r>
    </w:p>
    <w:p>
      <w:pPr>
        <w:pStyle w:val="BodyText"/>
        <w:spacing w:line="480" w:lineRule="auto"/>
        <w:ind w:firstLine="720"/>
      </w:pPr>
      <w:r>
        <w:t xml:space="preserve">The gap, stated precisely, is this. The navigation literature has the phenomenon and the mechanism but conditions on one mission at a time, so it cannot separate the contribution of a navigation choice from the contribution of the geometry in which that choice happened to be exercised. The econometric literature has the machinery for exactly that separation but has not been brought to bear on delivery accuracy. There is, in consequence, no covariance-realistic, geometry-conditioned, cross-mission estimate of what drives delivery accuracy. The methodological warning embedded in the navigation literature sharpens the point: the estimation community has documented directly that naive uncertainty intervals are untrustworthy when residual covariance is mis-specified</w:t>
      </w:r>
      <w:r>
        <w:t xml:space="preserve"> </w:t>
      </w:r>
      <w:hyperlink w:anchor="ref-5">
        <w:r>
          <w:rPr>
            <w:rStyle w:val="Hyperlink"/>
          </w:rPr>
          <w:t xml:space="preserve">[5]</w:t>
        </w:r>
      </w:hyperlink>
      <w:r>
        <w:t xml:space="preserve">, which means that any pooled estimate that imported the phenomenon without importing the inferential discipline would itself be untrustworthy. Closing the gap requires both halves at once, the population and the method.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advances one claim and tests it directly. The claim is deliberately narrow, so that it can be falsified rather than merely illustrated.</w:t>
      </w:r>
    </w:p>
    <w:p>
      <w:pPr>
        <w:pStyle w:val="BodyText"/>
        <w:spacing w:line="480" w:lineRule="auto"/>
        <w:ind w:firstLine="720"/>
      </w:pPr>
      <w:r>
        <w:t xml:space="preserve">The dependent quantity is the delivery accuracy, operationalized as the logarithm of the delivered position error at the mission-critical epoch, reconstructed for each mission from the public post-flight navigation record. The treatment is an indicator for whether autonomous onboard optical navigation contributed materially to the delivery solution at that epoch. The conditioning set is the mission geometry that the navigation literature itself identifies as the confounder of interest: heliocentric range at the delivery epoch, the duration of the tracking arc before the commit point, and a dynamical model fidelity index coded from the documented gravity, radiation, and small-body force models. The contribution is the estimate of one coefficient, the coefficient on the optical-navigation indicator in a delivery-accuracy regression that holds those covariates fixed, reported with a covariance-realistic uncertainty interval, together with an explicit decision to reject or to fail to reject the null.</w:t>
      </w:r>
    </w:p>
    <w:p>
      <w:pPr>
        <w:pStyle w:val="BodyText"/>
        <w:spacing w:line="480" w:lineRule="auto"/>
        <w:ind w:firstLine="720"/>
      </w:pPr>
      <w:r>
        <w:t xml:space="preserve">The hypotheses are stated formally.</w:t>
      </w:r>
    </w:p>
    <w:p>
      <w:pPr>
        <w:pStyle w:val="BodyText"/>
        <w:spacing w:line="480" w:lineRule="auto"/>
        <w:ind w:firstLine="720"/>
      </w:pPr>
      <w:r>
        <w:rPr>
          <w:b/>
          <w:bCs/>
        </w:rPr>
        <w:t xml:space="preserve">H0 (null).</w:t>
      </w:r>
      <w:r>
        <w:t xml:space="preserve"> </w:t>
      </w:r>
      <w:r>
        <w:t xml:space="preserve">Conditional on heliocentric range at the delivery epoch, tracking-arc duration, and the dynamical model fidelity index, the use of autonomous onboard optical navigation has no effect on delivery accuracy. The coefficient on the optical-navigation indicator in the delivery-accuracy regression is zero.</w:t>
      </w:r>
    </w:p>
    <w:p>
      <w:pPr>
        <w:pStyle w:val="BodyText"/>
        <w:spacing w:line="480" w:lineRule="auto"/>
        <w:ind w:firstLine="720"/>
      </w:pPr>
      <w:r>
        <w:rPr>
          <w:b/>
          <w:bCs/>
        </w:rPr>
        <w:t xml:space="preserve">H1 (alternative).</w:t>
      </w:r>
      <w:r>
        <w:t xml:space="preserve"> </w:t>
      </w:r>
      <w:r>
        <w:t xml:space="preserve">Conditional on the same covariates, autonomous onboard optical navigation improves delivery accuracy. The coefficient on the optical-navigation indicator is negative, the dependent variable being the log of delivered position error, and the effect is large enough to alter a representative mission’s flyability margin.</w:t>
      </w:r>
    </w:p>
    <w:p>
      <w:pPr>
        <w:pStyle w:val="BodyText"/>
        <w:spacing w:line="480" w:lineRule="auto"/>
        <w:ind w:firstLine="720"/>
      </w:pPr>
      <w:r>
        <w:t xml:space="preserve">The claim is falsifiable in both directions. That symmetry is the heart of the contribution. A precisely estimated null near zero would tell the community something it does not currently know: that, with geometry held fixed, onboard optical navigation does not move delivery accuracy, and that its programmatic value therefore lies elsewhere, in ground-segment relief rather than in accuracy. A precisely estimated negative coefficient would supply the trade-study number the field presently lacks, a conditional effect size that a program office could substitute for expert judgment when weighing radiometric tracking against onboard optical navigation. Either outcome is informative, and neither can be obtained from the case-by-case reconstructions that constitute the current evidence base.</w:t>
      </w:r>
    </w:p>
    <w:p>
      <w:pPr>
        <w:pStyle w:val="BodyText"/>
        <w:spacing w:line="480" w:lineRule="auto"/>
        <w:ind w:firstLine="720"/>
      </w:pPr>
      <w:r>
        <w:t xml:space="preserve">It is worth marking what this dissertation does not claim. It does not claim to replace mission-specific navigation analysis, which remains necessary for design and for flight. It does not claim that delivery accuracy is the only criterion in a navigation-architecture decision; ground-segment cost, schedule, and risk posture all enter, and the optical-navigation coefficient is one input to that decision rather than the whole of it. And it does not claim a novel estimator. The estimator is a two-way fixed-effects regression with cluster-robust inference, deliberately conventional so that the contribution rests on the data and the identification rather than on methodological novelty. The novelty is the pooling itself: bringing a falsifiable, geometry-conditioned, covariance-realistic estimate to a quantity the field has measured only one mission at a time.</w:t>
      </w:r>
    </w:p>
    <w:bookmarkEnd w:id="64"/>
    <w:bookmarkStart w:id="65" w:name="Xea2fe791a145054afea58069209098e4e6812d4"/>
    <w:p>
      <w:pPr>
        <w:pStyle w:val="Heading2"/>
        <w:spacing w:line="480" w:lineRule="auto"/>
      </w:pPr>
      <w:r>
        <w:t xml:space="preserve">1.5 Identification, Data, and Provenance in Brief</w:t>
      </w:r>
    </w:p>
    <w:p>
      <w:pPr>
        <w:pStyle w:val="FirstParagraph"/>
        <w:spacing w:line="480" w:lineRule="auto"/>
      </w:pPr>
      <w:r>
        <w:t xml:space="preserve">Navigation configuration is not assigned at random. That is the identification problem. Missions that adopt onboard optical navigation may differ systematically from those that do not, and the most dangerous form of that difference is selection on geometry: if optical navigation is adopted disproportionately on benign trajectories, a naive cross-sectional comparison would credit the technology with accuracy that the geometry in fact supplied. The response is a fixed-effects panel design. Where a single mission carries multiple delivery events across distinct target encounters, mission fixed effects absorb time-invariant mission characteristics, so the optical-navigation coefficient is identified from within-mission variation in tracking configuration across encounters. Epoch fixed effects absorb era-wide improvements in the Deep Space Network and in force modeling, so the estimate is not confounded by the secular trend whereby newer missions both fly optical navigation and benefit from better ground infrastructure. Uncertainty is reported under the covariance-realism discipline the estimation literature demands, with cluster-robust intervals validated against a Mahalanobis-style consistency check on the residual distribution, the same diagnostic logic used to certify covariance realism in orbital state estimation</w:t>
      </w:r>
      <w:r>
        <w:t xml:space="preserve"> </w:t>
      </w:r>
      <w:hyperlink w:anchor="ref-5">
        <w:r>
          <w:rPr>
            <w:rStyle w:val="Hyperlink"/>
          </w:rPr>
          <w:t xml:space="preserve">[5]</w:t>
        </w:r>
      </w:hyperlink>
      <w:r>
        <w:t xml:space="preserve">, and a specification curve over alternative codings accompanies the headline coefficient.</w:t>
      </w:r>
    </w:p>
    <w:p>
      <w:pPr>
        <w:pStyle w:val="BodyText"/>
        <w:spacing w:line="480" w:lineRule="auto"/>
        <w:ind w:firstLine="720"/>
      </w:pPr>
      <w:r>
        <w:t xml:space="preserve">The data are public, versioned, and citable. Its backbone is the NASA Planetary Data System Navigation node and the NAIF SPICE archive, whose released ephemeris and reconstructed trajectory kernels yield the delivered post-flight trajectory for each mission, from which the delivered position error at the critical epoch is computed against the targeted aim point. Treatment and covariate coding draw on the published navigation and mission-design record, with the autonomous-navigation taxonomy in the survey literature used as the coding frame</w:t>
      </w:r>
      <w:r>
        <w:t xml:space="preserve"> </w:t>
      </w:r>
      <w:hyperlink w:anchor="ref-1">
        <w:r>
          <w:rPr>
            <w:rStyle w:val="Hyperlink"/>
          </w:rPr>
          <w:t xml:space="preserve">[1]</w:t>
        </w:r>
      </w:hyperlink>
      <w:r>
        <w:t xml:space="preserve">, and every coded value carries a provenance pointer to its kernel version and source document so that any reviewer can reproduce the panel. The inferential population is the historical set of United States interplanetary and lunar delivery events from the Mariner era to the present, and no proprietary or restricted data is required to construct it.</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introduced above in depth: the deep space navigation and autonomy literature, organized around the method-development and per-mission-reconstruction modes and the optical-sensing advances that motivate the treatment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16">
        <w:r>
          <w:rPr>
            <w:rStyle w:val="Hyperlink"/>
          </w:rPr>
          <w:t xml:space="preserve">[16]</w:t>
        </w:r>
      </w:hyperlink>
      <w:r>
        <w:t xml:space="preserve">, and the econometric panel-inference literature that supplies the identification strategy. The chapter establishes, rather than merely asserts, that the pooled, geometry-conditioned estimate this dissertation targets has not previously been produced. Chapter 3 develops the theory of delivery accuracy and derives the testable predictions, formalizing the mechanism by which closing the terminal guidance loop onboard should reduce delivered error precisely where the ground loop is slowest, and stating the hypotheses operationally. Chapter 4 specifies the data: the construction of the delivered-error outcome from the SPICE archive, the coding of the optical-navigation treatment and the geometry covariates, and the provenance protocol that makes the panel reproducible. Chapter 5 sets out the econometric method, the two-way fixed-effects specification, the cluster-robust and covariance-realistic inference, and the specification-curve and sensitivity machinery that bounds the threats to validity. Chapter 6 reports the estimates, centered on the optical-navigation coefficient and the decision to reject or to fail to reject H0, with the geometry coefficients and the diagnostic outcomes reported alongside. Chapter 7 discusses the programmatic reading of the result for NASA and JPL navigation-architecture decisions, examines the principal threats to validity, selection on geometry, reconstruction heterogeneity, covariance unrealism, and construct validity of the fidelity index, and states what the estimate can and cannot bear. Chapter 8 concludes, summarizing the contribution, situating it against the case-by-case evidence base it is intended to complement rather than supplant, and identifying the extensions, additional commercial lunar deliveries and small-body proximity events, that would sharpen the estimate as the public flight record grows.</w:t>
      </w:r>
    </w:p>
    <w:bookmarkEnd w:id="66"/>
    <w:bookmarkEnd w:id="67"/>
    <w:bookmarkStart w:id="74" w:name="chapter-2.-literature-review"/>
    <w:p>
      <w:pPr>
        <w:pStyle w:val="Heading1"/>
        <w:spacing w:line="480" w:lineRule="auto"/>
      </w:pPr>
      <w:r>
        <w:t xml:space="preserve">Chapter 2. Literature Review</w:t>
      </w:r>
    </w:p>
    <w:bookmarkStart w:id="68" w:name="Xed474cd8d1325411cd24c8cbe9c0aa65f0ff2b0"/>
    <w:p>
      <w:pPr>
        <w:pStyle w:val="Heading2"/>
        <w:spacing w:line="480" w:lineRule="auto"/>
      </w:pPr>
      <w:r>
        <w:t xml:space="preserve">2.1 Orientation: Two Literatures That Do Not Speak</w:t>
      </w:r>
    </w:p>
    <w:p>
      <w:pPr>
        <w:pStyle w:val="FirstParagraph"/>
        <w:spacing w:line="480" w:lineRule="auto"/>
      </w:pPr>
      <w:r>
        <w:t xml:space="preserve">This dissertation sits at the seam between two mature bodies of work that have, to date, developed in near-total isolation from one another. The first is the technical literature of deep space and planetary navigation: filter design, observability analysis, optical and terrain-relative sensing, entry guidance, and the per-mission reconstruction reports through which the discipline records what accuracy each spacecraft actually achieved. The second is the cliometric and econometric tradition of conditional, pooled, cross-unit inference: the regression of an outcome on a panel of explanatory variables, the partialing-out of confounders through fixed effects, and the disciplined reporting of uncertainty around an estimated coefficient. The navigation literature owns the phenomenon this study cares about, delivery accuracy at the critical maneuver, but treats it one mission at a time. The econometric literature owns the inferential machinery that could pool those missions into a single conditional estimate. It has never been pointed at the navigation record.</w:t>
      </w:r>
    </w:p>
    <w:p>
      <w:pPr>
        <w:pStyle w:val="BodyText"/>
        <w:spacing w:line="480" w:lineRule="auto"/>
        <w:ind w:firstLine="720"/>
      </w:pPr>
      <w:r>
        <w:t xml:space="preserve">The purpose of this chapter is to review both literatures with enough rigor to demonstrate three things. First, that the navigation technical literature has produced a deep and quantitatively precise understanding of the mechanisms that generate delivery accuracy, yet has confined that understanding to method development and single-mission reconstruction. Second, that the inferential demands of the navigation problem, in particular the demand for covariance-realistic uncertainty, are exactly the demands the econometric and state-estimation literatures have learned to meet, so that the methodology this study borrows is not foreign to the domain but already latent within it. Third, that the intersection of the two, a pooled, geometry-conditioned, covariance-realistic estimate of what drives delivery accuracy across the historical mission population, is an empty cell that no prior work occupies. The chapter closes by stating that gap precisely and by positioning the present study as the work that fills it.</w:t>
      </w:r>
    </w:p>
    <w:p>
      <w:pPr>
        <w:pStyle w:val="BodyText"/>
        <w:spacing w:line="480" w:lineRule="auto"/>
        <w:ind w:firstLine="720"/>
      </w:pPr>
      <w:r>
        <w:t xml:space="preserve">The review proceeds in five movements. Section 2.2 surveys the navigation method-development literature: filtering, observability, and the estimators that produce a state and its covariance. Section 2.3 surveys the sensing literature: optical, horizon-based, crater-based, and terrain-relative navigation, the technologies whose marginal contribution to delivery accuracy this study seeks to estimate. Section 2.4 surveys the per-mission reconstruction and outcome literature, the record from which a delivery-accuracy dependent variable can be built. Section 2.5 turns to the methodological literature on pooled inference and covariance realism that the study imports. Section 2.6 synthesizes the two literatures, names the gap, and connects it to the two precursor regression papers that motivate the dissertation.</w:t>
      </w:r>
    </w:p>
    <w:bookmarkEnd w:id="68"/>
    <w:bookmarkStart w:id="69" w:name="Xca6fba1cabde414c2c190fe055497e8a0fe8ae6"/>
    <w:p>
      <w:pPr>
        <w:pStyle w:val="Heading2"/>
        <w:spacing w:line="480" w:lineRule="auto"/>
      </w:pPr>
      <w:r>
        <w:t xml:space="preserve">2.2 The Navigation Method-Development Literature: Filters, Observability, and Estimators</w:t>
      </w:r>
    </w:p>
    <w:p>
      <w:pPr>
        <w:pStyle w:val="FirstParagraph"/>
        <w:spacing w:line="480" w:lineRule="auto"/>
      </w:pPr>
      <w:r>
        <w:t xml:space="preserve">The intellectual backbone of spacecraft navigation is sequential estimation. A spacecraft’s state, its position and velocity in some reference frame, is never observed directly; it is inferred from a stream of measurements through a recursive filter that maintains both a best estimate and a covariance describing the estimate’s uncertainty. The contemporary literature on this machinery is dominated by the problem of nonlinearity. The classical extended Kalman filter linearizes the dynamics and measurement models about the current estimate, and the field has long understood that this linearization degrades when the dynamics are strongly nonlinear or the measurement geometry is poor. Vigneron and colleagues address precisely this regime, developing nonlinear filtering for autonomous navigation of spacecraft in highly elliptical orbit, where the rapid variation of the gravitational environment across the orbit stresses any linearized scheme</w:t>
      </w:r>
      <w:r>
        <w:t xml:space="preserve"> </w:t>
      </w:r>
      <w:hyperlink w:anchor="ref-2">
        <w:r>
          <w:rPr>
            <w:rStyle w:val="Hyperlink"/>
          </w:rPr>
          <w:t xml:space="preserve">[2]</w:t>
        </w:r>
      </w:hyperlink>
      <w:r>
        <w:t xml:space="preserve">. Their work is representative of a broad program: the search for estimators that remain consistent, meaning that the reported covariance honestly describes the true error, under the nonlinear conditions that real missions impose.</w:t>
      </w:r>
    </w:p>
    <w:p>
      <w:pPr>
        <w:pStyle w:val="BodyText"/>
        <w:spacing w:line="480" w:lineRule="auto"/>
        <w:ind w:firstLine="720"/>
      </w:pPr>
      <w:r>
        <w:t xml:space="preserve">That word, consistent, is the hinge. It joins this literature to the present study. An estimator is consistent when its covariance is neither optimistic nor pessimistic, when a state reported with a stated uncertainty is wrong by an amount that the uncertainty predicted. The navigation community has learned, often painfully, that naive filters report covariances that are too small, that the true error exceeds the nominal sigma far more often than a Gaussian would allow. The response has been a sustained effort to engineer covariance realism into the estimator itself. Rivera and colleagues exemplify the current state of this effort with a stochastic unscented transform designed to deliver robust state estimates whose covariance can be trusted, motivated explicitly by the needs of space domain awareness where an unrealistic covariance corrupts every downstream decision</w:t>
      </w:r>
      <w:r>
        <w:t xml:space="preserve"> </w:t>
      </w:r>
      <w:hyperlink w:anchor="ref-5">
        <w:r>
          <w:rPr>
            <w:rStyle w:val="Hyperlink"/>
          </w:rPr>
          <w:t xml:space="preserve">[5]</w:t>
        </w:r>
      </w:hyperlink>
      <w:r>
        <w:t xml:space="preserve">. The unscented family abandons linearization in favor of propagating a deterministic set of sample points through the true nonlinear transformation; the stochastic variant injects controlled randomness to guard against the brittleness of the deterministic sigma-point selection. The contribution that matters for this dissertation is not the estimator itself but the diagnostic discipline that accompanies it: the recognition that a covariance must be validated, not assumed, and that a Mahalanobis-style consistency check on the residual distribution is the proper instrument for that validation</w:t>
      </w:r>
      <w:r>
        <w:t xml:space="preserve"> </w:t>
      </w:r>
      <w:hyperlink w:anchor="ref-5">
        <w:r>
          <w:rPr>
            <w:rStyle w:val="Hyperlink"/>
          </w:rPr>
          <w:t xml:space="preserve">[5]</w:t>
        </w:r>
      </w:hyperlink>
      <w:r>
        <w:t xml:space="preserve">.</w:t>
      </w:r>
    </w:p>
    <w:p>
      <w:pPr>
        <w:pStyle w:val="BodyText"/>
        <w:spacing w:line="480" w:lineRule="auto"/>
        <w:ind w:firstLine="720"/>
      </w:pPr>
      <w:r>
        <w:t xml:space="preserve">Observability analysis forms the second pillar of the method literature. Before a filter can estimate a state, the measurement geometry must in principle contain enough information to determine that state; observability analysis asks whether and how well it does. Zhou and colleagues analyze the observability of cooperative orbit determination using inertial inter-spacecraft angle measurements, establishing the conditions under which a constellation of spacecraft can navigate by measuring angles to one another rather than relying on ground tracking</w:t>
      </w:r>
      <w:r>
        <w:t xml:space="preserve"> </w:t>
      </w:r>
      <w:hyperlink w:anchor="ref-4">
        <w:r>
          <w:rPr>
            <w:rStyle w:val="Hyperlink"/>
          </w:rPr>
          <w:t xml:space="preserve">[4]</w:t>
        </w:r>
      </w:hyperlink>
      <w:r>
        <w:t xml:space="preserve">. The result is structural: it tells the designer not how accurate the solution will be on a given day, but whether the architecture can yield a solution at all, and which geometries collapse observability. This distinction, between the structural question of whether information exists and the quantitative question of how much accuracy results, recurs throughout the navigation literature and is one this study must respect. The present work estimates the second quantity, conditional accuracy, but only across configurations for which the first, observability, is satisfied.</w:t>
      </w:r>
    </w:p>
    <w:p>
      <w:pPr>
        <w:pStyle w:val="BodyText"/>
        <w:spacing w:line="480" w:lineRule="auto"/>
        <w:ind w:firstLine="720"/>
      </w:pPr>
      <w:r>
        <w:t xml:space="preserve">A third strand pursues navigation architectures that dispense with ground tracking entirely. Thompson and colleagues examine space-based time-difference-of-arrival and frequency-difference-of-arrival measurements for cislunar orbit determination, an approach that locates a spacecraft from the differential timing and Doppler of its own signals received at multiple stations</w:t>
      </w:r>
      <w:r>
        <w:t xml:space="preserve"> </w:t>
      </w:r>
      <w:hyperlink w:anchor="ref-25">
        <w:r>
          <w:rPr>
            <w:rStyle w:val="Hyperlink"/>
          </w:rPr>
          <w:t xml:space="preserve">[25]</w:t>
        </w:r>
      </w:hyperlink>
      <w:r>
        <w:t xml:space="preserve">. Chen and colleagues evaluate autonomous X-ray pulsar navigation, in which a spacecraft determines its position from the timing of pulses received from known millisecond pulsars, and develop selection criteria and performance metrics for the pulsar set that such a system would observe</w:t>
      </w:r>
      <w:r>
        <w:t xml:space="preserve"> </w:t>
      </w:r>
      <w:hyperlink w:anchor="ref-28">
        <w:r>
          <w:rPr>
            <w:rStyle w:val="Hyperlink"/>
          </w:rPr>
          <w:t xml:space="preserve">[28]</w:t>
        </w:r>
      </w:hyperlink>
      <w:r>
        <w:t xml:space="preserve">. These architectures are not the optical navigation that is this study’s treatment of interest, but they populate the same design space, the space of autonomous alternatives to ground radiometric tracking, and they sharpen the conceptual definition of what counts as onboard navigation. Critchley-Marrows and colleagues frame the broader ambition explicitly, proposing an architecture for a visual-based positioning, navigation, and timing alternative, a deliberate parallel to terrestrial satellite navigation built on visual rather than radio observables</w:t>
      </w:r>
      <w:r>
        <w:t xml:space="preserve"> </w:t>
      </w:r>
      <w:hyperlink w:anchor="ref-16">
        <w:r>
          <w:rPr>
            <w:rStyle w:val="Hyperlink"/>
          </w:rPr>
          <w:t xml:space="preserve">[16]</w:t>
        </w:r>
      </w:hyperlink>
      <w:r>
        <w:t xml:space="preserve">. The recurrence of this ambition across measurement modalities establishes that the field treats autonomy as a coherent capability, one whose value the community asserts qualitatively and which this study aims to price quantitatively.</w:t>
      </w:r>
    </w:p>
    <w:p>
      <w:pPr>
        <w:pStyle w:val="BodyText"/>
        <w:spacing w:line="480" w:lineRule="auto"/>
        <w:ind w:firstLine="720"/>
      </w:pPr>
      <w:r>
        <w:t xml:space="preserve">What unites the method-development literature is its altitude. It works at the level of the estimator and the architecture: it asks what filter to use, what measurements to take, what geometry to fly. One question it never asks. Across the realized population of flown missions, how much delivery accuracy did a given choice actually buy once the confounding geometry is held fixed? That question is not a methodological one in the estimator sense; it is an inferential one in the econometric sense, and the method literature, for all its sophistication, does not pose it.</w:t>
      </w:r>
    </w:p>
    <w:bookmarkEnd w:id="69"/>
    <w:bookmarkStart w:id="70" w:name="Xc1bc542b41c6d438a7476403512206bf3f7911c"/>
    <w:p>
      <w:pPr>
        <w:pStyle w:val="Heading2"/>
        <w:spacing w:line="480" w:lineRule="auto"/>
      </w:pPr>
      <w:r>
        <w:t xml:space="preserve">2.3 The Sensing Literature: Optical, Horizon-Based, Crater-Based, and Terrain-Relative Navigation</w:t>
      </w:r>
    </w:p>
    <w:p>
      <w:pPr>
        <w:pStyle w:val="FirstParagraph"/>
        <w:spacing w:line="480" w:lineRule="auto"/>
      </w:pPr>
      <w:r>
        <w:t xml:space="preserve">The treatment variable of this dissertation is autonomous onboard optical navigation, and the sensing literature is where that variable is defined, characterized, and measured. The anchoring survey is Turan, Speretta, and Gill, whose review of autonomous navigation for deep space small satellites catalogues the scientific and technological advances that have moved optical and related onboard sensing from laboratory demonstration toward operational capability</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The survey’s central argument is the qualitative case this study seeks to quantify: that onboard navigation reduces reliance on ground tracking and extends navigation capability to missions and phases where the Deep Space Network is a bottleneck. The survey supplies the taxonomy, the inventory of sensing modalities and their maturity, that the present study uses as its coding frame for whether a mission flew autonomous optical navigation. It argues capability; it does not estimate a conditional effect on delivered accuracy.</w:t>
      </w:r>
    </w:p>
    <w:p>
      <w:pPr>
        <w:pStyle w:val="BodyText"/>
        <w:spacing w:line="480" w:lineRule="auto"/>
        <w:ind w:firstLine="720"/>
      </w:pPr>
      <w:r>
        <w:t xml:space="preserve">Beneath the survey lies a detailed measurement-error literature that characterizes how accurately each optical modality can sense. Martínez-Gijón Machuca and colleagues characterize horizon-based optical navigation measurement errors around the Moon, modeling the patterns in those errors, their evolution through an encounter, and a modeling approach that captures the residual structure</w:t>
      </w:r>
      <w:r>
        <w:t xml:space="preserve"> </w:t>
      </w:r>
      <w:hyperlink w:anchor="ref-3">
        <w:r>
          <w:rPr>
            <w:rStyle w:val="Hyperlink"/>
          </w:rPr>
          <w:t xml:space="preserve">[3]</w:t>
        </w:r>
      </w:hyperlink>
      <w:r>
        <w:t xml:space="preserve">. This is precisely the kind of error characterization that the consistency-minded filter literature requires as an input, and it is the lunar-horizon analogue of the broader effort to know, quantitatively, what a given sensor delivers. Kilduff, Machuca, and Rosengren extend the characterization to crater-based sensing, analyzing YOLO-based crater detection for cislunar autonomous optical navigation and parameterizing the angular and area measurement errors that the detector produces</w:t>
      </w:r>
      <w:r>
        <w:t xml:space="preserve"> </w:t>
      </w:r>
      <w:hyperlink w:anchor="ref-6">
        <w:r>
          <w:rPr>
            <w:rStyle w:val="Hyperlink"/>
          </w:rPr>
          <w:t xml:space="preserve">[6]</w:t>
        </w:r>
      </w:hyperlink>
      <w:r>
        <w:t xml:space="preserve">,</w:t>
      </w:r>
      <w:r>
        <w:t xml:space="preserve"> </w:t>
      </w:r>
      <w:hyperlink w:anchor="ref-31">
        <w:r>
          <w:rPr>
            <w:rStyle w:val="Hyperlink"/>
          </w:rPr>
          <w:t xml:space="preserve">[31]</w:t>
        </w:r>
      </w:hyperlink>
      <w:r>
        <w:t xml:space="preserve">. Their work converts a machine-learning perception pipeline into navigation-grade error statistics, the bridge between computer vision and orbit determination. The same authors and collaborators thereby establish that modern optical navigation is not a monolith but a stack of perception modalities, horizon, crater, feature, each with its own error signature.</w:t>
      </w:r>
    </w:p>
    <w:p>
      <w:pPr>
        <w:pStyle w:val="BodyText"/>
        <w:spacing w:line="480" w:lineRule="auto"/>
        <w:ind w:firstLine="720"/>
      </w:pPr>
      <w:r>
        <w:t xml:space="preserve">The small-body and asteroid-approach literature pushes optical navigation to its most demanding regime, where the target is unresolved or weakly resolved and the spacecraft must home on it from images alone. Lu, Zhu, and Liang address the restoration of smeared navigation images during asteroid approach, recovering usable centroids from motion-degraded frames</w:t>
      </w:r>
      <w:r>
        <w:t xml:space="preserve"> </w:t>
      </w:r>
      <w:hyperlink w:anchor="ref-29">
        <w:r>
          <w:rPr>
            <w:rStyle w:val="Hyperlink"/>
          </w:rPr>
          <w:t xml:space="preserve">[29]</w:t>
        </w:r>
      </w:hyperlink>
      <w:r>
        <w:t xml:space="preserve">. Kaluthantrige, Feng, and Gil-Fernández develop convolutional-neural-network image processing for autonomous optical navigation of the Hera mission to the binary asteroid Didymos, and in a companion contribution treat pseudorange measurement and Sun-phase-angle estimation for the same mission using a CNN-based pipeline</w:t>
      </w:r>
      <w:r>
        <w:t xml:space="preserve"> </w:t>
      </w:r>
      <w:hyperlink w:anchor="ref-30">
        <w:r>
          <w:rPr>
            <w:rStyle w:val="Hyperlink"/>
          </w:rPr>
          <w:t xml:space="preserve">[30]</w:t>
        </w:r>
      </w:hyperlink>
      <w:r>
        <w:t xml:space="preserve">,</w:t>
      </w:r>
      <w:r>
        <w:t xml:space="preserve"> </w:t>
      </w:r>
      <w:hyperlink w:anchor="ref-23">
        <w:r>
          <w:rPr>
            <w:rStyle w:val="Hyperlink"/>
          </w:rPr>
          <w:t xml:space="preserve">[23]</w:t>
        </w:r>
      </w:hyperlink>
      <w:r>
        <w:t xml:space="preserve">. These works demonstrate that the optical-navigation capability whose value this study estimates is being actively engineered for precisely the deep-space and small-body targets where the ground loop is slowest and the marginal value of autonomy should be largest. The proximity-operations and pose-estimation literature, including monocular pose estimation for docking and near-field pose determination of resident space objects, extends the optical toolkit further still</w:t>
      </w:r>
      <w:r>
        <w:t xml:space="preserve"> </w:t>
      </w:r>
      <w:hyperlink w:anchor="ref-26">
        <w:r>
          <w:rPr>
            <w:rStyle w:val="Hyperlink"/>
          </w:rPr>
          <w:t xml:space="preserve">[26]</w:t>
        </w:r>
      </w:hyperlink>
      <w:r>
        <w:t xml:space="preserve">,</w:t>
      </w:r>
      <w:r>
        <w:t xml:space="preserve"> </w:t>
      </w:r>
      <w:hyperlink w:anchor="ref-24">
        <w:r>
          <w:rPr>
            <w:rStyle w:val="Hyperlink"/>
          </w:rPr>
          <w:t xml:space="preserve">[24]</w:t>
        </w:r>
      </w:hyperlink>
      <w:r>
        <w:t xml:space="preserve">, confirming that the treatment of interest is a broad and maturing family rather than a single technique.</w:t>
      </w:r>
    </w:p>
    <w:p>
      <w:pPr>
        <w:pStyle w:val="BodyText"/>
        <w:spacing w:line="480" w:lineRule="auto"/>
        <w:ind w:firstLine="720"/>
      </w:pPr>
      <w:r>
        <w:t xml:space="preserve">A parallel sensing literature, developed largely within the space-situational-awareness community, supplies methods that are technically adjacent and conceptually instructive even where the application differs. AI-driven detection and localization of resident space objects through ellipse regression and pixel-space processing</w:t>
      </w:r>
      <w:r>
        <w:t xml:space="preserve"> </w:t>
      </w:r>
      <w:hyperlink w:anchor="ref-18">
        <w:r>
          <w:rPr>
            <w:rStyle w:val="Hyperlink"/>
          </w:rPr>
          <w:t xml:space="preserve">[18]</w:t>
        </w:r>
      </w:hyperlink>
      <w:r>
        <w:t xml:space="preserve">,</w:t>
      </w:r>
      <w:r>
        <w:t xml:space="preserve"> </w:t>
      </w:r>
      <w:hyperlink w:anchor="ref-20">
        <w:r>
          <w:rPr>
            <w:rStyle w:val="Hyperlink"/>
          </w:rPr>
          <w:t xml:space="preserve">[20]</w:t>
        </w:r>
      </w:hyperlink>
      <w:r>
        <w:t xml:space="preserve">, maneuver detection and timing from imagery</w:t>
      </w:r>
      <w:r>
        <w:t xml:space="preserve"> </w:t>
      </w:r>
      <w:hyperlink w:anchor="ref-19">
        <w:r>
          <w:rPr>
            <w:rStyle w:val="Hyperlink"/>
          </w:rPr>
          <w:t xml:space="preserve">[19]</w:t>
        </w:r>
      </w:hyperlink>
      <w:r>
        <w:t xml:space="preserve">, realistic modeling of photodiode outputs for high-precision relative navigation in formation flying</w:t>
      </w:r>
      <w:r>
        <w:t xml:space="preserve"> </w:t>
      </w:r>
      <w:hyperlink w:anchor="ref-32">
        <w:r>
          <w:rPr>
            <w:rStyle w:val="Hyperlink"/>
          </w:rPr>
          <w:t xml:space="preserve">[32]</w:t>
        </w:r>
      </w:hyperlink>
      <w:r>
        <w:t xml:space="preserve">, and the sustainment of the sensor networks that feed these methods</w:t>
      </w:r>
      <w:r>
        <w:t xml:space="preserve"> </w:t>
      </w:r>
      <w:hyperlink w:anchor="ref-21">
        <w:r>
          <w:rPr>
            <w:rStyle w:val="Hyperlink"/>
          </w:rPr>
          <w:t xml:space="preserve">[21]</w:t>
        </w:r>
      </w:hyperlink>
      <w:r>
        <w:t xml:space="preserve"> </w:t>
      </w:r>
      <w:r>
        <w:t xml:space="preserve">together constitute a body of perception-to-state inference that shares its mathematics with deep space optical navigation. This literature is not the target of the present study, but its existence reinforces the central observation: across both the deep-space-delivery and the space-domain-awareness communities, optical perception is being converted into navigation-grade state information at a rapid pace, and the qualitative case for its value is being made repeatedly and convincingly. What no one in either community has done is estimate, from the pooled flight record, the conditional marginal contribution of that capability to delivered accuracy with the confounding geometry partialed out.</w:t>
      </w:r>
    </w:p>
    <w:p>
      <w:pPr>
        <w:pStyle w:val="BodyText"/>
        <w:spacing w:line="480" w:lineRule="auto"/>
        <w:ind w:firstLine="720"/>
      </w:pPr>
      <w:r>
        <w:t xml:space="preserve">The contemporary entry-guidance literature is the sensing literature’s complement on the dynamical side. The comparative study of entry guidance for Mars robotic and human landing missions characterizes how closed-loop guided entry steers a lifting vehicle along a reference trajectory to compress the entry footprint that an unguided ballistic arrival would otherwise produce</w:t>
      </w:r>
      <w:r>
        <w:t xml:space="preserve"> </w:t>
      </w:r>
      <w:hyperlink w:anchor="ref-7">
        <w:r>
          <w:rPr>
            <w:rStyle w:val="Hyperlink"/>
          </w:rPr>
          <w:t xml:space="preserve">[7]</w:t>
        </w:r>
      </w:hyperlink>
      <w:r>
        <w:t xml:space="preserve">. Guidance and onboard optical navigation frequently co-occur on modern vehicles, which is itself a confounding fact that any cross-mission estimate must confront, and which the precursor regression analyses found they could not fully separate at small sample sizes. The entry-guidance literature thus supplies both a candidate driver of delivery accuracy and a warning about collinearity that this study’s identification strategy must answer.</w:t>
      </w:r>
    </w:p>
    <w:bookmarkEnd w:id="70"/>
    <w:bookmarkStart w:id="71" w:name="Xfeb0c2e037d91f0a0c1657975b539eff35284ef"/>
    <w:p>
      <w:pPr>
        <w:pStyle w:val="Heading2"/>
        <w:spacing w:line="480" w:lineRule="auto"/>
      </w:pPr>
      <w:r>
        <w:t xml:space="preserve">2.4 The Reconstruction and Outcome Literature: Where Delivery Accuracy Is Recorded</w:t>
      </w:r>
    </w:p>
    <w:p>
      <w:pPr>
        <w:pStyle w:val="FirstParagraph"/>
        <w:spacing w:line="480" w:lineRule="auto"/>
      </w:pPr>
      <w:r>
        <w:t xml:space="preserve">A pooled regression of delivery accuracy presupposes a measured outcome for each mission, and that outcome lives in the per-mission reconstruction and results literature. This literature is the empirical bedrock of the study and simultaneously the clearest illustration of the gap, because it records delivery accuracy mission by mission and never pools it.</w:t>
      </w:r>
    </w:p>
    <w:p>
      <w:pPr>
        <w:pStyle w:val="BodyText"/>
        <w:spacing w:line="480" w:lineRule="auto"/>
        <w:ind w:firstLine="720"/>
      </w:pPr>
      <w:r>
        <w:t xml:space="preserve">The Mars record is the richest. The Mars Science Laboratory navigation results document the achieved delivery for the first guided Mars entry, establishing the kilometer-scale ellipse that guided entry made possible where earlier unguided arrivals had produced footprints an order of magnitude larger</w:t>
      </w:r>
      <w:r>
        <w:t xml:space="preserve"> </w:t>
      </w:r>
      <w:hyperlink w:anchor="ref-17">
        <w:r>
          <w:rPr>
            <w:rStyle w:val="Hyperlink"/>
          </w:rPr>
          <w:t xml:space="preserve">[17]</w:t>
        </w:r>
      </w:hyperlink>
      <w:r>
        <w:t xml:space="preserve">. The assessment of Mars 2020 terrain-relative landing accuracy compares flight performance against pre-flight predicts and documents the meter-scale delivery that the Lander Vision System achieved, the clearest single demonstration in the record that onboard optical sensing collapses delivery error</w:t>
      </w:r>
      <w:r>
        <w:t xml:space="preserve"> </w:t>
      </w:r>
      <w:hyperlink w:anchor="ref-8">
        <w:r>
          <w:rPr>
            <w:rStyle w:val="Hyperlink"/>
          </w:rPr>
          <w:t xml:space="preserve">[8]</w:t>
        </w:r>
      </w:hyperlink>
      <w:r>
        <w:t xml:space="preserve">. The earlier unguided and partially guided record, the Mars Pathfinder landing ellipses</w:t>
      </w:r>
      <w:r>
        <w:t xml:space="preserve"> </w:t>
      </w:r>
      <w:hyperlink w:anchor="ref-9">
        <w:r>
          <w:rPr>
            <w:rStyle w:val="Hyperlink"/>
          </w:rPr>
          <w:t xml:space="preserve">[9]</w:t>
        </w:r>
      </w:hyperlink>
      <w:r>
        <w:t xml:space="preserve"> </w:t>
      </w:r>
      <w:r>
        <w:t xml:space="preserve">and the Phoenix polar landing</w:t>
      </w:r>
      <w:r>
        <w:t xml:space="preserve"> </w:t>
      </w:r>
      <w:hyperlink w:anchor="ref-10">
        <w:r>
          <w:rPr>
            <w:rStyle w:val="Hyperlink"/>
          </w:rPr>
          <w:t xml:space="preserve">[10]</w:t>
        </w:r>
      </w:hyperlink>
      <w:r>
        <w:t xml:space="preserve">, supplies the high-error baseline against which the modern guided and optically navigated deliveries are measured. Each of these is a careful, authoritative reconstruction of one mission’s achieved accuracy, conditioned entirely on that mission’s own tracking history and dynamical environment.</w:t>
      </w:r>
    </w:p>
    <w:p>
      <w:pPr>
        <w:pStyle w:val="BodyText"/>
        <w:spacing w:line="480" w:lineRule="auto"/>
        <w:ind w:firstLine="720"/>
      </w:pPr>
      <w:r>
        <w:t xml:space="preserve">The lunar record extends the population across operators and eras. The Surveyor program documents the early American soft-landing accuracy</w:t>
      </w:r>
      <w:r>
        <w:t xml:space="preserve"> </w:t>
      </w:r>
      <w:hyperlink w:anchor="ref-11">
        <w:r>
          <w:rPr>
            <w:rStyle w:val="Hyperlink"/>
          </w:rPr>
          <w:t xml:space="preserve">[11]</w:t>
        </w:r>
      </w:hyperlink>
      <w:r>
        <w:t xml:space="preserve">; the Apollo-era touchdowns provide some of the earliest pinpoint deliveries relative to a known surface feature. The recent surge of lunar landers, several from new operators, has produced a stream of reconstructions: the descent-trajectory reconstruction and landing-site positioning of Chang’e-4 on the lunar farside</w:t>
      </w:r>
      <w:r>
        <w:t xml:space="preserve"> </w:t>
      </w:r>
      <w:hyperlink w:anchor="ref-12">
        <w:r>
          <w:rPr>
            <w:rStyle w:val="Hyperlink"/>
          </w:rPr>
          <w:t xml:space="preserve">[12]</w:t>
        </w:r>
      </w:hyperlink>
      <w:r>
        <w:t xml:space="preserve">, the Chandrayaan-3 trajectory design from injection to successful landing</w:t>
      </w:r>
      <w:r>
        <w:t xml:space="preserve"> </w:t>
      </w:r>
      <w:hyperlink w:anchor="ref-13">
        <w:r>
          <w:rPr>
            <w:rStyle w:val="Hyperlink"/>
          </w:rPr>
          <w:t xml:space="preserve">[13]</w:t>
        </w:r>
      </w:hyperlink>
      <w:r>
        <w:t xml:space="preserve">, and the SLIM smart-lander results reporting a pinpoint touchdown within roughly ten meters of its target</w:t>
      </w:r>
      <w:r>
        <w:t xml:space="preserve"> </w:t>
      </w:r>
      <w:hyperlink w:anchor="ref-14">
        <w:r>
          <w:rPr>
            <w:rStyle w:val="Hyperlink"/>
          </w:rPr>
          <w:t xml:space="preserve">[14]</w:t>
        </w:r>
      </w:hyperlink>
      <w:r>
        <w:t xml:space="preserve">. These reconstructions span successful and unsuccessful deliveries, established and first-time operators, and thereby populate exactly the covariate space, operator heritage, target class, navigation technology, that a cross-mission regression requires.</w:t>
      </w:r>
    </w:p>
    <w:p>
      <w:pPr>
        <w:pStyle w:val="BodyText"/>
        <w:spacing w:line="480" w:lineRule="auto"/>
        <w:ind w:firstLine="720"/>
      </w:pPr>
      <w:r>
        <w:t xml:space="preserve">The deep-space encounter record completes the population beyond landed missions. The Cassini navigation account of the road to consistent subkilometer accuracy at Saturn is the definitive demonstration that distance is a genuine adversary, that achieving tight delivery at a target several light-hours away required sustained refinement of the tracking and estimation pipeline over many encounters</w:t>
      </w:r>
      <w:r>
        <w:t xml:space="preserve"> </w:t>
      </w:r>
      <w:hyperlink w:anchor="ref-15">
        <w:r>
          <w:rPr>
            <w:rStyle w:val="Hyperlink"/>
          </w:rPr>
          <w:t xml:space="preserve">[15]</w:t>
        </w:r>
      </w:hyperlink>
      <w:r>
        <w:t xml:space="preserve">. This account, more than any other in the literature, makes the case that delivery accuracy is conditional on geometry: the same navigation team and the same architecture delivered very differently as the encounter geometry varied, which is precisely the within-mission variation that this study’s fixed-effects design exploits for identification.</w:t>
      </w:r>
    </w:p>
    <w:p>
      <w:pPr>
        <w:pStyle w:val="BodyText"/>
        <w:spacing w:line="480" w:lineRule="auto"/>
        <w:ind w:firstLine="720"/>
      </w:pPr>
      <w:r>
        <w:t xml:space="preserve">The entire reconstruction literature shares one defining feature: it is a literature of cases. Each report explains one mission’s achieved accuracy through that mission’s own circumstances. None asks the conditional, cross-mission question. A mission that flew autonomous optical navigation and delivered tightly may have done so because optical navigation helped, or because it enjoyed a long tracking arc, a benign dynamical environment, an experienced operator, or a nearby target. The case literature cannot separate these, because separation requires pooling and conditioning, and pooling and conditioning are the province of the econometric literature reviewed next.</w:t>
      </w:r>
    </w:p>
    <w:bookmarkEnd w:id="71"/>
    <w:bookmarkStart w:id="72" w:name="X226c53499ab49ddccaf4f9f32375798df4769af"/>
    <w:p>
      <w:pPr>
        <w:pStyle w:val="Heading2"/>
        <w:spacing w:line="480" w:lineRule="auto"/>
      </w:pPr>
      <w:r>
        <w:t xml:space="preserve">2.5 The Cliometric and Econometric Literature: Pooled Inference and Covariance Realism</w:t>
      </w:r>
    </w:p>
    <w:p>
      <w:pPr>
        <w:pStyle w:val="FirstParagraph"/>
        <w:spacing w:line="480" w:lineRule="auto"/>
      </w:pPr>
      <w:r>
        <w:t xml:space="preserve">The methodological literature this dissertation imports is the tradition of conditional, pooled inference over panels of observations. The cliometric program, the application of formal econometric estimation to a historical record in order to recover quantitative regularities that narrative case study cannot, is the natural template for the present work, because the flight record of deep space missions is exactly such a historical panel: a finite population of realized events, each with a measured outcome and a set of coded attributes, accumulated over six decades and never analyzed as a population.</w:t>
      </w:r>
    </w:p>
    <w:p>
      <w:pPr>
        <w:pStyle w:val="BodyText"/>
        <w:spacing w:line="480" w:lineRule="auto"/>
        <w:ind w:firstLine="720"/>
      </w:pPr>
      <w:r>
        <w:t xml:space="preserve">The core inferential apparatus is the fixed-effects panel regression. Where a unit of observation may be confounded by time-invariant characteristics, a mission’s design philosophy, an operator’s institutional competence, an era’s force-modeling state of the art, fixed effects absorb those characteristics and identify the coefficient of interest from variation within the unit or within the period. The present study applies two-way fixed effects: mission fixed effects absorb time-invariant mission characteristics so that the optical-navigation coefficient is identified from within-mission variation across encounters, and epoch fixed effects absorb era-wide improvements in the Deep Space Network and in force modeling so that the estimate is not confounded by the secular trend through which newer missions both fly optical navigation and inherit better ground infrastructure. This is the standard cliometric response to the confounding that defeats the case literature, and it is the analytical move that the reconstruction reports, conditioning each on a single mission, structurally cannot make.</w:t>
      </w:r>
    </w:p>
    <w:p>
      <w:pPr>
        <w:pStyle w:val="BodyText"/>
        <w:spacing w:line="480" w:lineRule="auto"/>
        <w:ind w:firstLine="720"/>
      </w:pPr>
      <w:r>
        <w:t xml:space="preserve">The second methodological demand is covariance realism, and here the econometric and navigation literatures converge with unusual exactness. The econometric concern with the honesty of reported standard errors, the recognition that naive intervals understate true uncertainty when the error structure is mis-specified, and the consequent reliance on heteroskedasticity-robust and cluster-robust covariance estimators, is the same concern, expressed in different vocabulary, that drives the navigation community’s insistence on consistent filters. The state-estimation literature’s documentation that naive state covariances are untrustworthy and must be validated against a residual-consistency diagnostic</w:t>
      </w:r>
      <w:r>
        <w:t xml:space="preserve"> </w:t>
      </w:r>
      <w:hyperlink w:anchor="ref-5">
        <w:r>
          <w:rPr>
            <w:rStyle w:val="Hyperlink"/>
          </w:rPr>
          <w:t xml:space="preserve">[5]</w:t>
        </w:r>
      </w:hyperlink>
      <w:r>
        <w:t xml:space="preserve"> </w:t>
      </w:r>
      <w:r>
        <w:t xml:space="preserve">is the navigation analogue of the econometric practice of replacing nominal standard errors with robust ones and checking the residual distribution. This dissertation deliberately exploits the convergence: it reports cluster-robust intervals, clustered on the mission, and validates them with a Mahalanobis-style consistency check on the residual distribution, importing the very diagnostic logic that the navigation literature uses to certify covariance realism in orbital state estimation</w:t>
      </w:r>
      <w:r>
        <w:t xml:space="preserve"> </w:t>
      </w:r>
      <w:hyperlink w:anchor="ref-5">
        <w:r>
          <w:rPr>
            <w:rStyle w:val="Hyperlink"/>
          </w:rPr>
          <w:t xml:space="preserve">[5]</w:t>
        </w:r>
      </w:hyperlink>
      <w:r>
        <w:t xml:space="preserve">. The methodological borrowing is therefore not an alien graft; it is the recognition that the navigation community already practices covariance realism on states and that the same discipline can be practiced on a regression coefficient.</w:t>
      </w:r>
    </w:p>
    <w:p>
      <w:pPr>
        <w:pStyle w:val="BodyText"/>
        <w:spacing w:line="480" w:lineRule="auto"/>
        <w:ind w:firstLine="720"/>
      </w:pPr>
      <w:r>
        <w:t xml:space="preserve">A third methodological commitment is robustness to specification choice. A pooled estimate over a hand-curated panel is only credible if its headline coefficient survives reasonable alternative codings of the ambiguous variables. The cliometric tradition meets this demand through specification-curve analysis, the systematic re-estimation of the model across the defensible space of variable definitions, reporting the distribution of the coefficient rather than a single privileged value. The present study adopts this discipline over alternative codings of the dynamical-fidelity index and alternative definitions of the delivery epoch, so that the reader sees the full sensitivity of the estimate rather than a point chosen to flatter the hypothesis.</w:t>
      </w:r>
    </w:p>
    <w:p>
      <w:pPr>
        <w:pStyle w:val="BodyText"/>
        <w:spacing w:line="480" w:lineRule="auto"/>
        <w:ind w:firstLine="720"/>
      </w:pPr>
      <w:r>
        <w:t xml:space="preserve">The two precursor regression analyses that motivate this dissertation are themselves the first applications of this econometric apparatus to the navigation record, and reviewing them establishes both the feasibility and the incompleteness of the approach. The first precursor regresses the log of delivery error on indicators for guided entry-descent-and-landing, onboard autonomous navigation, operator heritage, and target class across twenty-two planetary and lunar delivery events from 1966 to 2025, estimating by ordinary least squares with heteroskedasticity-robust standard errors. It recovers a large, precisely estimated, correctly signed coefficient on onboard navigation, roughly a factor-of-twenty-six reduction in delivery error, alongside a significant target-class penalty, while finding that guidance and heritage carry the expected sign but cannot be separately resolved at that sample size. The second precursor regresses logged delivery accuracy on an optical-navigation indicator, a small-body indicator, one-way light time, and a heritage indicator across a differently composed set of twenty-two deep-space delivery events, recovering a significant negative optical-navigation coefficient of similar magnitude and a precisely estimated positive light-time penalty. Both precursors confirm the central qualitative finding of the sensing survey</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w:t>
      </w:r>
      <w:r>
        <w:t xml:space="preserve">in pooled quantitative form, and both confront the same limitations: small samples, correlated regressors that prevent clean separation of co-occurring technologies, a dependent variable harmonized across heterogeneous accuracy measures, and a handful of rows resting on illustrative rather than documented figures. Critically, neither precursor employs fixed effects to absorb the confounding geometry, and neither validates its intervals against a covariance-realism diagnostic. They establish that the regression is estimable and that the optical-navigation effect is real; they do not establish that the effect survives geometry-conditioning or that its uncertainty interval is trustworthy.</w:t>
      </w:r>
    </w:p>
    <w:bookmarkEnd w:id="72"/>
    <w:bookmarkStart w:id="73" w:name="synthesis-and-the-gap"/>
    <w:p>
      <w:pPr>
        <w:pStyle w:val="Heading2"/>
        <w:spacing w:line="480" w:lineRule="auto"/>
      </w:pPr>
      <w:r>
        <w:t xml:space="preserve">2.6 Synthesis and the Gap</w:t>
      </w:r>
    </w:p>
    <w:p>
      <w:pPr>
        <w:pStyle w:val="FirstParagraph"/>
        <w:spacing w:line="480" w:lineRule="auto"/>
      </w:pPr>
      <w:r>
        <w:t xml:space="preserve">The two literatures reviewed in this chapter are individually mature and jointly disjoint. The navigation literature understands, at fine resolution, the mechanisms that generate delivery accuracy. It knows how filters propagate state and covariance under nonlinearity</w:t>
      </w:r>
      <w:r>
        <w:t xml:space="preserve"> </w:t>
      </w:r>
      <w:hyperlink w:anchor="ref-2">
        <w:r>
          <w:rPr>
            <w:rStyle w:val="Hyperlink"/>
          </w:rPr>
          <w:t xml:space="preserve">[2]</w:t>
        </w:r>
      </w:hyperlink>
      <w:r>
        <w:t xml:space="preserve">, how observability conditions whether a configuration can navigate at all</w:t>
      </w:r>
      <w:r>
        <w:t xml:space="preserve"> </w:t>
      </w:r>
      <w:hyperlink w:anchor="ref-4">
        <w:r>
          <w:rPr>
            <w:rStyle w:val="Hyperlink"/>
          </w:rPr>
          <w:t xml:space="preserve">[4]</w:t>
        </w:r>
      </w:hyperlink>
      <w:r>
        <w:t xml:space="preserve">, how autonomous architectures from optical to pulsar to differential-timing sensing dispense with ground tracking</w:t>
      </w:r>
      <w:r>
        <w:t xml:space="preserve"> </w:t>
      </w:r>
      <w:hyperlink w:anchor="ref-25">
        <w:r>
          <w:rPr>
            <w:rStyle w:val="Hyperlink"/>
          </w:rPr>
          <w:t xml:space="preserve">[25]</w:t>
        </w:r>
      </w:hyperlink>
      <w:r>
        <w:t xml:space="preserve">,</w:t>
      </w:r>
      <w:r>
        <w:t xml:space="preserve"> </w:t>
      </w:r>
      <w:hyperlink w:anchor="ref-28">
        <w:r>
          <w:rPr>
            <w:rStyle w:val="Hyperlink"/>
          </w:rPr>
          <w:t xml:space="preserve">[28]</w:t>
        </w:r>
      </w:hyperlink>
      <w:r>
        <w:t xml:space="preserve">,</w:t>
      </w:r>
      <w:r>
        <w:t xml:space="preserve"> </w:t>
      </w:r>
      <w:hyperlink w:anchor="ref-16">
        <w:r>
          <w:rPr>
            <w:rStyle w:val="Hyperlink"/>
          </w:rPr>
          <w:t xml:space="preserve">[16]</w:t>
        </w:r>
      </w:hyperlink>
      <w:r>
        <w:t xml:space="preserve">, how horizon, crater, and feature optical sensing each scale their measurement error</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31">
        <w:r>
          <w:rPr>
            <w:rStyle w:val="Hyperlink"/>
          </w:rPr>
          <w:t xml:space="preserve">[31]</w:t>
        </w:r>
      </w:hyperlink>
      <w:r>
        <w:t xml:space="preserve">,</w:t>
      </w:r>
      <w:r>
        <w:t xml:space="preserve"> </w:t>
      </w:r>
      <w:hyperlink w:anchor="ref-30">
        <w:r>
          <w:rPr>
            <w:rStyle w:val="Hyperlink"/>
          </w:rPr>
          <w:t xml:space="preserve">[30]</w:t>
        </w:r>
      </w:hyperlink>
      <w:r>
        <w:t xml:space="preserve">,</w:t>
      </w:r>
      <w:r>
        <w:t xml:space="preserve"> </w:t>
      </w:r>
      <w:hyperlink w:anchor="ref-29">
        <w:r>
          <w:rPr>
            <w:rStyle w:val="Hyperlink"/>
          </w:rPr>
          <w:t xml:space="preserve">[29]</w:t>
        </w:r>
      </w:hyperlink>
      <w:r>
        <w:t xml:space="preserve">, and how guided entry compresses the delivery footprint</w:t>
      </w:r>
      <w:r>
        <w:t xml:space="preserve"> </w:t>
      </w:r>
      <w:hyperlink w:anchor="ref-7">
        <w:r>
          <w:rPr>
            <w:rStyle w:val="Hyperlink"/>
          </w:rPr>
          <w:t xml:space="preserve">[7]</w:t>
        </w:r>
      </w:hyperlink>
      <w:r>
        <w:t xml:space="preserve">. It records, in authoritative per-mission reconstructions, the delivery accuracy each mission achieved</w:t>
      </w:r>
      <w:r>
        <w:t xml:space="preserve"> </w:t>
      </w:r>
      <w:hyperlink w:anchor="ref-17">
        <w:r>
          <w:rPr>
            <w:rStyle w:val="Hyperlink"/>
          </w:rPr>
          <w:t xml:space="preserve">[17]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And it asserts, repeatedly and credibly in its survey literature, that autonomous onboard navigation is a transformative capability</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What it does not do is convert these mission-by-mission records and qualitative assertions into a single pooled, conditional estimate of how much delivery accuracy the autonomous-navigation capability actually buys once the confounding geometry is held fixed.</w:t>
      </w:r>
    </w:p>
    <w:p>
      <w:pPr>
        <w:pStyle w:val="BodyText"/>
        <w:spacing w:line="480" w:lineRule="auto"/>
        <w:ind w:firstLine="720"/>
      </w:pPr>
      <w:r>
        <w:t xml:space="preserve">The econometric literature, for its part, owns exactly the inferential machinery the navigation problem demands. It pools units into panels, partials out time-invariant confounders through fixed effects, and reports coefficients with covariance-realistic uncertainty through robust and cluster-robust estimators and residual-consistency diagnostics. Its commitment to covariance realism is, remarkably, the same commitment the navigation community already enforces on its state estimates</w:t>
      </w:r>
      <w:r>
        <w:t xml:space="preserve"> </w:t>
      </w:r>
      <w:hyperlink w:anchor="ref-5">
        <w:r>
          <w:rPr>
            <w:rStyle w:val="Hyperlink"/>
          </w:rPr>
          <w:t xml:space="preserve">[5]</w:t>
        </w:r>
      </w:hyperlink>
      <w:r>
        <w:t xml:space="preserve">, so that the methodological bridge between the two literatures is shorter than it first appears: the navigation field already believes that a reported uncertainty must be validated, not assumed. Yet this machinery has never been pointed at the navigation flight record as a population, save for the two precursor analyses, which demonstrate feasibility but stop short of geometry-conditioning and covariance-realistic inference.</w:t>
      </w:r>
    </w:p>
    <w:p>
      <w:pPr>
        <w:pStyle w:val="BodyText"/>
        <w:spacing w:line="480" w:lineRule="auto"/>
        <w:ind w:firstLine="720"/>
      </w:pPr>
      <w:r>
        <w:t xml:space="preserve">The gap, stated precisely, is the empty intersection of these two literatures. There exists no covariance-realistic, geometry-conditioned, cross-mission estimate of what drives deep space delivery accuracy. The method literature does not pose the pooled conditional question; the reconstruction literature poses it for single missions only; the survey literature answers it qualitatively but not quantitatively; and the two precursor regressions answer it quantitatively but without the fixed-effects identification that separates the navigation choice from the geometry in which it was made, and without the covariance-realism validation that would make the reject-or-fail-to-reject decision safe. The consequence is operationally costly: program offices choosing between ground radiometric tracking and onboard optical navigation must reason from analogy and expert judgment, because the field offers them no audited conditional coefficient to reason from instead.</w:t>
      </w:r>
    </w:p>
    <w:p>
      <w:pPr>
        <w:pStyle w:val="BodyText"/>
        <w:spacing w:line="480" w:lineRule="auto"/>
        <w:ind w:firstLine="720"/>
      </w:pPr>
      <w:r>
        <w:t xml:space="preserve">This dissertation occupies that intersection. It takes the delivery-accuracy outcomes recorded in the reconstruction literature</w:t>
      </w:r>
      <w:r>
        <w:t xml:space="preserve"> </w:t>
      </w:r>
      <w:hyperlink w:anchor="ref-17">
        <w:r>
          <w:rPr>
            <w:rStyle w:val="Hyperlink"/>
          </w:rPr>
          <w:t xml:space="preserve">[17]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autonomous-navigation taxonomy supplied by the survey literature</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and the measurement-error characterizations that define the optical treatment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r>
        <w:t xml:space="preserve"> </w:t>
      </w:r>
      <w:hyperlink w:anchor="ref-31">
        <w:r>
          <w:rPr>
            <w:rStyle w:val="Hyperlink"/>
          </w:rPr>
          <w:t xml:space="preserve">[31]</w:t>
        </w:r>
      </w:hyperlink>
      <w:r>
        <w:t xml:space="preserve">, and it analyzes them as a panel using the fixed-effects and covariance-realism discipline of the econometric tradition, importing the residual-consistency diagnostic directly from the navigation community’s own state-estimation practice</w:t>
      </w:r>
      <w:r>
        <w:t xml:space="preserve"> </w:t>
      </w:r>
      <w:hyperlink w:anchor="ref-5">
        <w:r>
          <w:rPr>
            <w:rStyle w:val="Hyperlink"/>
          </w:rPr>
          <w:t xml:space="preserve">[5]</w:t>
        </w:r>
      </w:hyperlink>
      <w:r>
        <w:t xml:space="preserve">. Where the precursor regressions established that the optical-navigation effect is large and correctly signed</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this study tests whether it survives the partialing-out of heliocentric range, tracking-arc duration, and dynamical-model fidelity through two-way fixed effects, and whether its uncertainty interval is covariance-realistic enough to bear the operational weight the trade study would place on it. The contribution is to join the two literatures: to convert a discipline of cases and qualitative survey claims into a single, transparent, reproducible, geometry-conditioned coefficient with an interval the navigation community can trust because it is certified by the same logic the community already uses to trust its own states. The chapters that follow build the panel from the public archive, specify the estimator, and report the coefficient and its diagnostic, supplying the conditional quantitative answer that neither literature, on its own, has produced.</w:t>
      </w:r>
    </w:p>
    <w:bookmarkEnd w:id="73"/>
    <w:bookmarkEnd w:id="74"/>
    <w:bookmarkStart w:id="83"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The preceding chapters established that delivery accuracy is the decisive quantity in deep space navigation and that the discipline adjudicates its determinants mission by mission rather than through pooled inference. This chapter supplies the theoretical machinery that converts that observation into a testable claim. It does three things in sequence. First, it states the causal mechanism by which navigation architecture is expected to govern delivery accuracy, grounding that mechanism in the control-theoretic structure of the terminal guidance loop. Second, it derives, from that mechanism, the conditional logic that motivates a regression rather than a case study, making explicit which quantities must be held fixed for the treatment effect to be interpretable. Third, it states the formal null and alternative hypotheses, H0 and H1, in the precise form in which the estimator of Chapter 4 will confront them. The chapter is theoretical in the strict sense: it commits to a mechanism, specifies the observable implications of that mechanism, and binds those implications to a falsifiable parameter before any data are estimated.</w:t>
      </w:r>
    </w:p>
    <w:p>
      <w:pPr>
        <w:pStyle w:val="BodyText"/>
        <w:spacing w:line="480" w:lineRule="auto"/>
        <w:ind w:firstLine="720"/>
      </w:pPr>
      <w:r>
        <w:t xml:space="preserve">The framework is built to be modest in its claims and exacting in its structure. It does not assert that autonomous onboard optical navigation is universally superior, nor that ground radiometric tracking is obsolete. It asserts something narrower and therefore more useful: that conditional on the geometry of the encounter, the navigation architecture leaves a measurable signature on delivered position error, and that this signature is large enough to inform a trade study. The mechanism is the engine of that assertion; the conditioning set is its discipline; the hypotheses are its commitment to be wrong if the evidence so dictates.</w:t>
      </w:r>
    </w:p>
    <w:bookmarkEnd w:id="75"/>
    <w:bookmarkStart w:id="76" w:name="X2a0b9a348666e3fc97c3b9b029834c0a0fff72c"/>
    <w:p>
      <w:pPr>
        <w:pStyle w:val="Heading2"/>
        <w:spacing w:line="480" w:lineRule="auto"/>
      </w:pPr>
      <w:r>
        <w:t xml:space="preserve">3.2 The Core Mechanism: Loop Closure and the Latency of Correction</w:t>
      </w:r>
    </w:p>
    <w:p>
      <w:pPr>
        <w:pStyle w:val="FirstParagraph"/>
        <w:spacing w:line="480" w:lineRule="auto"/>
      </w:pPr>
      <w:r>
        <w:t xml:space="preserve">One mechanism carries the theoretical claim of this study, and it can be stated compactly: delivery accuracy is governed by how tightly and how promptly the terminal guidance loop can be closed against the target. Every navigation architecture is, at the decisive moment, a control loop. The spacecraft holds an estimate of its state relative to an aim point, that estimate carries an error, and a maneuver is computed to drive the error toward zero. The accuracy with which the maneuver places the vehicle is bounded by two quantities: the fidelity of the state estimate at the moment the maneuver is committed, and the latency between the formation of the estimate and the execution of the correction.</w:t>
      </w:r>
    </w:p>
    <w:p>
      <w:pPr>
        <w:pStyle w:val="BodyText"/>
        <w:spacing w:line="480" w:lineRule="auto"/>
        <w:ind w:firstLine="720"/>
      </w:pPr>
      <w:r>
        <w:t xml:space="preserve">In a ground-based radiometric architecture, the loop is structurally open across at least one round-trip light time. The spacecraft state is reconstructed on the ground from Doppler and ranging observations, a maneuver is designed, and the command is uplinked. For a target a substantial fraction of a light hour away, no correction computed on the ground can respond to an error discovered during final approach, because the error and the response are separated by a delay that exceeds the time remaining before the critical event. The deep space navigation literature treats this latency as a first-order constraint, and the filtering machinery that produces ground-based state estimates is well characterized precisely because the community has spent six decades managing the consequences of an open loop</w:t>
      </w:r>
      <w:r>
        <w:t xml:space="preserve"> </w:t>
      </w:r>
      <w:hyperlink w:anchor="ref-2">
        <w:r>
          <w:rPr>
            <w:rStyle w:val="Hyperlink"/>
          </w:rPr>
          <w:t xml:space="preserve">[2]</w:t>
        </w:r>
      </w:hyperlink>
      <w:r>
        <w:t xml:space="preserve">. The newer practice of autonomous onboard optical and terrain-relative navigation collapses this latency. The vehicle senses its position against the target body or the terrain immediately beneath it, estimates the relative state in real time, and closes the guidance loop locally, without waiting for a ground turnaround</w:t>
      </w:r>
      <w:r>
        <w:t xml:space="preserve"> </w:t>
      </w:r>
      <w:hyperlink w:anchor="ref-1">
        <w:r>
          <w:rPr>
            <w:rStyle w:val="Hyperlink"/>
          </w:rPr>
          <w:t xml:space="preserve">[1]</w:t>
        </w:r>
      </w:hyperlink>
      <w:r>
        <w:t xml:space="preserve">. The mechanism is therefore not that optical sensing is intrinsically more precise than radiometric tracking in some absolute metrological sense; it is that optical sensing removes the latency that otherwise bounds the achievable accuracy at the one moment when accuracy is irreversible.</w:t>
      </w:r>
    </w:p>
    <w:p>
      <w:pPr>
        <w:pStyle w:val="BodyText"/>
        <w:spacing w:line="480" w:lineRule="auto"/>
        <w:ind w:firstLine="720"/>
      </w:pPr>
      <w:r>
        <w:t xml:space="preserve">Two corollaries of this mechanism are worth making explicit because they discipline the empirical design. The first concerns measurement fidelity. The mechanism presumes that the onboard optical solution is good enough that closing the loop locally improves rather than degrades the delivery. This presumption is not free: it depends on the measurement-error structure of the optical sensor. The characterization literature establishes that horizon-based optical navigation around the Moon has a residual error structure that evolves through the approach and can be modeled, and that the residuals can be driven well below the dispersions of a purely inertial or radiometric terminal solution</w:t>
      </w:r>
      <w:r>
        <w:t xml:space="preserve"> </w:t>
      </w:r>
      <w:hyperlink w:anchor="ref-3">
        <w:r>
          <w:rPr>
            <w:rStyle w:val="Hyperlink"/>
          </w:rPr>
          <w:t xml:space="preserve">[3]</w:t>
        </w:r>
      </w:hyperlink>
      <w:r>
        <w:t xml:space="preserve">. Feature-based methods, including crater detection for cislunar optical navigation, have been characterized parametrically in their angular and area measurement errors, confirming that the onboard fix is metrologically competitive when the target is resolved</w:t>
      </w:r>
      <w:r>
        <w:t xml:space="preserve"> </w:t>
      </w:r>
      <w:hyperlink w:anchor="ref-6">
        <w:r>
          <w:rPr>
            <w:rStyle w:val="Hyperlink"/>
          </w:rPr>
          <w:t xml:space="preserve">[6]</w:t>
        </w:r>
      </w:hyperlink>
      <w:r>
        <w:t xml:space="preserve">. The mechanism, in other words, is conditional on a measurement-quality threshold that the contemporary sensor literature has documented the field as having crossed</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second corollary concerns the geometry of the encounter. The benefit of loop closure scales with the latency it removes. Where the ground loop is fast, near Earth, with short light time, the marginal value of closing the loop onboard is smaller; where the ground loop is slow, at distant or small-body targets, the marginal value is larger. The mechanism therefore predicts not a constant treatment effect but an effect whose magnitude is conditioned by signal distance and target class. This is the seed of the conditioning logic developed in Section 3.4.</w:t>
      </w:r>
    </w:p>
    <w:bookmarkEnd w:id="76"/>
    <w:bookmarkStart w:id="77" w:name="X16722e0d2be88f60cbd13f8e65676f71d7e9e13"/>
    <w:p>
      <w:pPr>
        <w:pStyle w:val="Heading2"/>
        <w:spacing w:line="480" w:lineRule="auto"/>
      </w:pPr>
      <w:r>
        <w:t xml:space="preserve">3.3 From Mechanism to Construct: Defining Delivery Accuracy and Treatment</w:t>
      </w:r>
    </w:p>
    <w:p>
      <w:pPr>
        <w:pStyle w:val="FirstParagraph"/>
        <w:spacing w:line="480" w:lineRule="auto"/>
      </w:pPr>
      <w:r>
        <w:t xml:space="preserve">A mechanism is only testable once its terms are operationalized as constructs that can be measured across missions. Two constructs require careful definition: the outcome, delivery accuracy, and the treatment, autonomous onboard optical navigation.</w:t>
      </w:r>
    </w:p>
    <w:p>
      <w:pPr>
        <w:pStyle w:val="BodyText"/>
        <w:spacing w:line="480" w:lineRule="auto"/>
        <w:ind w:firstLine="720"/>
      </w:pPr>
      <w:r>
        <w:t xml:space="preserve">Delivery accuracy is defined as the position error of the spacecraft relative to its target aim point at the moment a mission-critical maneuver is committed, whether that maneuver is orbit insertion, the start of powered descent, or atmospheric entry. The construct is the magnitude of the miss between where the vehicle was delivered and where it was aimed. Because the flight record reports this quantity in two documented forms, the achieved miss distance where a post-flight reconstruction reports it, and the published landing-ellipse semi-major axis where no achieved miss is available, the construct is operationalized as the best documented measure of delivered placement error, with the metric type recorded per observation so that the construction is auditable. Both forms are standard published measures of how accurately a vehicle was delivered, both are expressed in kilometers, and both are strictly positive quantities spanning many orders of magnitude, from sub-meter touchdowns to arrival misses on the order of a hundred kilometers. The dependent variable is therefore the logarithm of delivered position error, a transform that linearizes the dynamic range and stabilizes the error variance, which is the standard treatment for a strictly positive outcome of this span.</w:t>
      </w:r>
    </w:p>
    <w:p>
      <w:pPr>
        <w:pStyle w:val="BodyText"/>
        <w:spacing w:line="480" w:lineRule="auto"/>
        <w:ind w:firstLine="720"/>
      </w:pPr>
      <w:r>
        <w:t xml:space="preserve">The treatment is an indicator for whether autonomous onboard optical or terrain-relative navigation materially contributed to the delivery solution at the critical event. The construct is binary by design, which sacrifices some information about the degree of onboard reliance in exchange for a coding that can be applied consistently across six decades of heterogeneous missions. The coding frame is the autonomous-navigation capability taxonomy in the survey literature, which catalogues the forms that onboard navigation takes and the phases in which it operates</w:t>
      </w:r>
      <w:r>
        <w:t xml:space="preserve"> </w:t>
      </w:r>
      <w:hyperlink w:anchor="ref-1">
        <w:r>
          <w:rPr>
            <w:rStyle w:val="Hyperlink"/>
          </w:rPr>
          <w:t xml:space="preserve">[1]</w:t>
        </w:r>
      </w:hyperlink>
      <w:r>
        <w:t xml:space="preserve">. A delivery is coded as treated when terrain-relative, vision-based optical, or autonomous hazard-relative navigation supplied the map-relative or body-relative fix that steered the vehicle toward its aim point, and untreated when the terminal solution rested on ground-reconstructed radiometric state propagated forward without an onboard relative fix. The construct deliberately isolates the loop-closure mechanism: it marks whether the vehicle sensed the target and closed the loop locally, which is precisely the quantity the mechanism predicts to matter.</w:t>
      </w:r>
    </w:p>
    <w:p>
      <w:pPr>
        <w:pStyle w:val="BodyText"/>
        <w:spacing w:line="480" w:lineRule="auto"/>
        <w:ind w:firstLine="720"/>
      </w:pPr>
      <w:r>
        <w:t xml:space="preserve">The validity of the framework depends on these two constructs being measured independently of one another. Delivered position error is reconstructed from the post-flight trajectory record and the documented aim point; the treatment is coded from the documented navigation architecture. Neither is inferred from the other, which is the property that allows the regression to estimate an association between them rather than a tautology.</w:t>
      </w:r>
    </w:p>
    <w:bookmarkEnd w:id="77"/>
    <w:bookmarkStart w:id="78" w:name="X94d7da04fca1b047cbb717a18e2db70527c815b"/>
    <w:p>
      <w:pPr>
        <w:pStyle w:val="Heading2"/>
        <w:spacing w:line="480" w:lineRule="auto"/>
      </w:pPr>
      <w:r>
        <w:t xml:space="preserve">3.4 The Conditioning Logic: Why a Regression and What Must Be Held Fixed</w:t>
      </w:r>
    </w:p>
    <w:p>
      <w:pPr>
        <w:pStyle w:val="FirstParagraph"/>
        <w:spacing w:line="480" w:lineRule="auto"/>
      </w:pPr>
      <w:r>
        <w:t xml:space="preserve">The mechanism predicts a relationship between treatment and outcome, but a raw cross-sectional comparison of treated and untreated deliveries would not recover that relationship cleanly, because navigation architecture is not assigned at random across missions. This is the central inferential problem the theoretical framework must solve before it can license a hypothesis test, and its solution determines the form of the empirical model.</w:t>
      </w:r>
    </w:p>
    <w:p>
      <w:pPr>
        <w:pStyle w:val="BodyText"/>
        <w:spacing w:line="480" w:lineRule="auto"/>
        <w:ind w:firstLine="720"/>
      </w:pPr>
      <w:r>
        <w:t xml:space="preserve">The problem is selection on geometry. Navigation architecture is not drawn from a hat. Missions that adopt autonomous onboard optical navigation may differ systematically from those that do not, in ways that themselves bear on delivery accuracy. A mission that flew optical navigation and achieved excellent accuracy may have done so because optical navigation helped, as the mechanism predicts, or because it happened to fly a benign trajectory with a long tracking arc and a high-fidelity dynamical environment. If treated missions are disproportionately the geometrically favored ones, the unconditional difference between treated and untreated deliveries conflates the effect of the architecture with the effect of the geometry in which the architecture was chosen. The autonomous-navigation surveys catalogue capability and argue the qualitative case for onboard navigation, but they do not partial out the geometry, which is exactly why the conditional effect remains unestimated in the literature</w:t>
      </w:r>
      <w:r>
        <w:t xml:space="preserve"> </w:t>
      </w:r>
      <w:hyperlink w:anchor="ref-1">
        <w:r>
          <w:rPr>
            <w:rStyle w:val="Hyperlink"/>
          </w:rPr>
          <w:t xml:space="preserve">[1]</w:t>
        </w:r>
      </w:hyperlink>
      <w:r>
        <w:t xml:space="preserve">.</w:t>
      </w:r>
    </w:p>
    <w:p>
      <w:pPr>
        <w:pStyle w:val="BodyText"/>
        <w:spacing w:line="480" w:lineRule="auto"/>
        <w:ind w:firstLine="720"/>
      </w:pPr>
      <w:r>
        <w:t xml:space="preserve">The theoretical resolution is to specify the set of geometric and operational quantities that the mechanism implies must be held fixed, and to estimate the treatment effect conditional on that set. Three quantities are theorized to confound the treatment-outcome relationship and are therefore elevated to covariates. The first is signal distance, operationalized as heliocentric range at the delivery epoch or, equivalently in its inferential role, the one-way light time to the target. The mechanism itself identifies signal distance as the quantity that sets the latency of the ground loop and therefore both the difficulty of the delivery and the marginal value of onboard loop closure; it must be conditioned on so that the treatment coefficient is not absorbing the distance penalty. The second is tracking-arc duration before the commit point, which governs the fidelity of any ground-reconstructed solution and is plausibly correlated with the choice of architecture. The third is the fidelity of the dynamical model, a coded index of the gravity, radiation, and small-body force models documented for each mission, which conditions the accuracy attainable independent of the sensing architecture. Target class, the distinction between an interplanetary delivery burdened by a long navigation arc and atmospheric entry and a near-body powered descent that avoids both, enters the same conditioning logic as a contextual control, because the physics of the delivery is a determinant of accuracy that the treatment must not be permitted to proxy.</w:t>
      </w:r>
    </w:p>
    <w:p>
      <w:pPr>
        <w:pStyle w:val="BodyText"/>
        <w:spacing w:line="480" w:lineRule="auto"/>
        <w:ind w:firstLine="720"/>
      </w:pPr>
      <w:r>
        <w:t xml:space="preserve">Conditioning on this set is necessary but, on its own, insufficient, because some confounders are not observed. The framework therefore adopts a panel structure to absorb them. Where a single mission carries multiple delivery events across distinct target encounters, mission fixed effects absorb time-invariant mission characteristics, so the treatment coefficient is identified from within-mission variation in tracking configuration across encounters rather than from comparisons across missions that may differ in unmeasured ways. Epoch fixed effects absorb era-wide improvements in the Deep Space Network and in force modeling, so the estimate is not confounded by the secular trend whereby newer missions both fly optical navigation and benefit from better ground infrastructure. This two-way fixed-effects design restricts identification to within-mission and within-epoch variation, which is the variation the mechanism speaks to and the variation least contaminated by selection on geometry. The regression is thus not a convenience but a theoretical commitment: it is the form in which the loop-closure mechanism can be confronted with the flight record while the geometry that the mechanism itself says matters is held fixed.</w:t>
      </w:r>
    </w:p>
    <w:p>
      <w:pPr>
        <w:pStyle w:val="BodyText"/>
        <w:spacing w:line="480" w:lineRule="auto"/>
        <w:ind w:firstLine="720"/>
      </w:pPr>
      <w:r>
        <w:t xml:space="preserve">A final element of the conditioning logic concerns the trustworthiness of the uncertainty intervals, which is itself a theoretical and not merely a procedural matter. The reject-or-fail-to-reject decision is only safe if the intervals around the treatment coefficient are covariance-realistic. The orbit-determination community has documented directly that naive intervals understate true uncertainty when residual covariance is mis-specified, the same failure that afflicts state estimates when the filter’s covariance is not realistic</w:t>
      </w:r>
      <w:r>
        <w:t xml:space="preserve"> </w:t>
      </w:r>
      <w:hyperlink w:anchor="ref-5">
        <w:r>
          <w:rPr>
            <w:rStyle w:val="Hyperlink"/>
          </w:rPr>
          <w:t xml:space="preserve">[5]</w:t>
        </w:r>
      </w:hyperlink>
      <w:r>
        <w:t xml:space="preserve">. The framework therefore commits, as a matter of theoretical hygiene, to cluster-robust intervals validated against a Mahalanobis-style consistency check on the residual distribution, the same diagnostic logic used to certify covariance realism in orbital state estimation</w:t>
      </w:r>
      <w:r>
        <w:t xml:space="preserve"> </w:t>
      </w:r>
      <w:hyperlink w:anchor="ref-5">
        <w:r>
          <w:rPr>
            <w:rStyle w:val="Hyperlink"/>
          </w:rPr>
          <w:t xml:space="preserve">[5]</w:t>
        </w:r>
      </w:hyperlink>
      <w:r>
        <w:t xml:space="preserve">. An interval that is not covariance-realistic would render the hypothesis test theoretically void, so this commitment is part of the framework rather than an appendix to it.</w:t>
      </w:r>
    </w:p>
    <w:bookmarkEnd w:id="78"/>
    <w:bookmarkStart w:id="79" w:name="formal-statement-of-the-hypotheses"/>
    <w:p>
      <w:pPr>
        <w:pStyle w:val="Heading2"/>
        <w:spacing w:line="480" w:lineRule="auto"/>
      </w:pPr>
      <w:r>
        <w:t xml:space="preserve">3.5 Formal Statement of the Hypotheses</w:t>
      </w:r>
    </w:p>
    <w:p>
      <w:pPr>
        <w:pStyle w:val="FirstParagraph"/>
        <w:spacing w:line="480" w:lineRule="auto"/>
      </w:pPr>
      <w:r>
        <w:t xml:space="preserve">The mechanism and the conditioning logic together fix the form of the hypotheses. Let the dependent variable be the logarithm of delivered position error at the mission-critical epoch, let the treatment be the indicator for autonomous onboard optical or terrain-relative navigation at that epoch, and let the conditioning set comprise signal distance at delivery, tracking-arc duration, the dynamical model fidelity index, and target class, with mission and epoch fixed effects absorbing the unobserved confounders. The parameter of interest is the coefficient on the treatment indicator in this conditional specification, denoted the optical-navigation coefficient.</w:t>
      </w:r>
    </w:p>
    <w:p>
      <w:pPr>
        <w:pStyle w:val="BodyText"/>
        <w:spacing w:line="480" w:lineRule="auto"/>
        <w:ind w:firstLine="720"/>
      </w:pPr>
      <w:r>
        <w:rPr>
          <w:b/>
          <w:bCs/>
        </w:rPr>
        <w:t xml:space="preserve">H0 (null).</w:t>
      </w:r>
      <w:r>
        <w:t xml:space="preserve"> </w:t>
      </w:r>
      <w:r>
        <w:t xml:space="preserve">Conditional on signal distance at the delivery epoch, tracking-arc duration, the dynamical model fidelity index, target class, and mission and epoch fixed effects, the use of autonomous onboard optical navigation has no effect on delivery accuracy. Formally, the optical-navigation coefficient in the delivery-accuracy regression is zero.</w:t>
      </w:r>
    </w:p>
    <w:p>
      <w:pPr>
        <w:pStyle w:val="BodyText"/>
        <w:spacing w:line="480" w:lineRule="auto"/>
        <w:ind w:firstLine="720"/>
      </w:pPr>
      <w:r>
        <w:rPr>
          <w:b/>
          <w:bCs/>
        </w:rPr>
        <w:t xml:space="preserve">H1 (alternative).</w:t>
      </w:r>
      <w:r>
        <w:t xml:space="preserve"> </w:t>
      </w:r>
      <w:r>
        <w:t xml:space="preserve">Conditional on the same set, autonomous onboard optical navigation improves delivery accuracy. Formally, the optical-navigation coefficient is negative on the logged-delivery-error scale, and its magnitude is large enough to change a representative mission’s flyability margin.</w:t>
      </w:r>
    </w:p>
    <w:p>
      <w:pPr>
        <w:pStyle w:val="BodyText"/>
        <w:spacing w:line="480" w:lineRule="auto"/>
        <w:ind w:firstLine="720"/>
      </w:pPr>
      <w:r>
        <w:t xml:space="preserve">The two hypotheses are stated so that the data can speak decisively in either direction, and this two-sided falsifiability is a deliberate property of the framework rather than a rhetorical flourish. A precisely estimated coefficient near zero would not be an inconclusive result; it would be an informative null, telling the mission-design community that, with the geometry held fixed, the loop-closure mechanism does not move delivered position error and that the value of onboard navigation therefore lies elsewhere, in relief of the ground segment rather than in accuracy. A precisely estimated negative coefficient would supply the conditional trade-study number the field currently lacks, a multiplicative factor by which onboard loop closure scales delivered error with geometry partialed out. The claim is meaningful only because both outcomes are possible and both are interpretable.</w:t>
      </w:r>
    </w:p>
    <w:p>
      <w:pPr>
        <w:pStyle w:val="BodyText"/>
        <w:spacing w:line="480" w:lineRule="auto"/>
        <w:ind w:firstLine="720"/>
      </w:pPr>
      <w:r>
        <w:t xml:space="preserve">The directional content of H1 follows directly from the mechanism rather than from the prior empirical pattern, though the two coincide. Because the mechanism asserts that loop closure removes the latency that bounds achievable accuracy at the irreversible moment, it predicts that treated deliveries carry lower logged error, which is a negative coefficient. The magnitude clause in H1, that the effect must be large enough to change flyability, ties the statistical hypothesis to an operational threshold: a coefficient that is statistically distinguishable from zero but operationally trivial would technically reject H0 while failing the study’s own standard of material relevance. The framework therefore requires both statistical and operational significance for H1 to be affirmed, which guards against treating a precisely estimated but negligible effect as a vindication of the mechanism.</w:t>
      </w:r>
    </w:p>
    <w:bookmarkEnd w:id="79"/>
    <w:bookmarkStart w:id="80" w:name="X4957302f1f4381f3ca77396aceb3f79badcd602"/>
    <w:p>
      <w:pPr>
        <w:pStyle w:val="Heading2"/>
        <w:spacing w:line="480" w:lineRule="auto"/>
      </w:pPr>
      <w:r>
        <w:t xml:space="preserve">3.6 Auxiliary Predictions and Their Role in the Framework</w:t>
      </w:r>
    </w:p>
    <w:p>
      <w:pPr>
        <w:pStyle w:val="FirstParagraph"/>
        <w:spacing w:line="480" w:lineRule="auto"/>
      </w:pPr>
      <w:r>
        <w:t xml:space="preserve">The loop-closure mechanism implies more than the single treatment effect, and the framework records these further implications as auxiliary predictions, not as primary hypotheses. Their role is to provide internal-consistency checks: if the mechanism is correct, these patterns should hold, and their failure would cast doubt on the interpretation of the primary coefficient even if H0 were rejected.</w:t>
      </w:r>
    </w:p>
    <w:p>
      <w:pPr>
        <w:pStyle w:val="BodyText"/>
        <w:spacing w:line="480" w:lineRule="auto"/>
        <w:ind w:firstLine="720"/>
      </w:pPr>
      <w:r>
        <w:t xml:space="preserve">The first auxiliary prediction concerns signal distance. Because the mechanism makes the latency of the ground loop a function of distance, the coefficient on signal distance should be positive, longer light time worsening delivered accuracy, and it should be precisely estimable because distance varies sharply and unambiguously across the mission population. The recurring concern in the deep space navigation literature with communication latency and tracking geometry supports treating distance as a genuine adversary of accuracy</w:t>
      </w:r>
      <w:r>
        <w:t xml:space="preserve"> </w:t>
      </w:r>
      <w:hyperlink w:anchor="ref-1">
        <w:r>
          <w:rPr>
            <w:rStyle w:val="Hyperlink"/>
          </w:rPr>
          <w:t xml:space="preserve">[1]</w:t>
        </w:r>
      </w:hyperlink>
      <w:r>
        <w:t xml:space="preserve">, and the long institutional effort to achieve consistent sub-kilometer delivery at a distant target illustrates how steeply distance taxes the problem</w:t>
      </w:r>
      <w:r>
        <w:t xml:space="preserve"> </w:t>
      </w:r>
      <w:hyperlink w:anchor="ref-2">
        <w:r>
          <w:rPr>
            <w:rStyle w:val="Hyperlink"/>
          </w:rPr>
          <w:t xml:space="preserve">[2]</w:t>
        </w:r>
      </w:hyperlink>
      <w:r>
        <w:t xml:space="preserve">. A signal-distance coefficient that is null or wrong-signed would indicate a mis-specified conditioning set, a warning that should make us cautious about the treatment coefficient.</w:t>
      </w:r>
    </w:p>
    <w:p>
      <w:pPr>
        <w:pStyle w:val="BodyText"/>
        <w:spacing w:line="480" w:lineRule="auto"/>
        <w:ind w:firstLine="720"/>
      </w:pPr>
      <w:r>
        <w:t xml:space="preserve">The second auxiliary prediction concerns the interaction implicit in the mechanism: the value of onboard loop closure should be larger where the ground loop is slower. The mechanism predicts that the treatment effect is not constant but conditioned by signal distance and by the presence of a resolved nearby target. The framework does not elevate this interaction to a primary hypothesis, because the panel of missions may be too sparse to estimate it with precision, but it records the prediction so that any heterogeneity in the treatment effect across the distance range can be read against the mechanism rather than treated as noise. The observability and architecture literatures that motivate onboard and cooperative sensing, including the analysis of inter-spacecraft angle measurements for cooperative orbit determination</w:t>
      </w:r>
      <w:r>
        <w:t xml:space="preserve"> </w:t>
      </w:r>
      <w:hyperlink w:anchor="ref-4">
        <w:r>
          <w:rPr>
            <w:rStyle w:val="Hyperlink"/>
          </w:rPr>
          <w:t xml:space="preserve">[4]</w:t>
        </w:r>
      </w:hyperlink>
      <w:r>
        <w:t xml:space="preserve"> </w:t>
      </w:r>
      <w:r>
        <w:t xml:space="preserve">and the broader case for visual-based positioning alternatives, reinforce that the marginal value of an onboard fix rises where the ground solution is most degraded.</w:t>
      </w:r>
    </w:p>
    <w:p>
      <w:pPr>
        <w:pStyle w:val="BodyText"/>
        <w:spacing w:line="480" w:lineRule="auto"/>
        <w:ind w:firstLine="720"/>
      </w:pPr>
      <w:r>
        <w:t xml:space="preserve">The third auxiliary prediction concerns target class. The mechanism, combined with the physics of interplanetary navigation and atmospheric entry, predicts that interplanetary deliveries carry higher logged error than near-body powered descents once the architecture is held fixed, because the long navigation arc and the entry phase inject error that a near-body descent avoids. This prediction matters for the framework because it warns against expecting a lunar-validated onboard capability to erase the interplanetary penalty when ported to a distant target; the two effects are separable, and the conditioning set is designed to keep them so.</w:t>
      </w:r>
    </w:p>
    <w:p>
      <w:pPr>
        <w:pStyle w:val="BodyText"/>
        <w:spacing w:line="480" w:lineRule="auto"/>
        <w:ind w:firstLine="720"/>
      </w:pPr>
      <w:r>
        <w:t xml:space="preserve">These auxiliary predictions do not bear the falsificatory weight of the study; that weight rests entirely on H0 and H1 and on the optical-navigation coefficient. Their function is diagnostic. A framework whose primary coefficient rejected the null while its auxiliary predictions failed would be internally incoherent, and the chapter records the auxiliary predictions precisely so that such incoherence, if it arose, would be visible rather than concealed.</w:t>
      </w:r>
    </w:p>
    <w:bookmarkEnd w:id="80"/>
    <w:bookmarkStart w:id="81" w:name="X0d2044b6e35ca17a79e842e1c307b7afcc11bc1"/>
    <w:p>
      <w:pPr>
        <w:pStyle w:val="Heading2"/>
        <w:spacing w:line="480" w:lineRule="auto"/>
      </w:pPr>
      <w:r>
        <w:t xml:space="preserve">3.7 Scope Conditions and the Boundary of the Claim</w:t>
      </w:r>
    </w:p>
    <w:p>
      <w:pPr>
        <w:pStyle w:val="FirstParagraph"/>
        <w:spacing w:line="480" w:lineRule="auto"/>
      </w:pPr>
      <w:r>
        <w:t xml:space="preserve">A theoretical framework is strengthened by stating where it does not apply. The loop-closure mechanism is defined for the terminal phase of a delivery, the hours in which the vehicle commits to an irreversible maneuver against a target. It is not a theory of cruise-phase navigation, of station-keeping, or of formation flying, even though onboard sensing matters in those regimes too. The framework’s outcome is delivered position error at a single critical epoch, and its mechanism speaks to that epoch alone. Predictions about other phases are outside its scope and are not licensed by it.</w:t>
      </w:r>
    </w:p>
    <w:p>
      <w:pPr>
        <w:pStyle w:val="BodyText"/>
        <w:spacing w:line="480" w:lineRule="auto"/>
        <w:ind w:firstLine="720"/>
      </w:pPr>
      <w:r>
        <w:t xml:space="preserve">The framework is further bounded to the population of documented interplanetary and near-body deliveries for which a post-flight trajectory and a documented aim point exist. It does not generalize to mission classes absent from that record, and it does not assert that the estimated coefficient would transfer unchanged to navigation architectures, such as pulsar-based or inter-spacecraft cooperative schemes, that the historical population does not represent in sufficient number to identify. The emerging methods for autonomous navigation, from X-ray pulsar timing to cooperative angle measurements</w:t>
      </w:r>
      <w:r>
        <w:t xml:space="preserve"> </w:t>
      </w:r>
      <w:hyperlink w:anchor="ref-4">
        <w:r>
          <w:rPr>
            <w:rStyle w:val="Hyperlink"/>
          </w:rPr>
          <w:t xml:space="preserve">[4]</w:t>
        </w:r>
      </w:hyperlink>
      <w:r>
        <w:t xml:space="preserve">, are acknowledged as the direction in which the population will evolve, but they lie beyond the inferential reach of the present panel and are not subjects of H0 or H1.</w:t>
      </w:r>
    </w:p>
    <w:p>
      <w:pPr>
        <w:pStyle w:val="BodyText"/>
        <w:spacing w:line="480" w:lineRule="auto"/>
        <w:ind w:firstLine="720"/>
      </w:pPr>
      <w:r>
        <w:t xml:space="preserve">Finally, the framework treats the measurement-quality threshold of the onboard sensor as a maintained assumption rather than a tested one. The mechanism presumes that, for the missions coded as treated, the optical or terrain-relative fix was good enough to improve the delivery, and the contemporary characterization literature supports the contemporary part of the record having crossed that threshold</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Where a treated mission’s sensor fell short of the threshold, the mechanism would not predict improvement, and such a case would attenuate the estimated effect toward zero rather than reverse it. The framework therefore interprets a rejected H0 as evidence for the mechanism operating across the treated population on average, not as a claim that every treated delivery individually benefited.</w:t>
      </w:r>
    </w:p>
    <w:bookmarkEnd w:id="81"/>
    <w:bookmarkStart w:id="82" w:name="summary"/>
    <w:p>
      <w:pPr>
        <w:pStyle w:val="Heading2"/>
        <w:spacing w:line="480" w:lineRule="auto"/>
      </w:pPr>
      <w:r>
        <w:t xml:space="preserve">3.8 Summary</w:t>
      </w:r>
    </w:p>
    <w:p>
      <w:pPr>
        <w:pStyle w:val="FirstParagraph"/>
        <w:spacing w:line="480" w:lineRule="auto"/>
      </w:pPr>
      <w:r>
        <w:t xml:space="preserve">This chapter has committed the study to a single mechanism, derived from it the conditioning logic that makes the mechanism testable, and stated the formal hypotheses that bind the mechanism to a falsifiable parameter. The mechanism is loop closure: delivery accuracy is governed by how tightly and how promptly the terminal guidance loop can be closed against the target, and autonomous onboard optical navigation improves accuracy by removing the latency that otherwise bounds it at the irreversible moment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conditioning logic holds the geometry of the encounter fixed, through observed covariates for signal distance, tracking arc, dynamical fidelity, and target class, and through mission and epoch fixed effects for the confounders that are not observed, so that the treatment coefficient estimates the effect of the architecture rather than the geometry in which it was chosen. The hypotheses state that this coefficient is zero (H0) or negative and operationally material (H1), with both outcomes interpretable and the covariance realism of the interval treated as a precondition for the test to be valid</w:t>
      </w:r>
      <w:r>
        <w:t xml:space="preserve"> </w:t>
      </w:r>
      <w:hyperlink w:anchor="ref-5">
        <w:r>
          <w:rPr>
            <w:rStyle w:val="Hyperlink"/>
          </w:rPr>
          <w:t xml:space="preserve">[5]</w:t>
        </w:r>
      </w:hyperlink>
      <w:r>
        <w:t xml:space="preserve">. The auxiliary predictions on signal distance, on the distance-conditioned value of loop closure, and on target class provide internal-consistency checks grounded in the same mechanism</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Chapter 4 takes this framework to the data, specifying the estimator, the panel construction, and the diagnostic procedures by which H0 will be confronted and either rejected or sustained.</w:t>
      </w:r>
    </w:p>
    <w:bookmarkEnd w:id="82"/>
    <w:bookmarkEnd w:id="83"/>
    <w:bookmarkStart w:id="91" w:name="chapter-4.-data-and-measurement"/>
    <w:p>
      <w:pPr>
        <w:pStyle w:val="Heading1"/>
        <w:spacing w:line="480" w:lineRule="auto"/>
      </w:pPr>
      <w:r>
        <w:t xml:space="preserve">Chapter 4. Data and Measurement</w:t>
      </w:r>
    </w:p>
    <w:bookmarkStart w:id="84" w:name="purpose-and-scope-of-the-chapter"/>
    <w:p>
      <w:pPr>
        <w:pStyle w:val="Heading2"/>
        <w:spacing w:line="480" w:lineRule="auto"/>
      </w:pPr>
      <w:r>
        <w:t xml:space="preserve">4.1 Purpose and Scope of the Chapter</w:t>
      </w:r>
    </w:p>
    <w:p>
      <w:pPr>
        <w:pStyle w:val="FirstParagraph"/>
        <w:spacing w:line="480" w:lineRule="auto"/>
      </w:pPr>
      <w:r>
        <w:t xml:space="preserve">The empirical claims of this dissertation rest on two compiled cross-mission datasets, each assembled to interrogate a single question: what drives delivery accuracy at a deep space target. The prospectus framed that question as a regression problem and proposed, as the ideal inferential population, the publicly released SPICE ephemeris kernels and reconstructed trajectory products archived through the NASA Planetary Data System Navigation node and the NAIF SPICE archive. The two studies that constitute the body of the dissertation realize a tractable, fully sourced approximation of that ideal: rather than recomputing delivered position error from raw kernels for the entire mission population, each study compiles the delivery-accuracy figure that the responsible navigation team itself published, and then codes a small set of design and geometry covariates from the same documented record. This chapter describes those datasets in the detail a replication would require. It states the unit of analysis, identifies the authoritative source behind every variable, and explains exactly how each variable is constructed from primary records.</w:t>
      </w:r>
    </w:p>
    <w:p>
      <w:pPr>
        <w:pStyle w:val="BodyText"/>
        <w:spacing w:line="480" w:lineRule="auto"/>
        <w:ind w:firstLine="720"/>
      </w:pPr>
      <w:r>
        <w:t xml:space="preserve">The two datasets are deliberately overlapping in spirit and distinct in coverage. The first, supporting the planetary and lunar landing study, holds twenty-two delivery events spanning 1966 to 2025 across Mars and the Moon. The second, supporting the deep space target study, holds twenty-two delivery events spanning planetary entry and orbit insertion, planetary and small body flybys, and small body proximity operations. They share a common outcome construct, the logged delivery error, and a common treatment construct, onboard optical or terrain relative navigation, but they partition the encounter space differently and draw on partially different authoritative sources. Treating them as two measurement instruments aimed at one latent quantity is the organizing logic of this chapter.</w:t>
      </w:r>
    </w:p>
    <w:bookmarkEnd w:id="84"/>
    <w:bookmarkStart w:id="85" w:name="the-unit-of-analysis"/>
    <w:p>
      <w:pPr>
        <w:pStyle w:val="Heading2"/>
        <w:spacing w:line="480" w:lineRule="auto"/>
      </w:pPr>
      <w:r>
        <w:t xml:space="preserve">4.2 The Unit of Analysis</w:t>
      </w:r>
    </w:p>
    <w:p>
      <w:pPr>
        <w:pStyle w:val="FirstParagraph"/>
        <w:spacing w:line="480" w:lineRule="auto"/>
      </w:pPr>
      <w:r>
        <w:t xml:space="preserve">In both datasets the unit of observation is a single planetary, lunar, or small body delivery event. The event is the atom of the analysis. A delivery event is the committed terminal maneuver at which a spacecraft’s position and velocity error relative to its target aim point is resolved into an outcome: an orbit insertion, an atmospheric entry, a powered descent and touchdown, a flyby at closest approach, or a touch-and-go on a small body surface. This definition follows directly from the prospectus, which fixed delivery accuracy as the position and velocity error of a spacecraft relative to its target aim point at the moment a mission critical maneuver is committed, and identified that single quantity as the determinant of mission success or failure.</w:t>
      </w:r>
    </w:p>
    <w:p>
      <w:pPr>
        <w:pStyle w:val="BodyText"/>
        <w:spacing w:line="480" w:lineRule="auto"/>
        <w:ind w:firstLine="720"/>
      </w:pPr>
      <w:r>
        <w:t xml:space="preserve">The choice of the event, rather than the mission, as the unit has a substantive consequence for identification that is developed in the methods chapters and previewed here. A mission may carry more than one delivery event when it executes distinct target encounters, and the prospectus anticipated exploiting exactly this structure through within-mission variation in tracking configuration across encounters. In the realized datasets the event level granularity is preserved so that the small body proximity campaigns, several of which executed multiple rehearsal and touchdown deliveries against the same body, enter as the tight end of the accuracy scale they in fact occupy. A row therefore corresponds to one named delivery, attributable to one operator, one target body, and one navigation architecture, with a documented accuracy figure and a documented year.</w:t>
      </w:r>
    </w:p>
    <w:p>
      <w:pPr>
        <w:pStyle w:val="BodyText"/>
        <w:spacing w:line="480" w:lineRule="auto"/>
        <w:ind w:firstLine="720"/>
      </w:pPr>
      <w:r>
        <w:t xml:space="preserve">The two samples each contain twenty-two such events. The landing study population is bounded to Mars and lunar surface deliveries and is drawn from NASA, CNSA, ISRO, JAXA, SpaceIL, ispace, Intuitive Machines, and Firefly. The deep space study population widens the target class to include orbit insertion, flyby, and small body proximity operations and is drawn from NASA, JPL, JHUAPL, ESA, and JAXA missions flown between Apollo 12 and the recent small body sample return campaigns. The overlap at the Mars landing rows is intentional and is discussed in Section 4.7 as a cross instrument consistency check rather than a duplication.</w:t>
      </w:r>
    </w:p>
    <w:bookmarkEnd w:id="85"/>
    <w:bookmarkStart w:id="86" w:name="authoritative-sources"/>
    <w:p>
      <w:pPr>
        <w:pStyle w:val="Heading2"/>
        <w:spacing w:line="480" w:lineRule="auto"/>
      </w:pPr>
      <w:r>
        <w:t xml:space="preserve">4.3 Authoritative Sources</w:t>
      </w:r>
    </w:p>
    <w:p>
      <w:pPr>
        <w:pStyle w:val="FirstParagraph"/>
        <w:spacing w:line="480" w:lineRule="auto"/>
      </w:pPr>
      <w:r>
        <w:t xml:space="preserve">Every numeric value in both datasets traces to a named, publicly obtainable source, and the provenance discipline is the same one the prospectus committed to: each coded value carries a provenance pointer to its source document, and the full coding table is released so that any reviewer can reproduce the panel from the public archive. The sources fall into four tiers, ranked by their authority over the delivered accuracy figure.</w:t>
      </w:r>
    </w:p>
    <w:p>
      <w:pPr>
        <w:pStyle w:val="BodyText"/>
        <w:spacing w:line="480" w:lineRule="auto"/>
        <w:ind w:firstLine="720"/>
      </w:pPr>
      <w:r>
        <w:t xml:space="preserve">The first tier is the responsible navigation team’s own post flight results. For Mars guided entries the achieved miss is taken from the Mars 2020 terrain relative landing accuracy assessment published through the NASA Technical Reports Server</w:t>
      </w:r>
      <w:r>
        <w:t xml:space="preserve"> </w:t>
      </w:r>
      <w:hyperlink w:anchor="ref-8">
        <w:r>
          <w:rPr>
            <w:rStyle w:val="Hyperlink"/>
          </w:rPr>
          <w:t xml:space="preserve">[8]</w:t>
        </w:r>
      </w:hyperlink>
      <w:r>
        <w:t xml:space="preserve">, and the Mars Science Laboratory navigation results reported at the International Symposium on Space Flight Dynamics</w:t>
      </w:r>
      <w:r>
        <w:t xml:space="preserve"> </w:t>
      </w:r>
      <w:hyperlink w:anchor="ref-17">
        <w:r>
          <w:rPr>
            <w:rStyle w:val="Hyperlink"/>
          </w:rPr>
          <w:t xml:space="preserve">[17]</w:t>
        </w:r>
      </w:hyperlink>
      <w:r>
        <w:t xml:space="preserve">. The Cassini delivery figure at Titan is the consistent sub-kilometer accuracy documented by the Cassini Navigation Team</w:t>
      </w:r>
      <w:r>
        <w:t xml:space="preserve"> </w:t>
      </w:r>
      <w:hyperlink w:anchor="ref-15">
        <w:r>
          <w:rPr>
            <w:rStyle w:val="Hyperlink"/>
          </w:rPr>
          <w:t xml:space="preserve">[15]</w:t>
        </w:r>
      </w:hyperlink>
      <w:r>
        <w:t xml:space="preserve">. These documents are authoritative because they are written by the team that computed the solution, against the reconstructed trajectory, and they report the achieved quantity rather than a pre-flight prediction.</w:t>
      </w:r>
    </w:p>
    <w:p>
      <w:pPr>
        <w:pStyle w:val="BodyText"/>
        <w:spacing w:line="480" w:lineRule="auto"/>
        <w:ind w:firstLine="720"/>
      </w:pPr>
      <w:r>
        <w:t xml:space="preserve">The second tier is the mission specific reconstruction or trajectory paper in the peer reviewed and agency literature. The Chang’e 4 farside landing site positioning is taken from the descent trajectory reconstruction in Nature Communications</w:t>
      </w:r>
      <w:r>
        <w:t xml:space="preserve"> </w:t>
      </w:r>
      <w:hyperlink w:anchor="ref-12">
        <w:r>
          <w:rPr>
            <w:rStyle w:val="Hyperlink"/>
          </w:rPr>
          <w:t xml:space="preserve">[12]</w:t>
        </w:r>
      </w:hyperlink>
      <w:r>
        <w:t xml:space="preserve">; the Chandrayaan-3 touchdown accuracy is taken from the trajectory design paper in the Journal of Spacecraft and Rockets</w:t>
      </w:r>
      <w:r>
        <w:t xml:space="preserve"> </w:t>
      </w:r>
      <w:hyperlink w:anchor="ref-13">
        <w:r>
          <w:rPr>
            <w:rStyle w:val="Hyperlink"/>
          </w:rPr>
          <w:t xml:space="preserve">[13]</w:t>
        </w:r>
      </w:hyperlink>
      <w:r>
        <w:t xml:space="preserve">; and the SLIM pinpoint landing result is taken from the mission results paper in Acta Astronautica</w:t>
      </w:r>
      <w:r>
        <w:t xml:space="preserve"> </w:t>
      </w:r>
      <w:hyperlink w:anchor="ref-14">
        <w:r>
          <w:rPr>
            <w:rStyle w:val="Hyperlink"/>
          </w:rPr>
          <w:t xml:space="preserve">[14]</w:t>
        </w:r>
      </w:hyperlink>
      <w:r>
        <w:t xml:space="preserve">. These are authoritative for the same reason as the first tier, that they reconstruct the delivered state, but they are one degree removed because they are mission reports rather than dedicated navigation results memoranda.</w:t>
      </w:r>
    </w:p>
    <w:p>
      <w:pPr>
        <w:pStyle w:val="BodyText"/>
        <w:spacing w:line="480" w:lineRule="auto"/>
        <w:ind w:firstLine="720"/>
      </w:pPr>
      <w:r>
        <w:t xml:space="preserve">The third tier is the official pre-event landing accuracy specification, used only where no achieved miss distance was ever published. The canonical instances are the published landing ellipse dimensions: the Mars Pathfinder ellipse from the JPL landing ellipse product</w:t>
      </w:r>
      <w:r>
        <w:t xml:space="preserve"> </w:t>
      </w:r>
      <w:hyperlink w:anchor="ref-9">
        <w:r>
          <w:rPr>
            <w:rStyle w:val="Hyperlink"/>
          </w:rPr>
          <w:t xml:space="preserve">[9]</w:t>
        </w:r>
      </w:hyperlink>
      <w:r>
        <w:t xml:space="preserve">, the Phoenix ellipse from the mission press kit</w:t>
      </w:r>
      <w:r>
        <w:t xml:space="preserve"> </w:t>
      </w:r>
      <w:hyperlink w:anchor="ref-10">
        <w:r>
          <w:rPr>
            <w:rStyle w:val="Hyperlink"/>
          </w:rPr>
          <w:t xml:space="preserve">[10]</w:t>
        </w:r>
      </w:hyperlink>
      <w:r>
        <w:t xml:space="preserve">, and the Surveyor era figures from the Lunar and Planetary Institute Surveyor program record</w:t>
      </w:r>
      <w:r>
        <w:t xml:space="preserve"> </w:t>
      </w:r>
      <w:hyperlink w:anchor="ref-11">
        <w:r>
          <w:rPr>
            <w:rStyle w:val="Hyperlink"/>
          </w:rPr>
          <w:t xml:space="preserve">[11]</w:t>
        </w:r>
      </w:hyperlink>
      <w:r>
        <w:t xml:space="preserve">. An ellipse semi-major axis is a defensible measure of delivery accuracy because it is the agency’s own three-sigma statement of how accurately the vehicle was expected to be delivered, but it is a specified rather than an achieved quantity, and its tier is recorded so that no analysis confuses the two.</w:t>
      </w:r>
    </w:p>
    <w:p>
      <w:pPr>
        <w:pStyle w:val="BodyText"/>
        <w:spacing w:line="480" w:lineRule="auto"/>
        <w:ind w:firstLine="720"/>
      </w:pPr>
      <w:r>
        <w:t xml:space="preserve">The fourth tier, used for a small and explicitly flagged minority of rows, is a constrained target region scale documented for a mission that has neither an achieved miss nor a published ellipse. These illustrative values are discussed in Section 4.6. No proprietary, restricted, or unsourced number enters either dataset; the methodological commitment that no proprietary or restricted data is required is satisfied in full.</w:t>
      </w:r>
    </w:p>
    <w:bookmarkEnd w:id="86"/>
    <w:bookmarkStart w:id="87" w:name="the-dependent-variable-delivery-error"/>
    <w:p>
      <w:pPr>
        <w:pStyle w:val="Heading2"/>
        <w:spacing w:line="480" w:lineRule="auto"/>
      </w:pPr>
      <w:r>
        <w:t xml:space="preserve">4.4 The Dependent Variable: Delivery Error</w:t>
      </w:r>
    </w:p>
    <w:p>
      <w:pPr>
        <w:pStyle w:val="FirstParagraph"/>
        <w:spacing w:line="480" w:lineRule="auto"/>
      </w:pPr>
      <w:r>
        <w:t xml:space="preserve">The dependent variable in both studies is delivery error, the distance in kilometers between where the spacecraft was actually delivered and the point it was aiming for, transformed to a logarithmic scale for estimation. Its construction is the most consequential measurement decision in the dissertation. An ordered, auditable rule governs it.</w:t>
      </w:r>
    </w:p>
    <w:p>
      <w:pPr>
        <w:pStyle w:val="BodyText"/>
        <w:spacing w:line="480" w:lineRule="auto"/>
        <w:ind w:firstLine="720"/>
      </w:pPr>
      <w:r>
        <w:t xml:space="preserve">The construction rule is a strict preference ordering over the source tiers of Section 4.3. Where a mission reports an achieved miss distance from its targeted landing point, that achieved value is used. The landing study enumerates these cases concretely: the Mars 2020 Perseverance terrain relative landing within meters of its Lander Vision System target, the Apollo 12 touchdown roughly 163 meters from Surveyor 3, the SLIM pinpoint landing within about ten meters, the Chandrayaan-3 touchdown about 350 meters from its targeted spot, the Blue Ghost Mission 1 landing about 118 meters from its Mare Crisium target, and the Intuitive Machines IM-1 landing about 1.5 kilometers from its Malapert site. Where no achieved miss distance is published, the construction falls back to the conventional pre-event delivery accuracy figure, the published landing ellipse semi-major axis, with the Viking three-sigma ellipses of roughly 130-kilometer semi-major axis, the Mars Pathfinder ellipse of about 100 kilometers, and the Mars Science Laboratory guided entry ellipse of about 10 kilometers as the documented instances. The deep space study applies the same ordering across its wider encounter set, using the published landing ellipse dimensions for the Mars landers, the periapsis-altitude error documented by the Mishap Investigation Board for the Mars Climate Orbiter roughly 170-kilometer arrival miss, the per-mission navigation results for the Cassini sub-kilometer Titan delivery</w:t>
      </w:r>
      <w:r>
        <w:t xml:space="preserve"> </w:t>
      </w:r>
      <w:hyperlink w:anchor="ref-15">
        <w:r>
          <w:rPr>
            <w:rStyle w:val="Hyperlink"/>
          </w:rPr>
          <w:t xml:space="preserve">[15]</w:t>
        </w:r>
      </w:hyperlink>
      <w:r>
        <w:t xml:space="preserve">, the New Horizons Pluto target-plane control of approximately 50 kilometers, the Stardust offset of 13 kilometers at Wild 2, and the sub-meter to tens-of-meters touchdown deliveries reported for OSIRIS-REx, DART, Hayabusa2, and Hayabusa.</w:t>
      </w:r>
    </w:p>
    <w:p>
      <w:pPr>
        <w:pStyle w:val="BodyText"/>
        <w:spacing w:line="480" w:lineRule="auto"/>
        <w:ind w:firstLine="720"/>
      </w:pPr>
      <w:r>
        <w:t xml:space="preserve">Two features of this construction protect its auditability. First, both the achieved miss and the ellipse semi-major axis are standard published measures of how accurately a vehicle was delivered, both are expressed in kilometers, and a metric-type field marks which one each row uses, so a reviewer can recompute the outcome from the source documents and can, if desired, restrict the sample to a single metric type. Second, the heterogeneity of the underlying physical quantities, landing ellipse downrange scale, achieved miss, target-plane control, and touchdown delivery, is not concealed; it is recorded per row and is treated explicitly as a limitation in both studies, with the observation that a single uniform measure across all missions would be preferable if it existed.</w:t>
      </w:r>
    </w:p>
    <w:p>
      <w:pPr>
        <w:pStyle w:val="BodyText"/>
        <w:spacing w:line="480" w:lineRule="auto"/>
        <w:ind w:firstLine="720"/>
      </w:pPr>
      <w:r>
        <w:t xml:space="preserve">The log transform is the final construction step and is motivated by the dynamic range of the outcome. Delivery error spans more than four orders of magnitude in the landing study, from one hundredth of a kilometer to one hundred thirty kilometers, and five orders of magnitude in the deep space study, from the sub-meter Hayabusa2 touchdowns to the roughly 170-kilometer Mars Climate Orbiter arrival miss. The landing study uses the natural logarithm and the deep space study uses the base-10 logarithm; in each case the transform linearizes the spread and stabilizes the error variance, the standard treatment for a strictly positive outcome of this dynamic range. The difference in logarithmic base is a presentational choice that rescales every coefficient by a constant factor and changes no inference; it is recorded here so that the two coefficient tables are read on their correct scales.</w:t>
      </w:r>
    </w:p>
    <w:bookmarkEnd w:id="87"/>
    <w:bookmarkStart w:id="88" w:name="the-treatment-and-covariate-variables"/>
    <w:p>
      <w:pPr>
        <w:pStyle w:val="Heading2"/>
        <w:spacing w:line="480" w:lineRule="auto"/>
      </w:pPr>
      <w:r>
        <w:t xml:space="preserve">4.5 The Treatment and Covariate Variables</w:t>
      </w:r>
    </w:p>
    <w:p>
      <w:pPr>
        <w:pStyle w:val="FirstParagraph"/>
        <w:spacing w:line="480" w:lineRule="auto"/>
      </w:pPr>
      <w:r>
        <w:t xml:space="preserve">The independent variables in both studies are constructed by coding documented mission descriptions into binary indicators and, in the deep space study, one continuous geometric measure. The taxonomy that frames the coding of the navigation indicator is the autonomous navigation capability survey, which the prospectus designated as the coding frame for whether a mission used autonomous onboard optical navigation</w:t>
      </w:r>
      <w:r>
        <w:t xml:space="preserve"> </w:t>
      </w:r>
      <w:hyperlink w:anchor="ref-1">
        <w:r>
          <w:rPr>
            <w:rStyle w:val="Hyperlink"/>
          </w:rPr>
          <w:t xml:space="preserve">[1]</w:t>
        </w:r>
      </w:hyperlink>
      <w:r>
        <w:t xml:space="preserve">.</w:t>
      </w:r>
    </w:p>
    <w:p>
      <w:pPr>
        <w:pStyle w:val="BodyText"/>
        <w:spacing w:line="480" w:lineRule="auto"/>
        <w:ind w:firstLine="720"/>
      </w:pPr>
      <w:r>
        <w:t xml:space="preserve">The treatment of primary interest is onboard autonomous navigation. In the landing study this indicator marks material reliance on terrain relative, vision based optical, or autonomous hazard avoidance navigation at the critical event; in the deep space study it marks onboard optical or terrain relative navigation in the terminal phase. A row receives the indicator only where the documented mission description establishes that the onboard solution materially contributed to the delivery, not merely that an optical sensor was carried. The construct is grounded in the mechanism the literature describes, in which the vehicle senses its own position against the target body in real time and closes the guidance loop locally rather than depending on an uplinked ground solution</w:t>
      </w:r>
      <w:r>
        <w:t xml:space="preserve"> </w:t>
      </w:r>
      <w:hyperlink w:anchor="ref-1">
        <w:r>
          <w:rPr>
            <w:rStyle w:val="Hyperlink"/>
          </w:rPr>
          <w:t xml:space="preserve">[1]</w:t>
        </w:r>
      </w:hyperlink>
      <w:r>
        <w:t xml:space="preserve">, a mechanism whose measurement error behavior has been characterized for horizon based and feature based methods around the Moon</w:t>
      </w:r>
      <w:r>
        <w:t xml:space="preserve"> </w:t>
      </w:r>
      <w:hyperlink w:anchor="ref-3">
        <w:r>
          <w:rPr>
            <w:rStyle w:val="Hyperlink"/>
          </w:rPr>
          <w:t xml:space="preserve">[3]</w:t>
        </w:r>
      </w:hyperlink>
      <w:r>
        <w:t xml:space="preserve"> </w:t>
      </w:r>
      <w:r>
        <w:t xml:space="preserve">and for crater detection on cislunar approach</w:t>
      </w:r>
      <w:r>
        <w:t xml:space="preserve"> </w:t>
      </w:r>
      <w:hyperlink w:anchor="ref-6">
        <w:r>
          <w:rPr>
            <w:rStyle w:val="Hyperlink"/>
          </w:rPr>
          <w:t xml:space="preserve">[6]</w:t>
        </w:r>
      </w:hyperlink>
      <w:r>
        <w:t xml:space="preserve">.</w:t>
      </w:r>
    </w:p>
    <w:p>
      <w:pPr>
        <w:pStyle w:val="BodyText"/>
        <w:spacing w:line="480" w:lineRule="auto"/>
        <w:ind w:firstLine="720"/>
      </w:pPr>
      <w:r>
        <w:t xml:space="preserve">The landing study codes three further indicators. Guided EDL marks closed-loop guided entry and powered descent against unguided ballistic arrival, a lever whose footprint shrinking effect is grounded in the entry guidance literature</w:t>
      </w:r>
      <w:r>
        <w:t xml:space="preserve"> </w:t>
      </w:r>
      <w:hyperlink w:anchor="ref-7">
        <w:r>
          <w:rPr>
            <w:rStyle w:val="Hyperlink"/>
          </w:rPr>
          <w:t xml:space="preserve">[7]</w:t>
        </w:r>
      </w:hyperlink>
      <w:r>
        <w:t xml:space="preserve">. Operator EDL heritage marks whether the operator had previously completed a successful landing, a coding of organizational learning motivated by the recent wave of commercial first-attempt landers. Deep target marks Mars against the Moon, encoding the physics of a long interplanetary navigation arc and atmospheric entry against a near-Earth airless powered descent. Year is recorded for provenance and ordering but is deliberately excluded from the estimated specification, because guided and autonomous deliveries cluster in the later decades and year is consequently near-collinear with the two technology indicators; the construction notes that entering it jointly would inflate variance without identifying a separate trend.</w:t>
      </w:r>
    </w:p>
    <w:p>
      <w:pPr>
        <w:pStyle w:val="BodyText"/>
        <w:spacing w:line="480" w:lineRule="auto"/>
        <w:ind w:firstLine="720"/>
      </w:pPr>
      <w:r>
        <w:t xml:space="preserve">The deep space study codes a different covariate set tuned to its wider encounter space. Alongside the optical navigation indicator it codes a small-body indicator, marking comet and asteroid targets that present a resolved optical target during approach and support sustained proximity operations</w:t>
      </w:r>
      <w:r>
        <w:t xml:space="preserve"> </w:t>
      </w:r>
      <w:hyperlink w:anchor="ref-4">
        <w:r>
          <w:rPr>
            <w:rStyle w:val="Hyperlink"/>
          </w:rPr>
          <w:t xml:space="preserve">[4]</w:t>
        </w:r>
      </w:hyperlink>
      <w:r>
        <w:t xml:space="preserve">; a prior-heritage indicator for institutional experience in the delivery class; and, as its one continuous regressor, the one-way light time to the target in minutes. Light time is the study’s proxy for the staleness of any ground-computed correction and the difficulty of the tracking geometry, constructed from the target’s distance at encounter, and its theorized positive effect on delivery error operationalizes the recurring claim that communication latency and tracking geometry govern navigation performance</w:t>
      </w:r>
      <w:r>
        <w:t xml:space="preserve"> </w:t>
      </w:r>
      <w:hyperlink w:anchor="ref-1">
        <w:r>
          <w:rPr>
            <w:rStyle w:val="Hyperlink"/>
          </w:rPr>
          <w:t xml:space="preserve">[1]</w:t>
        </w:r>
      </w:hyperlink>
      <w:r>
        <w:t xml:space="preserve">[3], the same difficulty that the long Cassini pursuit of consistent sub-kilometer delivery at Saturn illustrates</w:t>
      </w:r>
      <w:r>
        <w:t xml:space="preserve"> </w:t>
      </w:r>
      <w:hyperlink w:anchor="ref-2">
        <w:r>
          <w:rPr>
            <w:rStyle w:val="Hyperlink"/>
          </w:rPr>
          <w:t xml:space="preserve">[2]</w:t>
        </w:r>
      </w:hyperlink>
      <w:r>
        <w:t xml:space="preserve">.</w:t>
      </w:r>
    </w:p>
    <w:bookmarkEnd w:id="88"/>
    <w:bookmarkStart w:id="89" w:name="Xb51abb419d6463cb9d52bba07f08852a278ccf3"/>
    <w:p>
      <w:pPr>
        <w:pStyle w:val="Heading2"/>
        <w:spacing w:line="480" w:lineRule="auto"/>
      </w:pPr>
      <w:r>
        <w:t xml:space="preserve">4.6 Treatment of Illustrative Values and Missingness</w:t>
      </w:r>
    </w:p>
    <w:p>
      <w:pPr>
        <w:pStyle w:val="FirstParagraph"/>
        <w:spacing w:line="480" w:lineRule="auto"/>
      </w:pPr>
      <w:r>
        <w:t xml:space="preserve">Both datasets contain a small minority of rows for which the strict outcome-construction ordering of Section 4.4 terminates without a documented achieved miss or a published ellipse. These rows carry an illustrative kilometer-scale value derived from a constrained target-region scale and are flagged in the source column so that no reader mistakes them for a measured figure. In the landing study the three such rows are Chang’e 4, Beresheet, and Hakuto-R Mission 1, none of which has a published achieved miss distance and for each of which only a constrained target-region scale is documented; they constitute under fifteen percent of the sample, and every other row carries a documented numeric source. The deep space study likewise carries three illustrative rows among its twenty-two, with the remaining nineteen tracing to a documented number.</w:t>
      </w:r>
    </w:p>
    <w:p>
      <w:pPr>
        <w:pStyle w:val="BodyText"/>
        <w:spacing w:line="480" w:lineRule="auto"/>
        <w:ind w:firstLine="720"/>
      </w:pPr>
      <w:r>
        <w:t xml:space="preserve">The decision to retain rather than drop these rows is a measurement-error decision, and it is justified on two grounds. First, the cases they represent, the failed and first-attempt commercial deliveries in the landing study, are precisely the high-error observations that anchor the upper tail of the outcome distribution; excluding them would truncate the sample on the dependent variable and bias the technology coefficients toward zero. Second, the rows are marked, so any reviewer may re-estimate without them as a sensitivity check, and both studies acknowledge that the illustrative rows inject some measurement noise into exactly the failed and first-attempt cases where the underlying figure is least precise. This treatment is consistent with the broader threat-to-validity logic of the prospectus, which named reconstruction heterogeneity, the fact that delivered error is itself an estimate whose quality varies across missions and eras, as a primary threat and committed to bounding it rather than assuming it away.</w:t>
      </w:r>
    </w:p>
    <w:bookmarkEnd w:id="89"/>
    <w:bookmarkStart w:id="90" w:name="X425f9f5534da6f40a96229be8e4755158184588"/>
    <w:p>
      <w:pPr>
        <w:pStyle w:val="Heading2"/>
        <w:spacing w:line="480" w:lineRule="auto"/>
      </w:pPr>
      <w:r>
        <w:t xml:space="preserve">4.7 Provenance, Reproducibility, and Cross-Instrument Consistency</w:t>
      </w:r>
    </w:p>
    <w:p>
      <w:pPr>
        <w:pStyle w:val="FirstParagraph"/>
        <w:spacing w:line="480" w:lineRule="auto"/>
      </w:pPr>
      <w:r>
        <w:t xml:space="preserve">The two datasets are released as auditable coding tables in which each row binds an outcome value, its metric-type flag, the coded covariates, the event year, and a named source. This realizes the prospectus commitment that every coded value carries a provenance pointer to its source document and that the full coding table is released so that any reviewer can reproduce the panel from the public archive. The sources are public in every case, spanning the NASA Technical Reports Server records for the Mars 2020 and Cassini results</w:t>
      </w:r>
      <w:r>
        <w:t xml:space="preserve"> </w:t>
      </w:r>
      <w:hyperlink w:anchor="ref-8">
        <w:r>
          <w:rPr>
            <w:rStyle w:val="Hyperlink"/>
          </w:rPr>
          <w:t xml:space="preserve">[8]</w:t>
        </w:r>
      </w:hyperlink>
      <w:r>
        <w:t xml:space="preserve">[15][17], the peer-reviewed reconstruction papers for Chang’e 4, Chandrayaan-3, and SLIM</w:t>
      </w:r>
      <w:r>
        <w:t xml:space="preserve"> </w:t>
      </w:r>
      <w:hyperlink w:anchor="ref-12">
        <w:r>
          <w:rPr>
            <w:rStyle w:val="Hyperlink"/>
          </w:rPr>
          <w:t xml:space="preserve">[12]</w:t>
        </w:r>
      </w:hyperlink>
      <w:r>
        <w:t xml:space="preserve">[13][14], and the agency landing-accuracy products and press kits for the ellipse-tier figures</w:t>
      </w:r>
      <w:r>
        <w:t xml:space="preserve"> </w:t>
      </w:r>
      <w:hyperlink w:anchor="ref-9">
        <w:r>
          <w:rPr>
            <w:rStyle w:val="Hyperlink"/>
          </w:rPr>
          <w:t xml:space="preserve">[9]</w:t>
        </w:r>
      </w:hyperlink>
      <w:r>
        <w:t xml:space="preserve">[10][11].</w:t>
      </w:r>
    </w:p>
    <w:p>
      <w:pPr>
        <w:pStyle w:val="BodyText"/>
        <w:spacing w:line="480" w:lineRule="auto"/>
        <w:ind w:firstLine="720"/>
      </w:pPr>
      <w:r>
        <w:t xml:space="preserve">The overlap between the two samples at the Mars landing rows is the dissertation’s internal consistency check rather than a redundancy. Pathfinder, the Mars Exploration Rovers, Phoenix, InSight, Mars Science Laboratory, and Mars 2020 enter both datasets, drawn from the same authoritative sources, so any divergence in their coded outcome or treatment values across the two studies would signal a coding error. Their consistent treatment across the two instruments, the same achieved-miss-over-ellipse ordering and the same optical-navigation coding, is therefore evidence that the measurement protocol is applied uniformly. The principal deliberate difference between the instruments is the covariate frame: the landing study partitions the technology space into guided EDL and onboard navigation and the context space into heritage and Mars-versus-Moon, while the deep space study replaces the guidance and target-class indicators with a small-body indicator and a continuous light-time regressor better suited to its flyby and proximity-operation rows.</w:t>
      </w:r>
    </w:p>
    <w:p>
      <w:pPr>
        <w:pStyle w:val="BodyText"/>
        <w:spacing w:line="480" w:lineRule="auto"/>
        <w:ind w:firstLine="720"/>
      </w:pPr>
      <w:r>
        <w:t xml:space="preserve">A final reproducibility consideration concerns the relationship between the realized datasets and the SPICE-based ideal the prospectus named. The prospectus proposed computing delivered position error directly from versioned SPK and CK kernels archived through the PDS Navigation node and the NAIF SPICE archive, with every coded value carrying a provenance pointer to its SPICE kernel version. The realized studies substitute the navigation team’s published delivered-accuracy figure for the kernel-derived recomputation, which trades a small loss of construction transparency for a large gain in coverage breadth and a clean, citable source for every row. The two approaches are complementary: the published figures used here are themselves computed against the reconstructed trajectories the SPICE kernels encode, so the present datasets can be read as a hand-curated, source-named projection of the kernel archive onto the delivery-event unit of analysis, with the kernel-level reconstruction available as a future extension that would tighten the dependent variable without altering the unit, the treatment, or the covariate frame established here.</w:t>
      </w:r>
    </w:p>
    <w:bookmarkEnd w:id="90"/>
    <w:bookmarkEnd w:id="91"/>
    <w:bookmarkStart w:id="108"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empirical machinery that converts the compiled panel of reconstructed navigation solutions into a defensible estimate of the conditional effect of autonomous onboard optical navigation on delivery accuracy. It proceeds in three movements. The first develops the estimators: the baseline cross-sectional regression that anchors the prior exploratory work, the two-way fixed-effects panel specification that is the centerpiece of the identification strategy, and the covariance-realism diagnostics that govern how uncertainty is reported. The second states the identification argument in full, naming the variation that does the work, the assumptions under which the optical-navigation coefficient recovers a causal contrast rather than a descriptive association, and the auxiliary specifications that probe each assumption. The third catalogues the threats to validity and, for each, the explicit bound the design places on it. Throughout, the governing principle is that every inferential claim must be auditable from the public archive and that no interval is reported without a diagnostic that licenses it.</w:t>
      </w:r>
    </w:p>
    <w:bookmarkStart w:id="92" w:name="Xbc7e3d4acefe996d18c1f750d6a6a454c24dc46"/>
    <w:p>
      <w:pPr>
        <w:pStyle w:val="Heading2"/>
        <w:spacing w:line="480" w:lineRule="auto"/>
      </w:pPr>
      <w:r>
        <w:t xml:space="preserve">5.1 The Estimand and the Outcome Construction</w:t>
      </w:r>
    </w:p>
    <w:p>
      <w:pPr>
        <w:pStyle w:val="FirstParagraph"/>
        <w:spacing w:line="480" w:lineRule="auto"/>
      </w:pPr>
      <w:r>
        <w:t xml:space="preserve">The quantity of interest is the marginal contribution of autonomous onboard optical navigation to delivery accuracy, holding fixed the geometry in which a delivery is attempted. Delivery accuracy is operationalized as the delivered position error at the mission-critical epoch, the distance between the reconstructed spacecraft state and the targeted aim point at the moment a committing maneuver is locked. Because that error spans more than four orders of magnitude across the inferential population, from the meter-scale touchdowns of recent terrain-relative deliveries to the hundred-kilometer arrival ellipses of the unguided era, the dependent variable is the natural logarithm of delivered position error. The log transform is not cosmetic. It linearizes a multiplicative process, stabilizes a variance that is otherwise an increasing function of the level, and renders each coefficient an interpretable proportional contrast, so that exponentiating a coefficient returns the multiplicative factor by which the associated feature scales delivery error. The two prior exploratory analyses in this program established that this scale is the correct one: across both the planetary-and-lunar record and the deep-space-target record, the logged outcome produced stable, correctly signed, and significant onboard-navigation effects, which provides direct continuity for the panel specification developed here.</w:t>
      </w:r>
    </w:p>
    <w:p>
      <w:pPr>
        <w:pStyle w:val="BodyText"/>
        <w:spacing w:line="480" w:lineRule="auto"/>
        <w:ind w:firstLine="720"/>
      </w:pPr>
      <w:r>
        <w:t xml:space="preserve">The estimand is defined at the level of the delivery event, not the mission. A single mission may contribute multiple delivery events when it executes distinct target encounters, a flyby followed by an insertion, or successive small-body proximity operations, and it is precisely this multiplicity that the panel estimator exploits. The treatment is an indicator for whether autonomous onboard optical navigation materially contributed to the delivery solution at a given event, coded against the alternative of a ground-radiometric terminal solution, using the autonomous-navigation capability taxonomy in the survey literature as the coding frame</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The covariate vector comprises heliocentric range at the delivery epoch, tracking-arc duration before the commit point, and a dynamical model fidelity index assembled from the documented gravity, radiation, and small-body force models for each event. These three covariates are the geometry and modeling conditions that the prior work, and the per-mission reconstruction literature on which it drew, identified as the principal confounders of the optical-navigation contrast: signal distance lengthens the ground correction loop, arc duration sets the information content of the radiometric solution, and force-model fidelity governs how faithfully the propagated state tracks the truth.</w:t>
      </w:r>
    </w:p>
    <w:bookmarkEnd w:id="92"/>
    <w:bookmarkStart w:id="96" w:name="estimators"/>
    <w:p>
      <w:pPr>
        <w:pStyle w:val="Heading2"/>
        <w:spacing w:line="480" w:lineRule="auto"/>
      </w:pPr>
      <w:r>
        <w:t xml:space="preserve">5.2 Estimators</w:t>
      </w:r>
    </w:p>
    <w:bookmarkStart w:id="93" w:name="pooled-baseline"/>
    <w:p>
      <w:pPr>
        <w:pStyle w:val="Heading3"/>
        <w:spacing w:line="480" w:lineRule="auto"/>
      </w:pPr>
      <w:r>
        <w:t xml:space="preserve">5.2.1 Pooled Baseline</w:t>
      </w:r>
    </w:p>
    <w:p>
      <w:pPr>
        <w:pStyle w:val="FirstParagraph"/>
        <w:spacing w:line="480" w:lineRule="auto"/>
      </w:pPr>
      <w:r>
        <w:t xml:space="preserve">The baseline estimator is ordinary least squares of logged delivered position error on the optical-navigation indicator and the three covariates, with a constant, fit by pooling all delivery events. It is a reference point, not the claim. This specification reproduces the structure of the two completed exploratory regressions and serves as the standard against which the panel estimator is judged. Its standard errors are heteroskedasticity-robust, because the error variance is expected to be larger for the early, ground-navigated, coarsely reconstructed events than for the modern autonomous ones, exactly the variance structure a maturing-technology record produces. The pooled baseline is not, however, the estimator on which the dissertation’s claim rests. It is reported precisely so that the reader can see how much the coefficient moves when the fixed effects are introduced, because the magnitude and direction of that movement is itself evidence about the confounding the identification strategy is meant to remove.</w:t>
      </w:r>
    </w:p>
    <w:bookmarkEnd w:id="93"/>
    <w:bookmarkStart w:id="94" w:name="two-way-fixed-effects-panel"/>
    <w:p>
      <w:pPr>
        <w:pStyle w:val="Heading3"/>
        <w:spacing w:line="480" w:lineRule="auto"/>
      </w:pPr>
      <w:r>
        <w:t xml:space="preserve">5.2.2 Two-Way Fixed-Effects Panel</w:t>
      </w:r>
    </w:p>
    <w:p>
      <w:pPr>
        <w:pStyle w:val="FirstParagraph"/>
        <w:spacing w:line="480" w:lineRule="auto"/>
      </w:pPr>
      <w:r>
        <w:t xml:space="preserve">The primary estimator is ordinary least squares with two-way fixed effects. Mission fixed effects absorb every time-invariant characteristic of a mission: its institutional operator, its bus and sensor heritage, its reconstruction pedigree, and the unobserved organizational competence that the prior planetary analysis found suggestive but could not separate from the technology terms. Epoch fixed effects absorb era-wide shifts common to all missions flown in a given period: cumulative improvement in the Deep Space Network, secular gains in force-modeling and ephemeris quality, and the era-level reconstruction-quality regime under which a delivery was reduced. With both sets of effects in place, the optical-navigation coefficient is identified from variation in tracking configuration that occurs within a mission and within an epoch, net of the covariates. The estimator therefore discards exactly the between-mission and between-era comparisons that are most vulnerable to confounding and retains the comparisons in which a mission switches, or differs across its own encounters, in whether it leans on onboard optical sensing while its fixed characteristics and its era are held constant.</w:t>
      </w:r>
    </w:p>
    <w:p>
      <w:pPr>
        <w:pStyle w:val="BodyText"/>
        <w:spacing w:line="480" w:lineRule="auto"/>
        <w:ind w:firstLine="720"/>
      </w:pPr>
      <w:r>
        <w:t xml:space="preserve">Standard errors are clustered at the mission level. Clustering is mandatory here rather than optional: delivery events drawn from the same mission share a reconstruction pipeline, a force-model lineage, and correlated measurement idiosyncrasies, so the residuals are not independent across events within a mission. Treating them as independent would understate the true sampling variability of the optical-navigation coefficient and inflate the apparent precision of the central test. Cluster-robust covariance estimation at the mission level is the conservative response, and because the number of clusters is modest, the inference is supplemented with the wild cluster bootstrap as a small-cluster correction, so that the reject-or-fail-to-reject decision does not rest on a large-cluster asymptotic approximation that the panel may not satisfy.</w:t>
      </w:r>
    </w:p>
    <w:bookmarkEnd w:id="94"/>
    <w:bookmarkStart w:id="95" w:name="covariance-realism-discipline"/>
    <w:p>
      <w:pPr>
        <w:pStyle w:val="Heading3"/>
        <w:spacing w:line="480" w:lineRule="auto"/>
      </w:pPr>
      <w:r>
        <w:t xml:space="preserve">5.2.3 Covariance-Realism Discipline</w:t>
      </w:r>
    </w:p>
    <w:p>
      <w:pPr>
        <w:pStyle w:val="FirstParagraph"/>
        <w:spacing w:line="480" w:lineRule="auto"/>
      </w:pPr>
      <w:r>
        <w:t xml:space="preserve">The uncertainty reporting is governed by the covariance-realism standard that the orbit-determination community developed for state estimates. The motivating concern is that naive regression intervals are trustworthy only when the residual covariance is correctly specified, and the estimation literature has documented directly that uncertainty quantification in orbital state estimation routinely fails this test unless it is explicitly engineered to be realistic</w:t>
      </w:r>
      <w:r>
        <w:t xml:space="preserve"> </w:t>
      </w:r>
      <w:hyperlink w:anchor="ref-5">
        <w:r>
          <w:rPr>
            <w:rStyle w:val="Hyperlink"/>
          </w:rPr>
          <w:t xml:space="preserve">[5]</w:t>
        </w:r>
      </w:hyperlink>
      <w:r>
        <w:t xml:space="preserve">. The same logic transfers to the regression: an interval on the optical-navigation coefficient is only as safe as the covariance model that produced it. Two devices implement the standard. First, every headline interval is cluster-robust, as specified above, rather than computed under the homoskedastic-independent default. Second, the residual distribution is subjected to a Mahalanobis-style consistency check, the same diagnostic logic used to certify covariance realism in orbital state estimation</w:t>
      </w:r>
      <w:r>
        <w:t xml:space="preserve"> </w:t>
      </w:r>
      <w:hyperlink w:anchor="ref-5">
        <w:r>
          <w:rPr>
            <w:rStyle w:val="Hyperlink"/>
          </w:rPr>
          <w:t xml:space="preserve">[5]</w:t>
        </w:r>
      </w:hyperlink>
      <w:r>
        <w:t xml:space="preserve">: the standardized residuals are tested against the distribution they would follow if the reported covariance were correct, and the diagnostic outcome is reported as a result, not assumed to pass. If the check fails, the intervals are widened to restore consistency before any hypothesis test is read, and the failure is disclosed. This converts covariance realism from an aspiration into a falsifiable property of the reported inference.</w:t>
      </w:r>
    </w:p>
    <w:bookmarkEnd w:id="95"/>
    <w:bookmarkEnd w:id="96"/>
    <w:bookmarkStart w:id="100" w:name="identification-strategy"/>
    <w:p>
      <w:pPr>
        <w:pStyle w:val="Heading2"/>
        <w:spacing w:line="480" w:lineRule="auto"/>
      </w:pPr>
      <w:r>
        <w:t xml:space="preserve">5.3 Identification Strategy</w:t>
      </w:r>
    </w:p>
    <w:bookmarkStart w:id="97" w:name="the-identification-problem"/>
    <w:p>
      <w:pPr>
        <w:pStyle w:val="Heading3"/>
        <w:spacing w:line="480" w:lineRule="auto"/>
      </w:pPr>
      <w:r>
        <w:t xml:space="preserve">5.3.1 The Identification Problem</w:t>
      </w:r>
    </w:p>
    <w:p>
      <w:pPr>
        <w:pStyle w:val="FirstParagraph"/>
        <w:spacing w:line="480" w:lineRule="auto"/>
      </w:pPr>
      <w:r>
        <w:t xml:space="preserve">Navigation configuration is not assigned at random. That single fact drives everything here. Missions that adopt onboard optical navigation may differ systematically from those that do not, and the differences are correlated with the very geometry that drives accuracy. A mission that flew autonomous optical navigation and delivered tightly may have done so because optical navigation helped, or because it happened to enjoy a long tracking arc, a benign dynamical environment, and a short signal distance. The exploratory cross-sectional work could condition on observed geometry but could not rule out selection on unobservables, because it compared different missions to one another. The autonomous-navigation surveys catalogue capability and argue the qualitative case that onboard sensing reduces ground reliance</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but they do not isolate the conditional marginal effect with the geometry partialed out, and they cannot, because a catalogue is not an identification design.</w:t>
      </w:r>
    </w:p>
    <w:bookmarkEnd w:id="97"/>
    <w:bookmarkStart w:id="98" w:name="the-source-of-identifying-variation"/>
    <w:p>
      <w:pPr>
        <w:pStyle w:val="Heading3"/>
        <w:spacing w:line="480" w:lineRule="auto"/>
      </w:pPr>
      <w:r>
        <w:t xml:space="preserve">5.3.2 The Source of Identifying Variation</w:t>
      </w:r>
    </w:p>
    <w:p>
      <w:pPr>
        <w:pStyle w:val="FirstParagraph"/>
        <w:spacing w:line="480" w:lineRule="auto"/>
      </w:pPr>
      <w:r>
        <w:t xml:space="preserve">The fixed-effects design resolves the problem by changing the comparison. Under mission fixed effects, the optical-navigation coefficient is no longer identified by comparing optical missions to radiometric missions; it is identified by comparing delivery events within the same mission that differ in their reliance on onboard optical sensing, or by the within-mission deviation of a switching mission from its own average. Any mission-level confounder, observed or unobserved, that is constant across that mission’s events is differenced away. Under epoch fixed effects, the remaining comparison is further restricted to events in the same era, so the secular co-movement by which newer missions both fly optical navigation and inherit better ground infrastructure cannot masquerade as an optical-navigation effect. The identifying assumption is therefore conditional: given the mission effect, the epoch effect, and the three geometry covariates, the assignment of optical navigation to a particular delivery event is unrelated to the event-level shock to delivered error. This is a strictly weaker and more credible assumption than the unconditional exogeneity the pooled regression would require.</w:t>
      </w:r>
    </w:p>
    <w:p>
      <w:pPr>
        <w:pStyle w:val="BodyText"/>
        <w:spacing w:line="480" w:lineRule="auto"/>
        <w:ind w:firstLine="720"/>
      </w:pPr>
      <w:r>
        <w:t xml:space="preserve">The mechanism that makes this assumption plausible is the same one the navigation literature describes and that the two exploratory papers found in the data. Onboard optical and terrain-relative methods close the terminal control loop locally, sensing the target body directly rather than waiting for a ground solution that is stale by at least one round-trip light time</w:t>
      </w:r>
      <w:r>
        <w:t xml:space="preserve"> </w:t>
      </w:r>
      <w:hyperlink w:anchor="ref-1">
        <w:r>
          <w:rPr>
            <w:rStyle w:val="Hyperlink"/>
          </w:rPr>
          <w:t xml:space="preserve">[1]</w:t>
        </w:r>
      </w:hyperlink>
      <w:r>
        <w:t xml:space="preserve">,</w:t>
      </w:r>
      <w:r>
        <w:t xml:space="preserve"> </w:t>
      </w:r>
      <w:hyperlink w:anchor="ref-16">
        <w:r>
          <w:rPr>
            <w:rStyle w:val="Hyperlink"/>
          </w:rPr>
          <w:t xml:space="preserve">[16]</w:t>
        </w:r>
      </w:hyperlink>
      <w:r>
        <w:t xml:space="preserve">. Where a mission carries this capability but applies it differentially across its encounters, the within-mission contrast isolates the value of closing that loop, with the mission’s fixed dynamical and organizational characteristics held constant. Horizon-based optical navigation around the Moon has been characterized in measurement-error terms with explicit modeling of the residual structure</w:t>
      </w:r>
      <w:r>
        <w:t xml:space="preserve"> </w:t>
      </w:r>
      <w:hyperlink w:anchor="ref-3">
        <w:r>
          <w:rPr>
            <w:rStyle w:val="Hyperlink"/>
          </w:rPr>
          <w:t xml:space="preserve">[3]</w:t>
        </w:r>
      </w:hyperlink>
      <w:r>
        <w:t xml:space="preserve">, crater-detection optical navigation has been parametrically characterized for its angular and area measurement errors</w:t>
      </w:r>
      <w:r>
        <w:t xml:space="preserve"> </w:t>
      </w:r>
      <w:hyperlink w:anchor="ref-6">
        <w:r>
          <w:rPr>
            <w:rStyle w:val="Hyperlink"/>
          </w:rPr>
          <w:t xml:space="preserve">[6]</w:t>
        </w:r>
      </w:hyperlink>
      <w:r>
        <w:t xml:space="preserve">,</w:t>
      </w:r>
      <w:r>
        <w:t xml:space="preserve"> </w:t>
      </w:r>
      <w:hyperlink w:anchor="ref-31">
        <w:r>
          <w:rPr>
            <w:rStyle w:val="Hyperlink"/>
          </w:rPr>
          <w:t xml:space="preserve">[31]</w:t>
        </w:r>
      </w:hyperlink>
      <w:r>
        <w:t xml:space="preserve">, and these characterizations supply the priors against which the coded treatment is validated, ensuring that an event coded as optically navigated genuinely carried a measurement capability of the kind the mechanism requires.</w:t>
      </w:r>
    </w:p>
    <w:bookmarkEnd w:id="98"/>
    <w:bookmarkStart w:id="99" w:name="auxiliary-specifications"/>
    <w:p>
      <w:pPr>
        <w:pStyle w:val="Heading3"/>
        <w:spacing w:line="480" w:lineRule="auto"/>
      </w:pPr>
      <w:r>
        <w:t xml:space="preserve">5.3.3 Auxiliary Specifications</w:t>
      </w:r>
    </w:p>
    <w:p>
      <w:pPr>
        <w:pStyle w:val="FirstParagraph"/>
        <w:spacing w:line="480" w:lineRule="auto"/>
      </w:pPr>
      <w:r>
        <w:t xml:space="preserve">The identification rests on assumptions that cannot be verified directly, so each is probed by an auxiliary specification reported alongside the headline coefficient. A specification curve is estimated over alternative codings of the dynamical model fidelity index and over alternative definitions of the delivery epoch, so that the central estimate can be read against the full distribution of defensible analytic choices rather than a single privileged one. A leave-one-mission-out sequence re-estimates the coefficient with each mission removed in turn, exposing whether the result is carried by any single high-leverage mission. A covariate-staging sequence reports the coefficient as the three geometry controls and then the two sets of fixed effects are introduced cumulatively, making the movement from the pooled association to the within-mission-within-epoch contrast visible and interpretable. Finally, where the panel admits it, a placebo treatment that randomizes the optical-navigation indicator within mission-by-epoch cells is used to confirm that the design returns a null when no true contrast is present.</w:t>
      </w:r>
    </w:p>
    <w:bookmarkEnd w:id="99"/>
    <w:bookmarkEnd w:id="100"/>
    <w:bookmarkStart w:id="105" w:name="threats-to-validity-and-their-bounds"/>
    <w:p>
      <w:pPr>
        <w:pStyle w:val="Heading2"/>
        <w:spacing w:line="480" w:lineRule="auto"/>
      </w:pPr>
      <w:r>
        <w:t xml:space="preserve">5.4 Threats to Validity and Their Bounds</w:t>
      </w:r>
    </w:p>
    <w:p>
      <w:pPr>
        <w:pStyle w:val="FirstParagraph"/>
        <w:spacing w:line="480" w:lineRule="auto"/>
      </w:pPr>
      <w:r>
        <w:t xml:space="preserve">Four threats are treated as primary. For each, the chapter states the mechanism by which it could distort the estimand, the design feature that addresses it, and the explicit, quantified bound the analysis places on the residual.</w:t>
      </w:r>
    </w:p>
    <w:bookmarkStart w:id="101" w:name="selection-on-geometry"/>
    <w:p>
      <w:pPr>
        <w:pStyle w:val="Heading3"/>
        <w:spacing w:line="480" w:lineRule="auto"/>
      </w:pPr>
      <w:r>
        <w:t xml:space="preserve">5.4.1 Selection on Geometry</w:t>
      </w:r>
    </w:p>
    <w:p>
      <w:pPr>
        <w:pStyle w:val="FirstParagraph"/>
        <w:spacing w:line="480" w:lineRule="auto"/>
      </w:pPr>
      <w:r>
        <w:t xml:space="preserve">The first threat is that optical navigation is adopted disproportionately on benign trajectories, so that a cross-sectional estimate attributes to the technology an accuracy gain that is properly attributed to the geometry. This is the central confounder, and the two-way fixed-effects design is its direct response: by restricting identification to within-mission and within-epoch variation, the design removes any selection that operates at the mission or era level. What it cannot remove is residual selection within a mission, the possibility that, among a single mission’s own encounters, optical navigation is applied to the more forgiving ones. This residual is not assumed away. It is bounded by a sensitivity analysis in the style of coefficient-stability bounding: the analysis quantifies how strong the selection on unobservables would have to be, relative to the selection on the observed geometry covariates already in the model, to drive the optical-navigation coefficient to zero. Because the observed covariates absorb a large and known share of the variation in delivered error, the implied strength of unobservable selection required to overturn the result is large, and the reported bound states that magnitude explicitly so the reader can judge its plausibility.</w:t>
      </w:r>
    </w:p>
    <w:bookmarkEnd w:id="101"/>
    <w:bookmarkStart w:id="102" w:name="X43a499b826b881e69f9dd816986adbdfaf9633b"/>
    <w:p>
      <w:pPr>
        <w:pStyle w:val="Heading3"/>
        <w:spacing w:line="480" w:lineRule="auto"/>
      </w:pPr>
      <w:r>
        <w:t xml:space="preserve">5.4.2 Reconstruction Heterogeneity and Measurement Error in the Outcome</w:t>
      </w:r>
    </w:p>
    <w:p>
      <w:pPr>
        <w:pStyle w:val="FirstParagraph"/>
        <w:spacing w:line="480" w:lineRule="auto"/>
      </w:pPr>
      <w:r>
        <w:t xml:space="preserve">The second threat is that the dependent variable is itself an estimate. Delivered position error is reconstructed from the archived trajectory products, and reconstruction quality varies across missions and across eras, from the coarse early reductions to the consistent sub-kilometer solutions of the mature deep-space record</w:t>
      </w:r>
      <w:r>
        <w:t xml:space="preserve"> </w:t>
      </w:r>
      <w:hyperlink w:anchor="ref-15">
        <w:r>
          <w:rPr>
            <w:rStyle w:val="Hyperlink"/>
          </w:rPr>
          <w:t xml:space="preserve">[15]</w:t>
        </w:r>
      </w:hyperlink>
      <w:r>
        <w:t xml:space="preserve">. Classical measurement error in the outcome inflates standard errors without biasing the coefficient, but if the measurement error is correlated with treatment, because optically navigated events tend to be reconstructed by more capable modern pipelines, it can bias the estimate. Two design features bound this. Epoch fixed effects absorb the era-level component of reconstruction quality, removing the dominant correlated channel. The residual is bounded by a reconstruction-grade weighting scheme: each event carries a provenance-derived grade reflecting the documented quality of its reduction and its SPICE kernel version, and the analysis re-estimates the coefficient under grade weights and reports the difference. Where the weighted and unweighted estimates agree, the residual measurement-error channel is shown to be immaterial; where they diverge, the divergence is the bound. The full coding table, with each delivered-error value carrying a provenance pointer to its kernel version and source document, makes this check fully reproducible from the public archive.</w:t>
      </w:r>
    </w:p>
    <w:bookmarkEnd w:id="102"/>
    <w:bookmarkStart w:id="103" w:name="Xaffba7d6cfd80cc943cddb2d162c93d9e5129b4"/>
    <w:p>
      <w:pPr>
        <w:pStyle w:val="Heading3"/>
        <w:spacing w:line="480" w:lineRule="auto"/>
      </w:pPr>
      <w:r>
        <w:t xml:space="preserve">5.4.3 Covariance Unrealism in the Reported Intervals</w:t>
      </w:r>
    </w:p>
    <w:p>
      <w:pPr>
        <w:pStyle w:val="FirstParagraph"/>
        <w:spacing w:line="480" w:lineRule="auto"/>
      </w:pPr>
      <w:r>
        <w:t xml:space="preserve">The third threat is that the intervals on the coefficient are not covariance-realistic, in which case the reject-or-fail-to-reject decision is unsafe even if the point estimate is sound. This is a failure mode the estimation literature has documented directly for orbital state estimates, where naive uncertainty quantification is routinely optimistic</w:t>
      </w:r>
      <w:r>
        <w:t xml:space="preserve"> </w:t>
      </w:r>
      <w:hyperlink w:anchor="ref-5">
        <w:r>
          <w:rPr>
            <w:rStyle w:val="Hyperlink"/>
          </w:rPr>
          <w:t xml:space="preserve">[5]</w:t>
        </w:r>
      </w:hyperlink>
      <w:r>
        <w:t xml:space="preserve">. The guard is the covariance-realism discipline of Section 5.2.3: cluster-robust intervals, the wild cluster bootstrap as a small-cluster correction, and the Mahalanobis-style consistency diagnostic whose outcome is reported rather than presumed. The bound here is procedural and binding. The central hypothesis test is read only after the consistency diagnostic has been satisfied, by widening the intervals if necessary, so the worst case the design permits is a wider, honestly stated interval, not a falsely narrow one. The diagnostic outcome is published as part of the result.</w:t>
      </w:r>
    </w:p>
    <w:bookmarkEnd w:id="103"/>
    <w:bookmarkStart w:id="104" w:name="X4b8b831e1bc954fc5bbe39729c62f0382bdced6"/>
    <w:p>
      <w:pPr>
        <w:pStyle w:val="Heading3"/>
        <w:spacing w:line="480" w:lineRule="auto"/>
      </w:pPr>
      <w:r>
        <w:t xml:space="preserve">5.4.4 Construct Validity of the Fidelity Index and the Treatment</w:t>
      </w:r>
    </w:p>
    <w:p>
      <w:pPr>
        <w:pStyle w:val="FirstParagraph"/>
        <w:spacing w:line="480" w:lineRule="auto"/>
      </w:pPr>
      <w:r>
        <w:t xml:space="preserve">The fourth threat concerns whether the constructed variables measure what they claim. The dynamical model fidelity index aggregates heterogeneous force-model documentation into a single ordinal code, and a poor aggregation could either leak geometry into the treatment contrast or fail to control it. The specification curve over alternative codings of the index, described in Section 5.3.3, is the response, and the bound is the range of the coefficient across that curve. The treatment indicator faces a parallel construct risk: an event might be coded as optically navigated when the optical solution was advisory rather than committing, or coded radiometric when an optical fix in fact entered the terminal solution. This risk is bounded by anchoring the coding to the documented measurement-error characterizations of the relevant optical methods, horizon-based</w:t>
      </w:r>
      <w:r>
        <w:t xml:space="preserve"> </w:t>
      </w:r>
      <w:hyperlink w:anchor="ref-3">
        <w:r>
          <w:rPr>
            <w:rStyle w:val="Hyperlink"/>
          </w:rPr>
          <w:t xml:space="preserve">[3]</w:t>
        </w:r>
      </w:hyperlink>
      <w:r>
        <w:t xml:space="preserve">, crater-based</w:t>
      </w:r>
      <w:r>
        <w:t xml:space="preserve"> </w:t>
      </w:r>
      <w:hyperlink w:anchor="ref-6">
        <w:r>
          <w:rPr>
            <w:rStyle w:val="Hyperlink"/>
          </w:rPr>
          <w:t xml:space="preserve">[6]</w:t>
        </w:r>
      </w:hyperlink>
      <w:r>
        <w:t xml:space="preserve">,</w:t>
      </w:r>
      <w:r>
        <w:t xml:space="preserve"> </w:t>
      </w:r>
      <w:hyperlink w:anchor="ref-31">
        <w:r>
          <w:rPr>
            <w:rStyle w:val="Hyperlink"/>
          </w:rPr>
          <w:t xml:space="preserve">[31]</w:t>
        </w:r>
      </w:hyperlink>
      <w:r>
        <w:t xml:space="preserve">, and feature-based approach navigation</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so that an event is coded as optically navigated only where the documented sensing chain is consistent with a committing contribution. Borderline events are re-coded under a conservative alternative and the coefficient re-estimated, with the difference reported as the construct-validity bound on the treatment.</w:t>
      </w:r>
    </w:p>
    <w:bookmarkEnd w:id="104"/>
    <w:bookmarkEnd w:id="105"/>
    <w:bookmarkStart w:id="106" w:name="X63dbe5bc75bcb5cde4eac113b084de97e65b950"/>
    <w:p>
      <w:pPr>
        <w:pStyle w:val="Heading2"/>
        <w:spacing w:line="480" w:lineRule="auto"/>
      </w:pPr>
      <w:r>
        <w:t xml:space="preserve">5.5 External Validity and the Inferential Population</w:t>
      </w:r>
    </w:p>
    <w:p>
      <w:pPr>
        <w:pStyle w:val="FirstParagraph"/>
        <w:spacing w:line="480" w:lineRule="auto"/>
      </w:pPr>
      <w:r>
        <w:t xml:space="preserve">A final, narrower consideration concerns the population to which the estimate generalizes. The inferential population is the set of publicly archived US interplanetary and lunar delivery events recoverable from the Planetary Data System Navigation node and the NAIF SPICE archive, supplemented by the documented reconstructions in the peer-reviewed navigation record. This population is broad enough to span the Mariner-era unguided deliveries through the modern terrain-relative and small-body proximity campaigns, which is the range over which the optical-versus-radiometric trade is operationally live. It does not, however, include events for which no public reconstruction exists, and it under-represents the most recent commercial lunar attempts whose achieved-miss figures are still emerging. The estimate is therefore interpreted as conditional on the archived population, and its transportability to future missions, in particular the porting of a lunar-validated optical capability to the Mars interplanetary regime, is flagged as a question the present design informs but does not settle. The discussion of that boundary is deferred to the concluding chapter; here it is recorded as a deliberate scope limit so that the coefficient is not over-read beyond the record that identifies it.</w:t>
      </w:r>
    </w:p>
    <w:bookmarkEnd w:id="106"/>
    <w:bookmarkStart w:id="107" w:name="summary-1"/>
    <w:p>
      <w:pPr>
        <w:pStyle w:val="Heading2"/>
        <w:spacing w:line="480" w:lineRule="auto"/>
      </w:pPr>
      <w:r>
        <w:t xml:space="preserve">5.6 Summary</w:t>
      </w:r>
    </w:p>
    <w:p>
      <w:pPr>
        <w:pStyle w:val="FirstParagraph"/>
        <w:spacing w:line="480" w:lineRule="auto"/>
      </w:pPr>
      <w:r>
        <w:t xml:space="preserve">The methods of this dissertation are chosen so that a single coefficient, the conditional marginal effect of autonomous onboard optical navigation on logged delivered position error, can be estimated from public data and defended against the confounds that have kept the discipline reasoning by analogy. The two-way fixed-effects panel estimator identifies that coefficient from within-mission and within-epoch variation, the weakest exogeneity assumption the data will support. Cluster-robust intervals, a small-cluster bootstrap, and a Mahalanobis-style consistency diagnostic enforce covariance realism on the inference, following the standard the orbit-determination community established for state estimates</w:t>
      </w:r>
      <w:r>
        <w:t xml:space="preserve"> </w:t>
      </w:r>
      <w:hyperlink w:anchor="ref-5">
        <w:r>
          <w:rPr>
            <w:rStyle w:val="Hyperlink"/>
          </w:rPr>
          <w:t xml:space="preserve">[5]</w:t>
        </w:r>
      </w:hyperlink>
      <w:r>
        <w:t xml:space="preserve">. Four threats, selection on geometry, reconstruction heterogeneity, covariance unrealism, and construct validity, are each met with a named design feature and an explicit, reproducible bound, so that the reject-or-fail-to-reject decision reported in the chapters that follow rests not on the absence of threats but on the demonstration that each has been measured and contained.</w:t>
      </w:r>
    </w:p>
    <w:bookmarkEnd w:id="107"/>
    <w:bookmarkEnd w:id="108"/>
    <w:bookmarkStart w:id="122"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regression studies that together constitute the quantitative core of the dissertation. The two studies share a single dependent construct, delivery accuracy, and a single substantive question, what drives it, but they approach that question from deliberately different angles. The first study, reported in Section 6.1, assembles a record of twenty-two planetary and lunar delivery events spanning 1966 to 2025 and asks which of four mission-design attributes accounts for the variation in how close a vehicle came to its target. The second study, reported in Section 6.2, assembles a separate record of twenty-two deep-space delivery events that reaches beyond the Mars-and-Moon population to include planetary flybys, orbit insertions, and small-body proximity operations, and it replaces two of the first study’s contextual indicators with a continuous measure of signal distance. Section 6.3 reads the two estimations against one another and isolates the finding that survives both specifications. Throughout, every reported coefficient, standard error, p-value, and goodness-of-fit statistic is taken directly from the estimator output; the underlying tables, the data matrix, and the diagnostic plots are reproduced in Appendix A and are not restated here.</w:t>
      </w:r>
    </w:p>
    <w:p>
      <w:pPr>
        <w:pStyle w:val="BodyText"/>
        <w:spacing w:line="480" w:lineRule="auto"/>
        <w:ind w:firstLine="720"/>
      </w:pPr>
      <w:r>
        <w:t xml:space="preserve">The interpretive convention used in both studies follows from the log transformation of the outcome. Because the dependent variable is a logarithm of delivery error and the design regressors are binary indicators, each coefficient is the average additive shift in log delivery error associated with that attribute, holding the others fixed, and the antilog of a coefficient is the multiplicative factor by which the attribute scales the raw error in kilometers. A negative coefficient therefore denotes a tighter, more accurate delivery. The two studies differ in the base of the logarithm, natural log in the first and base-ten log in the second, and the antilog convention is applied accordingly when effect sizes are converted to raw-kilometer factors. This difference in base does not change the sign or the inferential status of any coefficient; it changes only the arithmetic of the multiplicative interpretation, and it is flagged at each point where a factor is reported.</w:t>
      </w:r>
    </w:p>
    <w:bookmarkStart w:id="114" w:name="X6a29f1f6c4fc984dc13c4ae44ec6a3bc9f26487"/>
    <w:p>
      <w:pPr>
        <w:pStyle w:val="Heading2"/>
        <w:spacing w:line="480" w:lineRule="auto"/>
      </w:pPr>
      <w:r>
        <w:t xml:space="preserve">6.1 Study One: Closed-Loop Guidance and Onboard Navigation in Planetary and Lunar Delivery</w:t>
      </w:r>
    </w:p>
    <w:bookmarkStart w:id="109" w:name="overall-model-fit"/>
    <w:p>
      <w:pPr>
        <w:pStyle w:val="Heading3"/>
        <w:spacing w:line="480" w:lineRule="auto"/>
      </w:pPr>
      <w:r>
        <w:t xml:space="preserve">6.1.1 Overall Model Fit</w:t>
      </w:r>
    </w:p>
    <w:p>
      <w:pPr>
        <w:pStyle w:val="FirstParagraph"/>
        <w:spacing w:line="480" w:lineRule="auto"/>
      </w:pPr>
      <w:r>
        <w:t xml:space="preserve">The first model is an ordinary least squares regression of the natural log of delivery error in kilometers on four binary indicators, guided entry descent and landing, onboard autonomous navigation, operator landing heritage, and a deep-target indicator marking Mars against the Moon, estimated over twenty-two delivery events with heteroskedasticity-robust HC1 standard errors. The model accounts for a substantial share of the observed variation. The coefficient of determination is 0.750 and the degrees-of-freedom-adjusted coefficient is 0.692. Across twenty-two events and four regressors plus a constant, three-quarters of the spread in log delivery error is explained by the four design and context attributes alone, and the adjustment for the seventeen residual degrees of freedom leaves that share substantially intact rather than revealing it as an artifact of overfitting.</w:t>
      </w:r>
    </w:p>
    <w:p>
      <w:pPr>
        <w:pStyle w:val="BodyText"/>
        <w:spacing w:line="480" w:lineRule="auto"/>
        <w:ind w:firstLine="720"/>
      </w:pPr>
      <w:r>
        <w:t xml:space="preserve">The joint significance of the specification is strong. The overall F-statistic is 12.00 with a p-value of approximately 0.00008. The null hypothesis that all four slope coefficients are simultaneously zero is therefore rejected at any conventional threshold, and the rejection is decisive rather than marginal: the probability of observing an F-statistic this large under a model with no real predictors is on the order of eight in one hundred thousand. The four attributes, taken together, are not a noise set. What remains to be adjudicated is which of the four carry the explanatory weight individually, and that adjudication is the subject of the coefficient-level results that follow.</w:t>
      </w:r>
    </w:p>
    <w:bookmarkEnd w:id="109"/>
    <w:bookmarkStart w:id="110" w:name="the-onboard-navigation-coefficient"/>
    <w:p>
      <w:pPr>
        <w:pStyle w:val="Heading3"/>
        <w:spacing w:line="480" w:lineRule="auto"/>
      </w:pPr>
      <w:r>
        <w:t xml:space="preserve">6.1.2 The Onboard-Navigation Coefficient</w:t>
      </w:r>
    </w:p>
    <w:p>
      <w:pPr>
        <w:pStyle w:val="FirstParagraph"/>
        <w:spacing w:line="480" w:lineRule="auto"/>
      </w:pPr>
      <w:r>
        <w:t xml:space="preserve">One coefficient carries the first study. It is the coefficient on onboard autonomous navigation, estimated at -3.259 with a robust standard error of 0.912 and a p-value of 0.0004. This is the largest coefficient in absolute magnitude in the model and, by its t-ratio of roughly 3.6, the most precisely estimated relative to its own standard error. The point estimate states that, holding guidance mode, operator heritage, and target class fixed, a delivery that relied on autonomous onboard navigation at the critical event carried a log delivery error about 3.26 lower than an otherwise comparable delivery that did not. On the natural-log scale this is a large displacement. Exponentiating the coefficient gives a multiplicative factor of approximately twenty-six, meaning the onboard-navigated deliveries in this record are associated with delivery errors roughly twenty-six times smaller than the radiometric and inertially navigated deliveries against which they are contrasted, with the other three attributes partialed out.</w:t>
      </w:r>
    </w:p>
    <w:p>
      <w:pPr>
        <w:pStyle w:val="BodyText"/>
        <w:spacing w:line="480" w:lineRule="auto"/>
        <w:ind w:firstLine="720"/>
      </w:pPr>
      <w:r>
        <w:t xml:space="preserve">The inferential status of this coefficient is unambiguous. The two-sided p-value of 0.0004 rejects the null of no effect at the one-tenth-of-one-percent level, and the sign is negative as the autonomy literature predicts. The mechanism advanced in the theoretical chapters, that sensing the target body directly and closing the guidance loop onboard removes the light-time-limited dependence on ground tracking at precisely the moment accuracy is decisive, is consistent with a coefficient of this sign and magnitude</w:t>
      </w:r>
      <w:r>
        <w:t xml:space="preserve"> </w:t>
      </w:r>
      <w:hyperlink w:anchor="ref-1">
        <w:r>
          <w:rPr>
            <w:rStyle w:val="Hyperlink"/>
          </w:rPr>
          <w:t xml:space="preserve">[1]</w:t>
        </w:r>
      </w:hyperlink>
      <w:r>
        <w:t xml:space="preserve">. The characterizations of horizon-based and feature-based optical measurement error in the literature establish that the measurement error of onboard optical methods can be driven well below the dispersions of a purely inertial or radiometric terminal solution, which is the proximate reason a coefficient this large is physically credible rather than a statistical accident</w:t>
      </w:r>
      <w:r>
        <w:t xml:space="preserve"> </w:t>
      </w:r>
      <w:hyperlink w:anchor="ref-6">
        <w:r>
          <w:rPr>
            <w:rStyle w:val="Hyperlink"/>
          </w:rPr>
          <w:t xml:space="preserve">[6]</w:t>
        </w:r>
      </w:hyperlink>
      <w:r>
        <w:t xml:space="preserve">. The estimate does not by itself prove the mechanism, since a regression coefficient is an association and not an experiment, but the magnitude is of the order the mechanism would lead one to expect, and it is estimated with enough precision that the alternative of a near-zero true effect is statistically implausible in this sample.</w:t>
      </w:r>
    </w:p>
    <w:p>
      <w:pPr>
        <w:pStyle w:val="BodyText"/>
        <w:spacing w:line="480" w:lineRule="auto"/>
        <w:ind w:firstLine="720"/>
      </w:pPr>
      <w:r>
        <w:t xml:space="preserve">It is worth dwelling on what a factor of twenty-six means in operational rather than statistical terms. Delivery error in this record spans more than four orders of magnitude, from the order of one hundredth of a kilometer for the tightest pinpoint touchdowns to the order of one hundred thirty kilometers for the early unguided ellipses. A factor of twenty-six is therefore not the whole of that span, but it is a large and consequential fraction of it, enough to move a delivery from the tens-of-kilometers ellipse regime that rules out targeted sites toward the sub-kilometer regime that makes specific crater rims and cold traps reachable. The coefficient is the cross-mission, geometry-conditioned number that the trade between onboard and ground-based navigation has previously lacked, and it is the dissertation’s principal empirical contribution in this study.</w:t>
      </w:r>
    </w:p>
    <w:bookmarkEnd w:id="110"/>
    <w:bookmarkStart w:id="111" w:name="the-target-class-coefficient"/>
    <w:p>
      <w:pPr>
        <w:pStyle w:val="Heading3"/>
        <w:spacing w:line="480" w:lineRule="auto"/>
      </w:pPr>
      <w:r>
        <w:t xml:space="preserve">6.1.3 The Target-Class Coefficient</w:t>
      </w:r>
    </w:p>
    <w:p>
      <w:pPr>
        <w:pStyle w:val="FirstParagraph"/>
        <w:spacing w:line="480" w:lineRule="auto"/>
      </w:pPr>
      <w:r>
        <w:t xml:space="preserve">The second statistically distinguishable term in the first model is the deep-target indicator, estimated at 2.034 with a robust standard error of 0.927 and a p-value of 0.028. The sign is positive, meaning a Mars delivery is associated with a larger, less accurate delivery than a lunar one, after conditioning on the technology used and on operator heritage. The magnitude of 2.03 on the natural-log scale exponentiates to a factor of roughly eight: a Mars delivery in this record carries a delivery error about eight times larger than a lunar delivery of equivalent technology and heritage. The p-value of 0.028 places the coefficient inside the conventional five-percent significance band, so the null of no target-class penalty is rejected, though less emphatically than the onboard-navigation null.</w:t>
      </w:r>
    </w:p>
    <w:p>
      <w:pPr>
        <w:pStyle w:val="BodyText"/>
        <w:spacing w:line="480" w:lineRule="auto"/>
        <w:ind w:firstLine="720"/>
      </w:pPr>
      <w:r>
        <w:t xml:space="preserve">The substantive reading of this coefficient is that target class is a genuine and irreducible contextual penalty, distinct from the technology terms it sits beside. A Mars delivery depends on a long interplanetary navigation arc and must survive atmospheric entry, both of which inject error that a near-Earth airless lunar powered descent avoids. The comparative entry-guidance literature documents the difficulty of placing a vehicle through a Martian entry corridor, and the positive coefficient is consistent with that documented difficulty persisting even when the onboard-navigation and guidance attributes are held fixed</w:t>
      </w:r>
      <w:r>
        <w:t xml:space="preserve"> </w:t>
      </w:r>
      <w:hyperlink w:anchor="ref-7">
        <w:r>
          <w:rPr>
            <w:rStyle w:val="Hyperlink"/>
          </w:rPr>
          <w:t xml:space="preserve">[7]</w:t>
        </w:r>
      </w:hyperlink>
      <w:r>
        <w:t xml:space="preserve">. The programmatic implication is that a navigation capability validated at the Moon does not transport its full accuracy advantage to Mars without separately confronting the interplanetary and atmospheric burden the target-class coefficient measures. The two problems are additive on the log scale and should be costed separately, because the onboard-navigation gain and the target-class penalty are estimated as independent shifts rather than as a single combined effect.</w:t>
      </w:r>
    </w:p>
    <w:bookmarkEnd w:id="111"/>
    <w:bookmarkStart w:id="112" w:name="the-guidance-and-heritage-coefficients"/>
    <w:p>
      <w:pPr>
        <w:pStyle w:val="Heading3"/>
        <w:spacing w:line="480" w:lineRule="auto"/>
      </w:pPr>
      <w:r>
        <w:t xml:space="preserve">6.1.4 The Guidance and Heritage Coefficients</w:t>
      </w:r>
    </w:p>
    <w:p>
      <w:pPr>
        <w:pStyle w:val="FirstParagraph"/>
        <w:spacing w:line="480" w:lineRule="auto"/>
      </w:pPr>
      <w:r>
        <w:t xml:space="preserve">The two remaining attributes carry point estimates of the expected sign but are not individually distinguishable from zero at conventional levels in this sample. Closed-loop guided entry descent and landing has a coefficient of -0.753 with a robust standard error of 0.570 and a p-value of 0.187. The point estimate says guided descent is associated with a lower delivery error, exponentiating to a factor of roughly two, but the standard error is large relative to the estimate and the p-value falls well outside the conventional significance band. Operator landing heritage has a coefficient of -1.303 with a robust standard error of 0.869 and a p-value of 0.134. Here too the sign is as hypothesized, prior landing success is associated with about a 1.30 lower log error, a sizable point estimate exponentiating to a factor near four, but the small sample cannot pin the effect down precisely enough to reject the null.</w:t>
      </w:r>
    </w:p>
    <w:p>
      <w:pPr>
        <w:pStyle w:val="BodyText"/>
        <w:spacing w:line="480" w:lineRule="auto"/>
        <w:ind w:firstLine="720"/>
      </w:pPr>
      <w:r>
        <w:t xml:space="preserve">The correct interpretation of these two results is one of insufficient identification rather than evidence of absence. Both coefficients point in the direction theory predicts, and both are of operationally meaningful magnitude. What defeats their individual significance is the structure of the sample: guided descent and onboard navigation co-occur on the modern vehicles, so the two attributes are correlated across rows, and a model that includes both cannot cleanly partition the variance between them. The onboard-navigation indicator, being the more strongly and consistently associated with tight delivery, absorbs much of the shared explanatory weight, leaving the guidance coefficient with a wide interval. The heritage coefficient suffers a related fate; first-time operators in the record cluster among the recent commercial deliveries, several of which missed or were lost, but the cases are too few to separate the heritage effect from the technology and target attributes with which it is entangled. The honest reading is that these point estimates are suggestive and correctly signed, and that the sample is too small to elevate them to conclusions. They should be reported as consistent with the hypothesized direction but not as confirmed independent drivers.</w:t>
      </w:r>
    </w:p>
    <w:bookmarkEnd w:id="112"/>
    <w:bookmarkStart w:id="113" w:name="the-constant-and-the-baseline"/>
    <w:p>
      <w:pPr>
        <w:pStyle w:val="Heading3"/>
        <w:spacing w:line="480" w:lineRule="auto"/>
      </w:pPr>
      <w:r>
        <w:t xml:space="preserve">6.1.5 The Constant and the Baseline</w:t>
      </w:r>
    </w:p>
    <w:p>
      <w:pPr>
        <w:pStyle w:val="FirstParagraph"/>
        <w:spacing w:line="480" w:lineRule="auto"/>
      </w:pPr>
      <w:r>
        <w:t xml:space="preserve">The constant is estimated at 2.984 with a robust standard error of 0.704 and a p-value below 0.001. Because the regressors are indicators, the constant is the predicted log delivery error for the reference case in which all four indicators are zero: an unguided, ground-navigated, first-attempt lunar delivery. Exponentiating the constant locates that baseline at roughly twenty kilometers of delivery error, which corresponds well to the early Surveyor and Apollo-era figures in the data and serves as an internal validity check on the construction of the outcome variable. The significance of the constant is not of substantive interest in itself, since it merely confirms that the baseline log error is reliably different from zero, but its magnitude is reassuring: a model whose intercept implied a physically implausible baseline would call the whole construction into question, and this one does not. The baseline of about twenty kilometers is exactly where the historical record places the first generation of soft landers, and the technology and target coefficients then move predicted accuracy away from that baseline in the directions and by the magnitudes the preceding subsections describe.</w:t>
      </w:r>
    </w:p>
    <w:bookmarkEnd w:id="113"/>
    <w:bookmarkEnd w:id="114"/>
    <w:bookmarkStart w:id="120" w:name="Xf23dc26714ec47168f5155234b033aac4bb0904"/>
    <w:p>
      <w:pPr>
        <w:pStyle w:val="Heading2"/>
        <w:spacing w:line="480" w:lineRule="auto"/>
      </w:pPr>
      <w:r>
        <w:t xml:space="preserve">6.2 Study Two: Onboard Optical Navigation, Target Class, and Signal Distance</w:t>
      </w:r>
    </w:p>
    <w:bookmarkStart w:id="115" w:name="overall-model-fit-1"/>
    <w:p>
      <w:pPr>
        <w:pStyle w:val="Heading3"/>
        <w:spacing w:line="480" w:lineRule="auto"/>
      </w:pPr>
      <w:r>
        <w:t xml:space="preserve">6.2.1 Overall Model Fit</w:t>
      </w:r>
    </w:p>
    <w:p>
      <w:pPr>
        <w:pStyle w:val="FirstParagraph"/>
        <w:spacing w:line="480" w:lineRule="auto"/>
      </w:pPr>
      <w:r>
        <w:t xml:space="preserve">The second model widens the inferential population beyond Mars and the Moon to the full deep-space delivery record, including planetary flybys, orbit insertions, and the small-body touch-and-go and touchdown campaigns, and it replaces the guidance and target indicators of the first study with a continuous one-way light-time covariate and a small-body indicator. It is again an ordinary least squares regression with HC1 robust standard errors over twenty-two events, but with the dependent variable expressed as the base-ten logarithm of delivery accuracy in kilometers. The fit is materially weaker than in the first study. The coefficient of determination is 0.40 and the adjusted coefficient is 0.26. The four regressors account for two-fifths of the variation in log delivery accuracy, and the adjustment for residual degrees of freedom pulls that down to about a quarter, a meaningful but far from dominant share.</w:t>
      </w:r>
    </w:p>
    <w:p>
      <w:pPr>
        <w:pStyle w:val="BodyText"/>
        <w:spacing w:line="480" w:lineRule="auto"/>
        <w:ind w:firstLine="720"/>
      </w:pPr>
      <w:r>
        <w:t xml:space="preserve">The joint significance is correspondingly more marginal. The overall F-statistic is 2.75 with a p-value of 0.062. The null that all four slopes are zero is rejected at the ten-percent level but not at the conventional five-percent level. This is a model that detects real structure but explains less of the outcome than the first, which is expected and informative rather than disappointing: by spanning a far more heterogeneous population of delivery types, from broad planetary landing ellipses to sub-meter small-body touchdowns, the second study admits much more outcome variance that its compact four-regressor specification cannot capture. The lower fit is the price of the wider generalization, and the relevant question is whether the substantive finding of the first study survives into this harder, broader sample. The coefficient-level results show that it does.</w:t>
      </w:r>
    </w:p>
    <w:bookmarkEnd w:id="115"/>
    <w:bookmarkStart w:id="116" w:name="the-optical-navigation-coefficient"/>
    <w:p>
      <w:pPr>
        <w:pStyle w:val="Heading3"/>
        <w:spacing w:line="480" w:lineRule="auto"/>
      </w:pPr>
      <w:r>
        <w:t xml:space="preserve">6.2.2 The Optical-Navigation Coefficient</w:t>
      </w:r>
    </w:p>
    <w:p>
      <w:pPr>
        <w:pStyle w:val="FirstParagraph"/>
        <w:spacing w:line="480" w:lineRule="auto"/>
      </w:pPr>
      <w:r>
        <w:t xml:space="preserve">The primary coefficient of the second study, on the onboard optical or terrain-relative navigation indicator, is estimated at -1.629 with a robust standard error of 0.706 and a two-sided p-value of 0.021. The sign is negative, as the primary hypothesis predicts. The p-value rejects the null of no effect at the conventional five-percent level. On the base-ten scale, a coefficient of -1.63 exponentiates as ten raised to that power, giving a multiplicative factor of approximately forty: holding target class, light time, and heritage fixed, a mission with onboard optical or terrain-relative navigation delivers roughly forty times more accurately than an otherwise comparable radiometric-only mission. This is the central result of the second study, and it confirms the alternative hypothesis that the delivery-accuracy advantage of closing the terminal loop onboard is large and estimable across the mission record rather than being an artifact of any single case</w:t>
      </w:r>
      <w:r>
        <w:t xml:space="preserve"> </w:t>
      </w:r>
      <w:hyperlink w:anchor="ref-1">
        <w:r>
          <w:rPr>
            <w:rStyle w:val="Hyperlink"/>
          </w:rPr>
          <w:t xml:space="preserve">[1]</w:t>
        </w:r>
      </w:hyperlink>
      <w:r>
        <w:t xml:space="preserve">.</w:t>
      </w:r>
    </w:p>
    <w:p>
      <w:pPr>
        <w:pStyle w:val="BodyText"/>
        <w:spacing w:line="480" w:lineRule="auto"/>
        <w:ind w:firstLine="720"/>
      </w:pPr>
      <w:r>
        <w:t xml:space="preserve">The factor of forty in the second study and the factor of twenty-six in the first should not be read as a contradiction or as a precise quantitative disagreement. They are estimates from two differently constructed samples, with different logarithm bases, different population scopes, and different control sets, and each carries a standard error wide enough that the two confidence intervals overlap substantially. What matters is the convergent qualitative finding: in both samples the onboard-navigation effect is negative, large, and statistically significant, and in both it is the dominant technological driver. The second study’s value is precisely that it reproduces the first study’s headline in a population the first study never touched, the planetary flybys and small-body proximity operations where onboard optical sensing is often the only viable terminal solution. The mechanism is the same one the first study invoked and the autonomy reviews describe, the collapse of the light-time-limited ground loop into a locally closed optical loop, and its persistence across two independent samples is stronger evidence than either sample alone could provide</w:t>
      </w:r>
      <w:r>
        <w:t xml:space="preserve"> </w:t>
      </w:r>
      <w:hyperlink w:anchor="ref-1">
        <w:r>
          <w:rPr>
            <w:rStyle w:val="Hyperlink"/>
          </w:rPr>
          <w:t xml:space="preserve">[1]</w:t>
        </w:r>
      </w:hyperlink>
      <w:r>
        <w:t xml:space="preserve">[3].</w:t>
      </w:r>
    </w:p>
    <w:bookmarkEnd w:id="116"/>
    <w:bookmarkStart w:id="117" w:name="the-light-time-coefficient"/>
    <w:p>
      <w:pPr>
        <w:pStyle w:val="Heading3"/>
        <w:spacing w:line="480" w:lineRule="auto"/>
      </w:pPr>
      <w:r>
        <w:t xml:space="preserve">6.2.3 The Light-Time Coefficient</w:t>
      </w:r>
    </w:p>
    <w:p>
      <w:pPr>
        <w:pStyle w:val="FirstParagraph"/>
        <w:spacing w:line="480" w:lineRule="auto"/>
      </w:pPr>
      <w:r>
        <w:t xml:space="preserve">The second distinguishable effect in the second model, and the most precisely estimated of all, is the coefficient on one-way light time, estimated at 0.0059 with a robust standard error of 0.0021 and a p-value of 0.005. This is a continuous covariate measured in minutes, so the coefficient is the change in base-ten log delivery error per additional minute of one-way signal travel, and its small numerical magnitude reflects the per-minute granularity rather than a small effect. The positive sign confirms the theorized direction: signal distance worsens delivery accuracy, because a longer one-way light time means a staler ground-computed correction and a more difficult tracking geometry by the time any uplinked maneuver reaches the spacecraft. The p-value of 0.005 makes this the most tightly identified term in the second model, with a t-ratio near 2.8, and its precision is itself substantively interesting: distance acts on accuracy through a smooth, continuously measurable channel rather than through the coarse on-off contrasts the indicator variables capture, and a continuous regressor of that kind, when it carries real signal, is typically estimated more sharply than a binary one.</w:t>
      </w:r>
    </w:p>
    <w:p>
      <w:pPr>
        <w:pStyle w:val="BodyText"/>
        <w:spacing w:line="480" w:lineRule="auto"/>
        <w:ind w:firstLine="720"/>
      </w:pPr>
      <w:r>
        <w:t xml:space="preserve">The accumulated effect of light time across the sample is large even though the per-minute coefficient is small. The record spans roughly a 245-minute range from the closest to the most distant targets, and applying the coefficient across that span yields a fitted penalty on the order of 1.4 on the base-ten log scale, which is more than an order of magnitude in raw kilometers. Signal distance is therefore not a marginal nuisance term but a genuine adversary of delivery accuracy, comparable in accumulated magnitude to a substantial fraction of the onboard-navigation advantage. The pursuit of consistent sub-kilometer delivery at Saturn, documented in the Cassini navigation record, illustrates concretely how much harder distance makes the problem and why a per-minute degradation accumulates into a major penalty at the far end of the solar system</w:t>
      </w:r>
      <w:r>
        <w:t xml:space="preserve"> </w:t>
      </w:r>
      <w:hyperlink w:anchor="ref-2">
        <w:r>
          <w:rPr>
            <w:rStyle w:val="Hyperlink"/>
          </w:rPr>
          <w:t xml:space="preserve">[2]</w:t>
        </w:r>
      </w:hyperlink>
      <w:r>
        <w:t xml:space="preserve">. Read together with the optical-navigation coefficient, the light-time term tells a coherent physical story: the two effects push in opposite directions on the same control loop, onboard optical sensing tightening it locally and signal distance widening it from the ground, and the tightest deliveries in the record are exactly those that combine onboard sensing with a near, resolved target while the coarsest are the deep radiometric encounters where distance dominates and onboard sensing is absent.</w:t>
      </w:r>
    </w:p>
    <w:bookmarkEnd w:id="117"/>
    <w:bookmarkStart w:id="118" w:name="the-small-body-and-heritage-coefficients"/>
    <w:p>
      <w:pPr>
        <w:pStyle w:val="Heading3"/>
        <w:spacing w:line="480" w:lineRule="auto"/>
      </w:pPr>
      <w:r>
        <w:t xml:space="preserve">6.2.4 The Small-Body and Heritage Coefficients</w:t>
      </w:r>
    </w:p>
    <w:p>
      <w:pPr>
        <w:pStyle w:val="FirstParagraph"/>
        <w:spacing w:line="480" w:lineRule="auto"/>
      </w:pPr>
      <w:r>
        <w:t xml:space="preserve">The two remaining attributes in the second model are not individually significant. The small-body indicator is estimated at -0.453 with a robust standard error of 0.742 and a p-value of 0.541. Its sign is negative, consistent with the expectation that resolved small-body targets, which present a trackable optical object during approach and support sustained proximity operations, favor tight optical delivery. But the coefficient is statistically indistinguishable from zero, and the most plausible reason is collinearity: in this record the small-body deliveries are overwhelmingly the same events that employ onboard optical navigation, so the small-body indicator and the optical-navigation indicator share most of their explanatory variance, and the regression assigns the bulk of that shared variance to the optical-navigation term. The small-body effect is therefore not absent so much as absorbed; it cannot be separated from the optical-navigation effect at this sample size, and the honest statement is that the data here do not support an independent small-body contribution beyond what onboard navigation already captures.</w:t>
      </w:r>
    </w:p>
    <w:p>
      <w:pPr>
        <w:pStyle w:val="BodyText"/>
        <w:spacing w:line="480" w:lineRule="auto"/>
        <w:ind w:firstLine="720"/>
      </w:pPr>
      <w:r>
        <w:t xml:space="preserve">The prior-heritage indicator is estimated at 0.267 with a robust standard error of 0.691 and a p-value of 0.700. Both the sign and the significance are uninformative: the point estimate is small and positive, the opposite of the negative sign one might naively expect from institutional learning, but the standard error is more than twice the estimate and the p-value is near 0.70, so the coefficient is statistically a null. The reading is that, once the navigation architecture and the encounter geometry are controlled, prior institutional heritage in a delivery class carries no measurable independent effect on delivery accuracy in this sample. This is not a claim that heritage is irrelevant to mission success in general; it is the narrower and well-supported claim that, conditional on the technology and the distance, heritage adds no detectable sharpening of the achieved miss. The contrast with the first study, where the heritage coefficient was sizably negative though also insignificant, is itself instructive and is taken up in the synthesis below.</w:t>
      </w:r>
    </w:p>
    <w:bookmarkEnd w:id="118"/>
    <w:bookmarkStart w:id="119" w:name="the-constant-and-the-baseline-1"/>
    <w:p>
      <w:pPr>
        <w:pStyle w:val="Heading3"/>
        <w:spacing w:line="480" w:lineRule="auto"/>
      </w:pPr>
      <w:r>
        <w:t xml:space="preserve">6.2.5 The Constant and the Baseline</w:t>
      </w:r>
    </w:p>
    <w:p>
      <w:pPr>
        <w:pStyle w:val="FirstParagraph"/>
        <w:spacing w:line="480" w:lineRule="auto"/>
      </w:pPr>
      <w:r>
        <w:t xml:space="preserve">The constant in the second model is estimated at 1.068 with a p-value of 0.089. On the base-ten scale, the intercept locates the baseline radiometric near-Earth delivery, the case in which the optical-navigation, small-body, and heritage indicators are zero and light time is at its reference, at roughly the ten-kilometer scale before the optical and distance effects are applied. The p-value of 0.089 places the constant at the edge of conventional significance, which is unremarkable for an intercept whose role is to anchor the predicted surface rather than to test a substantive hypothesis. A baseline near ten kilometers is physically sensible for a radiometrically navigated planetary delivery without onboard sensing, and it provides the same kind of internal sanity check that the first study’s twenty-kilometer baseline provided: the model’s reference prediction sits where the flight record’s coarse radiometric deliveries actually sit, which lends credibility to the slope coefficients that move predictions away from it.</w:t>
      </w:r>
    </w:p>
    <w:bookmarkEnd w:id="119"/>
    <w:bookmarkEnd w:id="120"/>
    <w:bookmarkStart w:id="121" w:name="synthesis-across-the-two-studies"/>
    <w:p>
      <w:pPr>
        <w:pStyle w:val="Heading2"/>
        <w:spacing w:line="480" w:lineRule="auto"/>
      </w:pPr>
      <w:r>
        <w:t xml:space="preserve">6.3 Synthesis Across the Two Studies</w:t>
      </w:r>
    </w:p>
    <w:p>
      <w:pPr>
        <w:pStyle w:val="FirstParagraph"/>
        <w:spacing w:line="480" w:lineRule="auto"/>
      </w:pPr>
      <w:r>
        <w:t xml:space="preserve">The two studies were designed to interrogate the same construct from different sample frames, and the value of reading them jointly lies in distinguishing the findings that depend on a particular frame from the one finding that does not. Three observations organize that reading.</w:t>
      </w:r>
    </w:p>
    <w:p>
      <w:pPr>
        <w:pStyle w:val="BodyText"/>
        <w:spacing w:line="480" w:lineRule="auto"/>
        <w:ind w:firstLine="720"/>
      </w:pPr>
      <w:r>
        <w:t xml:space="preserve">First, the onboard-navigation effect is robust across both samples. In the first study the coefficient is -3.259 on a natural-log scale with a p-value of 0.0004; in the second it is -1.629 on a base-ten scale with a p-value of 0.021. The two are not directly comparable in raw numerical value because of the differing logarithm bases, but both convert to large multiplicative reductions in delivery error, a factor of about twenty-six in the first study and about forty in the second, and both are negative and significant. That the effect appears with the predicted sign, at large magnitude, and at conventional significance in two independently constructed samples spanning different population scopes is the strongest single result of the dissertation. The autonomy literature’s qualitative case, that onboard optical and terrain-relative sensing is the enabling technology for precise delivery where the ground loop is slowest, is here given a quantitative, cross-mission, geometry-conditioned form in two separate datasets</w:t>
      </w:r>
      <w:r>
        <w:t xml:space="preserve"> </w:t>
      </w:r>
      <w:hyperlink w:anchor="ref-1">
        <w:r>
          <w:rPr>
            <w:rStyle w:val="Hyperlink"/>
          </w:rPr>
          <w:t xml:space="preserve">[1]</w:t>
        </w:r>
      </w:hyperlink>
      <w:r>
        <w:t xml:space="preserve">[6]. A finding that survives this kind of replication is far more credible than one resting on a single specification, and it is the number the dissertation offers to the mission-design community in place of expert judgment.</w:t>
      </w:r>
    </w:p>
    <w:p>
      <w:pPr>
        <w:pStyle w:val="BodyText"/>
        <w:spacing w:line="480" w:lineRule="auto"/>
        <w:ind w:firstLine="720"/>
      </w:pPr>
      <w:r>
        <w:t xml:space="preserve">Second, the contextual penalty on hard targets appears in both studies but through different instruments. The first study captures it as a discrete Mars-versus-Moon target-class indicator, significant at 2.034 with a p-value of 0.028; the second captures the related but more general difficulty of distance as a continuous light-time coefficient, significant at 0.0059 with a p-value of 0.005. These are not the same regressor and should not be equated, but they are two measurements of a common underlying truth, that the geometry and physics of the encounter impose a real and separable accuracy penalty that the navigation technology does not erase. The first study localizes that penalty to the interplanetary-arc-and-atmosphere burden of Mars; the second generalizes it to a smooth degradation with signal distance that operates across the whole solar-system span. That the penalty surfaces in both frames, once as a category and once as a continuous gradient, indicates it is a structural feature of the problem rather than a quirk of either sample.</w:t>
      </w:r>
    </w:p>
    <w:p>
      <w:pPr>
        <w:pStyle w:val="BodyText"/>
        <w:spacing w:line="480" w:lineRule="auto"/>
        <w:ind w:firstLine="720"/>
      </w:pPr>
      <w:r>
        <w:t xml:space="preserve">Third, the secondary attributes, guidance, heritage, and the small-body class, are consistently underidentified, and the reason is consistent across both studies: these attributes are correlated with the dominant onboard-navigation indicator in the flight record, because the modern vehicles that carry onboard navigation are disproportionately the same vehicles that fly guided descent, are flown by experienced operators, and visit small bodies. The regressions cannot partition variance that the historical record itself has not partitioned. This is not a failure of the estimator but a property of the population: deep-space mission design bundles these capabilities together, and only a larger and more varied record, in which the bundles are broken apart by missions that adopt one capability without the others, could separate their individual contributions. The heritage coefficient illustrates the resulting instability, appearing sizably negative in the first study and small and positive in the second, neither time significant; its sign is not stable across frames precisely because it is not independently identified in either.</w:t>
      </w:r>
    </w:p>
    <w:p>
      <w:pPr>
        <w:pStyle w:val="BodyText"/>
        <w:spacing w:line="480" w:lineRule="auto"/>
        <w:ind w:firstLine="720"/>
      </w:pPr>
      <w:r>
        <w:t xml:space="preserve">Taken together, the two estimations support a single, defensible empirical conclusion stated at the level the data can bear. Across the documented deep-space delivery record, the measurable and replicable driver of delivery accuracy is whether the vehicle navigated itself optically against the target at the critical event, and the measurable contextual adversary is the geometry of the encounter, expressed as target class in the narrower sample and as signal distance in the broader one. Of the two forces, the onboard-navigation advantage is the larger and, in the first study, the more precisely estimated, while in the second study the light-time penalty is the more precisely estimated and the onboard-navigation advantage the larger in raw factor. The remaining design and context attributes move accuracy in directions consistent with theory but cannot be individually resolved at the sample sizes available. Chapter 7 takes up what these results imply for the navigation-architecture trade and for the costing of capabilities that the historical record has bundled but that mission planners must increasingly choose among separately.</w:t>
      </w:r>
    </w:p>
    <w:bookmarkEnd w:id="121"/>
    <w:bookmarkEnd w:id="122"/>
    <w:bookmarkStart w:id="129" w:name="X21322cb5e29cbf4eb576afddcad42f86ace4e0d"/>
    <w:p>
      <w:pPr>
        <w:pStyle w:val="Heading1"/>
        <w:spacing w:line="480" w:lineRule="auto"/>
      </w:pPr>
      <w:r>
        <w:t xml:space="preserve">Chapter 7. Discussion and Governance Implications</w:t>
      </w:r>
    </w:p>
    <w:bookmarkStart w:id="123" w:name="what-the-findings-establish"/>
    <w:p>
      <w:pPr>
        <w:pStyle w:val="Heading2"/>
        <w:spacing w:line="480" w:lineRule="auto"/>
      </w:pPr>
      <w:r>
        <w:t xml:space="preserve">7.1 What the Findings Establish</w:t>
      </w:r>
    </w:p>
    <w:p>
      <w:pPr>
        <w:pStyle w:val="FirstParagraph"/>
        <w:spacing w:line="480" w:lineRule="auto"/>
      </w:pPr>
      <w:r>
        <w:t xml:space="preserve">This dissertation set out to convert a contested expert judgment into a transparent regression coefficient. Here is the judgment at issue. Does autonomous onboard optical navigation materially improve delivery accuracy once the geometry of the encounter is held fixed, or does its value lie elsewhere, in relief of the ground segment rather than in the precision of delivery? The two regression studies that anchor the empirical chapters answer that question in the same direction and with effect sizes large enough that the answer is not a statistical artifact. In the planetary and lunar delivery panel, the onboard-navigation indicator carries a coefficient of -3.259 on the natural-log scale with a robust standard error of 0.912 and a p-value of 0.0004, which exponentiates to a reduction in delivery error by a factor of roughly twenty-six. In the deep-space target panel estimated on the base-10 scale, the onboard optical-navigation indicator carries a coefficient of -1.629 with a robust standard error of 0.706 and a two-sided p-value of 0.021, which corresponds to a delivery roughly forty times tighter than an otherwise comparable radiometric-only mission. The two estimates are not directly comparable in magnitude because they are measured on different logarithmic bases and over partly different mission populations, but they agree on sign, on significance, and on the qualitative conclusion that the onboard term is the dominant measurable lever in the record.</w:t>
      </w:r>
    </w:p>
    <w:p>
      <w:pPr>
        <w:pStyle w:val="BodyText"/>
        <w:spacing w:line="480" w:lineRule="auto"/>
        <w:ind w:firstLine="720"/>
      </w:pPr>
      <w:r>
        <w:t xml:space="preserve">The convergence is the central result, and it is worth being precise about why convergence carries more inferential weight than either estimate alone. The two panels differ in their populations, in their covariate sets, and in their dependent-variable construction. The first conditions on guided entry, operator heritage, and target class across a Mars-and-Moon record; the second conditions on small-body target class, one-way light time, and prior heritage across a record that reaches from Apollo-era lunar deliveries to the small-body sample-return campaigns. That two independently specified models, drawing on overlapping but non-identical mission lists and different control structures, both isolate the onboard-navigation term as large, correctly signed, and significant is the kind of robustness that a single specification cannot supply. The autonomous-navigation survey literature argued the qualitative case that onboard optical sensing is the enabling technology for precision delivery at distant and small-body targets</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This dissertation supplies the conditional quantitative counterpart to that argument, and it supplies it twice.</w:t>
      </w:r>
    </w:p>
    <w:p>
      <w:pPr>
        <w:pStyle w:val="BodyText"/>
        <w:spacing w:line="480" w:lineRule="auto"/>
        <w:ind w:firstLine="720"/>
      </w:pPr>
      <w:r>
        <w:t xml:space="preserve">A second finding earns nearly equal standing because it disciplines the first. Signal distance is a genuine adversary of delivery accuracy, and it is estimated more precisely than any other term in the deep-space panel. The one-way light-time coefficient is +0.0059 per minute with a robust standard error of 0.0021 and a p-value of 0.005, so across the roughly 245-minute span from the nearest to the most distant targets in the sample the fitted penalty is on the order of 1.4 on the base-10 log scale, more than an order of magnitude in raw kilometers. The companion result in the planetary panel is the target-class term: a Mars delivery carries a log delivery error about 2.034 higher than a lunar one after technology is held fixed, with a robust standard error of 0.927 and a p-value of 0.028, a factor of roughly eight in kilometers. Distance and target class are the same physical force seen through two coding choices. They establish that the onboard-navigation gain does not erase the penalty of long-arc interplanetary navigation and stale ground correction. The two forces push in opposite directions, and the mission that combines onboard optical sensing with a resolved nearby target sits at the precise end of the achievable scale, exactly as the mechanism predicts</w:t>
      </w:r>
      <w:r>
        <w:t xml:space="preserve"> </w:t>
      </w:r>
      <w:hyperlink w:anchor="ref-16">
        <w:r>
          <w:rPr>
            <w:rStyle w:val="Hyperlink"/>
          </w:rPr>
          <w:t xml:space="preserve">[16]</w:t>
        </w:r>
      </w:hyperlink>
      <w:r>
        <w:t xml:space="preserve">.</w:t>
      </w:r>
    </w:p>
    <w:p>
      <w:pPr>
        <w:pStyle w:val="BodyText"/>
        <w:spacing w:line="480" w:lineRule="auto"/>
        <w:ind w:firstLine="720"/>
      </w:pPr>
      <w:r>
        <w:t xml:space="preserve">It is equally important to state what the findings do not establish. Neither closed-loop guided entry nor operator heritage is individually distinguishable from zero in the planetary panel, with p-values of 0.187 and 0.134 respectively, and neither small-body target class nor prior heritage is significant in the deep-space panel, with p-values of 0.541 and 0.700. These are not null findings in the strong sense of precisely estimated zeros; they are underpowered terms in small, collinear samples. The point estimates for guided entry and heritage carry the expected negative sign, and their imprecision is the predictable consequence of guidance and onboard navigation co-occurring on the modern vehicles, so that the data cannot cleanly partition a contribution that the engineering shares. The honest reading is that the record identifies the onboard-navigation effect and the distance penalty with confidence, and leaves the guidance and heritage contributions suggestive but unresolved.</w:t>
      </w:r>
    </w:p>
    <w:bookmarkEnd w:id="123"/>
    <w:bookmarkStart w:id="124" w:name="implications-for-nasa-program-management"/>
    <w:p>
      <w:pPr>
        <w:pStyle w:val="Heading2"/>
        <w:spacing w:line="480" w:lineRule="auto"/>
      </w:pPr>
      <w:r>
        <w:t xml:space="preserve">7.2 Implications for NASA Program Management</w:t>
      </w:r>
    </w:p>
    <w:p>
      <w:pPr>
        <w:pStyle w:val="FirstParagraph"/>
        <w:spacing w:line="480" w:lineRule="auto"/>
      </w:pPr>
      <w:r>
        <w:t xml:space="preserve">Start with how a navigation architecture decision should be costed. Program offices today reason about the optical-versus-radiometric trade from analogy and from the testimony of navigation experts who reconstruct prior missions one at a time. The two regressions in this dissertation replace that analogy with a pooled, auditable effect size and an associated uncertainty. The practical content for a program office is that, of the levers measured across the historical population, the navigation architecture at the terminal event is the one with the largest and most reliably estimated return on delivery accuracy. When a mission concept review weighs an investment in terrain-relative or optical navigation against alternative uses of the same mass, power, and software-assurance budget, the appropriate comparison is no longer a qualitative claim that onboard navigation helps but a coefficient with a stated interval that a reviewer outside the navigation team can interrogate. This matters for governance because it moves a high-consequence architectural decision out of the domain of specialist judgment, where it is hard to audit, and into the domain of stated evidence, where it can be challenged on its merits.</w:t>
      </w:r>
    </w:p>
    <w:p>
      <w:pPr>
        <w:pStyle w:val="BodyText"/>
        <w:spacing w:line="480" w:lineRule="auto"/>
        <w:ind w:firstLine="720"/>
      </w:pPr>
      <w:r>
        <w:t xml:space="preserve">The second implication concerns where the onboard-navigation investment pays off most. The light-time and target-class results say that the marginal return on closing the terminal loop onboard is largest precisely where the ground loop is slowest, at distant and small-body targets where no Earth-computed correction can respond to an error discovered in final approach</w:t>
      </w:r>
      <w:r>
        <w:t xml:space="preserve"> </w:t>
      </w:r>
      <w:hyperlink w:anchor="ref-1">
        <w:r>
          <w:rPr>
            <w:rStyle w:val="Hyperlink"/>
          </w:rPr>
          <w:t xml:space="preserve">[1]</w:t>
        </w:r>
      </w:hyperlink>
      <w:r>
        <w:t xml:space="preserve">,</w:t>
      </w:r>
      <w:r>
        <w:t xml:space="preserve"> </w:t>
      </w:r>
      <w:hyperlink w:anchor="ref-27">
        <w:r>
          <w:rPr>
            <w:rStyle w:val="Hyperlink"/>
          </w:rPr>
          <w:t xml:space="preserve">[27]</w:t>
        </w:r>
      </w:hyperlink>
      <w:r>
        <w:t xml:space="preserve">. For a program portfolio this has a clear allocation consequence. A near-Earth lunar mission with short light time can in principle be delivered acceptably by a ground-in-the-loop architecture, so the onboard-navigation premium there buys accuracy at the margin and ground-segment relief as a secondary benefit. A mission to a small body several light-hours away cannot be delivered to the meter scale by any ground architecture, so onboard optical navigation is not a premium but a prerequisite. Program management should therefore treat the onboard-navigation decision differently by destination class rather than apply a single portfolio-wide rule. The regression evidence supports a graduated posture: optional and accuracy-enhancing for the nearest targets, enabling and effectively mandatory for the most distant and the small-body classes.</w:t>
      </w:r>
    </w:p>
    <w:p>
      <w:pPr>
        <w:pStyle w:val="BodyText"/>
        <w:spacing w:line="480" w:lineRule="auto"/>
        <w:ind w:firstLine="720"/>
      </w:pPr>
      <w:r>
        <w:t xml:space="preserve">The third implication is about the separability of the lunar and Mars investment cases. The persistence of the target-class penalty after technology is held fixed warns against an attractive but mistaken budgeting shortcut. It would be tempting to assume that a lunar-validated onboard-navigation capability, once flown and certified, can be ported to Mars with the interplanetary penalty absorbed by the same heritage. The estimates say otherwise. Mars deliveries remain less accurate than lunar ones even after the onboard-navigation term is conditioned out, which reflects the irreducible difficulty of the long navigation arc and atmospheric entry rather than any deficiency in the onboard sensor</w:t>
      </w:r>
      <w:r>
        <w:t xml:space="preserve"> </w:t>
      </w:r>
      <w:hyperlink w:anchor="ref-7">
        <w:r>
          <w:rPr>
            <w:rStyle w:val="Hyperlink"/>
          </w:rPr>
          <w:t xml:space="preserve">[7]</w:t>
        </w:r>
      </w:hyperlink>
      <w:r>
        <w:t xml:space="preserve">. For a program office building a cislunar-to-Mars technology roadmap, the governance lesson is to cost the lunar onboard-navigation capability and the Mars interplanetary-navigation capability as two line items rather than one. Heritage from the Moon reduces the software-assurance and qualification risk of the sensor, but it does not retire the interplanetary risk, and a roadmap that conflates the two will under-reserve for the Mars case.</w:t>
      </w:r>
    </w:p>
    <w:p>
      <w:pPr>
        <w:pStyle w:val="BodyText"/>
        <w:spacing w:line="480" w:lineRule="auto"/>
        <w:ind w:firstLine="720"/>
      </w:pPr>
      <w:r>
        <w:t xml:space="preserve">The fourth implication is institutional and concerns how delivery-accuracy evidence is curated. The single most important enabling fact about this study is that its dependent variable was reconstructable at all, because the delivered post-flight trajectories are archived in public, versioned, citable products, the SPICE ephemeris and reconstruction record at the NAIF and PDS Navigation node. A program-management implication that follows directly is that the value of those archives to future trade studies depends on the completeness and uniformity with which achieved miss distances, as distinct from pre-event landing ellipses, are reported and deposited. The empirical chapters had to mix two documented accuracy measures, achieved miss where reported and ellipse semi-major axis otherwise, precisely because the achieved-miss figure is not uniformly published across the record. A modest governance intervention, requiring that every delivery event deposit a documented achieved-miss reconstruction against its targeted aim point alongside its kernels, would convert the next generation of this analysis from a partly heterogeneous panel into a uniform one and would materially sharpen every coefficient reported here.</w:t>
      </w:r>
    </w:p>
    <w:bookmarkEnd w:id="124"/>
    <w:bookmarkStart w:id="125" w:name="implications-for-jpl-decision-making"/>
    <w:p>
      <w:pPr>
        <w:pStyle w:val="Heading2"/>
        <w:spacing w:line="480" w:lineRule="auto"/>
      </w:pPr>
      <w:r>
        <w:t xml:space="preserve">7.3 Implications for JPL Decision-Making</w:t>
      </w:r>
    </w:p>
    <w:p>
      <w:pPr>
        <w:pStyle w:val="FirstParagraph"/>
        <w:spacing w:line="480" w:lineRule="auto"/>
      </w:pPr>
      <w:r>
        <w:t xml:space="preserve">For the Jet Propulsion Laboratory specifically, the findings bear on capability investment, on proposal positioning, and on the framing of the institution’s navigation heritage. The capability implication is the most concrete. The flight record that this dissertation pools includes the terrain-relative landing of Mars 2020, which placed the rover within meters of its Lander Vision System target and which sits at the accurate extreme of the planetary panel</w:t>
      </w:r>
      <w:r>
        <w:t xml:space="preserve"> </w:t>
      </w:r>
      <w:hyperlink w:anchor="ref-8">
        <w:r>
          <w:rPr>
            <w:rStyle w:val="Hyperlink"/>
          </w:rPr>
          <w:t xml:space="preserve">[8]</w:t>
        </w:r>
      </w:hyperlink>
      <w:r>
        <w:t xml:space="preserve">. The regression evidence elevates that demonstration from a single impressive case to a quantified instance of the dominant effect in the record. For JPL’s internal technology-investment decisions, the implication is that continued investment in terrain-relative and optical navigation is not a discretionary enhancement competing on equal footing with other subsystem improvements; it is investment in the lever that the historical population identifies as decisive for the class of missions JPL is most likely to fly, namely precise delivery to scientifically chosen sites on Mars, the Moon, and small bodies.</w:t>
      </w:r>
    </w:p>
    <w:p>
      <w:pPr>
        <w:pStyle w:val="BodyText"/>
        <w:spacing w:line="480" w:lineRule="auto"/>
        <w:ind w:firstLine="720"/>
      </w:pPr>
      <w:r>
        <w:t xml:space="preserve">The proposal-positioning implication follows from the auditability of the coefficient. A laboratory that proposes a high-accuracy delivery to a specific site, a polar cold trap, a crater rim, or a sample-collection point, must persuade a review board that the proposed accuracy is achievable. The conventional argument cites the laboratory’s own prior reconstructions, which a skeptical reviewer can discount as selective. A pooled cross-mission coefficient with a stated uncertainty interval is a different rhetorical instrument, because it locates the proposed mission’s expected accuracy within a population estimate rather than within a chosen anecdote. JPL is unusually well placed to use this instrument because so much of the accurate end of the record, from the consistent sub-kilometer Cassini deliveries at Titan to the terrain-relative Mars landings, is the laboratory’s own work</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 The governance value is that the laboratory can stake an accuracy claim on evidence the whole community can reproduce from the public archive, which is more defensible under independent review than evidence only the proposing team can assemble.</w:t>
      </w:r>
    </w:p>
    <w:p>
      <w:pPr>
        <w:pStyle w:val="BodyText"/>
        <w:spacing w:line="480" w:lineRule="auto"/>
        <w:ind w:firstLine="720"/>
      </w:pPr>
      <w:r>
        <w:t xml:space="preserve">The heritage-framing implication is more subtle and is the one where the findings should temper institutional confidence rather than reinforce it. The heritage terms in both panels are statistically insignificant. The honest reading, given the collinearity, is not that operator heritage is worthless but that the record cannot show heritage to be an independent driver of delivery accuracy once the navigation architecture is controlled. For JPL decision-making this is a useful caution against a heritage-based complacency. The laboratory’s accumulated landing experience is real and reduces qualification risk, but the evidence does not support a claim that heritage alone, absent the onboard-navigation architecture, secures accurate delivery. The recent wave of commercial first-attempt landers, several of which missed or were lost, is in the record as a reminder that heritage and architecture are different things, and that the architecture is the term the data can see. A JPL proposal that leans on heritage as its accuracy argument is leaning on the term the evidence cannot confirm; a proposal that leans on the onboard-navigation architecture is leaning on the term the evidence does confirm.</w:t>
      </w:r>
    </w:p>
    <w:p>
      <w:pPr>
        <w:pStyle w:val="BodyText"/>
        <w:spacing w:line="480" w:lineRule="auto"/>
        <w:ind w:firstLine="720"/>
      </w:pPr>
      <w:r>
        <w:t xml:space="preserve">A final JPL-specific implication concerns the laboratory’s role as a curator of the navigation reconstruction record. JPL operates the NAIF and is the institutional source of much of the SPICE archive on which this study depends. The laboratory therefore has both the capability and the standing to lead the uniform reporting of achieved-miss reconstructions recommended above. This is not a narrow archival housekeeping task. It is the precondition for the community to hold delivery-accuracy claims to an evidentiary standard, and a laboratory that leads it strengthens the credibility of every future accuracy claim, including its own.</w:t>
      </w:r>
    </w:p>
    <w:bookmarkEnd w:id="125"/>
    <w:bookmarkStart w:id="126" w:name="limitations"/>
    <w:p>
      <w:pPr>
        <w:pStyle w:val="Heading2"/>
        <w:spacing w:line="480" w:lineRule="auto"/>
      </w:pPr>
      <w:r>
        <w:t xml:space="preserve">7.4 Limitations</w:t>
      </w:r>
    </w:p>
    <w:p>
      <w:pPr>
        <w:pStyle w:val="FirstParagraph"/>
        <w:spacing w:line="480" w:lineRule="auto"/>
      </w:pPr>
      <w:r>
        <w:t xml:space="preserve">The limitations of this work are real and are stated plainly so that the conclusions are not over-read. The first and most binding is sample size. Both panels rest on twenty-two delivery events, which is the full documented population rather than a sample drawn from a larger one, but is nonetheless small for a regression with four regressors and a constant. The small sample is the proximate reason that guided entry, operator heritage, and small-body target class cannot be individually resolved, and it is the reason the confidence intervals on even the significant terms are wide. The estimates should be read as the best available pooled evidence on a population that is itself small, not as precision estimates that a larger sample would merely confirm. As the commercial lunar cadence increases and more deliveries report achieved miss distances, the population will grow, and the appropriate posture is to treat the present coefficients as provisional and to re-estimate as the record accumulates.</w:t>
      </w:r>
    </w:p>
    <w:p>
      <w:pPr>
        <w:pStyle w:val="BodyText"/>
        <w:spacing w:line="480" w:lineRule="auto"/>
        <w:ind w:firstLine="720"/>
      </w:pPr>
      <w:r>
        <w:t xml:space="preserve">The second limitation is collinearity among the design indicators. Guided entry, onboard navigation, and operator heritage co-occur on the modern vehicles, and small-body target class co-occurs with onboard optical navigation in the deep-space panel, because the missions that fly to small bodies are exactly the ones that must navigate optically against a resolved target</w:t>
      </w:r>
      <w:r>
        <w:t xml:space="preserve"> </w:t>
      </w:r>
      <w:hyperlink w:anchor="ref-4">
        <w:r>
          <w:rPr>
            <w:rStyle w:val="Hyperlink"/>
          </w:rPr>
          <w:t xml:space="preserve">[4]</w:t>
        </w:r>
      </w:hyperlink>
      <w:r>
        <w:t xml:space="preserve">,</w:t>
      </w:r>
      <w:r>
        <w:t xml:space="preserve"> </w:t>
      </w:r>
      <w:hyperlink w:anchor="ref-30">
        <w:r>
          <w:rPr>
            <w:rStyle w:val="Hyperlink"/>
          </w:rPr>
          <w:t xml:space="preserve">[30]</w:t>
        </w:r>
      </w:hyperlink>
      <w:r>
        <w:t xml:space="preserve">. This co-occurrence is not a defect of the data collection; it is a feature of how the technology diffused through the flight record. But it means the models cannot cleanly partition contributions that the engineering bundles together. The onboard-navigation coefficient should therefore be read as the effect of the modern navigation architecture as a package, within which onboard optical sensing is the most plausible mechanism on the theoretical account</w:t>
      </w:r>
      <w:r>
        <w:t xml:space="preserve"> </w:t>
      </w:r>
      <w:hyperlink w:anchor="ref-1">
        <w:r>
          <w:rPr>
            <w:rStyle w:val="Hyperlink"/>
          </w:rPr>
          <w:t xml:space="preserve">[1]</w:t>
        </w:r>
      </w:hyperlink>
      <w:r>
        <w:t xml:space="preserve">, rather than as the surgically isolated effect of the optical sensor alone with guidance and heritage perfectly held apart.</w:t>
      </w:r>
    </w:p>
    <w:p>
      <w:pPr>
        <w:pStyle w:val="BodyText"/>
        <w:spacing w:line="480" w:lineRule="auto"/>
        <w:ind w:firstLine="720"/>
      </w:pPr>
      <w:r>
        <w:t xml:space="preserve">The third limitation is the heterogeneity of the dependent variable. The outcome harmonizes several physically distinct quantities, achieved miss distance, landing-ellipse semi-major axis, target-plane control, and touchdown delivery, onto a common accuracy axis. Each is a defensible measure of how tightly a vehicle was placed, the construction is marked per row so that the mixing is auditable, and the log transform absorbs the dynamic range, but they are not identical constructs. Where the achieved-miss figure was unavailable the conventional pre-event ellipse was used, and three rows in each panel rely on illustrative target-region scales because no achieved miss is published, a minority that is flagged but that injects measurement noise into the failed and first-attempt cases. This heterogeneity inflates the standard errors and, to the extent it correlates with the navigation architecture, could bias the coefficients. The bias direction is not obvious, and the central result survives in both panels, but a uniform achieved-miss measure across all events, were it available, would be preferable and is the single most valuable data improvement the field could make.</w:t>
      </w:r>
    </w:p>
    <w:p>
      <w:pPr>
        <w:pStyle w:val="BodyText"/>
        <w:spacing w:line="480" w:lineRule="auto"/>
        <w:ind w:firstLine="720"/>
      </w:pPr>
      <w:r>
        <w:t xml:space="preserve">The fourth limitation is selection on geometry, the threat that the prospectus identified as primary. Navigation architecture is not assigned at random; missions that adopt optical navigation may differ systematically from those that do not, and if optical navigation is adopted disproportionately on benign trajectories the cross-sectional estimate is biased toward overstating its benefit. The covariate structure of both panels, conditioning on target class and on light time or the Mars indicator, is the response, and it absorbs the most important geometric confounder. But the cross-sectional OLS specifications estimated in the empirical chapters do not implement the full two-way fixed-effects identification that the prospectus proposed, in which within-mission and within-epoch variation would purge the remaining selection. Residual selection within the cross-section therefore cannot be fully excluded, and the onboard-navigation coefficient is best read as conditional on the observed covariates rather than as a fully de-confounded causal effect. This gap between the proposed identification and the implemented one is the most consequential methodological limitation and is the first item for future work.</w:t>
      </w:r>
    </w:p>
    <w:p>
      <w:pPr>
        <w:pStyle w:val="BodyText"/>
        <w:spacing w:line="480" w:lineRule="auto"/>
        <w:ind w:firstLine="720"/>
      </w:pPr>
      <w:r>
        <w:t xml:space="preserve">The fifth limitation is covariance realism. The studies report heteroskedasticity-robust intervals, which are the appropriate guard against the non-constant error variance that an indicator model of a maturing technology produces. But the orbit-determination literature has documented that naive uncertainty intervals understate true uncertainty when the residual covariance is mis-specified, and that covariance realism must be certified rather than assumed</w:t>
      </w:r>
      <w:r>
        <w:t xml:space="preserve"> </w:t>
      </w:r>
      <w:hyperlink w:anchor="ref-5">
        <w:r>
          <w:rPr>
            <w:rStyle w:val="Hyperlink"/>
          </w:rPr>
          <w:t xml:space="preserve">[5]</w:t>
        </w:r>
      </w:hyperlink>
      <w:r>
        <w:t xml:space="preserve">. The robust intervals reported here are a partial guard; they do not constitute the full Mahalanobis-style consistency check on the residual distribution that the prospectus envisioned for certifying covariance realism. A reader should therefore treat the reported intervals as robust to heteroskedasticity but not as certified covariance-realistic in the stronger sense, and should weight the reject-or-fail-to-reject decisions accordingly.</w:t>
      </w:r>
    </w:p>
    <w:bookmarkEnd w:id="126"/>
    <w:bookmarkStart w:id="127" w:name="future-research"/>
    <w:p>
      <w:pPr>
        <w:pStyle w:val="Heading2"/>
        <w:spacing w:line="480" w:lineRule="auto"/>
      </w:pPr>
      <w:r>
        <w:t xml:space="preserve">7.5 Future Research</w:t>
      </w:r>
    </w:p>
    <w:p>
      <w:pPr>
        <w:pStyle w:val="FirstParagraph"/>
        <w:spacing w:line="480" w:lineRule="auto"/>
      </w:pPr>
      <w:r>
        <w:t xml:space="preserve">The agenda that follows from these limitations is concrete and ordered by leverage. The first and highest-leverage extension is to implement the two-way fixed-effects identification that the prospectus specified and the empirical chapters approximated with cross-sectional controls. Where a single mission carries multiple delivery events across distinct target encounters, mission fixed effects would absorb time-invariant mission characteristics and identify the onboard-navigation coefficient from within-mission variation in tracking configuration, while epoch fixed effects would absorb era-wide improvements in the Deep Space Network and force modeling so that the estimate is not confounded by the secular trend in which newer missions both fly optical navigation and benefit from better ground infrastructure. The multi-encounter flyby and small-body proximity missions in the record are the events that make this design feasible, and exploiting them is the most direct route from a conditional association to a more defensible causal estimate.</w:t>
      </w:r>
    </w:p>
    <w:p>
      <w:pPr>
        <w:pStyle w:val="BodyText"/>
        <w:spacing w:line="480" w:lineRule="auto"/>
        <w:ind w:firstLine="720"/>
      </w:pPr>
      <w:r>
        <w:t xml:space="preserve">The second extension is to certify covariance realism explicitly. The robust intervals reported here should be validated against a Mahalanobis-style consistency diagnostic on the residual distribution, the same logic the estimation community uses to certify that an orbital state estimate’s reported covariance matches its empirical error</w:t>
      </w:r>
      <w:r>
        <w:t xml:space="preserve"> </w:t>
      </w:r>
      <w:hyperlink w:anchor="ref-5">
        <w:r>
          <w:rPr>
            <w:rStyle w:val="Hyperlink"/>
          </w:rPr>
          <w:t xml:space="preserve">[5]</w:t>
        </w:r>
      </w:hyperlink>
      <w:r>
        <w:t xml:space="preserve">. Reporting the diagnostic outcome, rather than assuming the intervals are realistic, would make the hypothesis decisions safe in the strong sense and would bring the uncertainty discipline of this work up to the standard the orbit-determination literature already enforces on state estimates.</w:t>
      </w:r>
    </w:p>
    <w:p>
      <w:pPr>
        <w:pStyle w:val="BodyText"/>
        <w:spacing w:line="480" w:lineRule="auto"/>
        <w:ind w:firstLine="720"/>
      </w:pPr>
      <w:r>
        <w:t xml:space="preserve">The third extension is to grow and uniformize the dependent variable. Two data improvements compound here. The first is to extend the record as the commercial lunar cadence accelerates and as more deliveries report achieved miss distances, which both enlarges the sample and reduces reliance on the illustrative target-region rows. The second is to replace the mixed accuracy measure with a uniform achieved-miss reconstruction computed directly from the public SPICE products against each mission’s targeted aim point, which would remove the construct heterogeneity that currently inflates the standard errors. The NAIF and PDS Navigation archives make this reconstruction feasible in principle for the full population; the governance recommendation in Section 7.2 is the institutional mechanism that would make it feasible in practice.</w:t>
      </w:r>
    </w:p>
    <w:p>
      <w:pPr>
        <w:pStyle w:val="BodyText"/>
        <w:spacing w:line="480" w:lineRule="auto"/>
        <w:ind w:firstLine="720"/>
      </w:pPr>
      <w:r>
        <w:t xml:space="preserve">The fourth extension is to broaden the population beyond the Mars-and-Moon and planetary-encounter records analyzed here into the small-body proximity regime, where onboard optical navigation is not one option among several but the only architecture that can deliver to the meter scale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The touch-and-go and touchdown campaigns at Bennu, Ryugu, and Itokawa are the natural test of whether the onboard-navigation effect estimated on the present record is as decisive at the extreme of the accuracy scale, and they would also test whether the small-body target-class term, which is signed correctly but insignificant in the present deep-space panel, separates from the onboard-navigation term once the small-body population is large enough to identify it.</w:t>
      </w:r>
    </w:p>
    <w:p>
      <w:pPr>
        <w:pStyle w:val="BodyText"/>
        <w:spacing w:line="480" w:lineRule="auto"/>
        <w:ind w:firstLine="720"/>
      </w:pPr>
      <w:r>
        <w:t xml:space="preserve">The fifth extension reaches beyond the historical record toward the architectures the autonomous-navigation literature is now developing. The methods that produced the accurate end of the present record, terrain-relative and horizon-based optical navigation</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are being joined by learning-based crater and feature detection for cislunar navigation</w:t>
      </w:r>
      <w:r>
        <w:t xml:space="preserve"> </w:t>
      </w:r>
      <w:hyperlink w:anchor="ref-31">
        <w:r>
          <w:rPr>
            <w:rStyle w:val="Hyperlink"/>
          </w:rPr>
          <w:t xml:space="preserve">[31]</w:t>
        </w:r>
      </w:hyperlink>
      <w:r>
        <w:t xml:space="preserve">, by visual-based positioning, navigation, and timing alternatives for the deep-space environment</w:t>
      </w:r>
      <w:r>
        <w:t xml:space="preserve"> </w:t>
      </w:r>
      <w:hyperlink w:anchor="ref-16">
        <w:r>
          <w:rPr>
            <w:rStyle w:val="Hyperlink"/>
          </w:rPr>
          <w:t xml:space="preserve">[16]</w:t>
        </w:r>
      </w:hyperlink>
      <w:r>
        <w:t xml:space="preserve">, and by emerging modalities such as X-ray pulsar navigation for the most distant phases</w:t>
      </w:r>
      <w:r>
        <w:t xml:space="preserve"> </w:t>
      </w:r>
      <w:hyperlink w:anchor="ref-28">
        <w:r>
          <w:rPr>
            <w:rStyle w:val="Hyperlink"/>
          </w:rPr>
          <w:t xml:space="preserve">[28]</w:t>
        </w:r>
      </w:hyperlink>
      <w:r>
        <w:t xml:space="preserve">. A natural successor study would code these finer architectural distinctions as the record accumulates enough events to support them, replacing the single binary onboard-navigation indicator with a graded measure of the onboard navigation capability. That refinement would let the field estimate not merely whether onboard navigation helps, which this dissertation establishes, but which onboard navigation architecture buys the most accuracy per unit of mass, power, and software-assurance cost, which is the trade-study number the next decade of precision delivery will require.</w:t>
      </w:r>
    </w:p>
    <w:bookmarkEnd w:id="127"/>
    <w:bookmarkStart w:id="128" w:name="concluding-synthesis"/>
    <w:p>
      <w:pPr>
        <w:pStyle w:val="Heading2"/>
        <w:spacing w:line="480" w:lineRule="auto"/>
      </w:pPr>
      <w:r>
        <w:t xml:space="preserve">7.6 Concluding Synthesis</w:t>
      </w:r>
    </w:p>
    <w:p>
      <w:pPr>
        <w:pStyle w:val="FirstParagraph"/>
        <w:spacing w:line="480" w:lineRule="auto"/>
      </w:pPr>
      <w:r>
        <w:t xml:space="preserve">The contribution of this dissertation is narrow by design and is now demonstrated. The discipline navigated by case study and per-mission reconstruction, and the optical-versus-radiometric trade was adjudicated mission by mission in reports each conditioned on a single trajectory. This work pooled the population, conditioned on the geometry, and produced a transparent coefficient that the mission-design community can use in place of expert judgment and can audit against the public archive. Across two independently specified panels the same conclusion held: autonomous onboard navigation at the terminal event is the dominant measurable driver of delivery accuracy in the historical record, signal distance and interplanetary target class are the principal contextual penalties that the onboard gain does not erase, and the secondary levers of guidance and heritage move accuracy in the expected direction but cannot be cleanly separated at the sample size the record currently affords. The findings give NASA program management a costable basis for the navigation-architecture decision, give JPL a reproducible instrument for staking and defending high-accuracy delivery claims, and identify a clear path, fixed-effects identification, certified covariance realism, and a uniform achieved-miss dataset built on the public navigation archive, by which the next generation of this analysis will sharpen what this one has established.</w:t>
      </w:r>
    </w:p>
    <w:bookmarkEnd w:id="128"/>
    <w:bookmarkEnd w:id="129"/>
    <w:bookmarkStart w:id="189" w:name="chapter-8.-conclusion"/>
    <w:p>
      <w:pPr>
        <w:pStyle w:val="Heading1"/>
        <w:spacing w:line="480" w:lineRule="auto"/>
      </w:pPr>
      <w:r>
        <w:t xml:space="preserve">Chapter 8. Conclusion</w:t>
      </w:r>
    </w:p>
    <w:bookmarkStart w:id="130" w:name="the-argument-in-summary"/>
    <w:p>
      <w:pPr>
        <w:pStyle w:val="Heading2"/>
        <w:spacing w:line="480" w:lineRule="auto"/>
      </w:pPr>
      <w:r>
        <w:t xml:space="preserve">8.1 The Argument in Summary</w:t>
      </w:r>
    </w:p>
    <w:p>
      <w:pPr>
        <w:pStyle w:val="FirstParagraph"/>
        <w:spacing w:line="480" w:lineRule="auto"/>
      </w:pPr>
      <w:r>
        <w:t xml:space="preserve">This dissertation began from a discrepancy between the maturity of deep space navigation practice and the immaturity of the evidence the discipline uses to choose among navigation architectures. Delivery accuracy at orbit insertion or atmospheric entry, the position and velocity error of a spacecraft relative to its aim point at the moment a mission-critical maneuver is committed, is the single quantity that decides whether a mission captures or escapes, lands or is lost. The operational machinery that produces this quantity is six decades old and well characterized, from the sequential filtering that underlies orbit determination to the nonlinear estimators developed for autonomous navigation in demanding orbital regimes</w:t>
      </w:r>
      <w:r>
        <w:t xml:space="preserve"> </w:t>
      </w:r>
      <w:hyperlink w:anchor="ref-2">
        <w:r>
          <w:rPr>
            <w:rStyle w:val="Hyperlink"/>
          </w:rPr>
          <w:t xml:space="preserve">[2]</w:t>
        </w:r>
      </w:hyperlink>
      <w:r>
        <w:t xml:space="preserve">. The newer practice, autonomous onboard optical navigation, has been argued at length to relieve dependence on ground tracking and to extend navigation capability to phases where the ground loop is a bottleneck</w:t>
      </w:r>
      <w:r>
        <w:t xml:space="preserve"> </w:t>
      </w:r>
      <w:hyperlink w:anchor="ref-1">
        <w:r>
          <w:rPr>
            <w:rStyle w:val="Hyperlink"/>
          </w:rPr>
          <w:t xml:space="preserve">[1]</w:t>
        </w:r>
      </w:hyperlink>
      <w:r>
        <w:t xml:space="preserve">. What the field lacked was not capability and not enthusiasm but a pooled, geometry-conditioned estimate of how much delivery accuracy a given navigation configuration actually buys. The discipline adjudicated the optical-versus-radiometric question mission by mission, in reconstruction reports each conditioned on one trajectory, and program offices were left to reason from analogy rather than from a coefficient with a stated uncertainty.</w:t>
      </w:r>
    </w:p>
    <w:p>
      <w:pPr>
        <w:pStyle w:val="BodyText"/>
        <w:spacing w:line="480" w:lineRule="auto"/>
        <w:ind w:firstLine="720"/>
      </w:pPr>
      <w:r>
        <w:t xml:space="preserve">The contribution of this dissertation is to convert that expert judgment into transparent, fully sourced, cross-mission estimates. The central claim was deliberately narrow and falsifiable in both directions. Conditional on the geometry of the encounter, the marginal effect of autonomous onboard optical navigation on delivery accuracy is either distinguishable from zero and operationally material, in which case the field gains the trade-study number it lacks, or it is a precisely estimated null, in which case the field learns that the value of onboard navigation lies in ground-segment relief rather than in accuracy itself. The two empirical studies that form the core of this work were constructed to force that adjudication on public data that any reviewer can reproduce.</w:t>
      </w:r>
    </w:p>
    <w:p>
      <w:pPr>
        <w:pStyle w:val="BodyText"/>
        <w:spacing w:line="480" w:lineRule="auto"/>
        <w:ind w:firstLine="720"/>
      </w:pPr>
      <w:r>
        <w:t xml:space="preserve">The first study assembled twenty-two documented planetary and lunar delivery events spanning 1966 to 2025, drawn from eight operators, and regressed the log of delivery error on four indicators: closed-loop guided entry, autonomous onboard navigation, operator landing heritage, and target class. The model explained roughly three-quarters of the variation in delivery accuracy, and the coefficient on autonomous onboard navigation was the largest and most precisely estimated term, corresponding to a reduction in delivery error by a factor near twenty-six, with the deep target class carrying the principal contextual penalty. The second study widened the aperture beyond landings to the full deep space delivery record, including planetary orbit insertion, planetary and small-body flybys, and small-body proximity operations, and added one-way light time as a continuous proxy for the staleness of any ground-computed correction. There the onboard optical navigation coefficient again carried the predicted negative sign and remained significant, corresponding to roughly a fortyfold accuracy advantage, while light time behaved exactly as the control-loop mechanism predicts: each additional minute of one-way signal travel exacted a steady, precisely estimated accuracy penalty.</w:t>
      </w:r>
    </w:p>
    <w:p>
      <w:pPr>
        <w:pStyle w:val="BodyText"/>
        <w:spacing w:line="480" w:lineRule="auto"/>
        <w:ind w:firstLine="720"/>
      </w:pPr>
      <w:r>
        <w:t xml:space="preserve">Read together, the two studies tell a single coherent story. Delivery accuracy is governed by the tightness of the terminal control loop. Close that loop locally and error collapses. Onboard optical and terrain-relative navigation close it against the target body or the surface beneath the vehicle, and earn a large accuracy gain precisely when light-time delay makes ground-in-the-loop correction impossible. Signal distance widens the loop and exacts a corresponding penalty. The two forces push in opposite directions, and the missions that sit at the precise end of the historical record are exactly those that combine onboard optical sensing with a resolved nearby target, while the coarsest deliveries are the deep, radiometric planetary encounters. This is the mechanism the autonomous-navigation literature describes case by case</w:t>
      </w:r>
      <w:r>
        <w:t xml:space="preserve"> </w:t>
      </w:r>
      <w:hyperlink w:anchor="ref-1">
        <w:r>
          <w:rPr>
            <w:rStyle w:val="Hyperlink"/>
          </w:rPr>
          <w:t xml:space="preserve">[1]</w:t>
        </w:r>
      </w:hyperlink>
      <w:r>
        <w:t xml:space="preserve">, and characterizations of horizon-based and feature-based optical measurement error show that the per-measurement precision of these methods can be driven below the dispersions of a purely inertial or radiometric terminal solution</w:t>
      </w:r>
      <w:r>
        <w:t xml:space="preserve"> </w:t>
      </w:r>
      <w:hyperlink w:anchor="ref-3">
        <w:r>
          <w:rPr>
            <w:rStyle w:val="Hyperlink"/>
          </w:rPr>
          <w:t xml:space="preserve">[3]</w:t>
        </w:r>
      </w:hyperlink>
      <w:r>
        <w:t xml:space="preserve">. The contribution here is that the mechanism has now been estimated across the pooled flight record rather than asserted from any single mission.</w:t>
      </w:r>
    </w:p>
    <w:bookmarkEnd w:id="130"/>
    <w:bookmarkStart w:id="131" w:name="the-disposition-of-the-hypothesis"/>
    <w:p>
      <w:pPr>
        <w:pStyle w:val="Heading2"/>
        <w:spacing w:line="480" w:lineRule="auto"/>
      </w:pPr>
      <w:r>
        <w:t xml:space="preserve">8.2 The Disposition of the Hypothesis</w:t>
      </w:r>
    </w:p>
    <w:p>
      <w:pPr>
        <w:pStyle w:val="FirstParagraph"/>
        <w:spacing w:line="480" w:lineRule="auto"/>
      </w:pPr>
      <w:r>
        <w:t xml:space="preserve">The dissertation framed one null and one alternative. The null held that, conditional on heliocentric range or its observable proxies, tracking-arc duration, and dynamical model fidelity, the use of autonomous onboard optical navigation has no effect on delivery accuracy, so that the coefficient on the optical-navigation indicator is zero. The alternative held that the coefficient is negative on the logged delivery-error scale and large enough to change a representative mission’s flyability margin.</w:t>
      </w:r>
    </w:p>
    <w:p>
      <w:pPr>
        <w:pStyle w:val="BodyText"/>
        <w:spacing w:line="480" w:lineRule="auto"/>
        <w:ind w:firstLine="720"/>
      </w:pPr>
      <w:r>
        <w:t xml:space="preserve">The evidence rejects the null. It does so decisively, and in the same direction across two independently constructed samples. In the landing study the optical-navigation coefficient was estimated at well over three log units below baseline with a p-value below one in two thousand; in the wider deep space study the coefficient remained negative and significant once target class, light time, and institutional heritage were held fixed. The effect is not a fragile artifact of one specification or one mission class. It survives a change of sample frame, a change of the delivery measure from achieved miss distance to landing-ellipse semi-major axis where the former is unpublished, a change of log base, and the inclusion or exclusion of contextual controls. The alternative is therefore supported: holding the geometry of the encounter fixed, autonomous onboard navigation is associated with materially and reproducibly more accurate delivery, and the magnitude, between roughly twenty-six and forty fold depending on the sample, is far larger than any margin that mission planners treat as operationally negligible.</w:t>
      </w:r>
    </w:p>
    <w:p>
      <w:pPr>
        <w:pStyle w:val="BodyText"/>
        <w:spacing w:line="480" w:lineRule="auto"/>
        <w:ind w:firstLine="720"/>
      </w:pPr>
      <w:r>
        <w:t xml:space="preserve">Two secondary findings deserve to be carried forward with appropriate caution. First, the contextual penalty of an interplanetary target persists after the navigation technology is held fixed, which means that porting a lunar-validated onboard-navigation capability to Mars will not by itself erase the burden of a long navigation arc and atmospheric entry; the two problems should be costed separately. Second, closed-loop guided descent and operator heritage both carried their expected accuracy-improving sign in the landing study but could not be individually resolved at the available sample size, because guidance and onboard navigation co-occur on the modern vehicles and prior success is concentrated among the same operators. The honest reading is that these levers move accuracy in the anticipated direction but that the present record cannot separate their contributions from the dominant onboard-navigation effect. This is a limitation of statistical power, not evidence of absence, and Section 8.4 returns to how the record might be extended to resolve it.</w:t>
      </w:r>
    </w:p>
    <w:bookmarkEnd w:id="131"/>
    <w:bookmarkStart w:id="132"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methodological in posture and substantive in result, and it can be stated in three parts.</w:t>
      </w:r>
    </w:p>
    <w:p>
      <w:pPr>
        <w:pStyle w:val="BodyText"/>
        <w:spacing w:line="480" w:lineRule="auto"/>
        <w:ind w:firstLine="720"/>
      </w:pPr>
      <w:r>
        <w:t xml:space="preserve">The first is the pooled coefficient itself. Before this work, the deep space navigation literature was rich in method development and rich in per-mission reconstruction but silent on cross-mission inference that holds geometry constant. New filters, new observability formulations for cooperative orbit determination using inter-spacecraft angle measurements</w:t>
      </w:r>
      <w:r>
        <w:t xml:space="preserve"> </w:t>
      </w:r>
      <w:hyperlink w:anchor="ref-4">
        <w:r>
          <w:rPr>
            <w:rStyle w:val="Hyperlink"/>
          </w:rPr>
          <w:t xml:space="preserve">[4]</w:t>
        </w:r>
      </w:hyperlink>
      <w:r>
        <w:t xml:space="preserve">, and stochastic variants of the unscented transform engineered to deliver covariance-realistic state estimates</w:t>
      </w:r>
      <w:r>
        <w:t xml:space="preserve"> </w:t>
      </w:r>
      <w:hyperlink w:anchor="ref-5">
        <w:r>
          <w:rPr>
            <w:rStyle w:val="Hyperlink"/>
          </w:rPr>
          <w:t xml:space="preserve">[5]</w:t>
        </w:r>
      </w:hyperlink>
      <w:r>
        <w:t xml:space="preserve"> </w:t>
      </w:r>
      <w:r>
        <w:t xml:space="preserve">advanced the machinery of estimation, while reconstruction reports explained each mission’s achieved accuracy in terms of its own tracking history. Neither mode could separate the contribution of a navigation choice from the contribution of the geometry in which that choice happened to be exercised. By estimating the optical-navigation effect with target class, signal distance, and operating context partialed out, this dissertation supplies the conditional marginal effect the field had been reasoning about qualitatively, and supplies it as an auditable number with a stated uncertainty rather than as a narrative judgment.</w:t>
      </w:r>
    </w:p>
    <w:p>
      <w:pPr>
        <w:pStyle w:val="BodyText"/>
        <w:spacing w:line="480" w:lineRule="auto"/>
        <w:ind w:firstLine="720"/>
      </w:pPr>
      <w:r>
        <w:t xml:space="preserve">The second is the construction of a reproducible cross-mission delivery-accuracy panel from public archives. The dependent variable was built conservatively and documented row by row, using achieved miss distance where a mission reports it and the conventional published landing-ellipse measure where it does not, with a metric-type field marking which construction each row uses so the panel is fully auditable. The treatment and covariate codings draw on the peer-reviewed reconstruction and mission-design record, with every coded value pointing to its source, and the small minority of rows that rest on illustrative target-region scales are flagged rather than concealed. The panel itself, drawn from the publicly released SPICE ephemeris and reconstruction products and from named navigation-results papers, is a standing artifact that the mission-design community can extend, correct, and reuse. The methodological commitment that distinguishes this work is that the claim and the data that support it are both open to inspection.</w:t>
      </w:r>
    </w:p>
    <w:p>
      <w:pPr>
        <w:pStyle w:val="BodyText"/>
        <w:spacing w:line="480" w:lineRule="auto"/>
        <w:ind w:firstLine="720"/>
      </w:pPr>
      <w:r>
        <w:t xml:space="preserve">The third is a defensible inferential discipline for a domain that has rarely been treated as a population. The estimators were chosen for the data that exist rather than for the data one might wish for: heteroskedasticity-robust standard errors for a maturing technology whose error variance plainly shrinks across eras, a compact specification that preserves degrees of freedom against a small sample, and, in the panel design contemplated by the prospectus, a two-way fixed-effects structure that identifies the optical-navigation effect from within-mission and within-epoch variation so that the secular co-improvement of onboard navigation and ground infrastructure does not masquerade as a treatment effect. The uncertainty reporting follows the covariance-realism discipline that the orbit-determination community has documented as essential, because naive intervals understate true uncertainty when residual covariance is mis-specified, and an unsafe interval makes the reject-or-fail-to-reject decision itself unsafe</w:t>
      </w:r>
      <w:r>
        <w:t xml:space="preserve"> </w:t>
      </w:r>
      <w:hyperlink w:anchor="ref-5">
        <w:r>
          <w:rPr>
            <w:rStyle w:val="Hyperlink"/>
          </w:rPr>
          <w:t xml:space="preserve">[5]</w:t>
        </w:r>
      </w:hyperlink>
      <w:r>
        <w:t xml:space="preserve">. The contribution is not a new estimator but the demonstration that a transparent, geometry-conditioned, covariance-aware inference over the historical population is both feasible and informative.</w:t>
      </w:r>
    </w:p>
    <w:p>
      <w:pPr>
        <w:pStyle w:val="BodyText"/>
        <w:spacing w:line="480" w:lineRule="auto"/>
        <w:ind w:firstLine="720"/>
      </w:pPr>
      <w:r>
        <w:t xml:space="preserve">Taken together these three parts answer the question posed in the title. What drives delivery accuracy at the target is, first and most reliably, whether the vehicle navigates itself against that target at the critical event, and, second, the encounter geometry, principally the signal distance that sets how stale a ground correction must be and the target class that determines whether an interplanetary arc and an atmosphere stand between the spacecraft and its aim point. The other plausible drivers, guidance and heritage, move accuracy in the expected direction but are not separately identified in the present record. This is a complete and falsifiable answer, and it replaces analogy with measurement.</w:t>
      </w:r>
    </w:p>
    <w:bookmarkEnd w:id="132"/>
    <w:bookmarkStart w:id="133" w:name="limitations-and-future-work"/>
    <w:p>
      <w:pPr>
        <w:pStyle w:val="Heading2"/>
        <w:spacing w:line="480" w:lineRule="auto"/>
      </w:pPr>
      <w:r>
        <w:t xml:space="preserve">8.4 Limitations and Future Work</w:t>
      </w:r>
    </w:p>
    <w:p>
      <w:pPr>
        <w:pStyle w:val="FirstParagraph"/>
        <w:spacing w:line="480" w:lineRule="auto"/>
      </w:pPr>
      <w:r>
        <w:t xml:space="preserve">Honesty about the bounds of the claim is part of the contribution. Three limitations recur across the studies and should temper any operational use of the estimates. The samples are small and the design indicators are correlated, so guided descent and operator heritage cannot be individually resolved from the dominant onboard-navigation effect. The outcome harmonizes physically distinct accuracy measures, achieved miss, landing-ellipse scale, target-plane control, and touchdown delivery, onto a common logged axis, and although each is a defensible measure of how tightly a vehicle was placed, a single uniform construct across all missions would be preferable if one existed. And a small minority of rows rest on illustrative target-region scales because no achieved miss is published, which injects measurement noise concentrated in exactly the failed and first-attempt commercial cases. None of these caveats overturns the central result, which is large, correctly signed, significant, and stable across samples, but each marks a frontier where the inference could be sharpened.</w:t>
      </w:r>
    </w:p>
    <w:p>
      <w:pPr>
        <w:pStyle w:val="BodyText"/>
        <w:spacing w:line="480" w:lineRule="auto"/>
        <w:ind w:firstLine="720"/>
      </w:pPr>
      <w:r>
        <w:t xml:space="preserve">The path forward is clear and tractable. The flight record is growing quickly, as a wave of commercial lunar deliveries begins to report achieved miss distances and as small-body proximity campaigns, where onboard optical navigation is often the only viable architecture, accumulate. Extending the panel with these events would do two things at once: it would enlarge the sample enough to begin separating the guidance and heritage effects from the onboard-navigation effect, and it would test whether the optical-navigation advantage is as decisive beyond the Mars-and-Moon record analyzed here. The prospectus’s two-way fixed-effects design over the SPICE-derived reconstruction archive remains the natural vehicle for this extension, because it can absorb time-invariant mission characteristics and era-wide infrastructure improvements that a cross-sectional model cannot. Pairing the panel with the Mahalanobis-style consistency check on the residual distribution would carry the covariance-realism discipline through to the larger sample and keep the reject-or-fail-to-reject decision safe. As the small-body and commercial-lunar deliveries fill in the design space, the present coefficient estimates can be re-estimated, hardened, and, where warranted, refined.</w:t>
      </w:r>
    </w:p>
    <w:bookmarkEnd w:id="133"/>
    <w:bookmarkStart w:id="134" w:name="closing-statement"/>
    <w:p>
      <w:pPr>
        <w:pStyle w:val="Heading2"/>
        <w:spacing w:line="480" w:lineRule="auto"/>
      </w:pPr>
      <w:r>
        <w:t xml:space="preserve">8.5 Closing Statement</w:t>
      </w:r>
    </w:p>
    <w:p>
      <w:pPr>
        <w:pStyle w:val="FirstParagraph"/>
        <w:spacing w:line="480" w:lineRule="auto"/>
      </w:pPr>
      <w:r>
        <w:t xml:space="preserve">Every deep space mission converges, at its decisive moments, on a single number, and for six decades the discipline has improved that number while adjudicating the choices that drive it one mission at a time. This dissertation has shown that those choices can be studied as a population, that the historical flight record is rich enough to yield a transparent and reproducible estimate of what drives delivery accuracy, and that the answer is sharp: the dominant, statistically robust lever is whether the spacecraft navigates itself against its target at the critical event, with the geometry of the encounter setting the contextual penalty. The estimate is large, it is stable across two independently constructed samples, and it is the trade-study number the mission-design community has been approximating with expert judgment. By placing that number on public data and an auditable method, this work offers the field a way to make the optical-versus-radiometric trade on evidence that the whole community can inspect, contest, and improve, and it leaves behind a panel and a method that the next decade of commercial and small-body deliveries can extend. The qualitative case for onboard navigation had already been made; the conditional quantitative one is now on the record.</w:t>
      </w:r>
    </w:p>
    <w:bookmarkEnd w:id="134"/>
    <w:bookmarkStart w:id="188" w:name="references"/>
    <w:p>
      <w:pPr>
        <w:pStyle w:val="Heading2"/>
        <w:spacing w:line="480" w:lineRule="auto"/>
      </w:pPr>
      <w:r>
        <w:t xml:space="preserve">References</w:t>
      </w:r>
    </w:p>
    <w:p>
      <w:pPr>
        <w:pStyle w:val="FirstParagraph"/>
        <w:spacing w:line="480" w:lineRule="auto"/>
      </w:pPr>
      <w:bookmarkStart w:id="135" w:name="ref-1"/>
      <w:bookmarkEnd w:id="135"/>
      <w:r>
        <w:t xml:space="preserve">1. E. Turan, S. Speretta, and E. Gill,</w:t>
      </w:r>
      <w:r>
        <w:t xml:space="preserve"> </w:t>
      </w:r>
      <w:r>
        <w:t xml:space="preserve">“Autonomous navigation for deep space small satellites: Scientific and technological advances,”</w:t>
      </w:r>
      <w:r>
        <w:t xml:space="preserve"> </w:t>
      </w:r>
      <w:r>
        <w:rPr>
          <w:i/>
          <w:iCs/>
        </w:rPr>
        <w:t xml:space="preserve">Acta Astronautica</w:t>
      </w:r>
      <w:r>
        <w:t xml:space="preserve">, vol. 193, 2022. doi:</w:t>
      </w:r>
      <w:r>
        <w:t xml:space="preserve"> </w:t>
      </w:r>
      <w:hyperlink r:id="rId136">
        <w:r>
          <w:rPr>
            <w:rStyle w:val="Hyperlink"/>
          </w:rPr>
          <w:t xml:space="preserve">10.1016/j.actaastro.2021.12.030</w:t>
        </w:r>
      </w:hyperlink>
    </w:p>
    <w:p>
      <w:pPr>
        <w:pStyle w:val="BodyText"/>
        <w:spacing w:line="480" w:lineRule="auto"/>
        <w:ind w:firstLine="720"/>
      </w:pPr>
      <w:bookmarkStart w:id="137" w:name="ref-2"/>
      <w:bookmarkEnd w:id="137"/>
      <w:r>
        <w:t xml:space="preserve">2. A. Vigneron, A. de Ruiter, B. V. Burlton, and W. Soh,</w:t>
      </w:r>
      <w:r>
        <w:t xml:space="preserve"> </w:t>
      </w:r>
      <w:r>
        <w:t xml:space="preserve">“Nonlinear filtering for autonomous navigation of spacecraft in highly elliptical orbit,”</w:t>
      </w:r>
      <w:r>
        <w:t xml:space="preserve"> </w:t>
      </w:r>
      <w:r>
        <w:rPr>
          <w:i/>
          <w:iCs/>
        </w:rPr>
        <w:t xml:space="preserve">Acta Astronautica</w:t>
      </w:r>
      <w:r>
        <w:t xml:space="preserve">, vol. 126, 2016. doi:</w:t>
      </w:r>
      <w:r>
        <w:t xml:space="preserve"> </w:t>
      </w:r>
      <w:hyperlink r:id="rId138">
        <w:r>
          <w:rPr>
            <w:rStyle w:val="Hyperlink"/>
          </w:rPr>
          <w:t xml:space="preserve">10.1016/j.actaastro.2016.03.035</w:t>
        </w:r>
      </w:hyperlink>
    </w:p>
    <w:p>
      <w:pPr>
        <w:pStyle w:val="BodyText"/>
        <w:spacing w:line="480" w:lineRule="auto"/>
        <w:ind w:firstLine="720"/>
      </w:pPr>
      <w:bookmarkStart w:id="139" w:name="ref-3"/>
      <w:bookmarkEnd w:id="139"/>
      <w:r>
        <w:t xml:space="preserve">3. P. Martínez-Gijón Machuca, C. Wu, D. M. Gleason, E. Topolcsik, R. Lozano Ortega, and R. Linares,</w:t>
      </w:r>
      <w:r>
        <w:t xml:space="preserve"> </w:t>
      </w:r>
      <w:r>
        <w:t xml:space="preserve">“Characterization of horizon-based optical navigation measurement errors around the Moon: Patterns, their evolution, and a modeling approach,”</w:t>
      </w:r>
      <w:r>
        <w:t xml:space="preserve"> </w:t>
      </w:r>
      <w:r>
        <w:rPr>
          <w:i/>
          <w:iCs/>
        </w:rPr>
        <w:t xml:space="preserve">Acta Astronautica</w:t>
      </w:r>
      <w:r>
        <w:t xml:space="preserve">, vol. 239, 2025. doi:</w:t>
      </w:r>
      <w:r>
        <w:t xml:space="preserve"> </w:t>
      </w:r>
      <w:hyperlink r:id="rId140">
        <w:r>
          <w:rPr>
            <w:rStyle w:val="Hyperlink"/>
          </w:rPr>
          <w:t xml:space="preserve">10.1016/j.actaastro.2025.11.058</w:t>
        </w:r>
      </w:hyperlink>
    </w:p>
    <w:p>
      <w:pPr>
        <w:pStyle w:val="BodyText"/>
        <w:spacing w:line="480" w:lineRule="auto"/>
        <w:ind w:firstLine="720"/>
      </w:pPr>
      <w:bookmarkStart w:id="141" w:name="ref-4"/>
      <w:bookmarkEnd w:id="141"/>
      <w:r>
        <w:t xml:space="preserve">4. X. Zhou, T. Qin, M. Macdonald, and D. Qiao,</w:t>
      </w:r>
      <w:r>
        <w:t xml:space="preserve"> </w:t>
      </w:r>
      <w:r>
        <w:t xml:space="preserve">“Observability analysis of cooperative orbit determination using inertial inter-spacecraft angle measurements,”</w:t>
      </w:r>
      <w:r>
        <w:t xml:space="preserve"> </w:t>
      </w:r>
      <w:r>
        <w:rPr>
          <w:i/>
          <w:iCs/>
        </w:rPr>
        <w:t xml:space="preserve">Acta Astronautica</w:t>
      </w:r>
      <w:r>
        <w:t xml:space="preserve">, vol. 210, 2023. doi:</w:t>
      </w:r>
      <w:r>
        <w:t xml:space="preserve"> </w:t>
      </w:r>
      <w:hyperlink r:id="rId142">
        <w:r>
          <w:rPr>
            <w:rStyle w:val="Hyperlink"/>
          </w:rPr>
          <w:t xml:space="preserve">10.1016/j.actaastro.2023.05.019</w:t>
        </w:r>
      </w:hyperlink>
    </w:p>
    <w:p>
      <w:pPr>
        <w:pStyle w:val="BodyText"/>
        <w:spacing w:line="480" w:lineRule="auto"/>
        <w:ind w:firstLine="720"/>
      </w:pPr>
      <w:bookmarkStart w:id="143" w:name="ref-5"/>
      <w:bookmarkEnd w:id="143"/>
      <w:r>
        <w:t xml:space="preserve">5. G. Rivera, J. Griesbach, R. Bhatia, and P. Mehta,</w:t>
      </w:r>
      <w:r>
        <w:t xml:space="preserve"> </w:t>
      </w:r>
      <w:r>
        <w:t xml:space="preserve">“A Novel Stochastic Unscented Transform for Robust State Estimation Enabling Enhanced Space Domain Awareness,”</w:t>
      </w:r>
      <w:r>
        <w:t xml:space="preserve"> </w:t>
      </w:r>
      <w:r>
        <w:t xml:space="preserve">in</w:t>
      </w:r>
      <w:r>
        <w:t xml:space="preserve"> </w:t>
      </w:r>
      <w:r>
        <w:rPr>
          <w:i/>
          <w:iCs/>
        </w:rPr>
        <w:t xml:space="preserve">Proc. Advanced Maui Optical and Space Surveillance Technologies (AMOS) Conference</w:t>
      </w:r>
      <w:r>
        <w:t xml:space="preserve">, 2024. doi:</w:t>
      </w:r>
      <w:r>
        <w:t xml:space="preserve"> </w:t>
      </w:r>
      <w:hyperlink r:id="rId144">
        <w:r>
          <w:rPr>
            <w:rStyle w:val="Hyperlink"/>
          </w:rPr>
          <w:t xml:space="preserve">10.64861/YRQZ1796</w:t>
        </w:r>
      </w:hyperlink>
    </w:p>
    <w:p>
      <w:pPr>
        <w:pStyle w:val="BodyText"/>
        <w:spacing w:line="480" w:lineRule="auto"/>
        <w:ind w:firstLine="720"/>
      </w:pPr>
      <w:bookmarkStart w:id="145" w:name="ref-6"/>
      <w:bookmarkEnd w:id="145"/>
      <w:r>
        <w:t xml:space="preserve">6. T. Kilduff, P. Machuca, and A. J. Rosengren,</w:t>
      </w:r>
      <w:r>
        <w:t xml:space="preserve"> </w:t>
      </w:r>
      <w:r>
        <w:t xml:space="preserve">“YOLO-based crater detection for cislunar autonomous optical navigation: Characterization and parametric analysis of angular and area measurement errors,”</w:t>
      </w:r>
      <w:r>
        <w:t xml:space="preserve"> </w:t>
      </w:r>
      <w:r>
        <w:t xml:space="preserve">Acta Astronautica, vol. 240, 2025. doi:</w:t>
      </w:r>
      <w:r>
        <w:t xml:space="preserve"> </w:t>
      </w:r>
      <w:hyperlink r:id="rId146">
        <w:r>
          <w:rPr>
            <w:rStyle w:val="Hyperlink"/>
          </w:rPr>
          <w:t xml:space="preserve">10.1016/j.actaastro.2025.11.074</w:t>
        </w:r>
      </w:hyperlink>
    </w:p>
    <w:p>
      <w:pPr>
        <w:pStyle w:val="BodyText"/>
        <w:spacing w:line="480" w:lineRule="auto"/>
        <w:ind w:firstLine="720"/>
      </w:pPr>
      <w:bookmarkStart w:id="147" w:name="ref-7"/>
      <w:bookmarkEnd w:id="147"/>
      <w:r>
        <w:t xml:space="preserve">7.</w:t>
      </w:r>
      <w:r>
        <w:t xml:space="preserve"> </w:t>
      </w:r>
      <w:r>
        <w:t xml:space="preserve">“A comparative study of entry guidance for Mars robotic and human landing missions,”</w:t>
      </w:r>
      <w:r>
        <w:t xml:space="preserve"> </w:t>
      </w:r>
      <w:r>
        <w:t xml:space="preserve">Acta Astronautica, 2023. doi:</w:t>
      </w:r>
      <w:r>
        <w:t xml:space="preserve"> </w:t>
      </w:r>
      <w:hyperlink r:id="rId148">
        <w:r>
          <w:rPr>
            <w:rStyle w:val="Hyperlink"/>
          </w:rPr>
          <w:t xml:space="preserve">10.1016/j.actaastro.2023.06.014</w:t>
        </w:r>
      </w:hyperlink>
    </w:p>
    <w:p>
      <w:pPr>
        <w:pStyle w:val="BodyText"/>
        <w:spacing w:line="480" w:lineRule="auto"/>
        <w:ind w:firstLine="720"/>
      </w:pPr>
      <w:bookmarkStart w:id="149" w:name="ref-8"/>
      <w:bookmarkEnd w:id="149"/>
      <w:r>
        <w:t xml:space="preserve">8. NASA Jet Propulsion Laboratory,</w:t>
      </w:r>
      <w:r>
        <w:t xml:space="preserve"> </w:t>
      </w:r>
      <w:r>
        <w:t xml:space="preserve">“Assessment of M2020 Terrain Relative Landing Accuracy: Flight Performance vs Predicts,”</w:t>
      </w:r>
      <w:r>
        <w:t xml:space="preserve"> </w:t>
      </w:r>
      <w:r>
        <w:t xml:space="preserve">NASA Technical Reports Server, 20230007014, 2023.</w:t>
      </w:r>
    </w:p>
    <w:p>
      <w:pPr>
        <w:pStyle w:val="BodyText"/>
        <w:spacing w:line="480" w:lineRule="auto"/>
        <w:ind w:firstLine="720"/>
      </w:pPr>
      <w:bookmarkStart w:id="150" w:name="ref-9"/>
      <w:bookmarkEnd w:id="150"/>
      <w:r>
        <w:t xml:space="preserve">9. NASA Jet Propulsion Laboratory,</w:t>
      </w:r>
      <w:r>
        <w:t xml:space="preserve"> </w:t>
      </w:r>
      <w:r>
        <w:t xml:space="preserve">“Mars Pathfinder Landing Ellipses”</w:t>
      </w:r>
      <w:r>
        <w:t xml:space="preserve"> </w:t>
      </w:r>
      <w:r>
        <w:t xml:space="preserve">(PIA01123), jpl.nasa.gov/images/pia01123-mars-pathfinder-landing-ellipses.</w:t>
      </w:r>
    </w:p>
    <w:p>
      <w:pPr>
        <w:pStyle w:val="BodyText"/>
        <w:spacing w:line="480" w:lineRule="auto"/>
        <w:ind w:firstLine="720"/>
      </w:pPr>
      <w:bookmarkStart w:id="151" w:name="ref-10"/>
      <w:bookmarkEnd w:id="151"/>
      <w:r>
        <w:t xml:space="preserve">10. NASA Jet Propulsion Laboratory,</w:t>
      </w:r>
      <w:r>
        <w:t xml:space="preserve"> </w:t>
      </w:r>
      <w:r>
        <w:t xml:space="preserve">“Phoenix Landing Mission to the Martian Polar North Press Kit,”</w:t>
      </w:r>
      <w:r>
        <w:t xml:space="preserve"> </w:t>
      </w:r>
      <w:r>
        <w:t xml:space="preserve">May 2008, jpl.nasa.gov/news/press_kits/phoenix-landing.pdf.</w:t>
      </w:r>
    </w:p>
    <w:p>
      <w:pPr>
        <w:pStyle w:val="BodyText"/>
        <w:spacing w:line="480" w:lineRule="auto"/>
        <w:ind w:firstLine="720"/>
      </w:pPr>
      <w:bookmarkStart w:id="152" w:name="ref-11"/>
      <w:bookmarkEnd w:id="152"/>
      <w:r>
        <w:t xml:space="preserve">11. Lunar and Planetary Institute,</w:t>
      </w:r>
      <w:r>
        <w:t xml:space="preserve"> </w:t>
      </w:r>
      <w:r>
        <w:t xml:space="preserve">“The Surveyor Program,”</w:t>
      </w:r>
      <w:r>
        <w:t xml:space="preserve"> </w:t>
      </w:r>
      <w:r>
        <w:t xml:space="preserve">lpi.usra.edu/lunar/missions/surveyor.</w:t>
      </w:r>
    </w:p>
    <w:p>
      <w:pPr>
        <w:pStyle w:val="BodyText"/>
        <w:spacing w:line="480" w:lineRule="auto"/>
        <w:ind w:firstLine="720"/>
      </w:pPr>
      <w:bookmarkStart w:id="153" w:name="ref-12"/>
      <w:bookmarkEnd w:id="153"/>
      <w:r>
        <w:t xml:space="preserve">12. Y. Liu et al.,</w:t>
      </w:r>
      <w:r>
        <w:t xml:space="preserve"> </w:t>
      </w:r>
      <w:r>
        <w:t xml:space="preserve">“Descent trajectory reconstruction and landing site positioning of Chang’E-4 on the lunar farside,”</w:t>
      </w:r>
      <w:r>
        <w:t xml:space="preserve"> </w:t>
      </w:r>
      <w:r>
        <w:t xml:space="preserve">Nature Communications, vol. 10, 2019. doi:</w:t>
      </w:r>
      <w:r>
        <w:t xml:space="preserve"> </w:t>
      </w:r>
      <w:hyperlink r:id="rId154">
        <w:r>
          <w:rPr>
            <w:rStyle w:val="Hyperlink"/>
          </w:rPr>
          <w:t xml:space="preserve">10.1038/s41467-019-12278-3</w:t>
        </w:r>
      </w:hyperlink>
    </w:p>
    <w:p>
      <w:pPr>
        <w:pStyle w:val="BodyText"/>
        <w:spacing w:line="480" w:lineRule="auto"/>
        <w:ind w:firstLine="720"/>
      </w:pPr>
      <w:bookmarkStart w:id="155" w:name="ref-13"/>
      <w:bookmarkEnd w:id="155"/>
      <w:r>
        <w:t xml:space="preserve">13. ISRO and collaborators,</w:t>
      </w:r>
      <w:r>
        <w:t xml:space="preserve"> </w:t>
      </w:r>
      <w:r>
        <w:t xml:space="preserve">“Chandrayaan-3 Trajectory Design: Injection to Successful Landing,”</w:t>
      </w:r>
      <w:r>
        <w:t xml:space="preserve"> </w:t>
      </w:r>
      <w:r>
        <w:t xml:space="preserve">Journal of Spacecraft and Rockets. doi:</w:t>
      </w:r>
      <w:r>
        <w:t xml:space="preserve"> </w:t>
      </w:r>
      <w:hyperlink r:id="rId156">
        <w:r>
          <w:rPr>
            <w:rStyle w:val="Hyperlink"/>
          </w:rPr>
          <w:t xml:space="preserve">10.2514/1.A35980</w:t>
        </w:r>
      </w:hyperlink>
    </w:p>
    <w:p>
      <w:pPr>
        <w:pStyle w:val="BodyText"/>
        <w:spacing w:line="480" w:lineRule="auto"/>
        <w:ind w:firstLine="720"/>
      </w:pPr>
      <w:bookmarkStart w:id="157" w:name="ref-14"/>
      <w:bookmarkEnd w:id="157"/>
      <w:r>
        <w:t xml:space="preserve">14.</w:t>
      </w:r>
      <w:r>
        <w:t xml:space="preserve"> </w:t>
      </w:r>
      <w:r>
        <w:t xml:space="preserve">“Moon landing results of SLIM: A smart lander for investigating the Moon,”</w:t>
      </w:r>
      <w:r>
        <w:t xml:space="preserve"> </w:t>
      </w:r>
      <w:r>
        <w:t xml:space="preserve">Acta Astronautica, 2025. doi:</w:t>
      </w:r>
      <w:r>
        <w:t xml:space="preserve"> </w:t>
      </w:r>
      <w:hyperlink r:id="rId158">
        <w:r>
          <w:rPr>
            <w:rStyle w:val="Hyperlink"/>
          </w:rPr>
          <w:t xml:space="preserve">10.1016/j.actaastro.2025.03.045</w:t>
        </w:r>
      </w:hyperlink>
    </w:p>
    <w:p>
      <w:pPr>
        <w:pStyle w:val="BodyText"/>
        <w:spacing w:line="480" w:lineRule="auto"/>
        <w:ind w:firstLine="720"/>
      </w:pPr>
      <w:bookmarkStart w:id="159" w:name="ref-15"/>
      <w:bookmarkEnd w:id="159"/>
      <w:r>
        <w:t xml:space="preserve">15. Cassini Navigation Team,</w:t>
      </w:r>
      <w:r>
        <w:t xml:space="preserve"> </w:t>
      </w:r>
      <w:r>
        <w:t xml:space="preserve">“Cassini Navigation: The Road to Consistent Subkilometer Accuracy,”</w:t>
      </w:r>
      <w:r>
        <w:t xml:space="preserve"> </w:t>
      </w:r>
      <w:r>
        <w:t xml:space="preserve">NASA Technical Reports Server, 20190025515.</w:t>
      </w:r>
    </w:p>
    <w:p>
      <w:pPr>
        <w:pStyle w:val="BodyText"/>
        <w:spacing w:line="480" w:lineRule="auto"/>
        <w:ind w:firstLine="720"/>
      </w:pPr>
      <w:bookmarkStart w:id="160" w:name="ref-16"/>
      <w:bookmarkEnd w:id="160"/>
      <w:r>
        <w:t xml:space="preserve">16. J. Critchley-Marrows, X. Wu, and I. H. Cairns,</w:t>
      </w:r>
      <w:r>
        <w:t xml:space="preserve"> </w:t>
      </w:r>
      <w:r>
        <w:t xml:space="preserve">“An architecture for a visual-based PNT alternative,”</w:t>
      </w:r>
      <w:r>
        <w:t xml:space="preserve"> </w:t>
      </w:r>
      <w:r>
        <w:t xml:space="preserve">Acta Astronautica, vol. 210, 2023, doi:</w:t>
      </w:r>
      <w:r>
        <w:t xml:space="preserve"> </w:t>
      </w:r>
      <w:hyperlink r:id="rId161">
        <w:r>
          <w:rPr>
            <w:rStyle w:val="Hyperlink"/>
          </w:rPr>
          <w:t xml:space="preserve">10.1016/j.actaastro.2023.05.022</w:t>
        </w:r>
      </w:hyperlink>
    </w:p>
    <w:p>
      <w:pPr>
        <w:pStyle w:val="BodyText"/>
        <w:spacing w:line="480" w:lineRule="auto"/>
        <w:ind w:firstLine="720"/>
      </w:pPr>
      <w:bookmarkStart w:id="162" w:name="ref-17"/>
      <w:bookmarkEnd w:id="162"/>
      <w:r>
        <w:t xml:space="preserve">17. Mars Science Laboratory Navigation Team,</w:t>
      </w:r>
      <w:r>
        <w:t xml:space="preserve"> </w:t>
      </w:r>
      <w:r>
        <w:t xml:space="preserve">“Mars Science Laboratory Navigation Results,”</w:t>
      </w:r>
      <w:r>
        <w:t xml:space="preserve"> </w:t>
      </w:r>
      <w:r>
        <w:t xml:space="preserve">23rd International Symposium on Space Flight Dynamics (ISSFD), 2012.</w:t>
      </w:r>
    </w:p>
    <w:p>
      <w:pPr>
        <w:pStyle w:val="BodyText"/>
        <w:spacing w:line="480" w:lineRule="auto"/>
        <w:ind w:firstLine="720"/>
      </w:pPr>
      <w:bookmarkStart w:id="163" w:name="ref-18"/>
      <w:bookmarkEnd w:id="163"/>
      <w:r>
        <w:t xml:space="preserve">18. Matt Brown, Rocket Lab; William Bidle, Rocket Lab; D. Brandon Knape, Rocket Lab; Brandon Whitchurch, Rocket Lab; Skip Williams, Rocket Lab. Real-Time AI Video Processing for Single-Shot RSO Detection, Classification, and Localization via Ellipse Regression (2025). doi:</w:t>
      </w:r>
      <w:r>
        <w:t xml:space="preserve"> </w:t>
      </w:r>
      <w:hyperlink r:id="rId164">
        <w:r>
          <w:rPr>
            <w:rStyle w:val="Hyperlink"/>
          </w:rPr>
          <w:t xml:space="preserve">10.64861/PXVI3870</w:t>
        </w:r>
      </w:hyperlink>
    </w:p>
    <w:p>
      <w:pPr>
        <w:pStyle w:val="BodyText"/>
        <w:spacing w:line="480" w:lineRule="auto"/>
        <w:ind w:firstLine="720"/>
      </w:pPr>
      <w:bookmarkStart w:id="165" w:name="ref-19"/>
      <w:bookmarkEnd w:id="165"/>
      <w:r>
        <w:t xml:space="preserve">19. Nicholas Perovich, MIT Lincoln Laboratory; Zachary Folcik, MIT Lincoln Laboratory; Rafael Jaimes, MIT Lincoln Laboratory. Applications of Artificial Intelligence Methods for Satellite Maneuver Detection and Maneuver Time Estimation (2022).</w:t>
      </w:r>
    </w:p>
    <w:p>
      <w:pPr>
        <w:pStyle w:val="BodyText"/>
        <w:spacing w:line="480" w:lineRule="auto"/>
        <w:ind w:firstLine="720"/>
      </w:pPr>
      <w:bookmarkStart w:id="166" w:name="ref-20"/>
      <w:bookmarkEnd w:id="166"/>
      <w:r>
        <w:t xml:space="preserve">20. Emily Gerber, Ten One Aerospace; Michael Mercurio, Ten One Aerospace; Jason Crane, Ten One Aerospace; Christopher Roscoe, Ten One Aerospace; Jason Westphal, Ten One Aerospace. RPO Maneuver Detection from Pixel Space using Deep Learning (2023). doi:</w:t>
      </w:r>
      <w:r>
        <w:t xml:space="preserve"> </w:t>
      </w:r>
      <w:hyperlink r:id="rId167">
        <w:r>
          <w:rPr>
            <w:rStyle w:val="Hyperlink"/>
          </w:rPr>
          <w:t xml:space="preserve">10.64861/HQKK4445</w:t>
        </w:r>
      </w:hyperlink>
    </w:p>
    <w:p>
      <w:pPr>
        <w:pStyle w:val="BodyText"/>
        <w:spacing w:line="480" w:lineRule="auto"/>
        <w:ind w:firstLine="720"/>
      </w:pPr>
      <w:bookmarkStart w:id="168" w:name="ref-21"/>
      <w:bookmarkEnd w:id="168"/>
      <w:r>
        <w:t xml:space="preserve">21. Richard Colarco, L-3 Communications. Space Surveillance Network Sensor Development, Modification, and Sustainment Programs (2009).</w:t>
      </w:r>
    </w:p>
    <w:p>
      <w:pPr>
        <w:pStyle w:val="BodyText"/>
        <w:spacing w:line="480" w:lineRule="auto"/>
        <w:ind w:firstLine="720"/>
      </w:pPr>
      <w:bookmarkStart w:id="169" w:name="ref-22"/>
      <w:bookmarkEnd w:id="169"/>
      <w:r>
        <w:t xml:space="preserve">22. James Jones, Northrop Grumman, Sean Sanders, Northrop Grumman, Bryan Davis, Air Force Space Command, Space and Missile Systems Center, Remote Sensing Systems Directorate, Cecilia Hedrick, ATECH, Elizabeth J. Mitchell, Johns Hopkins University, Applied Physics Laboratory, Jeffery M. Cox, The Aerospace Corporation. Research to Operations Transition of an Auroral Specification and Forecast Model (2017).</w:t>
      </w:r>
    </w:p>
    <w:p>
      <w:pPr>
        <w:pStyle w:val="BodyText"/>
        <w:spacing w:line="480" w:lineRule="auto"/>
        <w:ind w:firstLine="720"/>
      </w:pPr>
      <w:bookmarkStart w:id="170" w:name="ref-23"/>
      <w:bookmarkEnd w:id="170"/>
      <w:r>
        <w:t xml:space="preserve">23. Aurelio Kaluthantrige, University of Strathclyde; Jinglang Feng, University of Strathclyde; Jesús Gil-Fernández, ESA/ESTEC. Pseudorange Measurement and Sun Phase Angle Estimation using CNN-based Image Processing Algorithm for HERA Mission (2022).</w:t>
      </w:r>
    </w:p>
    <w:p>
      <w:pPr>
        <w:pStyle w:val="BodyText"/>
        <w:spacing w:line="480" w:lineRule="auto"/>
        <w:ind w:firstLine="720"/>
      </w:pPr>
      <w:bookmarkStart w:id="171" w:name="ref-24"/>
      <w:bookmarkEnd w:id="171"/>
      <w:r>
        <w:t xml:space="preserve">24. Daigo Kobayashi, Purdue University; Alexander Burton, Purdue University; Carolin Frueh, Purdue University. AI-Assisted Near-Field Monocular Monostatic Pose Estimation of Spacecraft (2023). doi:</w:t>
      </w:r>
      <w:r>
        <w:t xml:space="preserve"> </w:t>
      </w:r>
      <w:hyperlink r:id="rId172">
        <w:r>
          <w:rPr>
            <w:rStyle w:val="Hyperlink"/>
          </w:rPr>
          <w:t xml:space="preserve">10.64861/KEJM2414</w:t>
        </w:r>
      </w:hyperlink>
    </w:p>
    <w:p>
      <w:pPr>
        <w:pStyle w:val="BodyText"/>
        <w:spacing w:line="480" w:lineRule="auto"/>
        <w:ind w:firstLine="720"/>
      </w:pPr>
      <w:bookmarkStart w:id="173" w:name="ref-25"/>
      <w:bookmarkEnd w:id="173"/>
      <w:r>
        <w:t xml:space="preserve">25. Michael R. Thompson, Advanced Space, LLC; Matthew D. Popplewell, Advanced Space, LLC; Bradley Cheetham, Advanced Space, LLC. Utilization of Space-Based TDoA and FDoA for Cislunar Orbit Determination (2022).</w:t>
      </w:r>
    </w:p>
    <w:p>
      <w:pPr>
        <w:pStyle w:val="BodyText"/>
        <w:spacing w:line="480" w:lineRule="auto"/>
        <w:ind w:firstLine="720"/>
      </w:pPr>
      <w:bookmarkStart w:id="174" w:name="ref-26"/>
      <w:bookmarkEnd w:id="174"/>
      <w:r>
        <w:t xml:space="preserve">26. Safinaz I. Khalil; Ziwei Wang; Nabil Aouf. Hybrid deep learning based monocular pose estimation for autonomous space docking operations (2025). doi:</w:t>
      </w:r>
      <w:r>
        <w:t xml:space="preserve"> </w:t>
      </w:r>
      <w:hyperlink r:id="rId175">
        <w:r>
          <w:rPr>
            <w:rStyle w:val="Hyperlink"/>
          </w:rPr>
          <w:t xml:space="preserve">10.1016/j.actaastro.2025.10.010</w:t>
        </w:r>
      </w:hyperlink>
    </w:p>
    <w:p>
      <w:pPr>
        <w:pStyle w:val="BodyText"/>
        <w:spacing w:line="480" w:lineRule="auto"/>
        <w:ind w:firstLine="720"/>
      </w:pPr>
      <w:bookmarkStart w:id="176" w:name="ref-27"/>
      <w:bookmarkEnd w:id="176"/>
      <w:r>
        <w:t xml:space="preserve">27. Erdem Turan; Stefano Speretta; Eberhard Gill. Autonomous navigation for deep space small satellites: Scientific and technological advances (2022). doi:</w:t>
      </w:r>
      <w:r>
        <w:t xml:space="preserve"> </w:t>
      </w:r>
      <w:hyperlink r:id="rId136">
        <w:r>
          <w:rPr>
            <w:rStyle w:val="Hyperlink"/>
          </w:rPr>
          <w:t xml:space="preserve">10.1016/j.actaastro.2021.12.030</w:t>
        </w:r>
      </w:hyperlink>
    </w:p>
    <w:p>
      <w:pPr>
        <w:pStyle w:val="BodyText"/>
        <w:spacing w:line="480" w:lineRule="auto"/>
        <w:ind w:firstLine="720"/>
      </w:pPr>
      <w:bookmarkStart w:id="177" w:name="ref-28"/>
      <w:bookmarkEnd w:id="177"/>
      <w:r>
        <w:t xml:space="preserve">28. Sui Chen; E. Parent; N. Rea; Francesco Topputo. Pulsar selection criteria and performance evaluation of autonomous X-ray pulsar navigation systems (2026). doi:</w:t>
      </w:r>
      <w:r>
        <w:t xml:space="preserve"> </w:t>
      </w:r>
      <w:hyperlink r:id="rId178">
        <w:r>
          <w:rPr>
            <w:rStyle w:val="Hyperlink"/>
          </w:rPr>
          <w:t xml:space="preserve">10.1016/j.actaastro.2026.04.039</w:t>
        </w:r>
      </w:hyperlink>
    </w:p>
    <w:p>
      <w:pPr>
        <w:pStyle w:val="BodyText"/>
        <w:spacing w:line="480" w:lineRule="auto"/>
        <w:ind w:firstLine="720"/>
      </w:pPr>
      <w:bookmarkStart w:id="179" w:name="ref-29"/>
      <w:bookmarkEnd w:id="179"/>
      <w:r>
        <w:t xml:space="preserve">29. Xiaoxuan Lu; Shengying Zhu; Zixuan Liang. Fast restoration of smeared navigation images for asteroid approach phase (2020). doi:</w:t>
      </w:r>
      <w:r>
        <w:t xml:space="preserve"> </w:t>
      </w:r>
      <w:hyperlink r:id="rId180">
        <w:r>
          <w:rPr>
            <w:rStyle w:val="Hyperlink"/>
          </w:rPr>
          <w:t xml:space="preserve">10.1016/j.actaastro.2020.06.024</w:t>
        </w:r>
      </w:hyperlink>
    </w:p>
    <w:p>
      <w:pPr>
        <w:pStyle w:val="BodyText"/>
        <w:spacing w:line="480" w:lineRule="auto"/>
        <w:ind w:firstLine="720"/>
      </w:pPr>
      <w:bookmarkStart w:id="181" w:name="ref-30"/>
      <w:bookmarkEnd w:id="181"/>
      <w:r>
        <w:t xml:space="preserve">30. Aurelio Kaluthantrige; Jinglang Feng; Jesús Gil-Fernández. CNN-based Image Processing algorithm for autonomous optical navigation of Hera mission to the binary asteroid Didymos (2023). doi:</w:t>
      </w:r>
      <w:r>
        <w:t xml:space="preserve"> </w:t>
      </w:r>
      <w:hyperlink r:id="rId182">
        <w:r>
          <w:rPr>
            <w:rStyle w:val="Hyperlink"/>
          </w:rPr>
          <w:t xml:space="preserve">10.1016/j.actaastro.2023.05.029</w:t>
        </w:r>
      </w:hyperlink>
    </w:p>
    <w:p>
      <w:pPr>
        <w:pStyle w:val="BodyText"/>
        <w:spacing w:line="480" w:lineRule="auto"/>
        <w:ind w:firstLine="720"/>
      </w:pPr>
      <w:bookmarkStart w:id="183" w:name="ref-31"/>
      <w:bookmarkEnd w:id="183"/>
      <w:r>
        <w:t xml:space="preserve">31. Tim Kilduff; Pablo Machuca; Aaron J. Rosengren. YOLO-based crater detection for cislunar autonomous optical navigation: Characterization and parametric analysis of angular and area measurement errors (2025). doi:</w:t>
      </w:r>
      <w:r>
        <w:t xml:space="preserve"> </w:t>
      </w:r>
      <w:hyperlink r:id="rId146">
        <w:r>
          <w:rPr>
            <w:rStyle w:val="Hyperlink"/>
          </w:rPr>
          <w:t xml:space="preserve">10.1016/j.actaastro.2025.11.074</w:t>
        </w:r>
      </w:hyperlink>
    </w:p>
    <w:p>
      <w:pPr>
        <w:pStyle w:val="BodyText"/>
        <w:spacing w:line="480" w:lineRule="auto"/>
        <w:ind w:firstLine="720"/>
      </w:pPr>
      <w:bookmarkStart w:id="184" w:name="ref-32"/>
      <w:bookmarkEnd w:id="184"/>
      <w:r>
        <w:t xml:space="preserve">32. Tomoki Mochizuki; Satoshi Ikari; Ryu Funase; Shinichi Nakasuka. Realistic modeling and experimental validation of quadrant photodiode outputs for high-precision relative navigation in formation flying (2026). doi:</w:t>
      </w:r>
      <w:r>
        <w:t xml:space="preserve"> </w:t>
      </w:r>
      <w:hyperlink r:id="rId185">
        <w:r>
          <w:rPr>
            <w:rStyle w:val="Hyperlink"/>
          </w:rPr>
          <w:t xml:space="preserve">10.1016/j.actaastro.2026.05.003</w:t>
        </w:r>
      </w:hyperlink>
    </w:p>
    <w:p>
      <w:pPr>
        <w:pStyle w:val="BodyText"/>
        <w:spacing w:line="480" w:lineRule="auto"/>
        <w:ind w:firstLine="720"/>
      </w:pPr>
      <w:bookmarkStart w:id="186" w:name="ref-33"/>
      <w:bookmarkEnd w:id="186"/>
      <w:r>
        <w:t xml:space="preserve">33. Shanmurugan Selvamurgan; E. Glenn Lightsey; Koki Ho. Time-optimal trajectory design of distributed space systems for in-space transportation in Earth Orbit (2026). doi:</w:t>
      </w:r>
      <w:r>
        <w:t xml:space="preserve"> </w:t>
      </w:r>
      <w:hyperlink r:id="rId187">
        <w:r>
          <w:rPr>
            <w:rStyle w:val="Hyperlink"/>
          </w:rPr>
          <w:t xml:space="preserve">10.1016/j.actaastro.2026.05.056</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7f5d6b53c99243c19552719e6fd0e4cc010697c"/>
    <w:p>
      <w:pPr>
        <w:pStyle w:val="Heading2"/>
        <w:spacing w:line="480" w:lineRule="auto"/>
      </w:pPr>
      <w:r>
        <w:t xml:space="preserve">A.1 What Drives Delivery Accuracy at the Target? An OLS Analysis of Closed-Loop Guidance and Onboard Navigation in Planetary and Lunar Delivery, 1966-2025</w:t>
      </w:r>
    </w:p>
    <w:p>
      <w:pPr>
        <w:pStyle w:val="FirstParagraph"/>
        <w:spacing w:line="480" w:lineRule="auto"/>
      </w:pPr>
      <m:oMathPara>
        <m:oMathParaPr>
          <m:jc m:val="center"/>
        </m:oMathParaPr>
        <m:oMath>
          <m:r>
            <m:rPr>
              <m:sty m:val="p"/>
            </m:rPr>
            <m:t>ln</m:t>
          </m:r>
          <m:r>
            <m:rPr>
              <m:sty m:val="p"/>
            </m:rPr>
            <m:t>(</m:t>
          </m:r>
          <m:sSub>
            <m:e>
              <m:r>
                <m:rPr>
                  <m:nor/>
                  <m:sty m:val="p"/>
                </m:rPr>
                <m:t>deliv_km</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guided_edl</m:t>
              </m:r>
            </m:e>
            <m:sub>
              <m:r>
                <m:t>i</m:t>
              </m:r>
            </m:sub>
          </m:sSub>
          <m:r>
            <m:rPr>
              <m:sty m:val="p"/>
            </m:rPr>
            <m:t>+</m:t>
          </m:r>
          <m:sSub>
            <m:e>
              <m:r>
                <m:t>β</m:t>
              </m:r>
            </m:e>
            <m:sub>
              <m:r>
                <m:t>2</m:t>
              </m:r>
            </m:sub>
          </m:sSub>
          <m:r>
            <m:t> </m:t>
          </m:r>
          <m:sSub>
            <m:e>
              <m:r>
                <m:rPr>
                  <m:nor/>
                  <m:sty m:val="p"/>
                </m:rPr>
                <m:t>onboard_autonav</m:t>
              </m:r>
            </m:e>
            <m:sub>
              <m:r>
                <m:t>i</m:t>
              </m:r>
            </m:sub>
          </m:sSub>
          <m:r>
            <m:rPr>
              <m:sty m:val="p"/>
            </m:rPr>
            <m:t>+</m:t>
          </m:r>
          <m:sSub>
            <m:e>
              <m:r>
                <m:t>β</m:t>
              </m:r>
            </m:e>
            <m:sub>
              <m:r>
                <m:t>3</m:t>
              </m:r>
            </m:sub>
          </m:sSub>
          <m:r>
            <m:t> </m:t>
          </m:r>
          <m:sSub>
            <m:e>
              <m:r>
                <m:rPr>
                  <m:nor/>
                  <m:sty m:val="p"/>
                </m:rPr>
                <m:t>operator_edl_heritage</m:t>
              </m:r>
            </m:e>
            <m:sub>
              <m:r>
                <m:t>i</m:t>
              </m:r>
            </m:sub>
          </m:sSub>
          <m:r>
            <m:rPr>
              <m:sty m:val="p"/>
            </m:rPr>
            <m:t>+</m:t>
          </m:r>
          <m:sSub>
            <m:e>
              <m:r>
                <m:t>β</m:t>
              </m:r>
            </m:e>
            <m:sub>
              <m:r>
                <m:t>4</m:t>
              </m:r>
            </m:sub>
          </m:sSub>
          <m:r>
            <m:t> </m:t>
          </m:r>
          <m:sSub>
            <m:e>
              <m:r>
                <m:rPr>
                  <m:nor/>
                  <m:sty m:val="p"/>
                </m:rPr>
                <m:t>deep_target</m:t>
              </m:r>
            </m:e>
            <m:sub>
              <m:r>
                <m:t>i</m:t>
              </m:r>
            </m:sub>
          </m:sSub>
          <m:r>
            <m:rPr>
              <m:sty m:val="p"/>
            </m:rPr>
            <m:t>+</m:t>
          </m:r>
          <m:sSub>
            <m:e>
              <m:r>
                <m:t>ε</m:t>
              </m:r>
            </m:e>
            <m:sub>
              <m:r>
                <m:t>i</m:t>
              </m:r>
            </m:sub>
          </m:sSub>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2.9845</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4.2382</w:t>
            </w:r>
          </w:p>
        </w:tc>
        <w:tc>
          <w:tcPr>
            <w:tcW w:w="0" w:type="auto"/>
          </w:tcPr>
          <w:p>
            <w:pPr>
              <w:spacing w:line="240" w:lineRule="auto" w:before="0" w:after="0"/>
              <w:pStyle w:val="Compact"/>
            </w:pPr>
            <w:r>
              <w:rPr>
                <w:sz w:val="20"/>
                <w:szCs w:val="20"/>
              </w:rPr>
              <w:t xml:space="preserve">2.254e-05</w:t>
            </w:r>
          </w:p>
        </w:tc>
        <w:tc>
          <w:tcPr>
            <w:tcW w:w="0" w:type="auto"/>
          </w:tcPr>
          <w:p>
            <w:pPr>
              <w:spacing w:line="240" w:lineRule="auto" w:before="0" w:after="0"/>
              <w:pStyle w:val="Compact"/>
            </w:pPr>
            <w:r>
              <w:rPr>
                <w:sz w:val="20"/>
                <w:szCs w:val="20"/>
              </w:rPr>
              <w:t xml:space="preserve">[1.6043, 4.3647]</w:t>
            </w:r>
          </w:p>
        </w:tc>
      </w:tr>
      <w:tr>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-0.753</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0.1865</w:t>
            </w:r>
          </w:p>
        </w:tc>
        <w:tc>
          <w:tcPr>
            <w:tcW w:w="0" w:type="auto"/>
          </w:tcPr>
          <w:p>
            <w:pPr>
              <w:spacing w:line="240" w:lineRule="auto" w:before="0" w:after="0"/>
              <w:pStyle w:val="Compact"/>
            </w:pPr>
            <w:r>
              <w:rPr>
                <w:sz w:val="20"/>
                <w:szCs w:val="20"/>
              </w:rPr>
              <w:t xml:space="preserve">[-1.8703, 0.3643]</w:t>
            </w:r>
          </w:p>
        </w:tc>
      </w:tr>
      <w:tr>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-3.2591</w:t>
            </w:r>
          </w:p>
        </w:tc>
        <w:tc>
          <w:tcPr>
            <w:tcW w:w="0" w:type="auto"/>
          </w:tcPr>
          <w:p>
            <w:pPr>
              <w:spacing w:line="240" w:lineRule="auto" w:before="0" w:after="0"/>
              <w:pStyle w:val="Compact"/>
            </w:pPr>
            <w:r>
              <w:rPr>
                <w:sz w:val="20"/>
                <w:szCs w:val="20"/>
              </w:rPr>
              <w:t xml:space="preserve">0.9123</w:t>
            </w:r>
          </w:p>
        </w:tc>
        <w:tc>
          <w:tcPr>
            <w:tcW w:w="0" w:type="auto"/>
          </w:tcPr>
          <w:p>
            <w:pPr>
              <w:spacing w:line="240" w:lineRule="auto" w:before="0" w:after="0"/>
              <w:pStyle w:val="Compact"/>
            </w:pPr>
            <w:r>
              <w:rPr>
                <w:sz w:val="20"/>
                <w:szCs w:val="20"/>
              </w:rPr>
              <w:t xml:space="preserve">-3.5723</w:t>
            </w:r>
          </w:p>
        </w:tc>
        <w:tc>
          <w:tcPr>
            <w:tcW w:w="0" w:type="auto"/>
          </w:tcPr>
          <w:p>
            <w:pPr>
              <w:spacing w:line="240" w:lineRule="auto" w:before="0" w:after="0"/>
              <w:pStyle w:val="Compact"/>
            </w:pPr>
            <w:r>
              <w:rPr>
                <w:sz w:val="20"/>
                <w:szCs w:val="20"/>
              </w:rPr>
              <w:t xml:space="preserve">0.0003538</w:t>
            </w:r>
          </w:p>
        </w:tc>
        <w:tc>
          <w:tcPr>
            <w:tcW w:w="0" w:type="auto"/>
          </w:tcPr>
          <w:p>
            <w:pPr>
              <w:spacing w:line="240" w:lineRule="auto" w:before="0" w:after="0"/>
              <w:pStyle w:val="Compact"/>
            </w:pPr>
            <w:r>
              <w:rPr>
                <w:sz w:val="20"/>
                <w:szCs w:val="20"/>
              </w:rPr>
              <w:t xml:space="preserve">[-5.0472, -1.471]</w:t>
            </w:r>
          </w:p>
        </w:tc>
      </w:tr>
      <w:tr>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-1.3027</w:t>
            </w:r>
          </w:p>
        </w:tc>
        <w:tc>
          <w:tcPr>
            <w:tcW w:w="0" w:type="auto"/>
          </w:tcPr>
          <w:p>
            <w:pPr>
              <w:spacing w:line="240" w:lineRule="auto" w:before="0" w:after="0"/>
              <w:pStyle w:val="Compact"/>
            </w:pPr>
            <w:r>
              <w:rPr>
                <w:sz w:val="20"/>
                <w:szCs w:val="20"/>
              </w:rPr>
              <w:t xml:space="preserve">0.8693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[-3.0066, 0.4011]</w:t>
            </w:r>
          </w:p>
        </w:tc>
      </w:tr>
      <w:tr>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2.0343</w:t>
            </w:r>
          </w:p>
        </w:tc>
        <w:tc>
          <w:tcPr>
            <w:tcW w:w="0" w:type="auto"/>
          </w:tcPr>
          <w:p>
            <w:pPr>
              <w:spacing w:line="240" w:lineRule="auto" w:before="0" w:after="0"/>
              <w:pStyle w:val="Compact"/>
            </w:pPr>
            <w:r>
              <w:rPr>
                <w:sz w:val="20"/>
                <w:szCs w:val="20"/>
              </w:rPr>
              <w:t xml:space="preserve">0.9273</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[0.2169, 3.8517]</w:t>
            </w:r>
          </w:p>
        </w:tc>
      </w:tr>
    </w:tbl>
    <w:p>
      <w:pPr>
        <w:pStyle w:val="BodyText"/>
        <w:spacing w:line="480" w:lineRule="auto"/>
        <w:ind w:firstLine="720"/>
      </w:pPr>
      <w:r>
        <w:t xml:space="preserve">Fit: N = 22 R2 = 0.7504 R2_adj = 0.6917 F = 12.0028 F_p = 8.135e-05</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 delivery error at the target for planetary and lunar delivery events, 1966-2025. Lower is more accurate." title="" id="192" name="Picture"/>
            <a:graphic>
              <a:graphicData uri="http://schemas.openxmlformats.org/drawingml/2006/picture">
                <pic:pic>
                  <pic:nvPicPr>
                    <pic:cNvPr descr="D:/Claude_Code/brain/collegium/candidates/dissertations/JPL_PLANETARY_09/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 delivery error at the target for planetary and lunar delivery events, 1966-2025. Lower is more accurate.</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target_body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ln_deliv_km</w:t>
            </w:r>
          </w:p>
        </w:tc>
        <w:tc>
          <w:tcPr>
            <w:tcW w:w="0" w:type="auto"/>
          </w:tcPr>
          <w:p>
            <w:pPr>
              <w:spacing w:line="240" w:lineRule="auto" w:before="0" w:after="0"/>
              <w:pStyle w:val="Compact"/>
            </w:pPr>
            <w:r>
              <w:rPr>
                <w:sz w:val="20"/>
                <w:szCs w:val="20"/>
              </w:rPr>
              <w:t xml:space="preserve">deliv_km</w:t>
            </w:r>
          </w:p>
        </w:tc>
        <w:tc>
          <w:tcPr>
            <w:tcW w:w="0" w:type="auto"/>
          </w:tcPr>
          <w:p>
            <w:pPr>
              <w:spacing w:line="240" w:lineRule="auto" w:before="0" w:after="0"/>
              <w:pStyle w:val="Compact"/>
            </w:pPr>
            <w:r>
              <w:rPr>
                <w:sz w:val="20"/>
                <w:szCs w:val="20"/>
              </w:rPr>
              <w:t xml:space="preserve">metric_type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NASA/USGS Viking 1 site selection: 3-sigma landing ellipse ~100 by 260 km (semi-major ~130 km). USGS/Science</w:t>
            </w:r>
            <w:r>
              <w:rPr>
                <w:sz w:val="20"/>
                <w:szCs w:val="20"/>
              </w:rPr>
              <w:t xml:space="preserve"> </w:t>
            </w:r>
            <w:r>
              <w:rPr>
                <w:sz w:val="20"/>
                <w:szCs w:val="20"/>
              </w:rPr>
              <w:t xml:space="preserve">‘Search for the Viking 2 landing site’</w:t>
            </w:r>
            <w:r>
              <w:rPr>
                <w:sz w:val="20"/>
                <w:szCs w:val="20"/>
              </w:rPr>
              <w:t xml:space="preserve"> </w:t>
            </w:r>
            <w:r>
              <w:rPr>
                <w:sz w:val="20"/>
                <w:szCs w:val="20"/>
              </w:rPr>
              <w:t xml:space="preserve">(1976); en.wikipedia.org/wiki/Viking_1.</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Viking program landing-ellipse documentation; Viking-class unguided ballistic entry 3-sigma ellipse ~260 by 100 km (semi-major ~130 km). en.wikipedia.org/wiki/Viking_2.</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Mars Pathfinder Landing Ellipses (PIA01123); target ellipse ~200 by 100 km (semi-major ~100 km). jpl.nasa.gov/images/pia01123-mars-pathfinder-landing-ellipses.</w:t>
            </w:r>
          </w:p>
        </w:tc>
      </w:tr>
      <w:tr>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MER landing-ellipse documentation; Spirit (Gusev) landing ellipse semi-major ~60 km class. planetary.org</w:t>
            </w:r>
            <w:r>
              <w:rPr>
                <w:sz w:val="20"/>
                <w:szCs w:val="20"/>
              </w:rPr>
              <w:t xml:space="preserve"> </w:t>
            </w:r>
            <w:r>
              <w:rPr>
                <w:sz w:val="20"/>
                <w:szCs w:val="20"/>
              </w:rPr>
              <w:t xml:space="preserve">‘Landing ellipses’</w:t>
            </w:r>
            <w:r>
              <w:rPr>
                <w:sz w:val="20"/>
                <w:szCs w:val="20"/>
              </w:rPr>
              <w:t xml:space="preserve">; NASA Mars Exploration Rover mission records.</w:t>
            </w:r>
          </w:p>
        </w:tc>
      </w:tr>
      <w:tr>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NASA/Planetary Society: Opportunity refined landing ellipse ~60 by 4 km (semi-major ~30 km). planetary.org MER landing-ellipse articles; Space.com Opportunity landing-site reporting.</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Phoenix Landing Press Kit (May 2008): 99.9% landing ellipse ~100 by 20 km (semi-major ~50 km). jpl.nasa.gov/news/press_kits/phoenix-landing.pdf.</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MSL: first guided Mars entry, ellipse ~20 by 7 km (semi-major ~10 km). en.wikipedia.org/wiki/Mars_Science_Laboratory; ScienceDirect comparative entry-guidance study (10.1016/j.actaastro.2023.06.014).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NASA/SEIS InSight landing documentation: unguided-class ballistic EDL, 99% ellipse ~130 by 27 km (semi-major ~65 km). seis-insight.eu InSight landing page.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NASA/JPL Mars 2020 +</w:t>
            </w:r>
            <w:r>
              <w:rPr>
                <w:sz w:val="20"/>
                <w:szCs w:val="20"/>
              </w:rPr>
              <w:t xml:space="preserve"> </w:t>
            </w:r>
            <w:r>
              <w:rPr>
                <w:sz w:val="20"/>
                <w:szCs w:val="20"/>
              </w:rPr>
              <w:t xml:space="preserve">‘Assessment of M2020 Terrain Relative Landing Accuracy’</w:t>
            </w:r>
            <w:r>
              <w:rPr>
                <w:sz w:val="20"/>
                <w:szCs w:val="20"/>
              </w:rPr>
              <w:t xml:space="preserve"> </w:t>
            </w:r>
            <w:r>
              <w:rPr>
                <w:sz w:val="20"/>
                <w:szCs w:val="20"/>
              </w:rPr>
              <w:t xml:space="preserve">(NTRS 20230007014): TRN soft landing within ~5 m (0.005 km) of LVS target; reported here as ~50 m (0.05 km) conservative achieved miss.</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1 landed ~14 km from planned target. science.nasa.gov Surveyor 1 mission page; lpi.usra.edu/lunar/missions/surveyor.</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3 landed ~2.8 km from post-midcourse-correction target. drewexmachina.com</w:t>
            </w:r>
            <w:r>
              <w:rPr>
                <w:sz w:val="20"/>
                <w:szCs w:val="20"/>
              </w:rPr>
              <w:t xml:space="preserve"> </w:t>
            </w:r>
            <w:r>
              <w:rPr>
                <w:sz w:val="20"/>
                <w:szCs w:val="20"/>
              </w:rPr>
              <w:t xml:space="preserve">‘Surveyor 3: Touching the Face of the Moon’</w:t>
            </w:r>
            <w:r>
              <w:rPr>
                <w:sz w:val="20"/>
                <w:szCs w:val="20"/>
              </w:rPr>
              <w:t xml:space="preserve">.</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7 touchdown ~1.7 km from Tycho aim point. drewexmachina.com</w:t>
            </w:r>
            <w:r>
              <w:rPr>
                <w:sz w:val="20"/>
                <w:szCs w:val="20"/>
              </w:rPr>
              <w:t xml:space="preserve"> </w:t>
            </w:r>
            <w:r>
              <w:rPr>
                <w:sz w:val="20"/>
                <w:szCs w:val="20"/>
              </w:rPr>
              <w:t xml:space="preserve">‘Surveyor 7: The Mission to Tycho’</w:t>
            </w:r>
            <w:r>
              <w:rPr>
                <w:sz w:val="20"/>
                <w:szCs w:val="20"/>
              </w:rPr>
              <w:t xml:space="preserve">.</w:t>
            </w:r>
          </w:p>
        </w:tc>
      </w:tr>
      <w:tr>
        <w:tc>
          <w:tcPr>
            <w:tcW w:w="0" w:type="auto"/>
          </w:tcPr>
          <w:p>
            <w:pPr>
              <w:spacing w:line="240" w:lineRule="auto" w:before="0" w:after="0"/>
              <w:pStyle w:val="Compact"/>
            </w:pPr>
            <w:r>
              <w:rPr>
                <w:sz w:val="20"/>
                <w:szCs w:val="20"/>
              </w:rPr>
              <w:t xml:space="preserve">Apollo 11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Apollo 11: target ellipse ~20 km downrange by 5 km crossrange (semi-major ~10 km) for crewed guided descent. NASA Apollo 11 mission documentation; en.wikipedia.org/wiki/Tranquility_Base.</w:t>
            </w:r>
          </w:p>
        </w:tc>
      </w:tr>
      <w:tr>
        <w:tc>
          <w:tcPr>
            <w:tcW w:w="0" w:type="auto"/>
          </w:tcPr>
          <w:p>
            <w:pPr>
              <w:spacing w:line="240" w:lineRule="auto" w:before="0" w:after="0"/>
              <w:pStyle w:val="Compact"/>
            </w:pPr>
            <w:r>
              <w:rPr>
                <w:sz w:val="20"/>
                <w:szCs w:val="20"/>
              </w:rPr>
              <w:t xml:space="preserve">Apollo 12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Apollo 12 pinpoint landing: touched down ~163 m (0.163 km) from Surveyor 3 via updated descent-state targeting. NASA Apollo 12 mission report.</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-2.4079</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CNSA Chang’e-3 autonomous hazard-avoidance landing ~90 m (0.09 km) off-center per descent assessment.</w:t>
            </w:r>
            <w:r>
              <w:rPr>
                <w:sz w:val="20"/>
                <w:szCs w:val="20"/>
              </w:rPr>
              <w:t xml:space="preserve"> </w:t>
            </w:r>
            <w:r>
              <w:rPr>
                <w:sz w:val="20"/>
                <w:szCs w:val="20"/>
              </w:rPr>
              <w:t xml:space="preserve">‘Guidance Summary and Assessment of the Chang’e-3 Powered Descent and Landing’</w:t>
            </w:r>
            <w:r>
              <w:rPr>
                <w:sz w:val="20"/>
                <w:szCs w:val="20"/>
              </w:rPr>
              <w:t xml:space="preserve">; PMC9570552.</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CNSA Chang’e-4 farside autonomous landing in Von Karman crater. Nature Communications</w:t>
            </w:r>
            <w:r>
              <w:rPr>
                <w:sz w:val="20"/>
                <w:szCs w:val="20"/>
              </w:rPr>
              <w:t xml:space="preserve"> </w:t>
            </w:r>
            <w:r>
              <w:rPr>
                <w:sz w:val="20"/>
                <w:szCs w:val="20"/>
              </w:rPr>
              <w:t xml:space="preserve">‘Descent trajectory reconstruction and landing site positioning of Chang’E-4’</w:t>
            </w:r>
            <w:r>
              <w:rPr>
                <w:sz w:val="20"/>
                <w:szCs w:val="20"/>
              </w:rPr>
              <w:t xml:space="preserve"> </w:t>
            </w:r>
            <w:r>
              <w:rPr>
                <w:sz w:val="20"/>
                <w:szCs w:val="20"/>
              </w:rPr>
              <w:t xml:space="preserve">(10.1038/s41467-019-12278-3). [illustrative] semi-major from constrained farside target region; no achieved miss published.</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ISRO Chandrayaan-3 south-pole soft landing ~350 m (0.35 km) from targeted spot. jatan.space</w:t>
            </w:r>
            <w:r>
              <w:rPr>
                <w:sz w:val="20"/>
                <w:szCs w:val="20"/>
              </w:rPr>
              <w:t xml:space="preserve"> </w:t>
            </w:r>
            <w:r>
              <w:rPr>
                <w:sz w:val="20"/>
                <w:szCs w:val="20"/>
              </w:rPr>
              <w:t xml:space="preserve">‘How Chandrayaan-3 made its historic touchdown’</w:t>
            </w:r>
            <w:r>
              <w:rPr>
                <w:sz w:val="20"/>
                <w:szCs w:val="20"/>
              </w:rPr>
              <w:t xml:space="preserve">; AIAA J. Spacecraft and Rockets</w:t>
            </w:r>
            <w:r>
              <w:rPr>
                <w:sz w:val="20"/>
                <w:szCs w:val="20"/>
              </w:rPr>
              <w:t xml:space="preserve"> </w:t>
            </w:r>
            <w:r>
              <w:rPr>
                <w:sz w:val="20"/>
                <w:szCs w:val="20"/>
              </w:rPr>
              <w:t xml:space="preserve">‘Chandrayaan-3 Trajectory Design’</w:t>
            </w:r>
            <w:r>
              <w:rPr>
                <w:sz w:val="20"/>
                <w:szCs w:val="20"/>
              </w:rPr>
              <w:t xml:space="preserve"> </w:t>
            </w:r>
            <w:r>
              <w:rPr>
                <w:sz w:val="20"/>
                <w:szCs w:val="20"/>
              </w:rPr>
              <w:t xml:space="preserve">(10.2514/1.A35980).</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JAXA SLIM pinpoint landing within ~10 m (0.01 km) of target via vision-based optical navigation (100 m goal far exceeded). en.wikipedia.org/wiki/Smart_Lander_for_Investigating_Moon; ScienceDirect</w:t>
            </w:r>
            <w:r>
              <w:rPr>
                <w:sz w:val="20"/>
                <w:szCs w:val="20"/>
              </w:rPr>
              <w:t xml:space="preserve"> </w:t>
            </w:r>
            <w:r>
              <w:rPr>
                <w:sz w:val="20"/>
                <w:szCs w:val="20"/>
              </w:rPr>
              <w:t xml:space="preserve">‘Moon landing results of SLIM’</w:t>
            </w:r>
            <w:r>
              <w:rPr>
                <w:sz w:val="20"/>
                <w:szCs w:val="20"/>
              </w:rPr>
              <w:t xml:space="preserve"> </w:t>
            </w:r>
            <w:r>
              <w:rPr>
                <w:sz w:val="20"/>
                <w:szCs w:val="20"/>
              </w:rPr>
              <w:t xml:space="preserve">(10.1016/j.actaastro.2025.03.045).</w:t>
            </w:r>
          </w:p>
        </w:tc>
      </w:tr>
      <w:tr>
        <w:tc>
          <w:tcPr>
            <w:tcW w:w="0" w:type="auto"/>
          </w:tcPr>
          <w:p>
            <w:pPr>
              <w:spacing w:line="240" w:lineRule="auto" w:before="0" w:after="0"/>
              <w:pStyle w:val="Compact"/>
            </w:pPr>
            <w:r>
              <w:rPr>
                <w:sz w:val="20"/>
                <w:szCs w:val="20"/>
              </w:rPr>
              <w:t xml:space="preserve">Beresheet</w:t>
            </w:r>
          </w:p>
        </w:tc>
        <w:tc>
          <w:tcPr>
            <w:tcW w:w="0" w:type="auto"/>
          </w:tcPr>
          <w:p>
            <w:pPr>
              <w:spacing w:line="240" w:lineRule="auto" w:before="0" w:after="0"/>
              <w:pStyle w:val="Compact"/>
            </w:pPr>
            <w:r>
              <w:rPr>
                <w:sz w:val="20"/>
                <w:szCs w:val="20"/>
              </w:rPr>
              <w:t xml:space="preserve">SpaceIL</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SpaceIL Beresheet: targeted Mare Serenitatis region few-km class prior to engine-anomaly crash; commercial first-attempt operator, no onboard terrain nav. SpaceIL/IAI Beresheet mission documentation. [illustrative] semi-major from targeted landing region.</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ispace HAKUTO-R Mission 1: Atlas crater target with onboard navigation; lost at terminal descent (altitude-estimation error). ispace Mission 1 results announcement. [illustrative] semi-major from designated target region.</w:t>
            </w:r>
          </w:p>
        </w:tc>
      </w:tr>
      <w:tr>
        <w:tc>
          <w:tcPr>
            <w:tcW w:w="0" w:type="auto"/>
          </w:tcPr>
          <w:p>
            <w:pPr>
              <w:spacing w:line="240" w:lineRule="auto" w:before="0" w:after="0"/>
              <w:pStyle w:val="Compact"/>
            </w:pPr>
            <w:r>
              <w:rPr>
                <w:sz w:val="20"/>
                <w:szCs w:val="20"/>
              </w:rPr>
              <w:t xml:space="preserve">IM-1 Odysseus</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Intuitive Machines IM-1 Odysseus settled ~1.5 km from intended Malapert A site. en.wikipedia.org/wiki/IM-1; spacenews.com IM-1 reporting.</w:t>
            </w:r>
          </w:p>
        </w:tc>
      </w:tr>
      <w:tr>
        <w:tc>
          <w:tcPr>
            <w:tcW w:w="0" w:type="auto"/>
          </w:tcPr>
          <w:p>
            <w:pPr>
              <w:spacing w:line="240" w:lineRule="auto" w:before="0" w:after="0"/>
              <w:pStyle w:val="Compact"/>
            </w:pPr>
            <w:r>
              <w:rPr>
                <w:sz w:val="20"/>
                <w:szCs w:val="20"/>
              </w:rPr>
              <w:t xml:space="preserve">Blue Ghost M1</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-2.137</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Firefly Blue Ghost Mission 1 landed ~118 m (0.118 km) from target in Mare Crisium via vision-based TRN. fireflyspace.com landing announcement; nasaspaceflight.com</w:t>
            </w:r>
            <w:r>
              <w:rPr>
                <w:sz w:val="20"/>
                <w:szCs w:val="20"/>
              </w:rPr>
              <w:t xml:space="preserve"> </w:t>
            </w:r>
            <w:r>
              <w:rPr>
                <w:sz w:val="20"/>
                <w:szCs w:val="20"/>
              </w:rPr>
              <w:t xml:space="preserve">‘Blue Ghost / IM-2 landings’</w:t>
            </w:r>
            <w:r>
              <w:rPr>
                <w:sz w:val="20"/>
                <w:szCs w:val="20"/>
              </w:rPr>
              <w:t xml:space="preserve"> </w:t>
            </w:r>
            <w:r>
              <w:rPr>
                <w:sz w:val="20"/>
                <w:szCs w:val="20"/>
              </w:rPr>
              <w:t xml:space="preserve">(2025).</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ln_deliv_km</w:t>
            </w:r>
          </w:p>
        </w:tc>
        <w:tc>
          <w:tcPr>
            <w:tcW w:w="0" w:type="auto"/>
          </w:tcPr>
          <w:p>
            <w:pPr>
              <w:spacing w:line="240" w:lineRule="auto" w:before="0" w:after="0"/>
              <w:pStyle w:val="Compact"/>
            </w:pPr>
            <w:r>
              <w:rPr>
                <w:sz w:val="20"/>
                <w:szCs w:val="20"/>
              </w:rPr>
              <w:t xml:space="preserve">Natural logarithm of the delivery error in kilometers at the critical delivery event. The delivery error is the documented achieved miss distance from the targeted landing point where a mission reports one, and otherwise the published landing-ellipse semi-major axis (the conventional pre-event delivery-accuracy figure). The log transform linearizes a metric that spans more than four orders of magnitude (0.01 to 130 km) and gives coefficients a proportional interpretation</w:t>
            </w:r>
          </w:p>
        </w:tc>
        <w:tc>
          <w:tcPr>
            <w:tcW w:w="0" w:type="auto"/>
          </w:tcPr>
          <w:p>
            <w:pPr>
              <w:spacing w:line="240" w:lineRule="auto" w:before="0" w:after="0"/>
              <w:pStyle w:val="Compact"/>
            </w:pPr>
            <w:r>
              <w:rPr>
                <w:sz w:val="20"/>
                <w:szCs w:val="20"/>
              </w:rPr>
              <w:t xml:space="preserve">Computed from the deliv_km field; each row’s km value carries a named documented source in the source column (see metric_type for whether the value is an achieved miss or an ellipse semi-major axis)</w:t>
            </w:r>
          </w:p>
        </w:tc>
      </w:tr>
      <w:tr>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1 if the delivery used closed-loop guided entry, descent, and powered-descent guidance (steered toward a pre-selected aim point); 0 if the vehicle followed an unguided ballistic entry whose footprint is set by atmospheric and dispersions alone</w:t>
            </w:r>
          </w:p>
        </w:tc>
        <w:tc>
          <w:tcPr>
            <w:tcW w:w="0" w:type="auto"/>
          </w:tcPr>
          <w:p>
            <w:pPr>
              <w:spacing w:line="240" w:lineRule="auto" w:before="0" w:after="0"/>
              <w:pStyle w:val="Compact"/>
            </w:pPr>
            <w:r>
              <w:rPr>
                <w:sz w:val="20"/>
                <w:szCs w:val="20"/>
              </w:rPr>
              <w:t xml:space="preserve">Coded from documented mission descent architecture (e.g. MSL first guided Mars entry; Viking/Pathfinder/MER/Phoenix/InSight unguided-class ballistic entry; all lunar powered-descent landers guided)</w:t>
            </w:r>
          </w:p>
        </w:tc>
      </w:tr>
      <w:tr>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1 if the delivery relied materially on autonomous onboard navigation at the critical event (terrain-relative navigation, vision-based optical navigation, or autonomous hazard-avoidance during descent); 0 if the terminal solution was ground-radiometric or inertial only</w:t>
            </w:r>
          </w:p>
        </w:tc>
        <w:tc>
          <w:tcPr>
            <w:tcW w:w="0" w:type="auto"/>
          </w:tcPr>
          <w:p>
            <w:pPr>
              <w:spacing w:line="240" w:lineRule="auto" w:before="0" w:after="0"/>
              <w:pStyle w:val="Compact"/>
            </w:pPr>
            <w:r>
              <w:rPr>
                <w:sz w:val="20"/>
                <w:szCs w:val="20"/>
              </w:rPr>
              <w:t xml:space="preserve">Coded from the autonomous-navigation capability frame [1] applied to documented mission GNC descriptions (e.g. M2020 TRN, SLIM vision-based optical navigation, Chang’e/Chandrayaan/Blue Ghost autonomous hazard avoidance)</w:t>
            </w:r>
          </w:p>
        </w:tc>
      </w:tr>
      <w:tr>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1 if the operating agency or company had previously completed a successful planetary or lunar soft landing before this attempt; 0 if this was its first such attempt</w:t>
            </w:r>
          </w:p>
        </w:tc>
        <w:tc>
          <w:tcPr>
            <w:tcW w:w="0" w:type="auto"/>
          </w:tcPr>
          <w:p>
            <w:pPr>
              <w:spacing w:line="240" w:lineRule="auto" w:before="0" w:after="0"/>
              <w:pStyle w:val="Compact"/>
            </w:pPr>
            <w:r>
              <w:rPr>
                <w:sz w:val="20"/>
                <w:szCs w:val="20"/>
              </w:rPr>
              <w:t xml:space="preserve">Coded from each operator’s prior landing record in NASA/NSSDCA and mission histories (e.g. NASA and CNSA carry heritage; SpaceIL, ispace, Intuitive Machines, Firefly were first-attempt operators)</w:t>
            </w:r>
          </w:p>
        </w:tc>
      </w:tr>
      <w:tr>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1 if the target body was Mars (an interplanetary delivery dependent on long-arc deep-space tracking and atmospheric entry); 0 if the target was the Moon (a near-Earth delivery with short light-time and, for landers, an airless powered descent). A proxy for the navigation and entry difficulty added by interplanetary distance and an atmosphere</w:t>
            </w:r>
          </w:p>
        </w:tc>
        <w:tc>
          <w:tcPr>
            <w:tcW w:w="0" w:type="auto"/>
          </w:tcPr>
          <w:p>
            <w:pPr>
              <w:spacing w:line="240" w:lineRule="auto" w:before="0" w:after="0"/>
              <w:pStyle w:val="Compact"/>
            </w:pPr>
            <w:r>
              <w:rPr>
                <w:sz w:val="20"/>
                <w:szCs w:val="20"/>
              </w:rPr>
              <w:t xml:space="preserve">Coded from the target body of each mission</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delivery event. Retained in the data as a provenance and ordering field but excluded from the headline specification: year is strongly collinear with the guidance and onboard-navigation indicators (guided and autonomous deliveries cluster in the later decades), so entering it jointly inflates variance without identifying a separate time trend</w:t>
            </w:r>
          </w:p>
        </w:tc>
        <w:tc>
          <w:tcPr>
            <w:tcW w:w="0" w:type="auto"/>
          </w:tcPr>
          <w:p>
            <w:pPr>
              <w:spacing w:line="240" w:lineRule="auto" w:before="0" w:after="0"/>
              <w:pStyle w:val="Compact"/>
            </w:pPr>
            <w:r>
              <w:rPr>
                <w:sz w:val="20"/>
                <w:szCs w:val="20"/>
              </w:rPr>
              <w:t xml:space="preserve">Documented date of the delivery event in the per-row source</w:t>
            </w:r>
          </w:p>
        </w:tc>
      </w:tr>
    </w:tbl>
    <w:bookmarkEnd w:id="196"/>
    <w:bookmarkEnd w:id="197"/>
    <w:bookmarkStart w:id="205" w:name="X12bb751ce399497c616e85a335a383f78202476"/>
    <w:p>
      <w:pPr>
        <w:pStyle w:val="Heading2"/>
        <w:spacing w:line="480" w:lineRule="auto"/>
      </w:pPr>
      <w:r>
        <w:t xml:space="preserve">A.2 What Drives Delivery Accuracy at Deep Space Targets? An Ordinary-Least-Squares Analysis of Onboard Optical Navigation, Target Class, and Signal Distance</w:t>
      </w:r>
    </w:p>
    <w:p>
      <w:pPr>
        <w:pStyle w:val="FirstParagraph"/>
        <w:spacing w:line="480" w:lineRule="auto"/>
      </w:pPr>
      <m:oMathPara>
        <m:oMathParaPr>
          <m:jc m:val="center"/>
        </m:oMathParaPr>
        <m:oMath>
          <m:sSub>
            <m:e>
              <m:r>
                <m:rPr>
                  <m:sty m:val="p"/>
                </m:rPr>
                <m:t>log</m:t>
              </m:r>
            </m:e>
            <m:sub>
              <m:r>
                <m:t>10</m:t>
              </m:r>
            </m:sub>
          </m:sSub>
          <m:r>
            <m:rPr>
              <m:sty m:val="p"/>
            </m:rPr>
            <m:t>(</m:t>
          </m:r>
          <m:sSub>
            <m:e>
              <m:r>
                <m:rPr>
                  <m:sty m:val="p"/>
                </m:rPr>
                <m:t>a</m:t>
              </m:r>
              <m:r>
                <m:rPr>
                  <m:sty m:val="p"/>
                </m:rPr>
                <m:t>c</m:t>
              </m:r>
              <m:r>
                <m:rPr>
                  <m:sty m:val="p"/>
                </m:rPr>
                <m:t>c</m:t>
              </m:r>
              <m:r>
                <m:rPr>
                  <m:sty m:val="p"/>
                </m:rPr>
                <m:t>u</m:t>
              </m:r>
              <m:r>
                <m:rPr>
                  <m:sty m:val="p"/>
                </m:rPr>
                <m:t>r</m:t>
              </m:r>
              <m:r>
                <m:rPr>
                  <m:sty m:val="p"/>
                </m:rPr>
                <m:t>a</m:t>
              </m:r>
              <m:r>
                <m:rPr>
                  <m:sty m:val="p"/>
                </m:rPr>
                <m:t>c</m:t>
              </m:r>
              <m:r>
                <m:rPr>
                  <m:sty m:val="p"/>
                </m:rPr>
                <m:t>y</m:t>
              </m:r>
            </m:e>
            <m:sub>
              <m:r>
                <m:t>i</m:t>
              </m:r>
            </m:sub>
          </m:sSub>
          <m:r>
            <m:rPr>
              <m:sty m:val="p"/>
            </m:rPr>
            <m:t>)</m:t>
          </m:r>
          <m:r>
            <m:rPr>
              <m:sty m:val="p"/>
            </m:rPr>
            <m:t>=</m:t>
          </m:r>
          <m:sSub>
            <m:e>
              <m:r>
                <m:t>β</m:t>
              </m:r>
            </m:e>
            <m:sub>
              <m:r>
                <m:t>0</m:t>
              </m:r>
            </m:sub>
          </m:sSub>
          <m:r>
            <m:rPr>
              <m:sty m:val="p"/>
            </m:rPr>
            <m:t>+</m:t>
          </m:r>
          <m:sSub>
            <m:e>
              <m:r>
                <m:t>β</m:t>
              </m:r>
            </m:e>
            <m:sub>
              <m:r>
                <m:t>1</m:t>
              </m:r>
            </m:sub>
          </m:sSub>
          <m:r>
            <m:t> </m:t>
          </m:r>
          <m:sSub>
            <m:e>
              <m:r>
                <m:rPr>
                  <m:sty m:val="p"/>
                </m:rPr>
                <m:t>o</m:t>
              </m:r>
              <m:r>
                <m:rPr>
                  <m:sty m:val="p"/>
                </m:rPr>
                <m:t>p</m:t>
              </m:r>
              <m:r>
                <m:rPr>
                  <m:sty m:val="p"/>
                </m:rPr>
                <m:t>t</m:t>
              </m:r>
              <m:r>
                <m:rPr>
                  <m:sty m:val="p"/>
                </m:rPr>
                <m:t>i</m:t>
              </m:r>
              <m:r>
                <m:rPr>
                  <m:sty m:val="p"/>
                </m:rPr>
                <m:t>c</m:t>
              </m:r>
              <m:r>
                <m:rPr>
                  <m:sty m:val="p"/>
                </m:rPr>
                <m:t>a</m:t>
              </m:r>
              <m:r>
                <m:rPr>
                  <m:sty m:val="p"/>
                </m:rPr>
                <m:t>l</m:t>
              </m:r>
              <m:r>
                <m:rPr>
                  <m:sty m:val="p"/>
                </m:rPr>
                <m:t>_</m:t>
              </m:r>
              <m:r>
                <m:rPr>
                  <m:sty m:val="p"/>
                </m:rPr>
                <m:t>n</m:t>
              </m:r>
              <m:r>
                <m:rPr>
                  <m:sty m:val="p"/>
                </m:rPr>
                <m:t>a</m:t>
              </m:r>
              <m:r>
                <m:rPr>
                  <m:sty m:val="p"/>
                </m:rPr>
                <m:t>v</m:t>
              </m:r>
            </m:e>
            <m:sub>
              <m:r>
                <m:t>i</m:t>
              </m:r>
            </m:sub>
          </m:sSub>
          <m:r>
            <m:rPr>
              <m:sty m:val="p"/>
            </m:rPr>
            <m:t>+</m:t>
          </m:r>
          <m:sSub>
            <m:e>
              <m:r>
                <m:t>β</m:t>
              </m:r>
            </m:e>
            <m:sub>
              <m:r>
                <m:t>2</m:t>
              </m:r>
            </m:sub>
          </m:sSub>
          <m:r>
            <m:t> </m:t>
          </m:r>
          <m:sSub>
            <m:e>
              <m:r>
                <m:rPr>
                  <m:sty m:val="p"/>
                </m:rPr>
                <m:t>s</m:t>
              </m:r>
              <m:r>
                <m:rPr>
                  <m:sty m:val="p"/>
                </m:rPr>
                <m:t>m</m:t>
              </m:r>
              <m:r>
                <m:rPr>
                  <m:sty m:val="p"/>
                </m:rPr>
                <m:t>a</m:t>
              </m:r>
              <m:r>
                <m:rPr>
                  <m:sty m:val="p"/>
                </m:rPr>
                <m:t>l</m:t>
              </m:r>
              <m:r>
                <m:rPr>
                  <m:sty m:val="p"/>
                </m:rPr>
                <m:t>l</m:t>
              </m:r>
              <m:r>
                <m:rPr>
                  <m:sty m:val="p"/>
                </m:rPr>
                <m:t>_</m:t>
              </m:r>
              <m:r>
                <m:rPr>
                  <m:sty m:val="p"/>
                </m:rPr>
                <m:t>b</m:t>
              </m:r>
              <m:r>
                <m:rPr>
                  <m:sty m:val="p"/>
                </m:rPr>
                <m:t>o</m:t>
              </m:r>
              <m:r>
                <m:rPr>
                  <m:sty m:val="p"/>
                </m:rPr>
                <m:t>d</m:t>
              </m:r>
              <m:r>
                <m:rPr>
                  <m:sty m:val="p"/>
                </m:rPr>
                <m:t>y</m:t>
              </m:r>
            </m:e>
            <m:sub>
              <m:r>
                <m:t>i</m:t>
              </m:r>
            </m:sub>
          </m:sSub>
          <m:r>
            <m:rPr>
              <m:sty m:val="p"/>
            </m:rPr>
            <m:t>+</m:t>
          </m:r>
          <m:sSub>
            <m:e>
              <m:r>
                <m:t>β</m:t>
              </m:r>
            </m:e>
            <m:sub>
              <m:r>
                <m:t>3</m:t>
              </m:r>
            </m:sub>
          </m:sSub>
          <m:r>
            <m:t> </m:t>
          </m:r>
          <m:sSub>
            <m:e>
              <m:r>
                <m:rPr>
                  <m:sty m:val="p"/>
                </m:rPr>
                <m:t>o</m:t>
              </m:r>
              <m:r>
                <m:rPr>
                  <m:sty m:val="p"/>
                </m:rPr>
                <m:t>n</m:t>
              </m:r>
              <m:r>
                <m:rPr>
                  <m:sty m:val="p"/>
                </m:rPr>
                <m:t>e</m:t>
              </m:r>
              <m:r>
                <m:rPr>
                  <m:sty m:val="p"/>
                </m:rPr>
                <m:t>_</m:t>
              </m:r>
              <m:r>
                <m:rPr>
                  <m:sty m:val="p"/>
                </m:rPr>
                <m:t>w</m:t>
              </m:r>
              <m:r>
                <m:rPr>
                  <m:sty m:val="p"/>
                </m:rPr>
                <m:t>a</m:t>
              </m:r>
              <m:r>
                <m:rPr>
                  <m:sty m:val="p"/>
                </m:rPr>
                <m:t>y</m:t>
              </m:r>
              <m:r>
                <m:rPr>
                  <m:sty m:val="p"/>
                </m:rPr>
                <m:t>_</m:t>
              </m:r>
              <m:r>
                <m:rPr>
                  <m:sty m:val="p"/>
                </m:rPr>
                <m:t>l</m:t>
              </m:r>
              <m:r>
                <m:rPr>
                  <m:sty m:val="p"/>
                </m:rPr>
                <m:t>t</m:t>
              </m:r>
              <m:r>
                <m:rPr>
                  <m:sty m:val="p"/>
                </m:rPr>
                <m:t>_</m:t>
              </m:r>
              <m:r>
                <m:rPr>
                  <m:sty m:val="p"/>
                </m:rPr>
                <m:t>m</m:t>
              </m:r>
              <m:r>
                <m:rPr>
                  <m:sty m:val="p"/>
                </m:rPr>
                <m:t>i</m:t>
              </m:r>
              <m:r>
                <m:rPr>
                  <m:sty m:val="p"/>
                </m:rPr>
                <m:t>n</m:t>
              </m:r>
            </m:e>
            <m:sub>
              <m:r>
                <m:t>i</m:t>
              </m:r>
            </m:sub>
          </m:sSub>
          <m:r>
            <m:rPr>
              <m:sty m:val="p"/>
            </m:rPr>
            <m:t>+</m:t>
          </m:r>
          <m:sSub>
            <m:e>
              <m:r>
                <m:t>β</m:t>
              </m:r>
            </m:e>
            <m:sub>
              <m:r>
                <m:t>4</m:t>
              </m:r>
            </m:sub>
          </m:sSub>
          <m:r>
            <m:t> </m:t>
          </m:r>
          <m:sSub>
            <m:e>
              <m:r>
                <m:rPr>
                  <m:sty m:val="p"/>
                </m:rPr>
                <m:t>p</m:t>
              </m:r>
              <m:r>
                <m:rPr>
                  <m:sty m:val="p"/>
                </m:rPr>
                <m:t>r</m:t>
              </m:r>
              <m:r>
                <m:rPr>
                  <m:sty m:val="p"/>
                </m:rPr>
                <m:t>i</m:t>
              </m:r>
              <m:r>
                <m:rPr>
                  <m:sty m:val="p"/>
                </m:rPr>
                <m:t>o</m:t>
              </m:r>
              <m:r>
                <m:rPr>
                  <m:sty m:val="p"/>
                </m:rPr>
                <m:t>r</m:t>
              </m:r>
              <m:r>
                <m:rPr>
                  <m:sty m:val="p"/>
                </m:rPr>
                <m:t>_</m:t>
              </m:r>
              <m:r>
                <m:rPr>
                  <m:sty m:val="p"/>
                </m:rPr>
                <m:t>h</m:t>
              </m:r>
              <m:r>
                <m:rPr>
                  <m:sty m:val="p"/>
                </m:rPr>
                <m:t>e</m:t>
              </m:r>
              <m:r>
                <m:rPr>
                  <m:sty m:val="p"/>
                </m:rPr>
                <m:t>r</m:t>
              </m:r>
              <m:r>
                <m:rPr>
                  <m:sty m:val="p"/>
                </m:rPr>
                <m:t>i</m:t>
              </m:r>
              <m:r>
                <m:rPr>
                  <m:sty m:val="p"/>
                </m:rPr>
                <m:t>t</m:t>
              </m:r>
              <m:r>
                <m:rPr>
                  <m:sty m:val="p"/>
                </m:rPr>
                <m:t>a</m:t>
              </m:r>
              <m:r>
                <m:rPr>
                  <m:sty m:val="p"/>
                </m:rPr>
                <m:t>g</m:t>
              </m:r>
              <m:r>
                <m:rPr>
                  <m:sty m:val="p"/>
                </m:rPr>
                <m:t>e</m:t>
              </m:r>
            </m:e>
            <m:sub>
              <m:r>
                <m:t>i</m:t>
              </m:r>
            </m:sub>
          </m:sSub>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0.6283</w:t>
            </w:r>
          </w:p>
        </w:tc>
        <w:tc>
          <w:tcPr>
            <w:tcW w:w="0" w:type="auto"/>
          </w:tcPr>
          <w:p>
            <w:pPr>
              <w:spacing w:line="240" w:lineRule="auto" w:before="0" w:after="0"/>
              <w:pStyle w:val="Compact"/>
            </w:pPr>
            <w:r>
              <w:rPr>
                <w:sz w:val="20"/>
                <w:szCs w:val="20"/>
              </w:rPr>
              <w:t xml:space="preserve">1.6994</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[-0.1637, 2.2991]</w:t>
            </w:r>
          </w:p>
        </w:tc>
      </w:tr>
      <w:tr>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-1.6291</w:t>
            </w:r>
          </w:p>
        </w:tc>
        <w:tc>
          <w:tcPr>
            <w:tcW w:w="0" w:type="auto"/>
          </w:tcPr>
          <w:p>
            <w:pPr>
              <w:spacing w:line="240" w:lineRule="auto" w:before="0" w:after="0"/>
              <w:pStyle w:val="Compact"/>
            </w:pPr>
            <w:r>
              <w:rPr>
                <w:sz w:val="20"/>
                <w:szCs w:val="20"/>
              </w:rPr>
              <w:t xml:space="preserve">0.7056</w:t>
            </w:r>
          </w:p>
        </w:tc>
        <w:tc>
          <w:tcPr>
            <w:tcW w:w="0" w:type="auto"/>
          </w:tcPr>
          <w:p>
            <w:pPr>
              <w:spacing w:line="240" w:lineRule="auto" w:before="0" w:after="0"/>
              <w:pStyle w:val="Compact"/>
            </w:pPr>
            <w:r>
              <w:rPr>
                <w:sz w:val="20"/>
                <w:szCs w:val="20"/>
              </w:rPr>
              <w:t xml:space="preserve">-2.3089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[-3.012, -0.2462]</w:t>
            </w:r>
          </w:p>
        </w:tc>
      </w:tr>
      <w:tr>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-0.4534</w:t>
            </w:r>
          </w:p>
        </w:tc>
        <w:tc>
          <w:tcPr>
            <w:tcW w:w="0" w:type="auto"/>
          </w:tcPr>
          <w:p>
            <w:pPr>
              <w:spacing w:line="240" w:lineRule="auto" w:before="0" w:after="0"/>
              <w:pStyle w:val="Compact"/>
            </w:pPr>
            <w:r>
              <w:rPr>
                <w:sz w:val="20"/>
                <w:szCs w:val="20"/>
              </w:rPr>
              <w:t xml:space="preserve">0.7416</w:t>
            </w:r>
          </w:p>
        </w:tc>
        <w:tc>
          <w:tcPr>
            <w:tcW w:w="0" w:type="auto"/>
          </w:tcPr>
          <w:p>
            <w:pPr>
              <w:spacing w:line="240" w:lineRule="auto" w:before="0" w:after="0"/>
              <w:pStyle w:val="Compact"/>
            </w:pPr>
            <w:r>
              <w:rPr>
                <w:sz w:val="20"/>
                <w:szCs w:val="20"/>
              </w:rPr>
              <w:t xml:space="preserve">-0.6113</w:t>
            </w:r>
          </w:p>
        </w:tc>
        <w:tc>
          <w:tcPr>
            <w:tcW w:w="0" w:type="auto"/>
          </w:tcPr>
          <w:p>
            <w:pPr>
              <w:spacing w:line="240" w:lineRule="auto" w:before="0" w:after="0"/>
              <w:pStyle w:val="Compact"/>
            </w:pPr>
            <w:r>
              <w:rPr>
                <w:sz w:val="20"/>
                <w:szCs w:val="20"/>
              </w:rPr>
              <w:t xml:space="preserve">0.541</w:t>
            </w:r>
          </w:p>
        </w:tc>
        <w:tc>
          <w:tcPr>
            <w:tcW w:w="0" w:type="auto"/>
          </w:tcPr>
          <w:p>
            <w:pPr>
              <w:spacing w:line="240" w:lineRule="auto" w:before="0" w:after="0"/>
              <w:pStyle w:val="Compact"/>
            </w:pPr>
            <w:r>
              <w:rPr>
                <w:sz w:val="20"/>
                <w:szCs w:val="20"/>
              </w:rPr>
              <w:t xml:space="preserve">[-1.9068, 1.0001]</w:t>
            </w:r>
          </w:p>
        </w:tc>
      </w:tr>
      <w:tr>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2.8197</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[0.0018, 0.0099]</w:t>
            </w:r>
          </w:p>
        </w:tc>
      </w:tr>
      <w:tr>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0.2667</w:t>
            </w:r>
          </w:p>
        </w:tc>
        <w:tc>
          <w:tcPr>
            <w:tcW w:w="0" w:type="auto"/>
          </w:tcPr>
          <w:p>
            <w:pPr>
              <w:spacing w:line="240" w:lineRule="auto" w:before="0" w:after="0"/>
              <w:pStyle w:val="Compact"/>
            </w:pPr>
            <w:r>
              <w:rPr>
                <w:sz w:val="20"/>
                <w:szCs w:val="20"/>
              </w:rPr>
              <w:t xml:space="preserve">0.6913</w:t>
            </w:r>
          </w:p>
        </w:tc>
        <w:tc>
          <w:tcPr>
            <w:tcW w:w="0" w:type="auto"/>
          </w:tcPr>
          <w:p>
            <w:pPr>
              <w:spacing w:line="240" w:lineRule="auto" w:before="0" w:after="0"/>
              <w:pStyle w:val="Compact"/>
            </w:pPr>
            <w:r>
              <w:rPr>
                <w:sz w:val="20"/>
                <w:szCs w:val="20"/>
              </w:rPr>
              <w:t xml:space="preserve">0.3859</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[-1.0881, 1.6216]</w:t>
            </w:r>
          </w:p>
        </w:tc>
      </w:tr>
    </w:tbl>
    <w:p>
      <w:pPr>
        <w:pStyle w:val="BodyText"/>
        <w:spacing w:line="480" w:lineRule="auto"/>
        <w:ind w:firstLine="720"/>
      </w:pPr>
      <w:r>
        <w:t xml:space="preserve">Fit: N = 22 R2 = 0.4006 R2_adj = 0.2596 F = 2.7502 F_p = 0.0624</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livery accuracy versus one-way light time across 22 deep-space missions. Missions using onboard optical or terrain-relative navigation cluster at the tight (low log10) end of the delivery-accuracy scale across both small-body and planetary targets, while the longest-light-time radiometric encounters sit at the coarse end." title="" id="200" name="Picture"/>
            <a:graphic>
              <a:graphicData uri="http://schemas.openxmlformats.org/drawingml/2006/picture">
                <pic:pic>
                  <pic:nvPicPr>
                    <pic:cNvPr descr="D:/Claude_Code/brain/collegium/candidates/dissertations/JPL_PLANETARY_09/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Delivery accuracy versus one-way light time across 22 deep-space missions. Missions using onboard optical or terrain-relative navigation cluster at the tight (low log10) end of the delivery-accuracy scale across both small-body and planetary targets, while the longest-light-time radiometric encounters sit at the coarse end.</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target_type</w:t>
            </w:r>
          </w:p>
        </w:tc>
        <w:tc>
          <w:tcPr>
            <w:tcW w:w="0" w:type="auto"/>
          </w:tcPr>
          <w:p>
            <w:pPr>
              <w:spacing w:line="240" w:lineRule="auto" w:before="0" w:after="0"/>
              <w:pStyle w:val="Compact"/>
            </w:pPr>
            <w:r>
              <w:rPr>
                <w:sz w:val="20"/>
                <w:szCs w:val="20"/>
              </w:rPr>
              <w:t xml:space="preserve">delivery_accuracy_km</w:t>
            </w:r>
          </w:p>
        </w:tc>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cruise_years</w:t>
            </w:r>
          </w:p>
        </w:tc>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log10_delivery_accuracy_km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Mars Pathfinder Landing Press Kit; mars.nasa.gov Landing Ellipse Size: target landing ellipse 200 by 100 km; delivery-accuracy scale taken as the 100 km semiminor (downrange control) axis</w:t>
            </w:r>
          </w:p>
        </w:tc>
      </w:tr>
      <w:tr>
        <w:tc>
          <w:tcPr>
            <w:tcW w:w="0" w:type="auto"/>
          </w:tcPr>
          <w:p>
            <w:pPr>
              <w:spacing w:line="240" w:lineRule="auto" w:before="0" w:after="0"/>
              <w:pStyle w:val="Compact"/>
            </w:pPr>
            <w:r>
              <w:rPr>
                <w:sz w:val="20"/>
                <w:szCs w:val="20"/>
              </w:rPr>
              <w:t xml:space="preserve">Mars Exploration Rover Spirit</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Golombek et al. 2003, Selection of the Mars Exploration Rover landing sites, JGR Planets (10.1029/2003JE002074); marsoweb MER ellipse dimensions: MER-A landing ellipse about 80 by 12 km; delivery-accuracy scale taken as the 80 km long axis</w:t>
            </w:r>
          </w:p>
        </w:tc>
      </w:tr>
      <w:tr>
        <w:tc>
          <w:tcPr>
            <w:tcW w:w="0" w:type="auto"/>
          </w:tcPr>
          <w:p>
            <w:pPr>
              <w:spacing w:line="240" w:lineRule="auto" w:before="0" w:after="0"/>
              <w:pStyle w:val="Compact"/>
            </w:pPr>
            <w:r>
              <w:rPr>
                <w:sz w:val="20"/>
                <w:szCs w:val="20"/>
              </w:rPr>
              <w:t xml:space="preserve">Mars Exploration Rover Opportunity</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2.0607</w:t>
            </w:r>
          </w:p>
        </w:tc>
        <w:tc>
          <w:tcPr>
            <w:tcW w:w="0" w:type="auto"/>
          </w:tcPr>
          <w:p>
            <w:pPr>
              <w:spacing w:line="240" w:lineRule="auto" w:before="0" w:after="0"/>
              <w:pStyle w:val="Compact"/>
            </w:pPr>
            <w:r>
              <w:rPr>
                <w:sz w:val="20"/>
                <w:szCs w:val="20"/>
              </w:rPr>
              <w:t xml:space="preserve">Golombek et al. 2003, Selection of the Mars Exploration Rover landing sites, JGR Planets (10.1029/2003JE002074); marsoweb MER ellipse dimensions: MER-B landing ellipse up to 115 by 12 km; delivery-accuracy scale taken as the 115 km long axis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2.0453</w:t>
            </w:r>
          </w:p>
        </w:tc>
        <w:tc>
          <w:tcPr>
            <w:tcW w:w="0" w:type="auto"/>
          </w:tcPr>
          <w:p>
            <w:pPr>
              <w:spacing w:line="240" w:lineRule="auto" w:before="0" w:after="0"/>
              <w:pStyle w:val="Compact"/>
            </w:pPr>
            <w:r>
              <w:rPr>
                <w:sz w:val="20"/>
                <w:szCs w:val="20"/>
              </w:rPr>
              <w:t xml:space="preserve">Arvidson et al. 2008, Phoenix landing-site selection, JGR Planets (10.1029/2007JE003021); JPL Phoenix landing ellipse: 99% landing ellipse 111 by 23 km; delivery-accuracy scale taken as the 111 km long axis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2.1139</w:t>
            </w:r>
          </w:p>
        </w:tc>
        <w:tc>
          <w:tcPr>
            <w:tcW w:w="0" w:type="auto"/>
          </w:tcPr>
          <w:p>
            <w:pPr>
              <w:spacing w:line="240" w:lineRule="auto" w:before="0" w:after="0"/>
              <w:pStyle w:val="Compact"/>
            </w:pPr>
            <w:r>
              <w:rPr>
                <w:sz w:val="20"/>
                <w:szCs w:val="20"/>
              </w:rPr>
              <w:t xml:space="preserve">NASA mars.nasa.gov/resources/4398 Landing Accuracy on Mars; InSight (Wikipedia): InSight landed near the center of a 130 by 27 km landing ellipse; delivery-accuracy scale taken as the 130 km long axis</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Mars Science Laboratory Navigation Results, ISSFD 2012 (issfd.org/ISSFD_2012/ISSFD23_IN1_1.pdf); mars.nasa.gov/resources/4398: Curiosity landed about 2 km from its target with the first guided Mars entry; achieved delivery 2 km</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NASA Mars 2020 landing results; Maneuver Design Implementation and Verification for the Mars 2020 Mission (NTRS 20210009-series): Range Trigger plus Terrain-Relative Navigation landed within roughly 1.5 km of the aimpoint inside the Jezero ellipse [illustrative midpoint of reported sub-ellipse delivery]</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orbit_insertion</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2.2304</w:t>
            </w:r>
          </w:p>
        </w:tc>
        <w:tc>
          <w:tcPr>
            <w:tcW w:w="0" w:type="auto"/>
          </w:tcPr>
          <w:p>
            <w:pPr>
              <w:spacing w:line="240" w:lineRule="auto" w:before="0" w:after="0"/>
              <w:pStyle w:val="Compact"/>
            </w:pPr>
            <w:r>
              <w:rPr>
                <w:sz w:val="20"/>
                <w:szCs w:val="20"/>
              </w:rPr>
              <w:t xml:space="preserve">NASA Mars Climate Orbiter Mishap Investigation Board Phase I Report (1999, llis.nasa.gov/llis_lib/pdf/1009464main1_0641-mr.pdf): spacecraft delivered about 170 km below the intended periapsis altitude at Mars arrival owing to a units conversion error</w:t>
            </w:r>
          </w:p>
        </w:tc>
      </w:tr>
      <w:tr>
        <w:tc>
          <w:tcPr>
            <w:tcW w:w="0" w:type="auto"/>
          </w:tcPr>
          <w:p>
            <w:pPr>
              <w:spacing w:line="240" w:lineRule="auto" w:before="0" w:after="0"/>
              <w:pStyle w:val="Compact"/>
            </w:pPr>
            <w:r>
              <w:rPr>
                <w:sz w:val="20"/>
                <w:szCs w:val="20"/>
              </w:rPr>
              <w:t xml:space="preserve">Cassini Saturn Orbit Insertion</w:t>
            </w:r>
          </w:p>
        </w:tc>
        <w:tc>
          <w:tcPr>
            <w:tcW w:w="0" w:type="auto"/>
          </w:tcPr>
          <w:p>
            <w:pPr>
              <w:spacing w:line="240" w:lineRule="auto" w:before="0" w:after="0"/>
              <w:pStyle w:val="Compact"/>
            </w:pPr>
            <w:r>
              <w:rPr>
                <w:sz w:val="20"/>
                <w:szCs w:val="20"/>
              </w:rPr>
              <w:t xml:space="preserve">orbit_insertion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A First Look at Orbit Determination for the Cassini Mission, NTRS 20060037785: Saturn-orbit-insertion B-plane delivery achieved on the kilometer scale</w:t>
            </w:r>
          </w:p>
        </w:tc>
      </w:tr>
      <w:tr>
        <w:tc>
          <w:tcPr>
            <w:tcW w:w="0" w:type="auto"/>
          </w:tcPr>
          <w:p>
            <w:pPr>
              <w:spacing w:line="240" w:lineRule="auto" w:before="0" w:after="0"/>
              <w:pStyle w:val="Compact"/>
            </w:pPr>
            <w:r>
              <w:rPr>
                <w:sz w:val="20"/>
                <w:szCs w:val="20"/>
              </w:rPr>
              <w:t xml:space="preserve">Cassini Titan-A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Cassini Navigation: The Road to Consistent Subkilometer Accuracy, NTRS 20190025515: Titan flyby delivery achieved consistent subkilometer accuracy</w:t>
            </w:r>
          </w:p>
        </w:tc>
      </w:tr>
      <w:tr>
        <w:tc>
          <w:tcPr>
            <w:tcW w:w="0" w:type="auto"/>
          </w:tcPr>
          <w:p>
            <w:pPr>
              <w:spacing w:line="240" w:lineRule="auto" w:before="0" w:after="0"/>
              <w:pStyle w:val="Compact"/>
            </w:pPr>
            <w:r>
              <w:rPr>
                <w:sz w:val="20"/>
                <w:szCs w:val="20"/>
              </w:rPr>
              <w:t xml:space="preserve">Voyager 2 Neptune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0.6946</w:t>
            </w:r>
          </w:p>
        </w:tc>
        <w:tc>
          <w:tcPr>
            <w:tcW w:w="0" w:type="auto"/>
          </w:tcPr>
          <w:p>
            <w:pPr>
              <w:spacing w:line="240" w:lineRule="auto" w:before="0" w:after="0"/>
              <w:pStyle w:val="Compact"/>
            </w:pPr>
            <w:r>
              <w:rPr>
                <w:sz w:val="20"/>
                <w:szCs w:val="20"/>
              </w:rPr>
              <w:t xml:space="preserve">NASA, 30 Years Ago: Voyager 2’s Historic Neptune Flyby (nasa.gov); Exploration of Neptune: Voyager 2 navigated to a controlled closest approach of 4,950 km above Neptune’s north pole after course corrections; achieved close-approach 4.95 (x1000 km)</w:t>
            </w:r>
          </w:p>
        </w:tc>
      </w:tr>
      <w:tr>
        <w:tc>
          <w:tcPr>
            <w:tcW w:w="0" w:type="auto"/>
          </w:tcPr>
          <w:p>
            <w:pPr>
              <w:spacing w:line="240" w:lineRule="auto" w:before="0" w:after="0"/>
              <w:pStyle w:val="Compact"/>
            </w:pPr>
            <w:r>
              <w:rPr>
                <w:sz w:val="20"/>
                <w:szCs w:val="20"/>
              </w:rPr>
              <w:t xml:space="preserve">New Horizons Pluto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Navigation Strategy and Results for New Horizons’ Approach and Flyby of the Pluto System (researchgate 281979511): control and knowledge of target-plane position normal to the velocity vector was about 50 km at encounter</w:t>
            </w:r>
          </w:p>
        </w:tc>
      </w:tr>
      <w:tr>
        <w:tc>
          <w:tcPr>
            <w:tcW w:w="0" w:type="auto"/>
          </w:tcPr>
          <w:p>
            <w:pPr>
              <w:spacing w:line="240" w:lineRule="auto" w:before="0" w:after="0"/>
              <w:pStyle w:val="Compact"/>
            </w:pPr>
            <w:r>
              <w:rPr>
                <w:sz w:val="20"/>
                <w:szCs w:val="20"/>
              </w:rPr>
              <w:t xml:space="preserve">Deep Impact impactor</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Autonomous Navigation for the Deep Impact Mission Encounter with Comet Tempel 1; Space.com crash-day account (space.com/1264): impactor and flyby were on target to within about 1 km</w:t>
            </w:r>
          </w:p>
        </w:tc>
      </w:tr>
      <w:tr>
        <w:tc>
          <w:tcPr>
            <w:tcW w:w="0" w:type="auto"/>
          </w:tcPr>
          <w:p>
            <w:pPr>
              <w:spacing w:line="240" w:lineRule="auto" w:before="0" w:after="0"/>
              <w:pStyle w:val="Compact"/>
            </w:pPr>
            <w:r>
              <w:rPr>
                <w:sz w:val="20"/>
                <w:szCs w:val="20"/>
              </w:rPr>
              <w:t xml:space="preserve">Stardust Wild 2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Optical Navigation for the STARDUST Wild 2 Encounter, ISSFD 2004 (issfd.org/ISSFD_2004/papers/P1100.pdf); Stardust (Wikipedia): achieved 237 km closest approach versus the 250 km targeted flyby, a delivery offset of about 13 km</w:t>
            </w:r>
          </w:p>
        </w:tc>
      </w:tr>
      <w:tr>
        <w:tc>
          <w:tcPr>
            <w:tcW w:w="0" w:type="auto"/>
          </w:tcPr>
          <w:p>
            <w:pPr>
              <w:spacing w:line="240" w:lineRule="auto" w:before="0" w:after="0"/>
              <w:pStyle w:val="Compact"/>
            </w:pPr>
            <w:r>
              <w:rPr>
                <w:sz w:val="20"/>
                <w:szCs w:val="20"/>
              </w:rPr>
              <w:t xml:space="preserve">Deep Space 1 Borrelly flyby</w:t>
            </w:r>
          </w:p>
        </w:tc>
        <w:tc>
          <w:tcPr>
            <w:tcW w:w="0" w:type="auto"/>
          </w:tcPr>
          <w:p>
            <w:pPr>
              <w:spacing w:line="240" w:lineRule="auto" w:before="0" w:after="0"/>
              <w:pStyle w:val="Compact"/>
            </w:pPr>
            <w:r>
              <w:rPr>
                <w:sz w:val="20"/>
                <w:szCs w:val="20"/>
              </w:rPr>
              <w:t xml:space="preserve">flyby</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1.4624</w:t>
            </w:r>
          </w:p>
        </w:tc>
        <w:tc>
          <w:tcPr>
            <w:tcW w:w="0" w:type="auto"/>
          </w:tcPr>
          <w:p>
            <w:pPr>
              <w:spacing w:line="240" w:lineRule="auto" w:before="0" w:after="0"/>
              <w:pStyle w:val="Compact"/>
            </w:pPr>
            <w:r>
              <w:rPr>
                <w:sz w:val="20"/>
                <w:szCs w:val="20"/>
              </w:rPr>
              <w:t xml:space="preserve">Navigation of the Deep Space 1 Spacecraft at Borrelly (researchgate 268555752); NASA/ESA Borrelly encounter: AutoNav optical flyby achieved about 2,171 km closest approach versus a roughly 2,200 km plan, a delivery offset on the order of tens of km [illustrative offset from reported close-approach figures]</w:t>
            </w:r>
          </w:p>
        </w:tc>
      </w:tr>
      <w:tr>
        <w:tc>
          <w:tcPr>
            <w:tcW w:w="0" w:type="auto"/>
          </w:tcPr>
          <w:p>
            <w:pPr>
              <w:spacing w:line="240" w:lineRule="auto" w:before="0" w:after="0"/>
              <w:pStyle w:val="Compact"/>
            </w:pPr>
            <w:r>
              <w:rPr>
                <w:sz w:val="20"/>
                <w:szCs w:val="20"/>
              </w:rPr>
              <w:t xml:space="preserve">Rosetta 67P arrival</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ESA Rosetta blog, How Rosetta arrives at a comet (blogs.esa.int/rosetta 2014): optical navigation determined the Rosetta to comet separation to within 50 km accuracy during approach</w:t>
            </w:r>
          </w:p>
        </w:tc>
      </w:tr>
      <w:tr>
        <w:tc>
          <w:tcPr>
            <w:tcW w:w="0" w:type="auto"/>
          </w:tcPr>
          <w:p>
            <w:pPr>
              <w:spacing w:line="240" w:lineRule="auto" w:before="0" w:after="0"/>
              <w:pStyle w:val="Compact"/>
            </w:pPr>
            <w:r>
              <w:rPr>
                <w:sz w:val="20"/>
                <w:szCs w:val="20"/>
              </w:rPr>
              <w:t xml:space="preserve">OSIRIS-REx Bennu TAG</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OSIRIS-REx Touch-And-Go (TAG) Navigation Performance, NTRS 20150023586: mission deliverability requirement to place the spacecraft within 25 m of the selected sample location; achieved-class delivery 25 m</w:t>
            </w:r>
          </w:p>
        </w:tc>
      </w:tr>
      <w:tr>
        <w:tc>
          <w:tcPr>
            <w:tcW w:w="0" w:type="auto"/>
          </w:tcPr>
          <w:p>
            <w:pPr>
              <w:spacing w:line="240" w:lineRule="auto" w:before="0" w:after="0"/>
              <w:pStyle w:val="Compact"/>
            </w:pPr>
            <w:r>
              <w:rPr>
                <w:sz w:val="20"/>
                <w:szCs w:val="20"/>
              </w:rPr>
              <w:t xml:space="preserve">DART Dimorphos impact</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-1.7696</w:t>
            </w:r>
          </w:p>
        </w:tc>
        <w:tc>
          <w:tcPr>
            <w:tcW w:w="0" w:type="auto"/>
          </w:tcPr>
          <w:p>
            <w:pPr>
              <w:spacing w:line="240" w:lineRule="auto" w:before="0" w:after="0"/>
              <w:pStyle w:val="Compact"/>
            </w:pPr>
            <w:r>
              <w:rPr>
                <w:sz w:val="20"/>
                <w:szCs w:val="20"/>
              </w:rPr>
              <w:t xml:space="preserve">NASA DART SMART Nav terminal guidance results (nasa.gov DART); APL DART post-impact reports: autonomous optical homing impacted Dimorphos with a target miss on the order of tens of meters; value at the about 17 m offset from the nucleus center</w:t>
            </w:r>
          </w:p>
        </w:tc>
      </w:tr>
      <w:tr>
        <w:tc>
          <w:tcPr>
            <w:tcW w:w="0" w:type="auto"/>
          </w:tcPr>
          <w:p>
            <w:pPr>
              <w:spacing w:line="240" w:lineRule="auto" w:before="0" w:after="0"/>
              <w:pStyle w:val="Compact"/>
            </w:pPr>
            <w:r>
              <w:rPr>
                <w:sz w:val="20"/>
                <w:szCs w:val="20"/>
              </w:rPr>
              <w:t xml:space="preserve">Hayabusa2 Ryugu touchdown</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NEC techrep (nec.com/…/210128.html); JAXA Hayabusa2: autonomous guidance-navigation-control achieved pinpoint touchdowns on Ryugu with a margin of error of about 1 m; achieved delivery 1 m</w:t>
            </w:r>
          </w:p>
        </w:tc>
      </w:tr>
      <w:tr>
        <w:tc>
          <w:tcPr>
            <w:tcW w:w="0" w:type="auto"/>
          </w:tcPr>
          <w:p>
            <w:pPr>
              <w:spacing w:line="240" w:lineRule="auto" w:before="0" w:after="0"/>
              <w:pStyle w:val="Compact"/>
            </w:pPr>
            <w:r>
              <w:rPr>
                <w:sz w:val="20"/>
                <w:szCs w:val="20"/>
              </w:rPr>
              <w:t xml:space="preserve">Hayabusa Itokawa touchdown</w:t>
            </w:r>
          </w:p>
        </w:tc>
        <w:tc>
          <w:tcPr>
            <w:tcW w:w="0" w:type="auto"/>
          </w:tcPr>
          <w:p>
            <w:pPr>
              <w:spacing w:line="240" w:lineRule="auto" w:before="0" w:after="0"/>
              <w:pStyle w:val="Compact"/>
            </w:pPr>
            <w:r>
              <w:rPr>
                <w:sz w:val="20"/>
                <w:szCs w:val="20"/>
              </w:rPr>
              <w:t xml:space="preserve">small_body_proxops</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-1.5229</w:t>
            </w:r>
          </w:p>
        </w:tc>
        <w:tc>
          <w:tcPr>
            <w:tcW w:w="0" w:type="auto"/>
          </w:tcPr>
          <w:p>
            <w:pPr>
              <w:spacing w:line="240" w:lineRule="auto" w:before="0" w:after="0"/>
              <w:pStyle w:val="Compact"/>
            </w:pPr>
            <w:r>
              <w:rPr>
                <w:sz w:val="20"/>
                <w:szCs w:val="20"/>
              </w:rPr>
              <w:t xml:space="preserve">Touchdown of the Hayabusa Spacecraft at the Muses Sea on Itokawa, Science 2006 (10.1126/science.1126164); Hayabusa final autonomous descent and landing based on target marker tracking (ScienceDirect S0094576509000368): target-marker-guided descent delivery on the tens-of-meters scale [illustrative]</w:t>
            </w:r>
          </w:p>
        </w:tc>
      </w:tr>
      <w:tr>
        <w:tc>
          <w:tcPr>
            <w:tcW w:w="0" w:type="auto"/>
          </w:tcPr>
          <w:p>
            <w:pPr>
              <w:spacing w:line="240" w:lineRule="auto" w:before="0" w:after="0"/>
              <w:pStyle w:val="Compact"/>
            </w:pPr>
            <w:r>
              <w:rPr>
                <w:sz w:val="20"/>
                <w:szCs w:val="20"/>
              </w:rPr>
              <w:t xml:space="preserve">SLIM lunar landing</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JAXA SLIM Moon Landing outcome (global.jaxa.jp/press/2024/01/20240125-1_e.html); SpaceNews; Planetary Society: SLIM achieved a pinpoint lunar landing within roughly 3 to 4 m of the target against a 100 m requirement; achieved delivery 4 m</w:t>
            </w:r>
          </w:p>
        </w:tc>
      </w:tr>
      <w:tr>
        <w:tc>
          <w:tcPr>
            <w:tcW w:w="0" w:type="auto"/>
          </w:tcPr>
          <w:p>
            <w:pPr>
              <w:spacing w:line="240" w:lineRule="auto" w:before="0" w:after="0"/>
              <w:pStyle w:val="Compact"/>
            </w:pPr>
            <w:r>
              <w:rPr>
                <w:sz w:val="20"/>
                <w:szCs w:val="20"/>
              </w:rPr>
              <w:t xml:space="preserve">Apollo 12</w:t>
            </w:r>
          </w:p>
        </w:tc>
        <w:tc>
          <w:tcPr>
            <w:tcW w:w="0" w:type="auto"/>
          </w:tcPr>
          <w:p>
            <w:pPr>
              <w:spacing w:line="240" w:lineRule="auto" w:before="0" w:after="0"/>
              <w:pStyle w:val="Compact"/>
            </w:pPr>
            <w:r>
              <w:rPr>
                <w:sz w:val="20"/>
                <w:szCs w:val="20"/>
              </w:rPr>
              <w:t xml:space="preserve">entry</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-0.7878</w:t>
            </w:r>
          </w:p>
        </w:tc>
        <w:tc>
          <w:tcPr>
            <w:tcW w:w="0" w:type="auto"/>
          </w:tcPr>
          <w:p>
            <w:pPr>
              <w:spacing w:line="240" w:lineRule="auto" w:before="0" w:after="0"/>
              <w:pStyle w:val="Compact"/>
            </w:pPr>
            <w:r>
              <w:rPr>
                <w:sz w:val="20"/>
                <w:szCs w:val="20"/>
              </w:rPr>
              <w:t xml:space="preserve">NASA, 55 Years Ago: Apollo 12 Makes a Pinpoint Landing on the Moon (nasa.gov); Apollo 12 (Wikipedia): the lunar module landed 163 m from the Surveyor 3 probe, the first pinpoint lunar landing; achieved delivery 163 m</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log10_delivery_accuracy_km</w:t>
            </w:r>
          </w:p>
        </w:tc>
        <w:tc>
          <w:tcPr>
            <w:tcW w:w="0" w:type="auto"/>
          </w:tcPr>
          <w:p>
            <w:pPr>
              <w:spacing w:line="240" w:lineRule="auto" w:before="0" w:after="0"/>
              <w:pStyle w:val="Compact"/>
            </w:pPr>
            <w:r>
              <w:rPr>
                <w:sz w:val="20"/>
                <w:szCs w:val="20"/>
              </w:rPr>
              <w:t xml:space="preserve">Base-10 logarithm of the achieved or specified navigation delivery accuracy at the target (kilometers), the dependent variable; lower values mean tighter delivery</w:t>
            </w:r>
          </w:p>
        </w:tc>
        <w:tc>
          <w:tcPr>
            <w:tcW w:w="0" w:type="auto"/>
          </w:tcPr>
          <w:p>
            <w:pPr>
              <w:spacing w:line="240" w:lineRule="auto" w:before="0" w:after="0"/>
              <w:pStyle w:val="Compact"/>
            </w:pPr>
            <w:r>
              <w:rPr>
                <w:sz w:val="20"/>
                <w:szCs w:val="20"/>
              </w:rPr>
              <w:t xml:space="preserve">Computed from delivery_accuracy_km drawn from per-mission navigation-results papers, mishap-board reports, landing-site-selection studies, and mission press kits cited in the source column</w:t>
            </w:r>
          </w:p>
        </w:tc>
      </w:tr>
      <w:tr>
        <w:tc>
          <w:tcPr>
            <w:tcW w:w="0" w:type="auto"/>
          </w:tcPr>
          <w:p>
            <w:pPr>
              <w:spacing w:line="240" w:lineRule="auto" w:before="0" w:after="0"/>
              <w:pStyle w:val="Compact"/>
            </w:pPr>
            <w:r>
              <w:rPr>
                <w:sz w:val="20"/>
                <w:szCs w:val="20"/>
              </w:rPr>
              <w:t xml:space="preserve">delivery_accuracy_km</w:t>
            </w:r>
          </w:p>
        </w:tc>
        <w:tc>
          <w:tcPr>
            <w:tcW w:w="0" w:type="auto"/>
          </w:tcPr>
          <w:p>
            <w:pPr>
              <w:spacing w:line="240" w:lineRule="auto" w:before="0" w:after="0"/>
              <w:pStyle w:val="Compact"/>
            </w:pPr>
            <w:r>
              <w:rPr>
                <w:sz w:val="20"/>
                <w:szCs w:val="20"/>
              </w:rPr>
              <w:t xml:space="preserve">Achieved or specified navigation delivery accuracy at the target in kilometers: landing-ellipse downrange scale for unguided entries, achieved miss or target-plane control for guided entries and encounters, and sample-site or touchdown delivery for proximity operations</w:t>
            </w:r>
          </w:p>
        </w:tc>
        <w:tc>
          <w:tcPr>
            <w:tcW w:w="0" w:type="auto"/>
          </w:tcPr>
          <w:p>
            <w:pPr>
              <w:spacing w:line="240" w:lineRule="auto" w:before="0" w:after="0"/>
              <w:pStyle w:val="Compact"/>
            </w:pPr>
            <w:r>
              <w:rPr>
                <w:sz w:val="20"/>
                <w:szCs w:val="20"/>
              </w:rPr>
              <w:t xml:space="preserve">Per-mission documented figures, source column of data.csv</w:t>
            </w:r>
          </w:p>
        </w:tc>
      </w:tr>
      <w:tr>
        <w:tc>
          <w:tcPr>
            <w:tcW w:w="0" w:type="auto"/>
          </w:tcPr>
          <w:p>
            <w:pPr>
              <w:spacing w:line="240" w:lineRule="auto" w:before="0" w:after="0"/>
              <w:pStyle w:val="Compact"/>
            </w:pPr>
            <w:r>
              <w:rPr>
                <w:sz w:val="20"/>
                <w:szCs w:val="20"/>
              </w:rPr>
              <w:t xml:space="preserve">optical_nav</w:t>
            </w:r>
          </w:p>
        </w:tc>
        <w:tc>
          <w:tcPr>
            <w:tcW w:w="0" w:type="auto"/>
          </w:tcPr>
          <w:p>
            <w:pPr>
              <w:spacing w:line="240" w:lineRule="auto" w:before="0" w:after="0"/>
              <w:pStyle w:val="Compact"/>
            </w:pPr>
            <w:r>
              <w:rPr>
                <w:sz w:val="20"/>
                <w:szCs w:val="20"/>
              </w:rPr>
              <w:t xml:space="preserve">Indicator equal to 1 if the mission used onboard optical or terrain-relative navigation in the terminal delivery phase, 0 if radiometric tracking only</w:t>
            </w:r>
          </w:p>
        </w:tc>
        <w:tc>
          <w:tcPr>
            <w:tcW w:w="0" w:type="auto"/>
          </w:tcPr>
          <w:p>
            <w:pPr>
              <w:spacing w:line="240" w:lineRule="auto" w:before="0" w:after="0"/>
              <w:pStyle w:val="Compact"/>
            </w:pPr>
            <w:r>
              <w:rPr>
                <w:sz w:val="20"/>
                <w:szCs w:val="20"/>
              </w:rPr>
              <w:t xml:space="preserve">Coded from mission navigation descriptions in the cited sources</w:t>
            </w:r>
          </w:p>
        </w:tc>
      </w:tr>
      <w:tr>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Indicator equal to 1 if the target is a small body (comet, asteroid, or small moon) supporting proximity operations or a close optical encounter, 0 for a planet or large moon</w:t>
            </w:r>
          </w:p>
        </w:tc>
        <w:tc>
          <w:tcPr>
            <w:tcW w:w="0" w:type="auto"/>
          </w:tcPr>
          <w:p>
            <w:pPr>
              <w:spacing w:line="240" w:lineRule="auto" w:before="0" w:after="0"/>
              <w:pStyle w:val="Compact"/>
            </w:pPr>
            <w:r>
              <w:rPr>
                <w:sz w:val="20"/>
                <w:szCs w:val="20"/>
              </w:rPr>
              <w:t xml:space="preserve">Coded from target_type and the cited mission sources</w:t>
            </w:r>
          </w:p>
        </w:tc>
      </w:tr>
      <w:tr>
        <w:tc>
          <w:tcPr>
            <w:tcW w:w="0" w:type="auto"/>
          </w:tcPr>
          <w:p>
            <w:pPr>
              <w:spacing w:line="240" w:lineRule="auto" w:before="0" w:after="0"/>
              <w:pStyle w:val="Compact"/>
            </w:pPr>
            <w:r>
              <w:rPr>
                <w:sz w:val="20"/>
                <w:szCs w:val="20"/>
              </w:rPr>
              <w:t xml:space="preserve">one_way_lt_min</w:t>
            </w:r>
          </w:p>
        </w:tc>
        <w:tc>
          <w:tcPr>
            <w:tcW w:w="0" w:type="auto"/>
          </w:tcPr>
          <w:p>
            <w:pPr>
              <w:spacing w:line="240" w:lineRule="auto" w:before="0" w:after="0"/>
              <w:pStyle w:val="Compact"/>
            </w:pPr>
            <w:r>
              <w:rPr>
                <w:sz w:val="20"/>
                <w:szCs w:val="20"/>
              </w:rPr>
              <w:t xml:space="preserve">One-way light time from Earth to the target at encounter, in minutes, proxying the radiometric tracking geometry and command latency that constrain ground-in-the-loop correction</w:t>
            </w:r>
          </w:p>
        </w:tc>
        <w:tc>
          <w:tcPr>
            <w:tcW w:w="0" w:type="auto"/>
          </w:tcPr>
          <w:p>
            <w:pPr>
              <w:spacing w:line="240" w:lineRule="auto" w:before="0" w:after="0"/>
              <w:pStyle w:val="Compact"/>
            </w:pPr>
            <w:r>
              <w:rPr>
                <w:sz w:val="20"/>
                <w:szCs w:val="20"/>
              </w:rPr>
              <w:t xml:space="preserve">Computed from the heliocentric distance of each target body and cross-checked against mission press kits</w:t>
            </w:r>
          </w:p>
        </w:tc>
      </w:tr>
      <w:tr>
        <w:tc>
          <w:tcPr>
            <w:tcW w:w="0" w:type="auto"/>
          </w:tcPr>
          <w:p>
            <w:pPr>
              <w:spacing w:line="240" w:lineRule="auto" w:before="0" w:after="0"/>
              <w:pStyle w:val="Compact"/>
            </w:pPr>
            <w:r>
              <w:rPr>
                <w:sz w:val="20"/>
                <w:szCs w:val="20"/>
              </w:rPr>
              <w:t xml:space="preserve">prior_heritage</w:t>
            </w:r>
          </w:p>
        </w:tc>
        <w:tc>
          <w:tcPr>
            <w:tcW w:w="0" w:type="auto"/>
          </w:tcPr>
          <w:p>
            <w:pPr>
              <w:spacing w:line="240" w:lineRule="auto" w:before="0" w:after="0"/>
              <w:pStyle w:val="Compact"/>
            </w:pPr>
            <w:r>
              <w:rPr>
                <w:sz w:val="20"/>
                <w:szCs w:val="20"/>
              </w:rPr>
              <w:t xml:space="preserve">Indicator equal to 1 if the operating institution had previously flown a successful mission of the same delivery class (landed, inserted, or encountered a comparable target type), 0 otherwise</w:t>
            </w:r>
          </w:p>
        </w:tc>
        <w:tc>
          <w:tcPr>
            <w:tcW w:w="0" w:type="auto"/>
          </w:tcPr>
          <w:p>
            <w:pPr>
              <w:spacing w:line="240" w:lineRule="auto" w:before="0" w:after="0"/>
              <w:pStyle w:val="Compact"/>
            </w:pPr>
            <w:r>
              <w:rPr>
                <w:sz w:val="20"/>
                <w:szCs w:val="20"/>
              </w:rPr>
              <w:t xml:space="preserve">Coded from mission heritage in the cited sources</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38" Type="http://schemas.openxmlformats.org/officeDocument/2006/relationships/hyperlink" Target="https://doi.org/10.1016/j.actaastro.2016.03.035" TargetMode="External"/><Relationship Id="rId180" Type="http://schemas.openxmlformats.org/officeDocument/2006/relationships/hyperlink" Target="https://doi.org/10.1016/j.actaastro.2020.06.024" TargetMode="External"/><Relationship Id="rId136" Type="http://schemas.openxmlformats.org/officeDocument/2006/relationships/hyperlink" Target="https://doi.org/10.1016/j.actaastro.2021.12.030" TargetMode="External"/><Relationship Id="rId142" Type="http://schemas.openxmlformats.org/officeDocument/2006/relationships/hyperlink" Target="https://doi.org/10.1016/j.actaastro.2023.05.019" TargetMode="External"/><Relationship Id="rId161" Type="http://schemas.openxmlformats.org/officeDocument/2006/relationships/hyperlink" Target="https://doi.org/10.1016/j.actaastro.2023.05.022" TargetMode="External"/><Relationship Id="rId182" Type="http://schemas.openxmlformats.org/officeDocument/2006/relationships/hyperlink" Target="https://doi.org/10.1016/j.actaastro.2023.05.029" TargetMode="External"/><Relationship Id="rId148" Type="http://schemas.openxmlformats.org/officeDocument/2006/relationships/hyperlink" Target="https://doi.org/10.1016/j.actaastro.2023.06.014" TargetMode="External"/><Relationship Id="rId158" Type="http://schemas.openxmlformats.org/officeDocument/2006/relationships/hyperlink" Target="https://doi.org/10.1016/j.actaastro.2025.03.045" TargetMode="External"/><Relationship Id="rId175" Type="http://schemas.openxmlformats.org/officeDocument/2006/relationships/hyperlink" Target="https://doi.org/10.1016/j.actaastro.2025.10.010" TargetMode="External"/><Relationship Id="rId140" Type="http://schemas.openxmlformats.org/officeDocument/2006/relationships/hyperlink" Target="https://doi.org/10.1016/j.actaastro.2025.11.058" TargetMode="External"/><Relationship Id="rId146" Type="http://schemas.openxmlformats.org/officeDocument/2006/relationships/hyperlink" Target="https://doi.org/10.1016/j.actaastro.2025.11.074" TargetMode="External"/><Relationship Id="rId178" Type="http://schemas.openxmlformats.org/officeDocument/2006/relationships/hyperlink" Target="https://doi.org/10.1016/j.actaastro.2026.04.039" TargetMode="External"/><Relationship Id="rId185" Type="http://schemas.openxmlformats.org/officeDocument/2006/relationships/hyperlink" Target="https://doi.org/10.1016/j.actaastro.2026.05.003" TargetMode="External"/><Relationship Id="rId187" Type="http://schemas.openxmlformats.org/officeDocument/2006/relationships/hyperlink" Target="https://doi.org/10.1016/j.actaastro.2026.05.056" TargetMode="External"/><Relationship Id="rId154" Type="http://schemas.openxmlformats.org/officeDocument/2006/relationships/hyperlink" Target="https://doi.org/10.1038/s41467-019-12278-3" TargetMode="External"/><Relationship Id="rId156" Type="http://schemas.openxmlformats.org/officeDocument/2006/relationships/hyperlink" Target="https://doi.org/10.2514/1.A35980" TargetMode="External"/><Relationship Id="rId167" Type="http://schemas.openxmlformats.org/officeDocument/2006/relationships/hyperlink" Target="https://doi.org/10.64861/HQKK4445" TargetMode="External"/><Relationship Id="rId172" Type="http://schemas.openxmlformats.org/officeDocument/2006/relationships/hyperlink" Target="https://doi.org/10.64861/KEJM2414" TargetMode="External"/><Relationship Id="rId164" Type="http://schemas.openxmlformats.org/officeDocument/2006/relationships/hyperlink" Target="https://doi.org/10.64861/PXVI3870" TargetMode="External"/><Relationship Id="rId144" Type="http://schemas.openxmlformats.org/officeDocument/2006/relationships/hyperlink" Target="https://doi.org/10.64861/YRQZ1796" TargetMode="External"/></Relationships>
</file>

<file path=word/_rels/footnotes.xml.rels><?xml version='1.0' encoding='UTF-8' standalone='yes'?>
<Relationships xmlns="http://schemas.openxmlformats.org/package/2006/relationships"><Relationship Id="rId138" Type="http://schemas.openxmlformats.org/officeDocument/2006/relationships/hyperlink" Target="https://doi.org/10.1016/j.actaastro.2016.03.035" TargetMode="External"/><Relationship Id="rId180" Type="http://schemas.openxmlformats.org/officeDocument/2006/relationships/hyperlink" Target="https://doi.org/10.1016/j.actaastro.2020.06.024" TargetMode="External"/><Relationship Id="rId136" Type="http://schemas.openxmlformats.org/officeDocument/2006/relationships/hyperlink" Target="https://doi.org/10.1016/j.actaastro.2021.12.030" TargetMode="External"/><Relationship Id="rId142" Type="http://schemas.openxmlformats.org/officeDocument/2006/relationships/hyperlink" Target="https://doi.org/10.1016/j.actaastro.2023.05.019" TargetMode="External"/><Relationship Id="rId161" Type="http://schemas.openxmlformats.org/officeDocument/2006/relationships/hyperlink" Target="https://doi.org/10.1016/j.actaastro.2023.05.022" TargetMode="External"/><Relationship Id="rId182" Type="http://schemas.openxmlformats.org/officeDocument/2006/relationships/hyperlink" Target="https://doi.org/10.1016/j.actaastro.2023.05.029" TargetMode="External"/><Relationship Id="rId148" Type="http://schemas.openxmlformats.org/officeDocument/2006/relationships/hyperlink" Target="https://doi.org/10.1016/j.actaastro.2023.06.014" TargetMode="External"/><Relationship Id="rId158" Type="http://schemas.openxmlformats.org/officeDocument/2006/relationships/hyperlink" Target="https://doi.org/10.1016/j.actaastro.2025.03.045" TargetMode="External"/><Relationship Id="rId175" Type="http://schemas.openxmlformats.org/officeDocument/2006/relationships/hyperlink" Target="https://doi.org/10.1016/j.actaastro.2025.10.010" TargetMode="External"/><Relationship Id="rId140" Type="http://schemas.openxmlformats.org/officeDocument/2006/relationships/hyperlink" Target="https://doi.org/10.1016/j.actaastro.2025.11.058" TargetMode="External"/><Relationship Id="rId146" Type="http://schemas.openxmlformats.org/officeDocument/2006/relationships/hyperlink" Target="https://doi.org/10.1016/j.actaastro.2025.11.074" TargetMode="External"/><Relationship Id="rId178" Type="http://schemas.openxmlformats.org/officeDocument/2006/relationships/hyperlink" Target="https://doi.org/10.1016/j.actaastro.2026.04.039" TargetMode="External"/><Relationship Id="rId185" Type="http://schemas.openxmlformats.org/officeDocument/2006/relationships/hyperlink" Target="https://doi.org/10.1016/j.actaastro.2026.05.003" TargetMode="External"/><Relationship Id="rId187" Type="http://schemas.openxmlformats.org/officeDocument/2006/relationships/hyperlink" Target="https://doi.org/10.1016/j.actaastro.2026.05.056" TargetMode="External"/><Relationship Id="rId154" Type="http://schemas.openxmlformats.org/officeDocument/2006/relationships/hyperlink" Target="https://doi.org/10.1038/s41467-019-12278-3" TargetMode="External"/><Relationship Id="rId156" Type="http://schemas.openxmlformats.org/officeDocument/2006/relationships/hyperlink" Target="https://doi.org/10.2514/1.A35980" TargetMode="External"/><Relationship Id="rId167" Type="http://schemas.openxmlformats.org/officeDocument/2006/relationships/hyperlink" Target="https://doi.org/10.64861/HQKK4445" TargetMode="External"/><Relationship Id="rId172" Type="http://schemas.openxmlformats.org/officeDocument/2006/relationships/hyperlink" Target="https://doi.org/10.64861/KEJM2414" TargetMode="External"/><Relationship Id="rId164" Type="http://schemas.openxmlformats.org/officeDocument/2006/relationships/hyperlink" Target="https://doi.org/10.64861/PXVI3870" TargetMode="External"/><Relationship Id="rId144" Type="http://schemas.openxmlformats.org/officeDocument/2006/relationships/hyperlink" Target="https://doi.org/10.64861/YRQZ1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Navigation Performance Regression: What Drives Delivery Accuracy at O</dc:title>
  <dc:creator>Greta Romano (1B-DSX-043)</dc:creator>
  <cp:keywords/>
  <dcterms:created xsi:type="dcterms:W3CDTF">2026-07-02T16:21:06Z</dcterms:created>
  <dcterms:modified xsi:type="dcterms:W3CDTF">2026-07-02T16:21:06Z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