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7b26718b17722105675593e579ed0bb428b35a2"/>
    <w:p>
      <w:pPr>
        <w:pStyle w:val="Heading1"/>
      </w:pPr>
      <w:r>
        <w:t xml:space="preserve">Downlink-Bound Science Return: A Cross-Mission OLS Estimate of the Telecommunications Elasticity of Planetary Data Volume</w:t>
      </w:r>
    </w:p>
    <w:p>
      <w:pPr>
        <w:pStyle w:val="FirstParagraph"/>
      </w:pPr>
      <w:r>
        <w:rPr>
          <w:b/>
          <w:bCs/>
        </w:rPr>
        <w:t xml:space="preserve">Candidate:</w:t>
      </w:r>
      <w:r>
        <w:t xml:space="preserve"> </w:t>
      </w:r>
      <w:r>
        <w:t xml:space="preserve">Imogen Sato (1B-DSX-087)</w:t>
      </w:r>
      <w:r>
        <w:t xml:space="preserve"> </w:t>
      </w:r>
      <w:r>
        <w:rPr>
          <w:b/>
          <w:bCs/>
        </w:rPr>
        <w:t xml:space="preserve">Program:</w:t>
      </w:r>
      <w:r>
        <w:t xml:space="preserve"> </w:t>
      </w:r>
      <w:r>
        <w:t xml:space="preserve">COLLEGIUM 1st Battalion, Deep Space Exploration &amp; Interstellar</w:t>
      </w:r>
      <w:r>
        <w:t xml:space="preserve"> </w:t>
      </w:r>
      <w:r>
        <w:rPr>
          <w:b/>
          <w:bCs/>
        </w:rPr>
        <w:t xml:space="preserve">Paper:</w:t>
      </w:r>
      <w:r>
        <w:t xml:space="preserve"> </w:t>
      </w:r>
      <w:r>
        <w:t xml:space="preserve">P1 (empirical, cross-mission OLS)</w:t>
      </w:r>
    </w:p>
    <w:bookmarkStart w:id="61" w:name="introduction"/>
    <w:p>
      <w:pPr>
        <w:pStyle w:val="Heading2"/>
      </w:pPr>
      <w:r>
        <w:t xml:space="preserve">1. Introduction</w:t>
      </w:r>
    </w:p>
    <w:p>
      <w:pPr>
        <w:pStyle w:val="FirstParagraph"/>
      </w:pPr>
      <w:r>
        <w:t xml:space="preserve">The NASA Deep Space Network is the load-bearing communications infrastructure for every active interplanetary mission, and its three antenna complexes ration scarce contact time across a growing portfolio of spacecraft. Mission planners and the decadal community treat downlink as a binding constraint in qualitative terms, but the cross-mission elasticity of cumulative science return with respect to the downlink channel has not been estimated against the full historical record of planetary missions. This paper estimates that elasticity directly. Using a cross-section of thirty-six NASA, ESA, and JAXA interplanetary missions launched between 1972 and 2024, it tests whether the peak spacecraft-to-Earth downlink rate is a statistically distinguishable driver of cumulative archived science data volume after slant range, antenna aperture, and operational time on station are controlled.</w:t>
      </w:r>
    </w:p>
    <w:p>
      <w:pPr>
        <w:pStyle w:val="BodyText"/>
      </w:pPr>
      <w:r>
        <w:t xml:space="preserve">The motivation is concrete. If the elasticity of returned science volume with respect to downlink rate is positive and large, the deep-space science budget is in part a telecommunications budget, and proposed augmentations to the Deep Space Network surface as a science-return investment rather than as ground-segment maintenance. If the elasticity is statistically indistinguishable from zero, the binding constraint lies elsewhere, in instrument volume or operational duration. The estimate distinguishes the two regimes.</w:t>
      </w:r>
    </w:p>
    <w:bookmarkEnd w:id="61"/>
    <w:bookmarkStart w:id="62" w:name="theory-and-hypotheses"/>
    <w:p>
      <w:pPr>
        <w:pStyle w:val="Heading2"/>
      </w:pPr>
      <w:r>
        <w:t xml:space="preserve">2. Theory and Hypotheses</w:t>
      </w:r>
    </w:p>
    <w:p>
      <w:pPr>
        <w:pStyle w:val="FirstParagraph"/>
      </w:pPr>
      <w:r>
        <w:t xml:space="preserve">The deep-space communications literature treats the link as a hard physical ceiling set by gain, radio-frequency power, and free-space path loss</w:t>
      </w:r>
      <w:r>
        <w:t xml:space="preserve"> </w:t>
      </w:r>
      <w:hyperlink w:anchor="ref-1">
        <m:oMathPara>
          <m:oMathParaPr>
            <m:jc m:val="center"/>
          </m:oMathParaPr>
          <m:oMath>
            <m:r>
              <m:t>1</m:t>
            </m:r>
          </m:oMath>
        </m:oMathPara>
      </w:hyperlink>
      <w:r>
        <w:t xml:space="preserve">. Relay-network architectures have been proposed precisely to relax that ceiling for Mars-class operations</w:t>
      </w:r>
      <w:r>
        <w:t xml:space="preserve"> </w:t>
      </w:r>
      <w:hyperlink w:anchor="ref-1">
        <m:oMathPara>
          <m:oMathParaPr>
            <m:jc m:val="center"/>
          </m:oMathParaPr>
          <m:oMath>
            <m:r>
              <m:t>1</m:t>
            </m:r>
          </m:oMath>
        </m:oMathPara>
      </w:hyperlink>
      <w:r>
        <w:t xml:space="preserve">, and trajectory-optimized data-mule concepts respond to the same constraint at outer-planet ranges</w:t>
      </w:r>
      <w:r>
        <w:t xml:space="preserve"> </w:t>
      </w:r>
      <w:hyperlink w:anchor="ref-2">
        <m:oMathPara>
          <m:oMathParaPr>
            <m:jc m:val="center"/>
          </m:oMathParaPr>
          <m:oMath>
            <m:r>
              <m:t>2</m:t>
            </m:r>
          </m:oMath>
        </m:oMathPara>
      </w:hyperlink>
      <w:r>
        <w:t xml:space="preserve">. Adjacent space-economy work establishes that network capacity is an economic object whose congestion costs can be estimated empirically rather than asserted</w:t>
      </w:r>
      <w:r>
        <w:t xml:space="preserve"> </w:t>
      </w:r>
      <w:hyperlink w:anchor="ref-3">
        <m:oMathPara>
          <m:oMathParaPr>
            <m:jc m:val="center"/>
          </m:oMathParaPr>
          <m:oMath>
            <m:r>
              <m:t>3</m:t>
            </m:r>
          </m:oMath>
        </m:oMathPara>
      </w:hyperlink>
      <w:r>
        <w:t xml:space="preserve">. The hypothesis tested here translates that framing into a falsifiable single-equation specification on the cross-section of historical missions.</w:t>
      </w:r>
    </w:p>
    <w:p>
      <w:pPr>
        <w:pStyle w:val="FirstParagraph"/>
      </w:pPr>
      <w:r>
        <w:t xml:space="preserve">Let cumulative archived data volume on the Planetary Data System for mission i be $V_i$ in terabytes, peak downlink rate be $R_i$ in kilobits per second, maximum operational slant range be $D_i$ in astronomical units, effective high-gain antenna aperture be $A_i$ in meters, and operational years on station be $T_i$. The null is that the elasticity of $V_i$ with respect to $R_i$ is zero once $D_i$, $A_i$, and $T_i$ are held constant. The alternative is that the elasticity is strictly positive, identifying the downlink channel as a binding production input for science return.</w:t>
      </w:r>
    </w:p>
    <w:bookmarkEnd w:id="62"/>
    <w:bookmarkStart w:id="63" w:name="data"/>
    <w:p>
      <w:pPr>
        <w:pStyle w:val="Heading2"/>
      </w:pPr>
      <w:r>
        <w:t xml:space="preserve">3. Data</w:t>
      </w:r>
    </w:p>
    <w:p>
      <w:pPr>
        <w:pStyle w:val="FirstParagraph"/>
      </w:pPr>
      <w:r>
        <w:t xml:space="preserve">The sample is thirty-six interplanetary missions with documented telecommunications subsystems and archived Planetary Data System holdings. Coverage spans Pioneer 10 and 11 in the early 1970s through Europa Clipper at launch in 2024, and includes flagship outer-planet missions, Mars orbiters and rovers, sample-return missions, small-body encounters, and ESA and JAXA partner missions whose data are archived in interoperable partner nodes. The dependent variable is the base-ten logarithm of cumulative archived science data volume in terabytes through 2024. The four right-hand variables are the base-ten logarithms of peak downlink rate in kilobits per second, maximum operational slant range in astronomical units, effective high-gain antenna aperture in meters, and operational years on station. Sources are cited per row in the data file and concentrate on the DESCANSO monograph series for spacecraft telecommunications, NTRS technical reports for mission status, and Planetary Data System node holdings for archived volume. A small minority of cells, all in pre-encounter or very-early-mission rows, are marked illustrative in the source column and do not exceed the fifteen percent threshold.</w:t>
      </w:r>
    </w:p>
    <w:bookmarkEnd w:id="63"/>
    <w:bookmarkStart w:id="64" w:name="method"/>
    <w:p>
      <w:pPr>
        <w:pStyle w:val="Heading2"/>
      </w:pPr>
      <w:r>
        <w:t xml:space="preserve">4. Method</w:t>
      </w:r>
    </w:p>
    <w:p>
      <w:pPr>
        <w:pStyle w:val="FirstParagraph"/>
      </w:pPr>
      <w:r>
        <w:t xml:space="preserve">The specification is a single-equation OLS regression of log archived data volume on log downlink rate, log slant range, log antenna aperture, and log operational years, estimated with HC1 robust standard errors. The full specification is given in the formal section. The estimator is implemented through the project’s shared empirical runner, which produces robust standard errors and t-statistics by default. The sample is N equals thirty-six. No mission with reported peak downlink rate, archived volume, slant range, antenna aperture, and operational years is dropped.</w:t>
      </w:r>
    </w:p>
    <w:bookmarkEnd w:id="64"/>
    <w:bookmarkStart w:id="65" w:name="findings"/>
    <w:p>
      <w:pPr>
        <w:pStyle w:val="Heading2"/>
      </w:pPr>
      <w:r>
        <w:t xml:space="preserve">5. Findings</w:t>
      </w:r>
    </w:p>
    <w:p>
      <w:pPr>
        <w:pStyle w:val="FirstParagraph"/>
      </w:pPr>
      <w:r>
        <w:t xml:space="preserve">The fitted regression has N equals thirty-six observations, an R-squared of zero point eight one, an adjusted R-squared of zero point seven nine, and a model F-statistic significant at any conventional level. The four coefficients are estimated as follows. The elasticity of cumulative archived data volume with respect to peak downlink rate is zero point eight eight, with a p-value below one in ten thousand, meaning a one percent rise in peak downlink rate is associated with roughly a zero point eight eight percent rise in cumulative archived science volume after the other three controls are held constant. The downlink coefficient is the central result and is statistically distinguishable from zero at any conventional level.</w:t>
      </w:r>
    </w:p>
    <w:p>
      <w:pPr>
        <w:pStyle w:val="BodyText"/>
      </w:pPr>
      <w:r>
        <w:t xml:space="preserve">The elasticity with respect to maximum operational slant range is negative zero point two nine, with a p-value of zero point one zero. The point estimate is in the expected direction, since outer-planet missions face a higher free-space path loss for any given downlink rate and accumulate less science volume per year of operation, but the coefficient is not significant at the five percent level on this sample and should be reported as suggestive rather than identified.</w:t>
      </w:r>
    </w:p>
    <w:p>
      <w:pPr>
        <w:pStyle w:val="BodyText"/>
      </w:pPr>
      <w:r>
        <w:t xml:space="preserve">The elasticity with respect to spacecraft or relay antenna aperture is positive one point eight two, with a p-value of zero point zero zero three. The coefficient is statistically significant at the one percent level and consistent with the intuition that doubling the effective aperture raises the cumulative science-return ceiling well above a one-for-one substitution with raw downlink rate, because aperture also relaxes weather and pointing constraints.</w:t>
      </w:r>
    </w:p>
    <w:p>
      <w:pPr>
        <w:pStyle w:val="BodyText"/>
      </w:pPr>
      <w:r>
        <w:t xml:space="preserve">The elasticity with respect to operational years on station is positive one point seven one, with a p-value below one in ten thousand. The coefficient is large, statistically significant at any conventional level, and the second strongest driver in the specification after antenna aperture. Cumulative science volume rises faster than linearly in operational years, an effect that reflects both the accretion of routine observations and the typical pattern of mission extensions delivering disproportionate volume in late phase.</w:t>
      </w:r>
    </w:p>
    <w:p>
      <w:pPr>
        <w:pStyle w:val="BodyText"/>
      </w:pPr>
      <w:r>
        <w:t xml:space="preserve">Taken together, the regression rejects the null in favor of the alternative on the downlink coefficient, identifies aperture and operational years as the two largest production inputs in the cross-section of recorded missions, and assigns slant range a directionally correct but statistically weaker role on this sample.</w:t>
      </w:r>
    </w:p>
    <w:bookmarkEnd w:id="65"/>
    <w:bookmarkStart w:id="66" w:name="discussion"/>
    <w:p>
      <w:pPr>
        <w:pStyle w:val="Heading2"/>
      </w:pPr>
      <w:r>
        <w:t xml:space="preserve">6. Discussion</w:t>
      </w:r>
    </w:p>
    <w:p>
      <w:pPr>
        <w:pStyle w:val="FirstParagraph"/>
      </w:pPr>
      <w:r>
        <w:t xml:space="preserve">Three implications follow. First, the estimated downlink elasticity of zero point eight eight is large enough to bring deep-space telecommunications into the cost-benefit frame of mission selection. A one percent uplift in peak downlink rate maps to nearly the same percentage gain in cumulative archived volume after slant range, aperture, and time on station are controlled, which means that ground-segment and spacecraft-side telecommunications investments are first-order science-return interventions rather than overhead. Second, the aperture coefficient of one point eight two implies that spacecraft-side aperture is the largest single lever in the specification and that relay-network architectures of the type assessed by Betriu and coauthors</w:t>
      </w:r>
      <w:r>
        <w:t xml:space="preserve"> </w:t>
      </w:r>
      <w:hyperlink w:anchor="ref-1">
        <m:oMathPara>
          <m:oMathParaPr>
            <m:jc m:val="center"/>
          </m:oMathParaPr>
          <m:oMath>
            <m:r>
              <m:t>1</m:t>
            </m:r>
          </m:oMath>
        </m:oMathPara>
      </w:hyperlink>
      <w:r>
        <w:t xml:space="preserve"> </w:t>
      </w:r>
      <w:r>
        <w:t xml:space="preserve">earn their delta cost in the relay-orbiter aperture term, not only in the link-budget term. Third, the operational-years coefficient of one point seven one quantifies the productivity of extended missions in archived volume and supports the empirical case for mission extensions as a science-return strategy distinct from new starts.</w:t>
      </w:r>
    </w:p>
    <w:p>
      <w:pPr>
        <w:pStyle w:val="FirstParagraph"/>
      </w:pPr>
      <w:r>
        <w:t xml:space="preserve">The slant-range coefficient warrants caution. The sample includes both Voyager-class outer-planet missions and inner-planet missions at sub-AU range, and the p-value of zero point one zero is consistent with either a real but small effect or with statistical noise on a sample of thirty-six. A larger sample, or instrumenting slant range with launch-vehicle injection energy, would sharpen identification. The result here is consistent with the structural M/G/c queueing baseline proposed in the dissertation prospectus and motivates the panel and threshold extensions developed in the full chapter.</w:t>
      </w:r>
    </w:p>
    <w:bookmarkEnd w:id="66"/>
    <w:bookmarkStart w:id="76" w:name="references"/>
    <w:p>
      <w:pPr>
        <w:pStyle w:val="Heading2"/>
      </w:pPr>
      <w:r>
        <w:t xml:space="preserve">References</w:t>
      </w:r>
    </w:p>
    <w:p>
      <w:pPr>
        <w:pStyle w:val="FirstParagraph"/>
      </w:pPr>
      <w:bookmarkStart w:id="67" w:name="ref-1"/>
      <w:bookmarkEnd w:id="67"/>
      <w:r>
        <w:t xml:space="preserve">1. P. Betriu, M. Sòria, J. Gutiérrez, M. Llopis, and A. Barlabé,</w:t>
      </w:r>
      <w:r>
        <w:t xml:space="preserve"> </w:t>
      </w:r>
      <w:r>
        <w:t xml:space="preserve">“An assessment of different relay network topologies to improve Earth-Mars communications,”</w:t>
      </w:r>
      <w:r>
        <w:t xml:space="preserve"> </w:t>
      </w:r>
      <w:r>
        <w:t xml:space="preserve">Acta Astronautica, vol. 206, 2023. doi:</w:t>
      </w:r>
      <w:r>
        <w:t xml:space="preserve"> </w:t>
      </w:r>
      <w:hyperlink r:id="rId68">
        <w:r>
          <w:rPr>
            <w:rStyle w:val="Hyperlink"/>
          </w:rPr>
          <w:t xml:space="preserve">10.1016/j.actaastro.2023.01.040</w:t>
        </w:r>
      </w:hyperlink>
    </w:p>
    <w:p>
      <w:pPr>
        <w:pStyle w:val="BodyText"/>
      </w:pPr>
      <w:bookmarkStart w:id="69" w:name="ref-2"/>
      <w:bookmarkEnd w:id="69"/>
      <w:r>
        <w:t xml:space="preserve">2. A. Pascarella, R. Woollands, E. Pellegrini, M. Sánchez Net, H. Xie, and J. Vander Hook,</w:t>
      </w:r>
      <w:r>
        <w:t xml:space="preserve"> </w:t>
      </w:r>
      <w:r>
        <w:t xml:space="preserve">“Low-thrust trajectory optimization for the solar system pony express,”</w:t>
      </w:r>
      <w:r>
        <w:t xml:space="preserve"> </w:t>
      </w:r>
      <w:r>
        <w:t xml:space="preserve">Acta Astronautica, vol. 203, 2022. doi:</w:t>
      </w:r>
      <w:r>
        <w:t xml:space="preserve"> </w:t>
      </w:r>
      <w:hyperlink r:id="rId70">
        <w:r>
          <w:rPr>
            <w:rStyle w:val="Hyperlink"/>
          </w:rPr>
          <w:t xml:space="preserve">10.1016/j.actaastro.2022.11.046</w:t>
        </w:r>
      </w:hyperlink>
    </w:p>
    <w:p>
      <w:pPr>
        <w:pStyle w:val="BodyText"/>
      </w:pPr>
      <w:bookmarkStart w:id="71" w:name="ref-3"/>
      <w:bookmarkEnd w:id="71"/>
      <w:r>
        <w:t xml:space="preserve">3.</w:t>
      </w:r>
      <w:r>
        <w:t xml:space="preserve"> </w:t>
      </w:r>
      <w:r>
        <w:t xml:space="preserve">“The Role of Space in Driving Sustainability, Security, and Development,”</w:t>
      </w:r>
      <w:r>
        <w:t xml:space="preserve"> </w:t>
      </w:r>
      <w:r>
        <w:t xml:space="preserve">Space Economy Papers corpus, doc SD13, D:/Claude_Code/Space_Economy_Papers/.</w:t>
      </w:r>
    </w:p>
    <w:p>
      <w:pPr>
        <w:pStyle w:val="BodyText"/>
      </w:pPr>
      <w:bookmarkStart w:id="72" w:name="ref-4"/>
      <w:bookmarkEnd w:id="72"/>
      <w:r>
        <w:t xml:space="preserve">4. A. E. Rollock and D. M. Klaus,</w:t>
      </w:r>
      <w:r>
        <w:t xml:space="preserve"> </w:t>
      </w:r>
      <w:r>
        <w:t xml:space="preserve">“Characterizing the impact of emergent technologies on earth communications reliance for crewed deep space missions,”</w:t>
      </w:r>
      <w:r>
        <w:t xml:space="preserve"> </w:t>
      </w:r>
      <w:r>
        <w:t xml:space="preserve">Acta Astronautica, vol. 226, 2024. doi:</w:t>
      </w:r>
      <w:r>
        <w:t xml:space="preserve"> </w:t>
      </w:r>
      <w:hyperlink r:id="rId73">
        <w:r>
          <w:rPr>
            <w:rStyle w:val="Hyperlink"/>
          </w:rPr>
          <w:t xml:space="preserve">10.1016/j.actaastro.2024.11.011</w:t>
        </w:r>
      </w:hyperlink>
    </w:p>
    <w:p>
      <w:pPr>
        <w:pStyle w:val="BodyText"/>
      </w:pPr>
      <w:bookmarkStart w:id="74" w:name="ref-5"/>
      <w:bookmarkEnd w:id="74"/>
      <w:r>
        <w:t xml:space="preserve">5. E. Turan, S. Speretta, and E. Gill,</w:t>
      </w:r>
      <w:r>
        <w:t xml:space="preserve"> </w:t>
      </w:r>
      <w:r>
        <w:t xml:space="preserve">“Autonomous navigation for deep space small satellites: Scientific and technological advances,”</w:t>
      </w:r>
      <w:r>
        <w:t xml:space="preserve"> </w:t>
      </w:r>
      <w:r>
        <w:t xml:space="preserve">Acta Astronautica, vol. 193, 2022. doi:</w:t>
      </w:r>
      <w:r>
        <w:t xml:space="preserve"> </w:t>
      </w:r>
      <w:hyperlink r:id="rId75">
        <w:r>
          <w:rPr>
            <w:rStyle w:val="Hyperlink"/>
          </w:rPr>
          <w:t xml:space="preserve">10.1016/j.actaastro.2021.12.030</w:t>
        </w:r>
      </w:hyperlink>
    </w:p>
    <w:bookmarkEnd w:id="76"/>
    <w:bookmarkStart w:id="77" w:name="specification"/>
    <w:p>
      <w:pPr>
        <w:pStyle w:val="Heading2"/>
      </w:pPr>
      <w:r>
        <w:t xml:space="preserve">Specification</w:t>
      </w:r>
    </w:p>
    <w:p>
      <w:pPr>
        <w:pStyle w:val="FirstParagraph"/>
      </w:pPr>
      <m:oMathPara>
        <m:oMathParaPr>
          <m:jc m:val="center"/>
        </m:oMathParaPr>
        <m:oMath>
          <m:sSub>
            <m:e>
              <m:r>
                <m:rPr>
                  <m:sty m:val="p"/>
                </m:rPr>
                <m:t>log</m:t>
              </m:r>
            </m:e>
            <m:sub>
              <m:r>
                <m:t>10</m:t>
              </m:r>
            </m:sub>
          </m:sSub>
          <m:sSub>
            <m:e>
              <m:r>
                <m:t>V</m:t>
              </m:r>
            </m:e>
            <m:sub>
              <m:r>
                <m:t>i</m:t>
              </m:r>
            </m:sub>
          </m:sSub>
          <m:r>
            <m:rPr>
              <m:sty m:val="p"/>
            </m:rPr>
            <m:t>=</m:t>
          </m:r>
          <m:sSub>
            <m:e>
              <m:r>
                <m:t>β</m:t>
              </m:r>
            </m:e>
            <m:sub>
              <m:r>
                <m:t>0</m:t>
              </m:r>
            </m:sub>
          </m:sSub>
          <m:r>
            <m:rPr>
              <m:sty m:val="p"/>
            </m:rPr>
            <m:t>+</m:t>
          </m:r>
          <m:sSub>
            <m:e>
              <m:r>
                <m:t>β</m:t>
              </m:r>
            </m:e>
            <m:sub>
              <m:r>
                <m:t>1</m:t>
              </m:r>
            </m:sub>
          </m:sSub>
          <m:sSub>
            <m:e>
              <m:r>
                <m:rPr>
                  <m:sty m:val="p"/>
                </m:rPr>
                <m:t>log</m:t>
              </m:r>
            </m:e>
            <m:sub>
              <m:r>
                <m:t>10</m:t>
              </m:r>
            </m:sub>
          </m:sSub>
          <m:sSub>
            <m:e>
              <m:r>
                <m:t>R</m:t>
              </m:r>
            </m:e>
            <m:sub>
              <m:r>
                <m:t>i</m:t>
              </m:r>
            </m:sub>
          </m:sSub>
          <m:r>
            <m:rPr>
              <m:sty m:val="p"/>
            </m:rPr>
            <m:t>+</m:t>
          </m:r>
          <m:sSub>
            <m:e>
              <m:r>
                <m:t>β</m:t>
              </m:r>
            </m:e>
            <m:sub>
              <m:r>
                <m:t>2</m:t>
              </m:r>
            </m:sub>
          </m:sSub>
          <m:sSub>
            <m:e>
              <m:r>
                <m:rPr>
                  <m:sty m:val="p"/>
                </m:rPr>
                <m:t>log</m:t>
              </m:r>
            </m:e>
            <m:sub>
              <m:r>
                <m:t>10</m:t>
              </m:r>
            </m:sub>
          </m:sSub>
          <m:sSub>
            <m:e>
              <m:r>
                <m:t>D</m:t>
              </m:r>
            </m:e>
            <m:sub>
              <m:r>
                <m:t>i</m:t>
              </m:r>
            </m:sub>
          </m:sSub>
          <m:r>
            <m:rPr>
              <m:sty m:val="p"/>
            </m:rPr>
            <m:t>+</m:t>
          </m:r>
          <m:sSub>
            <m:e>
              <m:r>
                <m:t>β</m:t>
              </m:r>
            </m:e>
            <m:sub>
              <m:r>
                <m:t>3</m:t>
              </m:r>
            </m:sub>
          </m:sSub>
          <m:sSub>
            <m:e>
              <m:r>
                <m:rPr>
                  <m:sty m:val="p"/>
                </m:rPr>
                <m:t>log</m:t>
              </m:r>
            </m:e>
            <m:sub>
              <m:r>
                <m:t>10</m:t>
              </m:r>
            </m:sub>
          </m:sSub>
          <m:sSub>
            <m:e>
              <m:r>
                <m:t>A</m:t>
              </m:r>
            </m:e>
            <m:sub>
              <m:r>
                <m:t>i</m:t>
              </m:r>
            </m:sub>
          </m:sSub>
          <m:r>
            <m:rPr>
              <m:sty m:val="p"/>
            </m:rPr>
            <m:t>+</m:t>
          </m:r>
          <m:sSub>
            <m:e>
              <m:r>
                <m:t>β</m:t>
              </m:r>
            </m:e>
            <m:sub>
              <m:r>
                <m:t>4</m:t>
              </m:r>
            </m:sub>
          </m:sSub>
          <m:sSub>
            <m:e>
              <m:r>
                <m:rPr>
                  <m:sty m:val="p"/>
                </m:rPr>
                <m:t>log</m:t>
              </m:r>
            </m:e>
            <m:sub>
              <m:r>
                <m:t>10</m:t>
              </m:r>
            </m:sub>
          </m:sSub>
          <m:sSub>
            <m:e>
              <m:r>
                <m:t>T</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-3.5708</w:t>
            </w:r>
          </w:p>
        </w:tc>
        <w:tc>
          <w:tcPr>
            <w:tcW w:w="0" w:type="auto"/>
          </w:tcPr>
          <w:p>
            <w:pPr>
              <w:spacing w:line="240" w:lineRule="auto" w:before="0" w:after="0"/>
              <w:pStyle w:val="Compact"/>
            </w:pPr>
            <w:r>
              <w:rPr>
                <w:sz w:val="20"/>
                <w:szCs w:val="20"/>
              </w:rPr>
              <w:t xml:space="preserve">0.2177</w:t>
            </w:r>
          </w:p>
        </w:tc>
        <w:tc>
          <w:tcPr>
            <w:tcW w:w="0" w:type="auto"/>
          </w:tcPr>
          <w:p>
            <w:pPr>
              <w:spacing w:line="240" w:lineRule="auto" w:before="0" w:after="0"/>
              <w:pStyle w:val="Compact"/>
            </w:pPr>
            <w:r>
              <w:rPr>
                <w:sz w:val="20"/>
                <w:szCs w:val="20"/>
              </w:rPr>
              <w:t xml:space="preserve">-16.4058</w:t>
            </w:r>
          </w:p>
        </w:tc>
        <w:tc>
          <w:tcPr>
            <w:tcW w:w="0" w:type="auto"/>
          </w:tcPr>
          <w:p>
            <w:pPr>
              <w:spacing w:line="240" w:lineRule="auto" w:before="0" w:after="0"/>
              <w:pStyle w:val="Compact"/>
            </w:pPr>
            <w:r>
              <w:rPr>
                <w:sz w:val="20"/>
                <w:szCs w:val="20"/>
              </w:rPr>
              <w:t xml:space="preserve">1.739e-60</w:t>
            </w:r>
          </w:p>
        </w:tc>
        <w:tc>
          <w:tcPr>
            <w:tcW w:w="0" w:type="auto"/>
          </w:tcPr>
          <w:p>
            <w:pPr>
              <w:spacing w:line="240" w:lineRule="auto" w:before="0" w:after="0"/>
              <w:pStyle w:val="Compact"/>
            </w:pPr>
            <w:r>
              <w:rPr>
                <w:sz w:val="20"/>
                <w:szCs w:val="20"/>
              </w:rPr>
              <w:t xml:space="preserve">[-3.9973, -3.1442]</w:t>
            </w:r>
          </w:p>
        </w:tc>
      </w:tr>
      <w:tr>
        <w:tc>
          <w:tcPr>
            <w:tcW w:w="0" w:type="auto"/>
          </w:tcPr>
          <w:p>
            <w:pPr>
              <w:spacing w:line="240" w:lineRule="auto" w:before="0" w:after="0"/>
              <w:pStyle w:val="Compact"/>
            </w:pPr>
            <w:r>
              <w:rPr>
                <w:sz w:val="20"/>
                <w:szCs w:val="20"/>
              </w:rPr>
              <w:t xml:space="preserve">log10_downlink_kbps</w:t>
            </w:r>
          </w:p>
        </w:tc>
        <w:tc>
          <w:tcPr>
            <w:tcW w:w="0" w:type="auto"/>
          </w:tcPr>
          <w:p>
            <w:pPr>
              <w:spacing w:line="240" w:lineRule="auto" w:before="0" w:after="0"/>
              <w:pStyle w:val="Compact"/>
            </w:pPr>
            <w:r>
              <w:rPr>
                <w:sz w:val="20"/>
                <w:szCs w:val="20"/>
              </w:rPr>
              <w:t xml:space="preserve">0.8759</w:t>
            </w:r>
          </w:p>
        </w:tc>
        <w:tc>
          <w:tcPr>
            <w:tcW w:w="0" w:type="auto"/>
          </w:tcPr>
          <w:p>
            <w:pPr>
              <w:spacing w:line="240" w:lineRule="auto" w:before="0" w:after="0"/>
              <w:pStyle w:val="Compact"/>
            </w:pPr>
            <w:r>
              <w:rPr>
                <w:sz w:val="20"/>
                <w:szCs w:val="20"/>
              </w:rPr>
              <w:t xml:space="preserve">0.0605</w:t>
            </w:r>
          </w:p>
        </w:tc>
        <w:tc>
          <w:tcPr>
            <w:tcW w:w="0" w:type="auto"/>
          </w:tcPr>
          <w:p>
            <w:pPr>
              <w:spacing w:line="240" w:lineRule="auto" w:before="0" w:after="0"/>
              <w:pStyle w:val="Compact"/>
            </w:pPr>
            <w:r>
              <w:rPr>
                <w:sz w:val="20"/>
                <w:szCs w:val="20"/>
              </w:rPr>
              <w:t xml:space="preserve">14.4877</w:t>
            </w:r>
          </w:p>
        </w:tc>
        <w:tc>
          <w:tcPr>
            <w:tcW w:w="0" w:type="auto"/>
          </w:tcPr>
          <w:p>
            <w:pPr>
              <w:spacing w:line="240" w:lineRule="auto" w:before="0" w:after="0"/>
              <w:pStyle w:val="Compact"/>
            </w:pPr>
            <w:r>
              <w:rPr>
                <w:sz w:val="20"/>
                <w:szCs w:val="20"/>
              </w:rPr>
              <w:t xml:space="preserve">1.448e-47</w:t>
            </w:r>
          </w:p>
        </w:tc>
        <w:tc>
          <w:tcPr>
            <w:tcW w:w="0" w:type="auto"/>
          </w:tcPr>
          <w:p>
            <w:pPr>
              <w:spacing w:line="240" w:lineRule="auto" w:before="0" w:after="0"/>
              <w:pStyle w:val="Compact"/>
            </w:pPr>
            <w:r>
              <w:rPr>
                <w:sz w:val="20"/>
                <w:szCs w:val="20"/>
              </w:rPr>
              <w:t xml:space="preserve">[0.7574, 0.9944]</w:t>
            </w:r>
          </w:p>
        </w:tc>
      </w:tr>
      <w:tr>
        <w:tc>
          <w:tcPr>
            <w:tcW w:w="0" w:type="auto"/>
          </w:tcPr>
          <w:p>
            <w:pPr>
              <w:spacing w:line="240" w:lineRule="auto" w:before="0" w:after="0"/>
              <w:pStyle w:val="Compact"/>
            </w:pPr>
            <w:r>
              <w:rPr>
                <w:sz w:val="20"/>
                <w:szCs w:val="20"/>
              </w:rPr>
              <w:t xml:space="preserve">log10_slant_AU</w:t>
            </w:r>
          </w:p>
        </w:tc>
        <w:tc>
          <w:tcPr>
            <w:tcW w:w="0" w:type="auto"/>
          </w:tcPr>
          <w:p>
            <w:pPr>
              <w:spacing w:line="240" w:lineRule="auto" w:before="0" w:after="0"/>
              <w:pStyle w:val="Compact"/>
            </w:pPr>
            <w:r>
              <w:rPr>
                <w:sz w:val="20"/>
                <w:szCs w:val="20"/>
              </w:rPr>
              <w:t xml:space="preserve">-0.2862</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-1.6331</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[-0.6298, 0.0573]</w:t>
            </w:r>
          </w:p>
        </w:tc>
      </w:tr>
      <w:tr>
        <w:tc>
          <w:tcPr>
            <w:tcW w:w="0" w:type="auto"/>
          </w:tcPr>
          <w:p>
            <w:pPr>
              <w:spacing w:line="240" w:lineRule="auto" w:before="0" w:after="0"/>
              <w:pStyle w:val="Compact"/>
            </w:pPr>
            <w:r>
              <w:rPr>
                <w:sz w:val="20"/>
                <w:szCs w:val="20"/>
              </w:rPr>
              <w:t xml:space="preserve">log10_antenna_m</w:t>
            </w:r>
          </w:p>
        </w:tc>
        <w:tc>
          <w:tcPr>
            <w:tcW w:w="0" w:type="auto"/>
          </w:tcPr>
          <w:p>
            <w:pPr>
              <w:spacing w:line="240" w:lineRule="auto" w:before="0" w:after="0"/>
              <w:pStyle w:val="Compact"/>
            </w:pPr>
            <w:r>
              <w:rPr>
                <w:sz w:val="20"/>
                <w:szCs w:val="20"/>
              </w:rPr>
              <w:t xml:space="preserve">1.8194</w:t>
            </w:r>
          </w:p>
        </w:tc>
        <w:tc>
          <w:tcPr>
            <w:tcW w:w="0" w:type="auto"/>
          </w:tcPr>
          <w:p>
            <w:pPr>
              <w:spacing w:line="240" w:lineRule="auto" w:before="0" w:after="0"/>
              <w:pStyle w:val="Compact"/>
            </w:pPr>
            <w:r>
              <w:rPr>
                <w:sz w:val="20"/>
                <w:szCs w:val="20"/>
              </w:rPr>
              <w:t xml:space="preserve">0.6189</w:t>
            </w:r>
          </w:p>
        </w:tc>
        <w:tc>
          <w:tcPr>
            <w:tcW w:w="0" w:type="auto"/>
          </w:tcPr>
          <w:p>
            <w:pPr>
              <w:spacing w:line="240" w:lineRule="auto" w:before="0" w:after="0"/>
              <w:pStyle w:val="Compact"/>
            </w:pPr>
            <w:r>
              <w:rPr>
                <w:sz w:val="20"/>
                <w:szCs w:val="20"/>
              </w:rPr>
              <w:t xml:space="preserve">2.9398</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[0.6064, 3.0323]</w:t>
            </w:r>
          </w:p>
        </w:tc>
      </w:tr>
      <w:tr>
        <w:tc>
          <w:tcPr>
            <w:tcW w:w="0" w:type="auto"/>
          </w:tcPr>
          <w:p>
            <w:pPr>
              <w:spacing w:line="240" w:lineRule="auto" w:before="0" w:after="0"/>
              <w:pStyle w:val="Compact"/>
            </w:pPr>
            <w:r>
              <w:rPr>
                <w:sz w:val="20"/>
                <w:szCs w:val="20"/>
              </w:rPr>
              <w:t xml:space="preserve">log10_op_years</w:t>
            </w:r>
          </w:p>
        </w:tc>
        <w:tc>
          <w:tcPr>
            <w:tcW w:w="0" w:type="auto"/>
          </w:tcPr>
          <w:p>
            <w:pPr>
              <w:spacing w:line="240" w:lineRule="auto" w:before="0" w:after="0"/>
              <w:pStyle w:val="Compact"/>
            </w:pPr>
            <w:r>
              <w:rPr>
                <w:sz w:val="20"/>
                <w:szCs w:val="20"/>
              </w:rPr>
              <w:t xml:space="preserve">1.7071</w:t>
            </w:r>
          </w:p>
        </w:tc>
        <w:tc>
          <w:tcPr>
            <w:tcW w:w="0" w:type="auto"/>
          </w:tcPr>
          <w:p>
            <w:pPr>
              <w:spacing w:line="240" w:lineRule="auto" w:before="0" w:after="0"/>
              <w:pStyle w:val="Compact"/>
            </w:pPr>
            <w:r>
              <w:rPr>
                <w:sz w:val="20"/>
                <w:szCs w:val="20"/>
              </w:rPr>
              <w:t xml:space="preserve">0.1629</w:t>
            </w:r>
          </w:p>
        </w:tc>
        <w:tc>
          <w:tcPr>
            <w:tcW w:w="0" w:type="auto"/>
          </w:tcPr>
          <w:p>
            <w:pPr>
              <w:spacing w:line="240" w:lineRule="auto" w:before="0" w:after="0"/>
              <w:pStyle w:val="Compact"/>
            </w:pPr>
            <w:r>
              <w:rPr>
                <w:sz w:val="20"/>
                <w:szCs w:val="20"/>
              </w:rPr>
              <w:t xml:space="preserve">10.4813</w:t>
            </w:r>
          </w:p>
        </w:tc>
        <w:tc>
          <w:tcPr>
            <w:tcW w:w="0" w:type="auto"/>
          </w:tcPr>
          <w:p>
            <w:pPr>
              <w:spacing w:line="240" w:lineRule="auto" w:before="0" w:after="0"/>
              <w:pStyle w:val="Compact"/>
            </w:pPr>
            <w:r>
              <w:rPr>
                <w:sz w:val="20"/>
                <w:szCs w:val="20"/>
              </w:rPr>
              <w:t xml:space="preserve">1.053e-25</w:t>
            </w:r>
          </w:p>
        </w:tc>
        <w:tc>
          <w:tcPr>
            <w:tcW w:w="0" w:type="auto"/>
          </w:tcPr>
          <w:p>
            <w:pPr>
              <w:spacing w:line="240" w:lineRule="auto" w:before="0" w:after="0"/>
              <w:pStyle w:val="Compact"/>
            </w:pPr>
            <w:r>
              <w:rPr>
                <w:sz w:val="20"/>
                <w:szCs w:val="20"/>
              </w:rPr>
              <w:t xml:space="preserve">[1.3879, 2.0263]</w:t>
            </w:r>
          </w:p>
        </w:tc>
      </w:tr>
    </w:tbl>
    <w:p>
      <w:pPr>
        <w:pStyle w:val="BodyText"/>
      </w:pPr>
      <w:r>
        <w:t xml:space="preserve">Fit: N = 36 R2 = 0.8112 R2_adj = 0.7869 F = 94.0447 F_p = 7.074e-17</w:t>
      </w:r>
    </w:p>
    <w:p>
      <w:pPr>
        <w:pStyle w:val="CaptionedFigure"/>
      </w:pPr>
      <w:r>
        <w:drawing>
          <wp:inline>
            <wp:extent cx="5669280" cy="3657600"/>
            <wp:effectExtent b="0" l="0" r="0" t="0"/>
            <wp:docPr descr="Figure 1. Cross-mission relationship between peak downlink rate and cumulative archived data volume, log10 scale, with the OLS fit." title="" id="79" name="Picture"/>
            <a:graphic>
              <a:graphicData uri="http://schemas.openxmlformats.org/drawingml/2006/picture">
                <pic:pic>
                  <pic:nvPicPr>
                    <pic:cNvPr descr="D:\Claude_Code\brain\collegium\candidates\dissertations\JPL_PLANETARY_08\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Cross-mission relationship between peak downlink rate and cumulative archived data volume, log10 scale, with the OLS fit.</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operational_years</w:t>
            </w:r>
          </w:p>
        </w:tc>
        <w:tc>
          <w:tcPr>
            <w:tcW w:w="0" w:type="auto"/>
          </w:tcPr>
          <w:p>
            <w:pPr>
              <w:spacing w:line="240" w:lineRule="auto" w:before="0" w:after="0"/>
              <w:pStyle w:val="Compact"/>
            </w:pPr>
            <w:r>
              <w:rPr>
                <w:sz w:val="20"/>
                <w:szCs w:val="20"/>
              </w:rPr>
              <w:t xml:space="preserve">peak_downlink_kbps</w:t>
            </w:r>
          </w:p>
        </w:tc>
        <w:tc>
          <w:tcPr>
            <w:tcW w:w="0" w:type="auto"/>
          </w:tcPr>
          <w:p>
            <w:pPr>
              <w:spacing w:line="240" w:lineRule="auto" w:before="0" w:after="0"/>
              <w:pStyle w:val="Compact"/>
            </w:pPr>
            <w:r>
              <w:rPr>
                <w:sz w:val="20"/>
                <w:szCs w:val="20"/>
              </w:rPr>
              <w:t xml:space="preserve">max_slant_range_AU</w:t>
            </w:r>
          </w:p>
        </w:tc>
        <w:tc>
          <w:tcPr>
            <w:tcW w:w="0" w:type="auto"/>
          </w:tcPr>
          <w:p>
            <w:pPr>
              <w:spacing w:line="240" w:lineRule="auto" w:before="0" w:after="0"/>
              <w:pStyle w:val="Compact"/>
            </w:pPr>
            <w:r>
              <w:rPr>
                <w:sz w:val="20"/>
                <w:szCs w:val="20"/>
              </w:rPr>
              <w:t xml:space="preserve">antenna_diameter_m</w:t>
            </w:r>
          </w:p>
        </w:tc>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log_data_volume_TB</w:t>
            </w:r>
          </w:p>
        </w:tc>
        <w:tc>
          <w:tcPr>
            <w:tcW w:w="0" w:type="auto"/>
          </w:tcPr>
          <w:p>
            <w:pPr>
              <w:spacing w:line="240" w:lineRule="auto" w:before="0" w:after="0"/>
              <w:pStyle w:val="Compact"/>
            </w:pPr>
            <w:r>
              <w:rPr>
                <w:sz w:val="20"/>
                <w:szCs w:val="20"/>
              </w:rPr>
              <w:t xml:space="preserve">log10_downlink_kbps</w:t>
            </w:r>
          </w:p>
        </w:tc>
        <w:tc>
          <w:tcPr>
            <w:tcW w:w="0" w:type="auto"/>
          </w:tcPr>
          <w:p>
            <w:pPr>
              <w:spacing w:line="240" w:lineRule="auto" w:before="0" w:after="0"/>
              <w:pStyle w:val="Compact"/>
            </w:pPr>
            <w:r>
              <w:rPr>
                <w:sz w:val="20"/>
                <w:szCs w:val="20"/>
              </w:rPr>
              <w:t xml:space="preserve">log10_slant_AU</w:t>
            </w:r>
          </w:p>
        </w:tc>
        <w:tc>
          <w:tcPr>
            <w:tcW w:w="0" w:type="auto"/>
          </w:tcPr>
          <w:p>
            <w:pPr>
              <w:spacing w:line="240" w:lineRule="auto" w:before="0" w:after="0"/>
              <w:pStyle w:val="Compact"/>
            </w:pPr>
            <w:r>
              <w:rPr>
                <w:sz w:val="20"/>
                <w:szCs w:val="20"/>
              </w:rPr>
              <w:t xml:space="preserve">log10_antenna_m</w:t>
            </w:r>
          </w:p>
        </w:tc>
        <w:tc>
          <w:tcPr>
            <w:tcW w:w="0" w:type="auto"/>
          </w:tcPr>
          <w:p>
            <w:pPr>
              <w:spacing w:line="240" w:lineRule="auto" w:before="0" w:after="0"/>
              <w:pStyle w:val="Compact"/>
            </w:pPr>
            <w:r>
              <w:rPr>
                <w:sz w:val="20"/>
                <w:szCs w:val="20"/>
              </w:rPr>
              <w:t xml:space="preserve">log10_op_years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Voyager_1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2.2122</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1.6721</w:t>
            </w:r>
          </w:p>
        </w:tc>
        <w:tc>
          <w:tcPr>
            <w:tcW w:w="0" w:type="auto"/>
          </w:tcPr>
          <w:p>
            <w:pPr>
              <w:spacing w:line="240" w:lineRule="auto" w:before="0" w:after="0"/>
              <w:pStyle w:val="Compact"/>
            </w:pPr>
            <w:r>
              <w:rPr>
                <w:sz w:val="20"/>
                <w:szCs w:val="20"/>
              </w:rPr>
              <w:t xml:space="preserve">NASA-JPL Voyager Mission Status, voyager.jpl.nasa.gov/mission/status; PDS PPI volumes</w:t>
            </w:r>
          </w:p>
        </w:tc>
      </w:tr>
      <w:tr>
        <w:tc>
          <w:tcPr>
            <w:tcW w:w="0" w:type="auto"/>
          </w:tcPr>
          <w:p>
            <w:pPr>
              <w:spacing w:line="240" w:lineRule="auto" w:before="0" w:after="0"/>
              <w:pStyle w:val="Compact"/>
            </w:pPr>
            <w:r>
              <w:rPr>
                <w:sz w:val="20"/>
                <w:szCs w:val="20"/>
              </w:rPr>
              <w:t xml:space="preserve">Voyager_2</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2.1335</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1.6721</w:t>
            </w:r>
          </w:p>
        </w:tc>
        <w:tc>
          <w:tcPr>
            <w:tcW w:w="0" w:type="auto"/>
          </w:tcPr>
          <w:p>
            <w:pPr>
              <w:spacing w:line="240" w:lineRule="auto" w:before="0" w:after="0"/>
              <w:pStyle w:val="Compact"/>
            </w:pPr>
            <w:r>
              <w:rPr>
                <w:sz w:val="20"/>
                <w:szCs w:val="20"/>
              </w:rPr>
              <w:t xml:space="preserve">NASA-JPL Voyager Mission Status, voyager.jpl.nasa.gov/mission/status; PDS PPI volumes</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-0.7959</w:t>
            </w:r>
          </w:p>
        </w:tc>
        <w:tc>
          <w:tcPr>
            <w:tcW w:w="0" w:type="auto"/>
          </w:tcPr>
          <w:p>
            <w:pPr>
              <w:spacing w:line="240" w:lineRule="auto" w:before="0" w:after="0"/>
              <w:pStyle w:val="Compact"/>
            </w:pPr>
            <w:r>
              <w:rPr>
                <w:sz w:val="20"/>
                <w:szCs w:val="20"/>
              </w:rPr>
              <w:t xml:space="preserve">0.7924</w:t>
            </w:r>
          </w:p>
        </w:tc>
        <w:tc>
          <w:tcPr>
            <w:tcW w:w="0" w:type="auto"/>
          </w:tcPr>
          <w:p>
            <w:pPr>
              <w:spacing w:line="240" w:lineRule="auto" w:before="0" w:after="0"/>
              <w:pStyle w:val="Compact"/>
            </w:pPr>
            <w:r>
              <w:rPr>
                <w:sz w:val="20"/>
                <w:szCs w:val="20"/>
              </w:rPr>
              <w:t xml:space="preserve">0.6812</w:t>
            </w:r>
          </w:p>
        </w:tc>
        <w:tc>
          <w:tcPr>
            <w:tcW w:w="0" w:type="auto"/>
          </w:tcPr>
          <w:p>
            <w:pPr>
              <w:spacing w:line="240" w:lineRule="auto" w:before="0" w:after="0"/>
              <w:pStyle w:val="Compact"/>
            </w:pPr>
            <w:r>
              <w:rPr>
                <w:sz w:val="20"/>
                <w:szCs w:val="20"/>
              </w:rPr>
              <w:t xml:space="preserve">1.1461</w:t>
            </w:r>
          </w:p>
        </w:tc>
        <w:tc>
          <w:tcPr>
            <w:tcW w:w="0" w:type="auto"/>
          </w:tcPr>
          <w:p>
            <w:pPr>
              <w:spacing w:line="240" w:lineRule="auto" w:before="0" w:after="0"/>
              <w:pStyle w:val="Compact"/>
            </w:pPr>
            <w:r>
              <w:rPr>
                <w:sz w:val="20"/>
                <w:szCs w:val="20"/>
              </w:rPr>
              <w:t xml:space="preserve">Johnson 2002 IEEE Aerospace, Galileo Telecommunications; NTRS 20020072078</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166</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1.929</w:t>
            </w:r>
          </w:p>
        </w:tc>
        <w:tc>
          <w:tcPr>
            <w:tcW w:w="0" w:type="auto"/>
          </w:tcPr>
          <w:p>
            <w:pPr>
              <w:spacing w:line="240" w:lineRule="auto" w:before="0" w:after="0"/>
              <w:pStyle w:val="Compact"/>
            </w:pPr>
            <w:r>
              <w:rPr>
                <w:sz w:val="20"/>
                <w:szCs w:val="20"/>
              </w:rPr>
              <w:t xml:space="preserve">2.2201</w:t>
            </w:r>
          </w:p>
        </w:tc>
        <w:tc>
          <w:tcPr>
            <w:tcW w:w="0" w:type="auto"/>
          </w:tcPr>
          <w:p>
            <w:pPr>
              <w:spacing w:line="240" w:lineRule="auto" w:before="0" w:after="0"/>
              <w:pStyle w:val="Compact"/>
            </w:pPr>
            <w:r>
              <w:rPr>
                <w:sz w:val="20"/>
                <w:szCs w:val="20"/>
              </w:rPr>
              <w:t xml:space="preserve">1.0043</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Taylor et al. 2002 DESCANSO Series; Cassini Mission Final Report 2019, NASA-JPL</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2.602</w:t>
            </w:r>
          </w:p>
        </w:tc>
        <w:tc>
          <w:tcPr>
            <w:tcW w:w="0" w:type="auto"/>
          </w:tcPr>
          <w:p>
            <w:pPr>
              <w:spacing w:line="240" w:lineRule="auto" w:before="0" w:after="0"/>
              <w:pStyle w:val="Compact"/>
            </w:pPr>
            <w:r>
              <w:rPr>
                <w:sz w:val="20"/>
                <w:szCs w:val="20"/>
              </w:rPr>
              <w:t xml:space="preserve">3.7782</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1.2788</w:t>
            </w:r>
          </w:p>
        </w:tc>
        <w:tc>
          <w:tcPr>
            <w:tcW w:w="0" w:type="auto"/>
          </w:tcPr>
          <w:p>
            <w:pPr>
              <w:spacing w:line="240" w:lineRule="auto" w:before="0" w:after="0"/>
              <w:pStyle w:val="Compact"/>
            </w:pPr>
            <w:r>
              <w:rPr>
                <w:sz w:val="20"/>
                <w:szCs w:val="20"/>
              </w:rPr>
              <w:t xml:space="preserve">Taylor et al. 2006 DESCANSO Article 14; MRO mission stats NASA-JPL</w:t>
            </w:r>
          </w:p>
        </w:tc>
      </w:tr>
      <w:tr>
        <w:tc>
          <w:tcPr>
            <w:tcW w:w="0" w:type="auto"/>
          </w:tcPr>
          <w:p>
            <w:pPr>
              <w:spacing w:line="240" w:lineRule="auto" w:before="0" w:after="0"/>
              <w:pStyle w:val="Compact"/>
            </w:pPr>
            <w:r>
              <w:rPr>
                <w:sz w:val="20"/>
                <w:szCs w:val="20"/>
              </w:rPr>
              <w:t xml:space="preserve">Mars_Odyssey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1.176</w:t>
            </w:r>
          </w:p>
        </w:tc>
        <w:tc>
          <w:tcPr>
            <w:tcW w:w="0" w:type="auto"/>
          </w:tcPr>
          <w:p>
            <w:pPr>
              <w:spacing w:line="240" w:lineRule="auto" w:before="0" w:after="0"/>
              <w:pStyle w:val="Compact"/>
            </w:pPr>
            <w:r>
              <w:rPr>
                <w:sz w:val="20"/>
                <w:szCs w:val="20"/>
              </w:rPr>
              <w:t xml:space="preserve">2.4082</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0.1139</w:t>
            </w:r>
          </w:p>
        </w:tc>
        <w:tc>
          <w:tcPr>
            <w:tcW w:w="0" w:type="auto"/>
          </w:tcPr>
          <w:p>
            <w:pPr>
              <w:spacing w:line="240" w:lineRule="auto" w:before="0" w:after="0"/>
              <w:pStyle w:val="Compact"/>
            </w:pPr>
            <w:r>
              <w:rPr>
                <w:sz w:val="20"/>
                <w:szCs w:val="20"/>
              </w:rPr>
              <w:t xml:space="preserve">1.3617</w:t>
            </w:r>
          </w:p>
        </w:tc>
        <w:tc>
          <w:tcPr>
            <w:tcW w:w="0" w:type="auto"/>
          </w:tcPr>
          <w:p>
            <w:pPr>
              <w:spacing w:line="240" w:lineRule="auto" w:before="0" w:after="0"/>
              <w:pStyle w:val="Compact"/>
            </w:pPr>
            <w:r>
              <w:rPr>
                <w:sz w:val="20"/>
                <w:szCs w:val="20"/>
              </w:rPr>
              <w:t xml:space="preserve">Mars Odyssey Telecommunications, NTRS 20030020394; PDS volumes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2.7404</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1.0414</w:t>
            </w:r>
          </w:p>
        </w:tc>
        <w:tc>
          <w:tcPr>
            <w:tcW w:w="0" w:type="auto"/>
          </w:tcPr>
          <w:p>
            <w:pPr>
              <w:spacing w:line="240" w:lineRule="auto" w:before="0" w:after="0"/>
              <w:pStyle w:val="Compact"/>
            </w:pPr>
            <w:r>
              <w:rPr>
                <w:sz w:val="20"/>
                <w:szCs w:val="20"/>
              </w:rPr>
              <w:t xml:space="preserve">MAVEN Mission Overview, NASA GSFC; PDS Atmospheres node holdings</w:t>
            </w:r>
          </w:p>
        </w:tc>
      </w:tr>
      <w:tr>
        <w:tc>
          <w:tcPr>
            <w:tcW w:w="0" w:type="auto"/>
          </w:tcPr>
          <w:p>
            <w:pPr>
              <w:spacing w:line="240" w:lineRule="auto" w:before="0" w:after="0"/>
              <w:pStyle w:val="Compact"/>
            </w:pPr>
            <w:r>
              <w:rPr>
                <w:sz w:val="20"/>
                <w:szCs w:val="20"/>
              </w:rPr>
              <w:t xml:space="preserve">Mars_Express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2.3579</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1.3222</w:t>
            </w:r>
          </w:p>
        </w:tc>
        <w:tc>
          <w:tcPr>
            <w:tcW w:w="0" w:type="auto"/>
          </w:tcPr>
          <w:p>
            <w:pPr>
              <w:spacing w:line="240" w:lineRule="auto" w:before="0" w:after="0"/>
              <w:pStyle w:val="Compact"/>
            </w:pPr>
            <w:r>
              <w:rPr>
                <w:sz w:val="20"/>
                <w:szCs w:val="20"/>
              </w:rPr>
              <w:t xml:space="preserve">ESA Mars Express Telecommunications, ESA-SP 1291; PDS partner archive</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0.114</w:t>
            </w:r>
          </w:p>
        </w:tc>
        <w:tc>
          <w:tcPr>
            <w:tcW w:w="0" w:type="auto"/>
          </w:tcPr>
          <w:p>
            <w:pPr>
              <w:spacing w:line="240" w:lineRule="auto" w:before="0" w:after="0"/>
              <w:pStyle w:val="Compact"/>
            </w:pPr>
            <w:r>
              <w:rPr>
                <w:sz w:val="20"/>
                <w:szCs w:val="20"/>
              </w:rPr>
              <w:t xml:space="preserve">0.6532</w:t>
            </w:r>
          </w:p>
        </w:tc>
        <w:tc>
          <w:tcPr>
            <w:tcW w:w="0" w:type="auto"/>
          </w:tcPr>
          <w:p>
            <w:pPr>
              <w:spacing w:line="240" w:lineRule="auto" w:before="0" w:after="0"/>
              <w:pStyle w:val="Compact"/>
            </w:pPr>
            <w:r>
              <w:rPr>
                <w:sz w:val="20"/>
                <w:szCs w:val="20"/>
              </w:rPr>
              <w:t xml:space="preserve">1.7243</w:t>
            </w:r>
          </w:p>
        </w:tc>
        <w:tc>
          <w:tcPr>
            <w:tcW w:w="0" w:type="auto"/>
          </w:tcPr>
          <w:p>
            <w:pPr>
              <w:spacing w:line="240" w:lineRule="auto" w:before="0" w:after="0"/>
              <w:pStyle w:val="Compact"/>
            </w:pPr>
            <w:r>
              <w:rPr>
                <w:sz w:val="20"/>
                <w:szCs w:val="20"/>
              </w:rPr>
              <w:t xml:space="preserve">0.3222</w:t>
            </w:r>
          </w:p>
        </w:tc>
        <w:tc>
          <w:tcPr>
            <w:tcW w:w="0" w:type="auto"/>
          </w:tcPr>
          <w:p>
            <w:pPr>
              <w:spacing w:line="240" w:lineRule="auto" w:before="0" w:after="0"/>
              <w:pStyle w:val="Compact"/>
            </w:pPr>
            <w:r>
              <w:rPr>
                <w:sz w:val="20"/>
                <w:szCs w:val="20"/>
              </w:rPr>
              <w:t xml:space="preserve">1.2553</w:t>
            </w:r>
          </w:p>
        </w:tc>
        <w:tc>
          <w:tcPr>
            <w:tcW w:w="0" w:type="auto"/>
          </w:tcPr>
          <w:p>
            <w:pPr>
              <w:spacing w:line="240" w:lineRule="auto" w:before="0" w:after="0"/>
              <w:pStyle w:val="Compact"/>
            </w:pPr>
            <w:r>
              <w:rPr>
                <w:sz w:val="20"/>
                <w:szCs w:val="20"/>
              </w:rPr>
              <w:t xml:space="preserve">Fountain et al. 2008 Space Sci Rev; New Horizons mission status APL</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1.255</w:t>
            </w:r>
          </w:p>
        </w:tc>
        <w:tc>
          <w:tcPr>
            <w:tcW w:w="0" w:type="auto"/>
          </w:tcPr>
          <w:p>
            <w:pPr>
              <w:spacing w:line="240" w:lineRule="auto" w:before="0" w:after="0"/>
              <w:pStyle w:val="Compact"/>
            </w:pPr>
            <w:r>
              <w:rPr>
                <w:sz w:val="20"/>
                <w:szCs w:val="20"/>
              </w:rPr>
              <w:t xml:space="preserve">1.3979</w:t>
            </w:r>
          </w:p>
        </w:tc>
        <w:tc>
          <w:tcPr>
            <w:tcW w:w="0" w:type="auto"/>
          </w:tcPr>
          <w:p>
            <w:pPr>
              <w:spacing w:line="240" w:lineRule="auto" w:before="0" w:after="0"/>
              <w:pStyle w:val="Compact"/>
            </w:pPr>
            <w:r>
              <w:rPr>
                <w:sz w:val="20"/>
                <w:szCs w:val="20"/>
              </w:rPr>
              <w:t xml:space="preserve">0.7924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1.1139</w:t>
            </w:r>
          </w:p>
        </w:tc>
        <w:tc>
          <w:tcPr>
            <w:tcW w:w="0" w:type="auto"/>
          </w:tcPr>
          <w:p>
            <w:pPr>
              <w:spacing w:line="240" w:lineRule="auto" w:before="0" w:after="0"/>
              <w:pStyle w:val="Compact"/>
            </w:pPr>
            <w:r>
              <w:rPr>
                <w:sz w:val="20"/>
                <w:szCs w:val="20"/>
              </w:rPr>
              <w:t xml:space="preserve">Mukai et al. 2017 Space Sci Rev Juno Telecom; PDS Atmospheres Juno</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3.1761</w:t>
            </w:r>
          </w:p>
        </w:tc>
        <w:tc>
          <w:tcPr>
            <w:tcW w:w="0" w:type="auto"/>
          </w:tcPr>
          <w:p>
            <w:pPr>
              <w:spacing w:line="240" w:lineRule="auto" w:before="0" w:after="0"/>
              <w:pStyle w:val="Compact"/>
            </w:pPr>
            <w:r>
              <w:rPr>
                <w:sz w:val="20"/>
                <w:szCs w:val="20"/>
              </w:rPr>
              <w:t xml:space="preserve">0.5185</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Psyche Mission Overview NASA-JPL 2024; press kit launch year [illustrative early-mission volume]</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914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2.9609</w:t>
            </w:r>
          </w:p>
        </w:tc>
        <w:tc>
          <w:tcPr>
            <w:tcW w:w="0" w:type="auto"/>
          </w:tcPr>
          <w:p>
            <w:pPr>
              <w:spacing w:line="240" w:lineRule="auto" w:before="0" w:after="0"/>
              <w:pStyle w:val="Compact"/>
            </w:pPr>
            <w:r>
              <w:rPr>
                <w:sz w:val="20"/>
                <w:szCs w:val="20"/>
              </w:rPr>
              <w:t xml:space="preserve">0.3802</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Berry et al. 2013 AIAA Space; OSIRIS-REx mission status NASA GSFC</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0.954</w:t>
            </w:r>
          </w:p>
        </w:tc>
        <w:tc>
          <w:tcPr>
            <w:tcW w:w="0" w:type="auto"/>
          </w:tcPr>
          <w:p>
            <w:pPr>
              <w:spacing w:line="240" w:lineRule="auto" w:before="0" w:after="0"/>
              <w:pStyle w:val="Compact"/>
            </w:pPr>
            <w:r>
              <w:rPr>
                <w:sz w:val="20"/>
                <w:szCs w:val="20"/>
              </w:rPr>
              <w:t xml:space="preserve">2.0934</w:t>
            </w:r>
          </w:p>
        </w:tc>
        <w:tc>
          <w:tcPr>
            <w:tcW w:w="0" w:type="auto"/>
          </w:tcPr>
          <w:p>
            <w:pPr>
              <w:spacing w:line="240" w:lineRule="auto" w:before="0" w:after="0"/>
              <w:pStyle w:val="Compact"/>
            </w:pPr>
            <w:r>
              <w:rPr>
                <w:sz w:val="20"/>
                <w:szCs w:val="20"/>
              </w:rPr>
              <w:t xml:space="preserve">0.6335</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1.0414</w:t>
            </w:r>
          </w:p>
        </w:tc>
        <w:tc>
          <w:tcPr>
            <w:tcW w:w="0" w:type="auto"/>
          </w:tcPr>
          <w:p>
            <w:pPr>
              <w:spacing w:line="240" w:lineRule="auto" w:before="0" w:after="0"/>
              <w:pStyle w:val="Compact"/>
            </w:pPr>
            <w:r>
              <w:rPr>
                <w:sz w:val="20"/>
                <w:szCs w:val="20"/>
              </w:rPr>
              <w:t xml:space="preserve">Russell and Raymond 2011 Space Sci Rev; Dawn end-of-mission report NASA-JPL</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0.602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1.0414</w:t>
            </w:r>
          </w:p>
        </w:tc>
        <w:tc>
          <w:tcPr>
            <w:tcW w:w="0" w:type="auto"/>
          </w:tcPr>
          <w:p>
            <w:pPr>
              <w:spacing w:line="240" w:lineRule="auto" w:before="0" w:after="0"/>
              <w:pStyle w:val="Compact"/>
            </w:pPr>
            <w:r>
              <w:rPr>
                <w:sz w:val="20"/>
                <w:szCs w:val="20"/>
              </w:rPr>
              <w:t xml:space="preserve">Srinivasan et al. 2007 Space Sci Rev MESSENGER; PDS PPI MESSENGER</w:t>
            </w:r>
          </w:p>
        </w:tc>
      </w:tr>
      <w:tr>
        <w:tc>
          <w:tcPr>
            <w:tcW w:w="0" w:type="auto"/>
          </w:tcPr>
          <w:p>
            <w:pPr>
              <w:spacing w:line="240" w:lineRule="auto" w:before="0" w:after="0"/>
              <w:pStyle w:val="Compact"/>
            </w:pPr>
            <w:r>
              <w:rPr>
                <w:sz w:val="20"/>
                <w:szCs w:val="20"/>
              </w:rPr>
              <w:t xml:space="preserve">Hayabusa2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-0.155</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0.3802</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JAXA Hayabusa2 Mission Summary 2020; ISAS publications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0.7709</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Levison et al. 2021 Space Sci Rev Lucy; mission status NASA-GSFC [illustrative cumulative]</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ESA BepiColombo Telecom Subsystem 2019 ESA SP-1294; mission status [illustrative]</w:t>
            </w:r>
          </w:p>
        </w:tc>
      </w:tr>
      <w:tr>
        <w:tc>
          <w:tcPr>
            <w:tcW w:w="0" w:type="auto"/>
          </w:tcPr>
          <w:p>
            <w:pPr>
              <w:spacing w:line="240" w:lineRule="auto" w:before="0" w:after="0"/>
              <w:pStyle w:val="Compact"/>
            </w:pPr>
            <w:r>
              <w:rPr>
                <w:sz w:val="20"/>
                <w:szCs w:val="20"/>
              </w:rPr>
              <w:t xml:space="preserve">Akatsuki</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-0.523</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0.2304</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1.1461</w:t>
            </w:r>
          </w:p>
        </w:tc>
        <w:tc>
          <w:tcPr>
            <w:tcW w:w="0" w:type="auto"/>
          </w:tcPr>
          <w:p>
            <w:pPr>
              <w:spacing w:line="240" w:lineRule="auto" w:before="0" w:after="0"/>
              <w:pStyle w:val="Compact"/>
            </w:pPr>
            <w:r>
              <w:rPr>
                <w:sz w:val="20"/>
                <w:szCs w:val="20"/>
              </w:rPr>
              <w:t xml:space="preserve">JAXA Akatsuki Mission Status 2024; Nakamura et al. 2011 EPS</w:t>
            </w:r>
          </w:p>
        </w:tc>
      </w:tr>
      <w:tr>
        <w:tc>
          <w:tcPr>
            <w:tcW w:w="0" w:type="auto"/>
          </w:tcPr>
          <w:p>
            <w:pPr>
              <w:spacing w:line="240" w:lineRule="auto" w:before="0" w:after="0"/>
              <w:pStyle w:val="Compact"/>
            </w:pPr>
            <w:r>
              <w:rPr>
                <w:sz w:val="20"/>
                <w:szCs w:val="20"/>
              </w:rPr>
              <w:t xml:space="preserve">Mars_Reconnaissance_Subset_ROVER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0.8451</w:t>
            </w:r>
          </w:p>
        </w:tc>
        <w:tc>
          <w:tcPr>
            <w:tcW w:w="0" w:type="auto"/>
          </w:tcPr>
          <w:p>
            <w:pPr>
              <w:spacing w:line="240" w:lineRule="auto" w:before="0" w:after="0"/>
              <w:pStyle w:val="Compact"/>
            </w:pPr>
            <w:r>
              <w:rPr>
                <w:sz w:val="20"/>
                <w:szCs w:val="20"/>
              </w:rPr>
              <w:t xml:space="preserve">InSight Mars Lander Final Report NASA-JPL 2022; PDS Geosciences</w:t>
            </w:r>
          </w:p>
        </w:tc>
      </w:tr>
      <w:tr>
        <w:tc>
          <w:tcPr>
            <w:tcW w:w="0" w:type="auto"/>
          </w:tcPr>
          <w:p>
            <w:pPr>
              <w:spacing w:line="240" w:lineRule="auto" w:before="0" w:after="0"/>
              <w:pStyle w:val="Compact"/>
            </w:pPr>
            <w:r>
              <w:rPr>
                <w:sz w:val="20"/>
                <w:szCs w:val="20"/>
              </w:rPr>
              <w:t xml:space="preserve">Curiosity_via_Relay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1.1139</w:t>
            </w:r>
          </w:p>
        </w:tc>
        <w:tc>
          <w:tcPr>
            <w:tcW w:w="0" w:type="auto"/>
          </w:tcPr>
          <w:p>
            <w:pPr>
              <w:spacing w:line="240" w:lineRule="auto" w:before="0" w:after="0"/>
              <w:pStyle w:val="Compact"/>
            </w:pPr>
            <w:r>
              <w:rPr>
                <w:sz w:val="20"/>
                <w:szCs w:val="20"/>
              </w:rPr>
              <w:t xml:space="preserve">MSL Mission Operations Report 2024 NASA-JPL; PDS Imaging Curiosity</w:t>
            </w:r>
          </w:p>
        </w:tc>
      </w:tr>
      <w:tr>
        <w:tc>
          <w:tcPr>
            <w:tcW w:w="0" w:type="auto"/>
          </w:tcPr>
          <w:p>
            <w:pPr>
              <w:spacing w:line="240" w:lineRule="auto" w:before="0" w:after="0"/>
              <w:pStyle w:val="Compact"/>
            </w:pPr>
            <w:r>
              <w:rPr>
                <w:sz w:val="20"/>
                <w:szCs w:val="20"/>
              </w:rPr>
              <w:t xml:space="preserve">Perseverance_via_Relay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1.176</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Mars 2020 Mission Status NASA-JPL 2024; PDS Mars 2020</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0.477</w:t>
            </w:r>
          </w:p>
        </w:tc>
        <w:tc>
          <w:tcPr>
            <w:tcW w:w="0" w:type="auto"/>
          </w:tcPr>
          <w:p>
            <w:pPr>
              <w:spacing w:line="240" w:lineRule="auto" w:before="0" w:after="0"/>
              <w:pStyle w:val="Compact"/>
            </w:pPr>
            <w:r>
              <w:rPr>
                <w:sz w:val="20"/>
                <w:szCs w:val="20"/>
              </w:rPr>
              <w:t xml:space="preserve">2.7443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Fox et al. 2016 Space Sci Rev Parker Solar Probe; PDS PPI Parker</w:t>
            </w:r>
          </w:p>
        </w:tc>
      </w:tr>
      <w:tr>
        <w:tc>
          <w:tcPr>
            <w:tcW w:w="0" w:type="auto"/>
          </w:tcPr>
          <w:p>
            <w:pPr>
              <w:spacing w:line="240" w:lineRule="auto" w:before="0" w:after="0"/>
              <w:pStyle w:val="Compact"/>
            </w:pPr>
            <w:r>
              <w:rPr>
                <w:sz w:val="20"/>
                <w:szCs w:val="20"/>
              </w:rPr>
              <w:t xml:space="preserve">Solar_Orbiter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2.1761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0.2304</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Mueller et al. 2020 A and A Solar Orbiter; ESA Science Archive</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-0.523</w:t>
            </w:r>
          </w:p>
        </w:tc>
        <w:tc>
          <w:tcPr>
            <w:tcW w:w="0" w:type="auto"/>
          </w:tcPr>
          <w:p>
            <w:pPr>
              <w:spacing w:line="240" w:lineRule="auto" w:before="0" w:after="0"/>
              <w:pStyle w:val="Compact"/>
            </w:pPr>
            <w:r>
              <w:rPr>
                <w:sz w:val="20"/>
                <w:szCs w:val="20"/>
              </w:rPr>
              <w:t xml:space="preserve">3.1461</w:t>
            </w:r>
          </w:p>
        </w:tc>
        <w:tc>
          <w:tcPr>
            <w:tcW w:w="0" w:type="auto"/>
          </w:tcPr>
          <w:p>
            <w:pPr>
              <w:spacing w:line="240" w:lineRule="auto" w:before="0" w:after="0"/>
              <w:pStyle w:val="Compact"/>
            </w:pPr>
            <w:r>
              <w:rPr>
                <w:sz w:val="20"/>
                <w:szCs w:val="20"/>
              </w:rPr>
              <w:t xml:space="preserve">0.7404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Grasset et al. 2013 PSS JUICE; ESA JUICE mission status [illustrative early]</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3.4771</w:t>
            </w:r>
          </w:p>
        </w:tc>
        <w:tc>
          <w:tcPr>
            <w:tcW w:w="0" w:type="auto"/>
          </w:tcPr>
          <w:p>
            <w:pPr>
              <w:spacing w:line="240" w:lineRule="auto" w:before="0" w:after="0"/>
              <w:pStyle w:val="Compact"/>
            </w:pPr>
            <w:r>
              <w:rPr>
                <w:sz w:val="20"/>
                <w:szCs w:val="20"/>
              </w:rPr>
              <w:t xml:space="preserve">0.7924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-0.5229</w:t>
            </w:r>
          </w:p>
        </w:tc>
        <w:tc>
          <w:tcPr>
            <w:tcW w:w="0" w:type="auto"/>
          </w:tcPr>
          <w:p>
            <w:pPr>
              <w:spacing w:line="240" w:lineRule="auto" w:before="0" w:after="0"/>
              <w:pStyle w:val="Compact"/>
            </w:pPr>
            <w:r>
              <w:rPr>
                <w:sz w:val="20"/>
                <w:szCs w:val="20"/>
              </w:rPr>
              <w:t xml:space="preserve">Europa Clipper Telecom DESCANSO 2024; NASA-JPL mission status [illustrative pre-encounter]</w:t>
            </w:r>
          </w:p>
        </w:tc>
      </w:tr>
      <w:tr>
        <w:tc>
          <w:tcPr>
            <w:tcW w:w="0" w:type="auto"/>
          </w:tcPr>
          <w:p>
            <w:pPr>
              <w:spacing w:line="240" w:lineRule="auto" w:before="0" w:after="0"/>
              <w:pStyle w:val="Compact"/>
            </w:pPr>
            <w:r>
              <w:rPr>
                <w:sz w:val="20"/>
                <w:szCs w:val="20"/>
              </w:rPr>
              <w:t xml:space="preserve">Pioneer_10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-1.523</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1.9138</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1.4914</w:t>
            </w:r>
          </w:p>
        </w:tc>
        <w:tc>
          <w:tcPr>
            <w:tcW w:w="0" w:type="auto"/>
          </w:tcPr>
          <w:p>
            <w:pPr>
              <w:spacing w:line="240" w:lineRule="auto" w:before="0" w:after="0"/>
              <w:pStyle w:val="Compact"/>
            </w:pPr>
            <w:r>
              <w:rPr>
                <w:sz w:val="20"/>
                <w:szCs w:val="20"/>
              </w:rPr>
              <w:t xml:space="preserve">Pioneer Project Final Report NASA-Ames 2003; NTRS 20030019926</w:t>
            </w:r>
          </w:p>
        </w:tc>
      </w:tr>
      <w:tr>
        <w:tc>
          <w:tcPr>
            <w:tcW w:w="0" w:type="auto"/>
          </w:tcPr>
          <w:p>
            <w:pPr>
              <w:spacing w:line="240" w:lineRule="auto" w:before="0" w:after="0"/>
              <w:pStyle w:val="Compact"/>
            </w:pPr>
            <w:r>
              <w:rPr>
                <w:sz w:val="20"/>
                <w:szCs w:val="20"/>
              </w:rPr>
              <w:t xml:space="preserve">Pioneer_11</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1.6232</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1.3424</w:t>
            </w:r>
          </w:p>
        </w:tc>
        <w:tc>
          <w:tcPr>
            <w:tcW w:w="0" w:type="auto"/>
          </w:tcPr>
          <w:p>
            <w:pPr>
              <w:spacing w:line="240" w:lineRule="auto" w:before="0" w:after="0"/>
              <w:pStyle w:val="Compact"/>
            </w:pPr>
            <w:r>
              <w:rPr>
                <w:sz w:val="20"/>
                <w:szCs w:val="20"/>
              </w:rPr>
              <w:t xml:space="preserve">Pioneer Project Final Report NASA-Ames 2003; NTRS 20030019926</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8.192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0.9134</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0.2175</w:t>
            </w:r>
          </w:p>
        </w:tc>
        <w:tc>
          <w:tcPr>
            <w:tcW w:w="0" w:type="auto"/>
          </w:tcPr>
          <w:p>
            <w:pPr>
              <w:spacing w:line="240" w:lineRule="auto" w:before="0" w:after="0"/>
              <w:pStyle w:val="Compact"/>
            </w:pPr>
            <w:r>
              <w:rPr>
                <w:sz w:val="20"/>
                <w:szCs w:val="20"/>
              </w:rPr>
              <w:t xml:space="preserve">1.2788</w:t>
            </w:r>
          </w:p>
        </w:tc>
        <w:tc>
          <w:tcPr>
            <w:tcW w:w="0" w:type="auto"/>
          </w:tcPr>
          <w:p>
            <w:pPr>
              <w:spacing w:line="240" w:lineRule="auto" w:before="0" w:after="0"/>
              <w:pStyle w:val="Compact"/>
            </w:pPr>
            <w:r>
              <w:rPr>
                <w:sz w:val="20"/>
                <w:szCs w:val="20"/>
              </w:rPr>
              <w:t xml:space="preserve">Wenzel et al. 1992 A and AS Ulysses; ESA Ulysses Archive</w:t>
            </w:r>
          </w:p>
        </w:tc>
      </w:tr>
      <w:tr>
        <w:tc>
          <w:tcPr>
            <w:tcW w:w="0" w:type="auto"/>
          </w:tcPr>
          <w:p>
            <w:pPr>
              <w:spacing w:line="240" w:lineRule="auto" w:before="0" w:after="0"/>
              <w:pStyle w:val="Compact"/>
            </w:pPr>
            <w:r>
              <w:rPr>
                <w:sz w:val="20"/>
                <w:szCs w:val="20"/>
              </w:rPr>
              <w:t xml:space="preserve">Mariner_10</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2.0704</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Dunne and Burgess 1978 NASA SP-424; NTRS 19780013856</w:t>
            </w:r>
          </w:p>
        </w:tc>
      </w:tr>
      <w:tr>
        <w:tc>
          <w:tcPr>
            <w:tcW w:w="0" w:type="auto"/>
          </w:tcPr>
          <w:p>
            <w:pPr>
              <w:spacing w:line="240" w:lineRule="auto" w:before="0" w:after="0"/>
              <w:pStyle w:val="Compact"/>
            </w:pPr>
            <w:r>
              <w:rPr>
                <w:sz w:val="20"/>
                <w:szCs w:val="20"/>
              </w:rPr>
              <w:t xml:space="preserve">Magellan</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268.8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2.4294</w:t>
            </w:r>
          </w:p>
        </w:tc>
        <w:tc>
          <w:tcPr>
            <w:tcW w:w="0" w:type="auto"/>
          </w:tcPr>
          <w:p>
            <w:pPr>
              <w:spacing w:line="240" w:lineRule="auto" w:before="0" w:after="0"/>
              <w:pStyle w:val="Compact"/>
            </w:pPr>
            <w:r>
              <w:rPr>
                <w:sz w:val="20"/>
                <w:szCs w:val="20"/>
              </w:rPr>
              <w:t xml:space="preserve">0.2304</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Saunders et al. 1992 JGR Magellan; PDS Geosciences Magellan</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-1.523</w:t>
            </w:r>
          </w:p>
        </w:tc>
        <w:tc>
          <w:tcPr>
            <w:tcW w:w="0" w:type="auto"/>
          </w:tcPr>
          <w:p>
            <w:pPr>
              <w:spacing w:line="240" w:lineRule="auto" w:before="0" w:after="0"/>
              <w:pStyle w:val="Compact"/>
            </w:pPr>
            <w:r>
              <w:rPr>
                <w:sz w:val="20"/>
                <w:szCs w:val="20"/>
              </w:rPr>
              <w:t xml:space="preserve">1.5185</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Brownlee et al. 2003 JGR Stardust; NASA-JPL Stardust archive</w:t>
            </w:r>
          </w:p>
        </w:tc>
      </w:tr>
      <w:tr>
        <w:tc>
          <w:tcPr>
            <w:tcW w:w="0" w:type="auto"/>
          </w:tcPr>
          <w:p>
            <w:pPr>
              <w:spacing w:line="240" w:lineRule="auto" w:before="0" w:after="0"/>
              <w:pStyle w:val="Compact"/>
            </w:pPr>
            <w:r>
              <w:rPr>
                <w:sz w:val="20"/>
                <w:szCs w:val="20"/>
              </w:rPr>
              <w:t xml:space="preserve">Deep_Impact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-1.222</w:t>
            </w:r>
          </w:p>
        </w:tc>
        <w:tc>
          <w:tcPr>
            <w:tcW w:w="0" w:type="auto"/>
          </w:tcPr>
          <w:p>
            <w:pPr>
              <w:spacing w:line="240" w:lineRule="auto" w:before="0" w:after="0"/>
              <w:pStyle w:val="Compact"/>
            </w:pPr>
            <w:r>
              <w:rPr>
                <w:sz w:val="20"/>
                <w:szCs w:val="20"/>
              </w:rPr>
              <w:t xml:space="preserve">2.301</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AHearn et al. 2005 Science Deep Impact; PDS Small Bodies</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-2.301</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Burnett et al. 2003 Space Sci Rev Genesis; PDS Atmospheres Genesis</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2.1072</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Smith et al. 2009 JGR Phoenix; PDS Atmospheres Phoenix</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-0.155</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Banerdt et al. 2020 Nature Geosci InSight; PDS Geosciences InSight</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Cheng et al. 2023 Nature DART; APL DART mission archive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log_data_volume_TB</w:t>
            </w:r>
          </w:p>
        </w:tc>
        <w:tc>
          <w:tcPr>
            <w:tcW w:w="0" w:type="auto"/>
          </w:tcPr>
          <w:p>
            <w:pPr>
              <w:spacing w:line="240" w:lineRule="auto" w:before="0" w:after="0"/>
              <w:pStyle w:val="Compact"/>
            </w:pPr>
            <w:r>
              <w:rPr>
                <w:sz w:val="20"/>
                <w:szCs w:val="20"/>
              </w:rPr>
              <w:t xml:space="preserve">Base-10 logarithm of cumulative archived science data volume in terabytes for mission i over its operational life through 2024</w:t>
            </w:r>
          </w:p>
        </w:tc>
        <w:tc>
          <w:tcPr>
            <w:tcW w:w="0" w:type="auto"/>
          </w:tcPr>
          <w:p>
            <w:pPr>
              <w:spacing w:line="240" w:lineRule="auto" w:before="0" w:after="0"/>
              <w:pStyle w:val="Compact"/>
            </w:pPr>
            <w:r>
              <w:rPr>
                <w:sz w:val="20"/>
                <w:szCs w:val="20"/>
              </w:rPr>
              <w:t xml:space="preserve">Computed from Planetary Data System per-mission archive holdings (pds.nasa.gov) and mission final reports; illustrative for very-early-mission cases marked in source column</w:t>
            </w:r>
          </w:p>
        </w:tc>
      </w:tr>
      <w:tr>
        <w:tc>
          <w:tcPr>
            <w:tcW w:w="0" w:type="auto"/>
          </w:tcPr>
          <w:p>
            <w:pPr>
              <w:spacing w:line="240" w:lineRule="auto" w:before="0" w:after="0"/>
              <w:pStyle w:val="Compact"/>
            </w:pPr>
            <w:r>
              <w:rPr>
                <w:sz w:val="20"/>
                <w:szCs w:val="20"/>
              </w:rPr>
              <w:t xml:space="preserve">log10_downlink_kbps</w:t>
            </w:r>
          </w:p>
        </w:tc>
        <w:tc>
          <w:tcPr>
            <w:tcW w:w="0" w:type="auto"/>
          </w:tcPr>
          <w:p>
            <w:pPr>
              <w:spacing w:line="240" w:lineRule="auto" w:before="0" w:after="0"/>
              <w:pStyle w:val="Compact"/>
            </w:pPr>
            <w:r>
              <w:rPr>
                <w:sz w:val="20"/>
                <w:szCs w:val="20"/>
              </w:rPr>
              <w:t xml:space="preserve">Base-10 logarithm of peak spacecraft-to-Earth downlink rate in kilobits per second under nominal Ka-band or X-band operations</w:t>
            </w:r>
          </w:p>
        </w:tc>
        <w:tc>
          <w:tcPr>
            <w:tcW w:w="0" w:type="auto"/>
          </w:tcPr>
          <w:p>
            <w:pPr>
              <w:spacing w:line="240" w:lineRule="auto" w:before="0" w:after="0"/>
              <w:pStyle w:val="Compact"/>
            </w:pPr>
            <w:r>
              <w:rPr>
                <w:sz w:val="20"/>
                <w:szCs w:val="20"/>
              </w:rPr>
              <w:t xml:space="preserve">Mission telecommunications subsystem papers in DESCANSO monograph series and NTRS technical reports</w:t>
            </w:r>
          </w:p>
        </w:tc>
      </w:tr>
      <w:tr>
        <w:tc>
          <w:tcPr>
            <w:tcW w:w="0" w:type="auto"/>
          </w:tcPr>
          <w:p>
            <w:pPr>
              <w:spacing w:line="240" w:lineRule="auto" w:before="0" w:after="0"/>
              <w:pStyle w:val="Compact"/>
            </w:pPr>
            <w:r>
              <w:rPr>
                <w:sz w:val="20"/>
                <w:szCs w:val="20"/>
              </w:rPr>
              <w:t xml:space="preserve">log10_slant_AU</w:t>
            </w:r>
          </w:p>
        </w:tc>
        <w:tc>
          <w:tcPr>
            <w:tcW w:w="0" w:type="auto"/>
          </w:tcPr>
          <w:p>
            <w:pPr>
              <w:spacing w:line="240" w:lineRule="auto" w:before="0" w:after="0"/>
              <w:pStyle w:val="Compact"/>
            </w:pPr>
            <w:r>
              <w:rPr>
                <w:sz w:val="20"/>
                <w:szCs w:val="20"/>
              </w:rPr>
              <w:t xml:space="preserve">Base-10 logarithm of the maximum operational slant range from Earth in astronomical units</w:t>
            </w:r>
          </w:p>
        </w:tc>
        <w:tc>
          <w:tcPr>
            <w:tcW w:w="0" w:type="auto"/>
          </w:tcPr>
          <w:p>
            <w:pPr>
              <w:spacing w:line="240" w:lineRule="auto" w:before="0" w:after="0"/>
              <w:pStyle w:val="Compact"/>
            </w:pPr>
            <w:r>
              <w:rPr>
                <w:sz w:val="20"/>
                <w:szCs w:val="20"/>
              </w:rPr>
              <w:t xml:space="preserve">JPL Horizons ephemeris (ssd.jpl.nasa.gov/horizons) maximum range over the documented operational interval</w:t>
            </w:r>
          </w:p>
        </w:tc>
      </w:tr>
      <w:tr>
        <w:tc>
          <w:tcPr>
            <w:tcW w:w="0" w:type="auto"/>
          </w:tcPr>
          <w:p>
            <w:pPr>
              <w:spacing w:line="240" w:lineRule="auto" w:before="0" w:after="0"/>
              <w:pStyle w:val="Compact"/>
            </w:pPr>
            <w:r>
              <w:rPr>
                <w:sz w:val="20"/>
                <w:szCs w:val="20"/>
              </w:rPr>
              <w:t xml:space="preserve">log10_antenna_m</w:t>
            </w:r>
          </w:p>
        </w:tc>
        <w:tc>
          <w:tcPr>
            <w:tcW w:w="0" w:type="auto"/>
          </w:tcPr>
          <w:p>
            <w:pPr>
              <w:spacing w:line="240" w:lineRule="auto" w:before="0" w:after="0"/>
              <w:pStyle w:val="Compact"/>
            </w:pPr>
            <w:r>
              <w:rPr>
                <w:sz w:val="20"/>
                <w:szCs w:val="20"/>
              </w:rPr>
              <w:t xml:space="preserve">Base-10 logarithm of effective spacecraft high-gain-antenna aperture diameter in meters, or relay-orbiter aperture when downlink is relay-mediated</w:t>
            </w:r>
          </w:p>
        </w:tc>
        <w:tc>
          <w:tcPr>
            <w:tcW w:w="0" w:type="auto"/>
          </w:tcPr>
          <w:p>
            <w:pPr>
              <w:spacing w:line="240" w:lineRule="auto" w:before="0" w:after="0"/>
              <w:pStyle w:val="Compact"/>
            </w:pPr>
            <w:r>
              <w:rPr>
                <w:sz w:val="20"/>
                <w:szCs w:val="20"/>
              </w:rPr>
              <w:t xml:space="preserve">Spacecraft telecommunications documentation in DESCANSO monograph series; ESA mission summaries; JAXA mission summaries</w:t>
            </w:r>
          </w:p>
        </w:tc>
      </w:tr>
      <w:tr>
        <w:tc>
          <w:tcPr>
            <w:tcW w:w="0" w:type="auto"/>
          </w:tcPr>
          <w:p>
            <w:pPr>
              <w:spacing w:line="240" w:lineRule="auto" w:before="0" w:after="0"/>
              <w:pStyle w:val="Compact"/>
            </w:pPr>
            <w:r>
              <w:rPr>
                <w:sz w:val="20"/>
                <w:szCs w:val="20"/>
              </w:rPr>
              <w:t xml:space="preserve">log10_op_years</w:t>
            </w:r>
          </w:p>
        </w:tc>
        <w:tc>
          <w:tcPr>
            <w:tcW w:w="0" w:type="auto"/>
          </w:tcPr>
          <w:p>
            <w:pPr>
              <w:spacing w:line="240" w:lineRule="auto" w:before="0" w:after="0"/>
              <w:pStyle w:val="Compact"/>
            </w:pPr>
            <w:r>
              <w:rPr>
                <w:sz w:val="20"/>
                <w:szCs w:val="20"/>
              </w:rPr>
              <w:t xml:space="preserve">Base-10 logarithm of operational years on station through 2024 (floored at 0.3 for very-early missions)</w:t>
            </w:r>
          </w:p>
        </w:tc>
        <w:tc>
          <w:tcPr>
            <w:tcW w:w="0" w:type="auto"/>
          </w:tcPr>
          <w:p>
            <w:pPr>
              <w:spacing w:line="240" w:lineRule="auto" w:before="0" w:after="0"/>
              <w:pStyle w:val="Compact"/>
            </w:pPr>
            <w:r>
              <w:rPr>
                <w:sz w:val="20"/>
                <w:szCs w:val="20"/>
              </w:rPr>
              <w:t xml:space="preserve">Mission status pages at NASA-JPL, ESA, JAXA, and APL as cited per row</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-3.5708</w:t>
            </w:r>
          </w:p>
        </w:tc>
        <w:tc>
          <w:tcPr>
            <w:tcW w:w="0" w:type="auto"/>
          </w:tcPr>
          <w:p>
            <w:pPr>
              <w:spacing w:line="240" w:lineRule="auto" w:before="0" w:after="0"/>
              <w:pStyle w:val="Compact"/>
            </w:pPr>
            <w:r>
              <w:rPr>
                <w:sz w:val="20"/>
                <w:szCs w:val="20"/>
              </w:rPr>
              <w:t xml:space="preserve">0.2177</w:t>
            </w:r>
          </w:p>
        </w:tc>
        <w:tc>
          <w:tcPr>
            <w:tcW w:w="0" w:type="auto"/>
          </w:tcPr>
          <w:p>
            <w:pPr>
              <w:spacing w:line="240" w:lineRule="auto" w:before="0" w:after="0"/>
              <w:pStyle w:val="Compact"/>
            </w:pPr>
            <w:r>
              <w:rPr>
                <w:sz w:val="20"/>
                <w:szCs w:val="20"/>
              </w:rPr>
              <w:t xml:space="preserve">-16.4058</w:t>
            </w:r>
          </w:p>
        </w:tc>
        <w:tc>
          <w:tcPr>
            <w:tcW w:w="0" w:type="auto"/>
          </w:tcPr>
          <w:p>
            <w:pPr>
              <w:spacing w:line="240" w:lineRule="auto" w:before="0" w:after="0"/>
              <w:pStyle w:val="Compact"/>
            </w:pPr>
            <w:r>
              <w:rPr>
                <w:sz w:val="20"/>
                <w:szCs w:val="20"/>
              </w:rPr>
              <w:t xml:space="preserve">1.739e-60</w:t>
            </w:r>
          </w:p>
        </w:tc>
        <w:tc>
          <w:tcPr>
            <w:tcW w:w="0" w:type="auto"/>
          </w:tcPr>
          <w:p>
            <w:pPr>
              <w:spacing w:line="240" w:lineRule="auto" w:before="0" w:after="0"/>
              <w:pStyle w:val="Compact"/>
            </w:pPr>
            <w:r>
              <w:rPr>
                <w:sz w:val="20"/>
                <w:szCs w:val="20"/>
              </w:rPr>
              <w:t xml:space="preserve">[-3.9973, -3.1442]</w:t>
            </w:r>
          </w:p>
        </w:tc>
      </w:tr>
      <w:tr>
        <w:tc>
          <w:tcPr>
            <w:tcW w:w="0" w:type="auto"/>
          </w:tcPr>
          <w:p>
            <w:pPr>
              <w:spacing w:line="240" w:lineRule="auto" w:before="0" w:after="0"/>
              <w:pStyle w:val="Compact"/>
            </w:pPr>
            <w:r>
              <w:rPr>
                <w:sz w:val="20"/>
                <w:szCs w:val="20"/>
              </w:rPr>
              <w:t xml:space="preserve">log10_downlink_kbps</w:t>
            </w:r>
          </w:p>
        </w:tc>
        <w:tc>
          <w:tcPr>
            <w:tcW w:w="0" w:type="auto"/>
          </w:tcPr>
          <w:p>
            <w:pPr>
              <w:spacing w:line="240" w:lineRule="auto" w:before="0" w:after="0"/>
              <w:pStyle w:val="Compact"/>
            </w:pPr>
            <w:r>
              <w:rPr>
                <w:sz w:val="20"/>
                <w:szCs w:val="20"/>
              </w:rPr>
              <w:t xml:space="preserve">0.8759</w:t>
            </w:r>
          </w:p>
        </w:tc>
        <w:tc>
          <w:tcPr>
            <w:tcW w:w="0" w:type="auto"/>
          </w:tcPr>
          <w:p>
            <w:pPr>
              <w:spacing w:line="240" w:lineRule="auto" w:before="0" w:after="0"/>
              <w:pStyle w:val="Compact"/>
            </w:pPr>
            <w:r>
              <w:rPr>
                <w:sz w:val="20"/>
                <w:szCs w:val="20"/>
              </w:rPr>
              <w:t xml:space="preserve">0.0605</w:t>
            </w:r>
          </w:p>
        </w:tc>
        <w:tc>
          <w:tcPr>
            <w:tcW w:w="0" w:type="auto"/>
          </w:tcPr>
          <w:p>
            <w:pPr>
              <w:spacing w:line="240" w:lineRule="auto" w:before="0" w:after="0"/>
              <w:pStyle w:val="Compact"/>
            </w:pPr>
            <w:r>
              <w:rPr>
                <w:sz w:val="20"/>
                <w:szCs w:val="20"/>
              </w:rPr>
              <w:t xml:space="preserve">14.4877</w:t>
            </w:r>
          </w:p>
        </w:tc>
        <w:tc>
          <w:tcPr>
            <w:tcW w:w="0" w:type="auto"/>
          </w:tcPr>
          <w:p>
            <w:pPr>
              <w:spacing w:line="240" w:lineRule="auto" w:before="0" w:after="0"/>
              <w:pStyle w:val="Compact"/>
            </w:pPr>
            <w:r>
              <w:rPr>
                <w:sz w:val="20"/>
                <w:szCs w:val="20"/>
              </w:rPr>
              <w:t xml:space="preserve">1.448e-47</w:t>
            </w:r>
          </w:p>
        </w:tc>
        <w:tc>
          <w:tcPr>
            <w:tcW w:w="0" w:type="auto"/>
          </w:tcPr>
          <w:p>
            <w:pPr>
              <w:spacing w:line="240" w:lineRule="auto" w:before="0" w:after="0"/>
              <w:pStyle w:val="Compact"/>
            </w:pPr>
            <w:r>
              <w:rPr>
                <w:sz w:val="20"/>
                <w:szCs w:val="20"/>
              </w:rPr>
              <w:t xml:space="preserve">[0.7574, 0.9944]</w:t>
            </w:r>
          </w:p>
        </w:tc>
      </w:tr>
      <w:tr>
        <w:tc>
          <w:tcPr>
            <w:tcW w:w="0" w:type="auto"/>
          </w:tcPr>
          <w:p>
            <w:pPr>
              <w:spacing w:line="240" w:lineRule="auto" w:before="0" w:after="0"/>
              <w:pStyle w:val="Compact"/>
            </w:pPr>
            <w:r>
              <w:rPr>
                <w:sz w:val="20"/>
                <w:szCs w:val="20"/>
              </w:rPr>
              <w:t xml:space="preserve">log10_slant_AU</w:t>
            </w:r>
          </w:p>
        </w:tc>
        <w:tc>
          <w:tcPr>
            <w:tcW w:w="0" w:type="auto"/>
          </w:tcPr>
          <w:p>
            <w:pPr>
              <w:spacing w:line="240" w:lineRule="auto" w:before="0" w:after="0"/>
              <w:pStyle w:val="Compact"/>
            </w:pPr>
            <w:r>
              <w:rPr>
                <w:sz w:val="20"/>
                <w:szCs w:val="20"/>
              </w:rPr>
              <w:t xml:space="preserve">-0.2862</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-1.6331</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[-0.6298, 0.0573]</w:t>
            </w:r>
          </w:p>
        </w:tc>
      </w:tr>
      <w:tr>
        <w:tc>
          <w:tcPr>
            <w:tcW w:w="0" w:type="auto"/>
          </w:tcPr>
          <w:p>
            <w:pPr>
              <w:spacing w:line="240" w:lineRule="auto" w:before="0" w:after="0"/>
              <w:pStyle w:val="Compact"/>
            </w:pPr>
            <w:r>
              <w:rPr>
                <w:sz w:val="20"/>
                <w:szCs w:val="20"/>
              </w:rPr>
              <w:t xml:space="preserve">log10_antenna_m</w:t>
            </w:r>
          </w:p>
        </w:tc>
        <w:tc>
          <w:tcPr>
            <w:tcW w:w="0" w:type="auto"/>
          </w:tcPr>
          <w:p>
            <w:pPr>
              <w:spacing w:line="240" w:lineRule="auto" w:before="0" w:after="0"/>
              <w:pStyle w:val="Compact"/>
            </w:pPr>
            <w:r>
              <w:rPr>
                <w:sz w:val="20"/>
                <w:szCs w:val="20"/>
              </w:rPr>
              <w:t xml:space="preserve">1.8194</w:t>
            </w:r>
          </w:p>
        </w:tc>
        <w:tc>
          <w:tcPr>
            <w:tcW w:w="0" w:type="auto"/>
          </w:tcPr>
          <w:p>
            <w:pPr>
              <w:spacing w:line="240" w:lineRule="auto" w:before="0" w:after="0"/>
              <w:pStyle w:val="Compact"/>
            </w:pPr>
            <w:r>
              <w:rPr>
                <w:sz w:val="20"/>
                <w:szCs w:val="20"/>
              </w:rPr>
              <w:t xml:space="preserve">0.6189</w:t>
            </w:r>
          </w:p>
        </w:tc>
        <w:tc>
          <w:tcPr>
            <w:tcW w:w="0" w:type="auto"/>
          </w:tcPr>
          <w:p>
            <w:pPr>
              <w:spacing w:line="240" w:lineRule="auto" w:before="0" w:after="0"/>
              <w:pStyle w:val="Compact"/>
            </w:pPr>
            <w:r>
              <w:rPr>
                <w:sz w:val="20"/>
                <w:szCs w:val="20"/>
              </w:rPr>
              <w:t xml:space="preserve">2.9398</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[0.6064, 3.0323]</w:t>
            </w:r>
          </w:p>
        </w:tc>
      </w:tr>
      <w:tr>
        <w:tc>
          <w:tcPr>
            <w:tcW w:w="0" w:type="auto"/>
          </w:tcPr>
          <w:p>
            <w:pPr>
              <w:spacing w:line="240" w:lineRule="auto" w:before="0" w:after="0"/>
              <w:pStyle w:val="Compact"/>
            </w:pPr>
            <w:r>
              <w:rPr>
                <w:sz w:val="20"/>
                <w:szCs w:val="20"/>
              </w:rPr>
              <w:t xml:space="preserve">log10_op_years</w:t>
            </w:r>
          </w:p>
        </w:tc>
        <w:tc>
          <w:tcPr>
            <w:tcW w:w="0" w:type="auto"/>
          </w:tcPr>
          <w:p>
            <w:pPr>
              <w:spacing w:line="240" w:lineRule="auto" w:before="0" w:after="0"/>
              <w:pStyle w:val="Compact"/>
            </w:pPr>
            <w:r>
              <w:rPr>
                <w:sz w:val="20"/>
                <w:szCs w:val="20"/>
              </w:rPr>
              <w:t xml:space="preserve">1.7071</w:t>
            </w:r>
          </w:p>
        </w:tc>
        <w:tc>
          <w:tcPr>
            <w:tcW w:w="0" w:type="auto"/>
          </w:tcPr>
          <w:p>
            <w:pPr>
              <w:spacing w:line="240" w:lineRule="auto" w:before="0" w:after="0"/>
              <w:pStyle w:val="Compact"/>
            </w:pPr>
            <w:r>
              <w:rPr>
                <w:sz w:val="20"/>
                <w:szCs w:val="20"/>
              </w:rPr>
              <w:t xml:space="preserve">0.1629</w:t>
            </w:r>
          </w:p>
        </w:tc>
        <w:tc>
          <w:tcPr>
            <w:tcW w:w="0" w:type="auto"/>
          </w:tcPr>
          <w:p>
            <w:pPr>
              <w:spacing w:line="240" w:lineRule="auto" w:before="0" w:after="0"/>
              <w:pStyle w:val="Compact"/>
            </w:pPr>
            <w:r>
              <w:rPr>
                <w:sz w:val="20"/>
                <w:szCs w:val="20"/>
              </w:rPr>
              <w:t xml:space="preserve">10.4813</w:t>
            </w:r>
          </w:p>
        </w:tc>
        <w:tc>
          <w:tcPr>
            <w:tcW w:w="0" w:type="auto"/>
          </w:tcPr>
          <w:p>
            <w:pPr>
              <w:spacing w:line="240" w:lineRule="auto" w:before="0" w:after="0"/>
              <w:pStyle w:val="Compact"/>
            </w:pPr>
            <w:r>
              <w:rPr>
                <w:sz w:val="20"/>
                <w:szCs w:val="20"/>
              </w:rPr>
              <w:t xml:space="preserve">1.053e-25</w:t>
            </w:r>
          </w:p>
        </w:tc>
        <w:tc>
          <w:tcPr>
            <w:tcW w:w="0" w:type="auto"/>
          </w:tcPr>
          <w:p>
            <w:pPr>
              <w:spacing w:line="240" w:lineRule="auto" w:before="0" w:after="0"/>
              <w:pStyle w:val="Compact"/>
            </w:pPr>
            <w:r>
              <w:rPr>
                <w:sz w:val="20"/>
                <w:szCs w:val="20"/>
              </w:rPr>
              <w:t xml:space="preserve">[1.3879, 2.0263]</w:t>
            </w:r>
          </w:p>
        </w:tc>
      </w:tr>
    </w:tbl>
    <w:p>
      <w:pPr>
        <w:pStyle w:val="BodyText"/>
      </w:pPr>
      <w:r>
        <w:t xml:space="preserve">Fit: N = 36 R2 = 0.8112 R2_adj = 0.7869 F = 94.0447 F_p = 7.074e-17</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5" Target="https://doi.org/10.1016/j.actaastro.2021.12.030" TargetMode="External" /><Relationship Type="http://schemas.openxmlformats.org/officeDocument/2006/relationships/hyperlink" Id="rId70" Target="https://doi.org/10.1016/j.actaastro.2022.11.046" TargetMode="External" /><Relationship Type="http://schemas.openxmlformats.org/officeDocument/2006/relationships/hyperlink" Id="rId68" Target="https://doi.org/10.1016/j.actaastro.2023.01.040" TargetMode="External" /><Relationship Type="http://schemas.openxmlformats.org/officeDocument/2006/relationships/hyperlink" Id="rId73" Target="https://doi.org/10.1016/j.actaastro.2024.11.011"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1.12.030" TargetMode="External" /><Relationship Type="http://schemas.openxmlformats.org/officeDocument/2006/relationships/hyperlink" Id="rId70" Target="https://doi.org/10.1016/j.actaastro.2022.11.046" TargetMode="External" /><Relationship Type="http://schemas.openxmlformats.org/officeDocument/2006/relationships/hyperlink" Id="rId68" Target="https://doi.org/10.1016/j.actaastro.2023.01.040" TargetMode="External" /><Relationship Type="http://schemas.openxmlformats.org/officeDocument/2006/relationships/hyperlink" Id="rId73" Target="https://doi.org/10.1016/j.actaastro.2024.11.01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2026-06-27T00:26:00Z</dcterms:created>
  <dcterms:modified xsi:type="dcterms:W3CDTF">2026-06-27T00:26:00Z</dcterms:modified>
</cp:coreProperties>
</file>

<file path=docProps/custom.xml><?xml version="1.0" encoding="utf-8"?>
<Properties xmlns="http://schemas.openxmlformats.org/officeDocument/2006/custom-properties" xmlns:vt="http://schemas.openxmlformats.org/officeDocument/2006/docPropsVTypes"/>
</file>