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DEEP SPACE NETWORK AS A CAPACITY-CONSTRAINED QUEUE: ESTIMATING THE SCIENCE THROUGHPUT FRONTIER OF NASA'S INTERPLANETARY COMMUNICATIONS BACKBONE</w:t>
      </w:r>
    </w:p>
    <w:p>
      <w:pPr>
        <w:jc w:val="center"/>
      </w:pPr>
    </w:p>
    <w:p>
      <w:pPr>
        <w:jc w:val="center"/>
      </w:pPr>
      <w:r>
        <w:rPr>
          <w:rFonts w:ascii="Times New Roman" w:hAnsi="Times New Roman"/>
          <w:sz w:val="24"/>
        </w:rPr>
        <w:t>by</w:t>
      </w:r>
    </w:p>
    <w:p>
      <w:pPr>
        <w:jc w:val="center"/>
      </w:pPr>
      <w:r>
        <w:rPr>
          <w:rFonts w:ascii="Times New Roman" w:hAnsi="Times New Roman"/>
          <w:b/>
          <w:sz w:val="28"/>
        </w:rPr>
        <w:t>Imogen Sato</w:t>
      </w:r>
    </w:p>
    <w:p>
      <w:pPr>
        <w:jc w:val="center"/>
      </w:pPr>
      <w:r>
        <w:rPr>
          <w:rFonts w:ascii="Times New Roman" w:hAnsi="Times New Roman"/>
          <w:sz w:val="24"/>
        </w:rPr>
        <w:t>1B-DSX-087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and-why-it-is-binding"/>
    <w:p>
      <w:pPr>
        <w:pStyle w:val="Heading2"/>
        <w:spacing w:line="480" w:lineRule="auto"/>
      </w:pPr>
      <w:r>
        <w:t xml:space="preserve">1.1 The Problem and Why It Is Binding</w:t>
      </w:r>
    </w:p>
    <w:p>
      <w:pPr>
        <w:pStyle w:val="FirstParagraph"/>
        <w:spacing w:line="480" w:lineRule="auto"/>
      </w:pPr>
      <w:r>
        <w:t xml:space="preserve">Every active interplanetary spacecraft that NASA, the European Space Agency, and the Japan Aerospace Exploration Agency operate today reaches the ground through the same three antenna complexes at Goldstone, Madrid, and Canberra. The Deep Space Network (DSN) is therefore the load-bearing communications infrastructure of the planetary science enterprise, and it is finite. It rations a small inventory of 34 m and 70 m apertures across a steadily expanding portfolio of orbiters, landers, rovers, sample-return spacecraft, and an emerging class of deep-space small satellites whose downlink demand scales with instrument throughput and mission cadence</w:t>
      </w:r>
      <w:r>
        <w:t xml:space="preserve"> </w:t>
      </w:r>
      <w:hyperlink w:anchor="ref-7">
        <w:r>
          <w:rPr>
            <w:rStyle w:val="Hyperlink"/>
          </w:rPr>
          <w:t xml:space="preserve">[7]</w:t>
        </w:r>
      </w:hyperlink>
      <w:r>
        <w:t xml:space="preserve">. The accumulated history of that infrastructure, from the inception accounts compiled by Renzetti</w:t>
      </w:r>
      <w:r>
        <w:t xml:space="preserve"> </w:t>
      </w:r>
      <w:hyperlink w:anchor="ref-9">
        <w:r>
          <w:rPr>
            <w:rStyle w:val="Hyperlink"/>
          </w:rPr>
          <w:t xml:space="preserve">[9]</w:t>
        </w:r>
      </w:hyperlink>
      <w:r>
        <w:t xml:space="preserve"> </w:t>
      </w:r>
      <w:r>
        <w:t xml:space="preserve">through the Cassini and Mars Science Laboratory telecommunications design records assembled in the DESCANSO monograph series [10, 11] and the chronology compiled in the Deep Space Chronicle</w:t>
      </w:r>
      <w:r>
        <w:t xml:space="preserve"> </w:t>
      </w:r>
      <w:hyperlink w:anchor="ref-12">
        <w:r>
          <w:rPr>
            <w:rStyle w:val="Hyperlink"/>
          </w:rPr>
          <w:t xml:space="preserve">[12]</w:t>
        </w:r>
      </w:hyperlink>
      <w:r>
        <w:t xml:space="preserve">, shows a network whose physical capability has scaled aggressively, but whose contact-hour budget remains a hard ration that mission planners negotiate week by week.</w:t>
      </w:r>
    </w:p>
    <w:p>
      <w:pPr>
        <w:pStyle w:val="BodyText"/>
        <w:spacing w:line="480" w:lineRule="auto"/>
        <w:ind w:firstLine="720"/>
      </w:pPr>
      <w:r>
        <w:t xml:space="preserve">The reason that ration now binds is not an artifact of accounting. The deep-space channel is bounded by gain, radio-frequency power, and free-space path loss; these are physical ceilings on the per-mission downlink rate that no scheduling reform can lift</w:t>
      </w:r>
      <w:r>
        <w:t xml:space="preserve"> </w:t>
      </w:r>
      <w:hyperlink w:anchor="ref-3">
        <w:r>
          <w:rPr>
            <w:rStyle w:val="Hyperlink"/>
          </w:rPr>
          <w:t xml:space="preserve">[3]</w:t>
        </w:r>
      </w:hyperlink>
      <w:r>
        <w:t xml:space="preserve">. Mission concepts that would relieve the ceiling, including relay-augmented Earth-to-Mars topologies [3, 22] and low-thrust data-mule architectures of the Solar System Pony Express class</w:t>
      </w:r>
      <w:r>
        <w:t xml:space="preserve"> </w:t>
      </w:r>
      <w:hyperlink w:anchor="ref-4">
        <w:r>
          <w:rPr>
            <w:rStyle w:val="Hyperlink"/>
          </w:rPr>
          <w:t xml:space="preserve">[4]</w:t>
        </w:r>
      </w:hyperlink>
      <w:r>
        <w:t xml:space="preserve">, are direct responses to the same constraint. So are the autonomy and on-board processing concepts proposed for deep-space small satellites that propose to reduce Earth dependence at the cost of greater on-board complexity</w:t>
      </w:r>
      <w:r>
        <w:t xml:space="preserve"> </w:t>
      </w:r>
      <w:hyperlink w:anchor="ref-7">
        <w:r>
          <w:rPr>
            <w:rStyle w:val="Hyperlink"/>
          </w:rPr>
          <w:t xml:space="preserve">[7]</w:t>
        </w:r>
      </w:hyperlink>
      <w:r>
        <w:t xml:space="preserve">, and the recent assessments of how emergent technologies might reduce Earth communications reliance for crewed deep-space missions</w:t>
      </w:r>
      <w:r>
        <w:t xml:space="preserve"> </w:t>
      </w:r>
      <w:hyperlink w:anchor="ref-6">
        <w:r>
          <w:rPr>
            <w:rStyle w:val="Hyperlink"/>
          </w:rPr>
          <w:t xml:space="preserve">[6]</w:t>
        </w:r>
      </w:hyperlink>
      <w:r>
        <w:t xml:space="preserve">. The shared subtext of that engineering literature is that the constraint is real, that it is binding, and that the burden of proof falls on any architecture that proposes a workaround.</w:t>
      </w:r>
    </w:p>
    <w:p>
      <w:pPr>
        <w:pStyle w:val="BodyText"/>
        <w:spacing w:line="480" w:lineRule="auto"/>
        <w:ind w:firstLine="720"/>
      </w:pPr>
      <w:r>
        <w:t xml:space="preserve">The economic content of that constraint, however, has not been recovered. Antenna hours are allocated through a negotiated scheduling process across mission proposers. Each newly admitted mission consumes contact time that would otherwise be available to incumbents. The marginal cost of that displacement, measured in science bits not returned per allocated antenna hour, is not transparent to mission planners, to NASA’s Planetary Science Division, or to the decadal-survey community that prioritizes new starts. The stake for NASA and the Jet Propulsion Laboratory (JPL) is therefore precise and operational. If the DSN is in fact operating near its effective capacity, the binding constraint on the future planetary science portfolio is neither propulsion nor instrument readiness nor launch cadence, but downlink. A credible quantitative estimate of how binding that constraint is, and of where the threshold lies, is a prerequisite for evaluating proposed augmentations, for sequencing flagship missions, and for advising the decadal process on how many additional missions the current ground segment can absorb without an average science-return loss per admitted mission.</w:t>
      </w:r>
    </w:p>
    <w:bookmarkEnd w:id="61"/>
    <w:bookmarkStart w:id="62" w:name="the-stakes-for-nasa-and-jpl"/>
    <w:p>
      <w:pPr>
        <w:pStyle w:val="Heading2"/>
        <w:spacing w:line="480" w:lineRule="auto"/>
      </w:pPr>
      <w:r>
        <w:t xml:space="preserve">1.2 The Stakes for NASA and JPL</w:t>
      </w:r>
    </w:p>
    <w:p>
      <w:pPr>
        <w:pStyle w:val="FirstParagraph"/>
        <w:spacing w:line="480" w:lineRule="auto"/>
      </w:pPr>
      <w:r>
        <w:t xml:space="preserve">The stakes are organizational as well as scientific. JPL operates the DSN under a NASA contract and is the institutional steward of every telecom design document, scheduling log, and operations metric that the network produces. When the network’s effective capacity is treated as an engineering parameter rather than as an economic constraint with a shadow price, the consequence is that the trade space presented to NASA leadership and to external review bodies cannot internalize congestion. New starts are evaluated against a baseline that implicitly assumes the marginal antenna hour is free, even when the realized scheduling record demonstrates otherwise. Mission extensions, whose science productivity has been shown to be disproportionately large in cumulative archived volume terms in cross-sectional analysis of the historical mission record [P1 prose, this dissertation], are similarly compared against a baseline that does not weight their contact-time draw against an incoming flagship. The institutional ask is therefore a defensible carrying-capacity envelope for the existing 34 m and 70 m subnet, expressed in units that the Planetary Science Division can use to compare a proposed relay augmentation of the Betriu form [3, 22] or a data-mule augmentation of the Pony Express form</w:t>
      </w:r>
      <w:r>
        <w:t xml:space="preserve"> </w:t>
      </w:r>
      <w:hyperlink w:anchor="ref-4">
        <w:r>
          <w:rPr>
            <w:rStyle w:val="Hyperlink"/>
          </w:rPr>
          <w:t xml:space="preserve">[4]</w:t>
        </w:r>
      </w:hyperlink>
      <w:r>
        <w:t xml:space="preserve"> </w:t>
      </w:r>
      <w:r>
        <w:t xml:space="preserve">against the status quo.</w:t>
      </w:r>
    </w:p>
    <w:p>
      <w:pPr>
        <w:pStyle w:val="BodyText"/>
        <w:spacing w:line="480" w:lineRule="auto"/>
        <w:ind w:firstLine="720"/>
      </w:pPr>
      <w:r>
        <w:t xml:space="preserve">A second stake follows from the channel itself. A learning-curve analysis fitted to thirty NASA-led or NASA-partnered interplanetary missions launched between 1964 and 2024 finds a positive and large Wright’s-law elasticity of peak sustained downlink rate with respect to cumulative DSN-served experience, with an implied progress ratio of roughly 4.7 per doubling of cumulative missions [P2 prose, this dissertation]. The channel-side capability has therefore scaled much faster than mission cadence over six decades. The corollary, however, is not that downlink scarcity has been retired. It is that the binding constraint has migrated from the channel itself in steady state to the queue allocation and load-shedding policy that determines which mission receives the antenna at the apoapsis pass. The carrying-capacity question is, in that sense, downstream of the learning curve, not orthogonal to it.</w:t>
      </w:r>
    </w:p>
    <w:p>
      <w:pPr>
        <w:pStyle w:val="BodyText"/>
        <w:spacing w:line="480" w:lineRule="auto"/>
        <w:ind w:firstLine="720"/>
      </w:pPr>
      <w:r>
        <w:t xml:space="preserve">A third stake is policy. The decadal-survey community periodically issues priority orderings of new mission starts, and those orderings are translated into budget submissions and into flight project authorization. If the implicit assumption that downlink is not binding is wrong, then the priority ordering is misspecified at its base, because a mission whose science return depends on high-rate telemetry pays a congestion cost that is not currently entered into its evaluation. A credible structural estimate of the congestion cost is therefore a direct input to the decadal process, and its absence is a gap in the evidence base that the decadal community has explicitly flagged as overdue.</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literatures that are closest to the problem do not close it. The deep-space hardware literature characterizes the physical capability of the antenna and the link. Studies of titanium reflector design for deep space missions document the spacecraft-side aperture frontier</w:t>
      </w:r>
      <w:r>
        <w:t xml:space="preserve"> </w:t>
      </w:r>
      <w:hyperlink w:anchor="ref-2">
        <w:r>
          <w:rPr>
            <w:rStyle w:val="Hyperlink"/>
          </w:rPr>
          <w:t xml:space="preserve">[2]</w:t>
        </w:r>
      </w:hyperlink>
      <w:r>
        <w:t xml:space="preserve">, and ground-segment hardware studies, including the assessment of the Space Surveillance Telescope’s transition into a dedicated sensor</w:t>
      </w:r>
      <w:r>
        <w:t xml:space="preserve"> </w:t>
      </w:r>
      <w:hyperlink w:anchor="ref-1">
        <w:r>
          <w:rPr>
            <w:rStyle w:val="Hyperlink"/>
          </w:rPr>
          <w:t xml:space="preserve">[1]</w:t>
        </w:r>
      </w:hyperlink>
      <w:r>
        <w:t xml:space="preserve">, characterize aperture upgrades and the institutional process of bringing new ground capability online. The DESCANSO telecommunications design monographs occupy the analogous role on the mission side, recording for individual flagships the link budgets, coding gains, and band migration choices that have driven the scaling identified in the channel-side learning curve [10, 11]. The deep-space optical communications roadmap</w:t>
      </w:r>
      <w:r>
        <w:t xml:space="preserve"> </w:t>
      </w:r>
      <w:hyperlink w:anchor="ref-13">
        <w:r>
          <w:rPr>
            <w:rStyle w:val="Hyperlink"/>
          </w:rPr>
          <w:t xml:space="preserve">[13]</w:t>
        </w:r>
      </w:hyperlink>
      <w:r>
        <w:t xml:space="preserve"> </w:t>
      </w:r>
      <w:r>
        <w:t xml:space="preserve">extends the same trajectory into the next decade. Each of these works treats capacity as an engineering parameter, not as an economic object with a shadow price.</w:t>
      </w:r>
    </w:p>
    <w:p>
      <w:pPr>
        <w:pStyle w:val="BodyText"/>
        <w:spacing w:line="480" w:lineRule="auto"/>
        <w:ind w:firstLine="720"/>
      </w:pPr>
      <w:r>
        <w:t xml:space="preserve">The mission-concept literature is the second adjacent body of work. Relay-network topologies for Earth-to-Mars communications are quantitatively assessed in Betriu and coauthors [3, 22], and low-thrust data-mule trajectory optimizations for the Solar System Pony Express are estimated in Pascarella and coauthors</w:t>
      </w:r>
      <w:r>
        <w:t xml:space="preserve"> </w:t>
      </w:r>
      <w:hyperlink w:anchor="ref-4">
        <w:r>
          <w:rPr>
            <w:rStyle w:val="Hyperlink"/>
          </w:rPr>
          <w:t xml:space="preserve">[4]</w:t>
        </w:r>
      </w:hyperlink>
      <w:r>
        <w:t xml:space="preserve">. Delay-tolerant networking and contact-graph routing schemes for predictable deep-space contact opportunities have been refined and tested</w:t>
      </w:r>
      <w:r>
        <w:t xml:space="preserve"> </w:t>
      </w:r>
      <w:hyperlink w:anchor="ref-23">
        <w:r>
          <w:rPr>
            <w:rStyle w:val="Hyperlink"/>
          </w:rPr>
          <w:t xml:space="preserve">[23]</w:t>
        </w:r>
      </w:hyperlink>
      <w:r>
        <w:t xml:space="preserve">. Autonomy and on-board processing for deep-space small satellites have been surveyed for both their scientific and their technological implications</w:t>
      </w:r>
      <w:r>
        <w:t xml:space="preserve"> </w:t>
      </w:r>
      <w:hyperlink w:anchor="ref-7">
        <w:r>
          <w:rPr>
            <w:rStyle w:val="Hyperlink"/>
          </w:rPr>
          <w:t xml:space="preserve">[7]</w:t>
        </w:r>
      </w:hyperlink>
      <w:r>
        <w:t xml:space="preserve">. Emerging technologies that might reduce crewed deep-space missions’ Earth-communications reliance have been characterized</w:t>
      </w:r>
      <w:r>
        <w:t xml:space="preserve"> </w:t>
      </w:r>
      <w:hyperlink w:anchor="ref-6">
        <w:r>
          <w:rPr>
            <w:rStyle w:val="Hyperlink"/>
          </w:rPr>
          <w:t xml:space="preserve">[6]</w:t>
        </w:r>
      </w:hyperlink>
      <w:r>
        <w:t xml:space="preserve">. Each of these proposals is a candidate architecture for relieving DSN load. None of them is paired with an estimated baseline of how binding the DSN constraint actually is in the realized record, and so none of them can be credibly compared on a science-return-per-dollar basis against the status quo. The mission-concept literature therefore presupposes the very congestion estimate it does not produce.</w:t>
      </w:r>
    </w:p>
    <w:p>
      <w:pPr>
        <w:pStyle w:val="BodyText"/>
        <w:spacing w:line="480" w:lineRule="auto"/>
        <w:ind w:firstLine="720"/>
      </w:pPr>
      <w:r>
        <w:t xml:space="preserve">The economic-method literature is the third adjacent body of work, and it is the one whose tools the present dissertation borrows. The Wright’s-law learning curve, introduced in the airframe context</w:t>
      </w:r>
      <w:r>
        <w:t xml:space="preserve"> </w:t>
      </w:r>
      <w:hyperlink w:anchor="ref-8">
        <w:r>
          <w:rPr>
            <w:rStyle w:val="Hyperlink"/>
          </w:rPr>
          <w:t xml:space="preserve">[8]</w:t>
        </w:r>
      </w:hyperlink>
      <w:r>
        <w:t xml:space="preserve">, is the canonical instrument for recovering scaling elasticities from observational data and is the basis for the channel-side learning estimate in P2 of this dissertation [P2 prose, this dissertation]. Network capacity has been modeled as an economic constraint with congestion costs in the LEO commercial satellite-constellation context</w:t>
      </w:r>
      <w:r>
        <w:t xml:space="preserve"> </w:t>
      </w:r>
      <w:hyperlink w:anchor="ref-17">
        <w:r>
          <w:rPr>
            <w:rStyle w:val="Hyperlink"/>
          </w:rPr>
          <w:t xml:space="preserve">[17]</w:t>
        </w:r>
      </w:hyperlink>
      <w:r>
        <w:t xml:space="preserve"> </w:t>
      </w:r>
      <w:r>
        <w:t xml:space="preserve">and addressed at the policy level in the space-economy literature on sustainability, security, and development</w:t>
      </w:r>
      <w:r>
        <w:t xml:space="preserve"> </w:t>
      </w:r>
      <w:hyperlink w:anchor="ref-5">
        <w:r>
          <w:rPr>
            <w:rStyle w:val="Hyperlink"/>
          </w:rPr>
          <w:t xml:space="preserve">[5]</w:t>
        </w:r>
      </w:hyperlink>
      <w:r>
        <w:t xml:space="preserve">. Discrete-event simulation of the analogous Space Surveillance Network has demonstrated that ground-network performance is tractable when modeled as a queueing system with measurable service times</w:t>
      </w:r>
      <w:r>
        <w:t xml:space="preserve"> </w:t>
      </w:r>
      <w:hyperlink w:anchor="ref-21">
        <w:r>
          <w:rPr>
            <w:rStyle w:val="Hyperlink"/>
          </w:rPr>
          <w:t xml:space="preserve">[21]</w:t>
        </w:r>
      </w:hyperlink>
      <w:r>
        <w:t xml:space="preserve">. The Pan-STARRS Published Science Products Subsystem</w:t>
      </w:r>
      <w:r>
        <w:t xml:space="preserve"> </w:t>
      </w:r>
      <w:hyperlink w:anchor="ref-18">
        <w:r>
          <w:rPr>
            <w:rStyle w:val="Hyperlink"/>
          </w:rPr>
          <w:t xml:space="preserve">[18]</w:t>
        </w:r>
      </w:hyperlink>
      <w:r>
        <w:t xml:space="preserve"> </w:t>
      </w:r>
      <w:r>
        <w:t xml:space="preserve">and the SOFIA Cycle 1 science status report</w:t>
      </w:r>
      <w:r>
        <w:t xml:space="preserve"> </w:t>
      </w:r>
      <w:hyperlink w:anchor="ref-15">
        <w:r>
          <w:rPr>
            <w:rStyle w:val="Hyperlink"/>
          </w:rPr>
          <w:t xml:space="preserve">[15]</w:t>
        </w:r>
      </w:hyperlink>
      <w:r>
        <w:t xml:space="preserve"> </w:t>
      </w:r>
      <w:r>
        <w:t xml:space="preserve">illustrate that science data volume is a recoverable, archivable quantity that can serve as a dependent variable in production-function specifications. None of these works, however, has been brought to bear on the DSN itself. The structural object that the method literature equips a researcher to estimate, namely an admitted-load multi-server queue whose service output is observed and whose congestion frontier is identified by within-mission and within-complex variation, has not been estimated on the DSN scheduling record.</w:t>
      </w:r>
    </w:p>
    <w:p>
      <w:pPr>
        <w:pStyle w:val="BodyText"/>
        <w:spacing w:line="480" w:lineRule="auto"/>
        <w:ind w:firstLine="720"/>
      </w:pPr>
      <w:r>
        <w:t xml:space="preserve">The gap is therefore precise. The hardware and mission-concept literatures supply a binding constraint and a roster of proposed workarounds, but no estimated shadow price. The economic-method literature supplies the tools to recover that shadow price, but has not been applied to the DSN. The contribution of this dissertation is to close that gap by treating the DSN as the multi-class capacity-constrained queue that its scheduling logs in fact describe, and by estimating the congestion frontier directly against the realized record.</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defends one falsifiable hypothesis, stated here in the form in which it is tested in Chapters 4 and 5 and pre-registered in the prospectus.</w:t>
      </w:r>
    </w:p>
    <w:p>
      <w:pPr>
        <w:pStyle w:val="BodyText"/>
        <w:spacing w:line="480" w:lineRule="auto"/>
        <w:ind w:firstLine="720"/>
      </w:pPr>
      <w:r>
        <w:t xml:space="preserve">The null hypothesis is that, after controlling for spacecraft slant range, scheduled link rate, mission priority class, and weather-driven outages, the average science bits returned per allocated DSN antenna hour are statistically independent of contemporaneous admitted mission load on the network. The alternative is that, after the same controls, the average science bits returned per allocated antenna hour decline monotonically in contemporaneous admitted mission load above a threshold load, with an estimated semi-elasticity that is strictly negative and statistically distinguishable from zero at conventional levels.</w:t>
      </w:r>
    </w:p>
    <w:p>
      <w:pPr>
        <w:pStyle w:val="BodyText"/>
        <w:spacing w:line="480" w:lineRule="auto"/>
        <w:ind w:firstLine="720"/>
      </w:pPr>
      <w:r>
        <w:t xml:space="preserve">Rejecting the null in favor of the alternative, and recovering the estimated semi-elasticity and the estimated threshold, identifies the congestion frontier and yields the marginal congestion cost of an additional admitted mission, measured in science bits not returned per antenna hour. Failing to reject the null falsifies the queueing interpretation and implies that DSN scheduling is currently slack with respect to the admitted portfolio. Either outcome is informative. The first justifies the carrying-capacity envelope and the structural M/G/c extrapolation to proposed relay and data-mule augmentations. The second redirects the policy attention to non-network constraints and weakens the case for ground-segment investment as a science-return intervention.</w:t>
      </w:r>
    </w:p>
    <w:p>
      <w:pPr>
        <w:pStyle w:val="BodyText"/>
        <w:spacing w:line="480" w:lineRule="auto"/>
        <w:ind w:firstLine="720"/>
      </w:pPr>
      <w:r>
        <w:t xml:space="preserve">Two prior results, each developed as a stand-alone empirical paper within the dissertation, anchor the falsifiable contribution to the realized historical record. The cross-mission ordinary least squares estimate in P1 finds an elasticity of cumulative archived science data volume with respect to peak downlink rate of approximately 0.88 across thirty-six interplanetary missions launched between 1972 and 2024, statistically distinguishable from zero at any conventional level, after slant range, antenna aperture, and operational time on station are controlled [P1 prose, this dissertation]. The Wright’s-law specification in P2 finds a positive log-log elasticity of peak sustained downlink rate with respect to cumulative DSN-served experience across thirty missions launched between 1964 and 2024, with an implied progress ratio of roughly 4.7 per doubling [P2 prose, this dissertation]. The cross-sectional and learning-curve evidence together establish that the channel is a first-order production input for science return and that its capability has scaled aggressively. Neither, however, identifies the marginal congestion cost on the realized contact-hour panel. That is the object that Chapter 4 estimates and that the dissertation’s single falsifiable hypothesis tests.</w:t>
      </w:r>
    </w:p>
    <w:bookmarkEnd w:id="64"/>
    <w:bookmarkStart w:id="65" w:name="method-sketch-and-identification"/>
    <w:p>
      <w:pPr>
        <w:pStyle w:val="Heading2"/>
        <w:spacing w:line="480" w:lineRule="auto"/>
      </w:pPr>
      <w:r>
        <w:t xml:space="preserve">1.5 Method Sketch and Identification</w:t>
      </w:r>
    </w:p>
    <w:p>
      <w:pPr>
        <w:pStyle w:val="FirstParagraph"/>
        <w:spacing w:line="480" w:lineRule="auto"/>
      </w:pPr>
      <w:r>
        <w:t xml:space="preserve">The empirical strategy treats antenna-hour allocation as an admission decision into a multi-server queue and observed science return as the realized service output. The dependent variable is science bits returned per allocated antenna hour, measured at the mission-week level. The right-hand side includes spacecraft slant range, scheduled link rate, mission priority class, weather outage minutes per complex per week, and the contemporaneous admitted mission load, defined as the count of spacecraft holding active DSN service contracts that week. Mission and complex fixed effects absorb time-invariant heterogeneity in instrument suite and ground hardware. Identification of the congestion effect rests on within-mission and within-complex variation in admitted load driven by mission entry and exit timing that is exogenous to any individual mission’s science-return realization in a given week. A threshold model with a single break in load recovers the threshold estimate and tests the threshold null using the standard sup-Wald procedure. A structural M/G/c queueing specification, calibrated to per-complex service-time distributions, serves as the robustness counterpart to the reduced-form panel estimate and as the bridge from the recovered status-quo congestion cost to the counterfactual evaluation of the relay [3, 22] and data-mule</w:t>
      </w:r>
      <w:r>
        <w:t xml:space="preserve"> </w:t>
      </w:r>
      <w:hyperlink w:anchor="ref-4">
        <w:r>
          <w:rPr>
            <w:rStyle w:val="Hyperlink"/>
          </w:rPr>
          <w:t xml:space="preserve">[4]</w:t>
        </w:r>
      </w:hyperlink>
      <w:r>
        <w:t xml:space="preserve"> </w:t>
      </w:r>
      <w:r>
        <w:t xml:space="preserve">augmentations.</w:t>
      </w:r>
    </w:p>
    <w:p>
      <w:pPr>
        <w:pStyle w:val="BodyText"/>
        <w:spacing w:line="480" w:lineRule="auto"/>
        <w:ind w:firstLine="720"/>
      </w:pPr>
      <w:r>
        <w:t xml:space="preserve">The data sources are three. The NASA DSN Now public service and the archived DSN scheduling log provide the contact-time and admitted-mission panel back to 2014. The Planetary Data System publishes per-mission data volume deliveries with timestamps, aggregable to weekly bits returned. Mission-level telecommunications budgets, drawn from the NASA Technical Reports Server and the DESCANSO monographs [10, 11], provide the scheduled link rate and modulation class. Slant range is computed from JPL Horizons ephemeris. All three sources are public, citable, and persistently archived. No proprietary scheduling data is required.</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is organized in six chapters. Chapter 2 develops the analytical framework, formalizes the DSN as a multi-class capacity-constrained queue with mission-level admission and complex-level service, and derives the structural interpretation of the congestion semi-elasticity and the threshold. Chapter 3 documents the assembly of the contact-hour panel, the PDS science-return panel, and the mission-week match, and presents descriptive evidence on the time-series and cross-sectional variation that identifies the panel estimator. Chapter 4 reports the panel regression and the threshold model, including the sup-Wald test of the threshold null and the within-mission and within-complex robustness checks. Chapter 5 reports the structural M/G/c estimate, calibrated to per-complex service-time distributions, and compares its predicted bits-per-hour to the reduced-form estimate. Chapter 6 uses the recovered congestion cost to evaluate two proposed augmentations on a common science-bits-per-dollar basis: the relay-network topology assessed by Betriu and coauthors [3, 22], and the low-thrust data-mule architecture of the Solar System Pony Express</w:t>
      </w:r>
      <w:r>
        <w:t xml:space="preserve"> </w:t>
      </w:r>
      <w:hyperlink w:anchor="ref-4">
        <w:r>
          <w:rPr>
            <w:rStyle w:val="Hyperlink"/>
          </w:rPr>
          <w:t xml:space="preserve">[4]</w:t>
        </w:r>
      </w:hyperlink>
      <w:r>
        <w:t xml:space="preserve">. Chapter 7 reviews the threats to validity, including selection in admitted load, measurement error in returned bits, weather and equipment outage confounding, and the external-validity boundary of the reduced-form estimate, and states the conditions under which the structural extrapolation is and is not warranted. The dissertation concludes by stating, in the same precise form in which the falsifiable hypothesis is posed in this introduction, what the recovered congestion frontier implies for NASA’s decadal sequencing of new starts and for JPL’s stewardship of the DSN.</w:t>
      </w:r>
    </w:p>
    <w:bookmarkEnd w:id="66"/>
    <w:bookmarkEnd w:id="67"/>
    <w:bookmarkStart w:id="74" w:name="chapter-2.-literature-review"/>
    <w:p>
      <w:pPr>
        <w:pStyle w:val="Heading1"/>
        <w:spacing w:line="480" w:lineRule="auto"/>
      </w:pPr>
      <w:r>
        <w:t xml:space="preserve">Chapter 2. Literature Review</w:t>
      </w:r>
    </w:p>
    <w:bookmarkStart w:id="68" w:name="orientation"/>
    <w:p>
      <w:pPr>
        <w:pStyle w:val="Heading2"/>
        <w:spacing w:line="480" w:lineRule="auto"/>
      </w:pPr>
      <w:r>
        <w:t xml:space="preserve">2.1 Orientation</w:t>
      </w:r>
    </w:p>
    <w:p>
      <w:pPr>
        <w:pStyle w:val="FirstParagraph"/>
        <w:spacing w:line="480" w:lineRule="auto"/>
      </w:pPr>
      <w:r>
        <w:t xml:space="preserve">The research question of this dissertation sits at the intersection of two literatures that have, to date, evolved without mutual reference. The first is the deep-space communications and ground-segment engineering literature, which characterizes the Deep Space Network (DSN) and its mission-side counterparts as physical artifacts governed by link budgets, antenna gain, modulation and coding choices, and a small set of ground complexes whose throughput is set by hardware. The second is the cliometric and econometric methodology literature on capacity-constrained shared infrastructure, which treats finite networks as economic objects whose carrying capacity, congestion externalities, and learning trajectories can be estimated from observed allocation and output records. The deep-space technical literature has produced detailed accounts of how each spacecraft link is engineered and how relay topologies or data-mule architectures might augment the existing backbone, but it has not produced an estimated baseline of how binding the DSN constraint actually is in the historical record. The cliometric literature has produced robust methods for estimating learning curves, production frontiers, and queueing-theoretic congestion costs, but it has not been applied to the deep-space communications backbone. This chapter reviews each literature in sequence, identifies the methodological tools each makes available to the present study, and then synthesizes the unjoined character of the two bodies of work to specify the empirical gap that the dissertation closes.</w:t>
      </w:r>
    </w:p>
    <w:p>
      <w:pPr>
        <w:pStyle w:val="BodyText"/>
        <w:spacing w:line="480" w:lineRule="auto"/>
        <w:ind w:firstLine="720"/>
      </w:pPr>
      <w:r>
        <w:t xml:space="preserve">The review proceeds in five parts. Section 2.2 reviews the deep-space engineering literature on antenna hardware, link budgets, and end-to-end mission telecommunications. Section 2.3 reviews the literature on relay topologies, data-mule architectures, and emergent technologies that propose to relax DSN load, treating these proposals as policy alternatives whose evaluation requires a baseline. Section 2.4 reviews adjacent space-domain awareness, simulation, and capacity-modeling work that establishes how heterogeneous shared infrastructures have been studied in nearby domains. Section 2.5 turns to the cliometric and econometric methodology literature on learning curves, capacity-constrained queues, and production frontiers, and characterizes the toolkit each strand makes available. Section 2.6 synthesizes the gap, situates the prospectus contribution within it, and previews the chapters that follow.</w:t>
      </w:r>
    </w:p>
    <w:bookmarkEnd w:id="68"/>
    <w:bookmarkStart w:id="69" w:name="Xb39aae473bf20cabccec1867277b56565ef86b6"/>
    <w:p>
      <w:pPr>
        <w:pStyle w:val="Heading2"/>
        <w:spacing w:line="480" w:lineRule="auto"/>
      </w:pPr>
      <w:r>
        <w:t xml:space="preserve">2.2 The Deep-Space Engineering Literature on the Link</w:t>
      </w:r>
    </w:p>
    <w:p>
      <w:pPr>
        <w:pStyle w:val="FirstParagraph"/>
        <w:spacing w:line="480" w:lineRule="auto"/>
      </w:pPr>
      <w:r>
        <w:t xml:space="preserve">The deep-space link is the load-bearing physical object whose throughput defines the science return ceiling of every interplanetary mission. The engineering literature treats this object through three layers: the spacecraft-side antenna and transmitter, the ground-segment receiver and aperture, and the end-to-end link budget that couples them across distances measured in astronomical units. Each layer has a mature characterization in the published record.</w:t>
      </w:r>
    </w:p>
    <w:p>
      <w:pPr>
        <w:pStyle w:val="BodyText"/>
        <w:spacing w:line="480" w:lineRule="auto"/>
        <w:ind w:firstLine="720"/>
      </w:pPr>
      <w:r>
        <w:t xml:space="preserve">On the spacecraft-side antenna, Mihai and colleagues</w:t>
      </w:r>
      <w:r>
        <w:t xml:space="preserve"> </w:t>
      </w:r>
      <w:hyperlink w:anchor="ref-2">
        <w:r>
          <w:rPr>
            <w:rStyle w:val="Hyperlink"/>
          </w:rPr>
          <w:t xml:space="preserve">[2]</w:t>
        </w:r>
      </w:hyperlink>
      <w:r>
        <w:t xml:space="preserve"> </w:t>
      </w:r>
      <w:r>
        <w:t xml:space="preserve">provide a representative recent account of titanium reflector design for deep space missions, in which the trade between mass, stiffness, surface accuracy, and survivability under launch loads and deep-space thermal cycling sets the achievable gain. Their analysis is internal to the spacecraft design problem and treats the available downlink rate as a derived quantity from gain, transmitter power, modulation, and the assumed ground aperture. The same orientation is visible in the broader DESCANSO monograph tradition referenced in the cliometric analysis of channel learning developed in P2 of this dissertation, where each monograph documents a single mission’s telecommunications subsystem as an engineered object. The literature in this layer treats the spacecraft antenna as an exogenous capability frontier rather than as a unit in a network whose aggregate behavior would have to be modeled jointly.</w:t>
      </w:r>
    </w:p>
    <w:p>
      <w:pPr>
        <w:pStyle w:val="BodyText"/>
        <w:spacing w:line="480" w:lineRule="auto"/>
        <w:ind w:firstLine="720"/>
      </w:pPr>
      <w:r>
        <w:t xml:space="preserve">On the ground-segment side, the AMOS conference literature documents the analogous engineering treatment of large-aperture ground sensors and their associated communications and tasking systems. Hutfilz and Higgins</w:t>
      </w:r>
      <w:r>
        <w:t xml:space="preserve"> </w:t>
      </w:r>
      <w:hyperlink w:anchor="ref-1">
        <w:r>
          <w:rPr>
            <w:rStyle w:val="Hyperlink"/>
          </w:rPr>
          <w:t xml:space="preserve">[1]</w:t>
        </w:r>
      </w:hyperlink>
      <w:r>
        <w:t xml:space="preserve"> </w:t>
      </w:r>
      <w:r>
        <w:t xml:space="preserve">document the transformation of the Space Surveillance Telescope into a dedicated network sensor, and the surrounding AMOS record on sensor tasking and ground-asset planning [16, 21] characterizes how heterogeneous ground assets are integrated into a network whose capacity is shared across users. The DSN itself is not directly studied in this AMOS literature, but the methodological orientation that ground-segment capacity is a network-level object, not a per-asset object, is well established there. The Pan-STARRS published-science-products subsystem documentation</w:t>
      </w:r>
      <w:r>
        <w:t xml:space="preserve"> </w:t>
      </w:r>
      <w:hyperlink w:anchor="ref-18">
        <w:r>
          <w:rPr>
            <w:rStyle w:val="Hyperlink"/>
          </w:rPr>
          <w:t xml:space="preserve">[18]</w:t>
        </w:r>
      </w:hyperlink>
      <w:r>
        <w:t xml:space="preserve"> </w:t>
      </w:r>
      <w:r>
        <w:t xml:space="preserve">illustrates the same orientation in a survey astronomy context: a finite-aperture ground asset is treated as a pipeline that produces archived data products on a cadence set by the asset’s allocation policy.</w:t>
      </w:r>
    </w:p>
    <w:p>
      <w:pPr>
        <w:pStyle w:val="BodyText"/>
        <w:spacing w:line="480" w:lineRule="auto"/>
        <w:ind w:firstLine="720"/>
      </w:pPr>
      <w:r>
        <w:t xml:space="preserve">Quality-weighted iterative deconvolution and related image-processing work in the AMOS literature</w:t>
      </w:r>
      <w:r>
        <w:t xml:space="preserve"> </w:t>
      </w:r>
      <w:hyperlink w:anchor="ref-19">
        <w:r>
          <w:rPr>
            <w:rStyle w:val="Hyperlink"/>
          </w:rPr>
          <w:t xml:space="preserve">[19]</w:t>
        </w:r>
      </w:hyperlink>
      <w:r>
        <w:t xml:space="preserve"> </w:t>
      </w:r>
      <w:r>
        <w:t xml:space="preserve">establishes that ground-segment throughput is sensitive not only to raw aperture but also to atmospheric conditions, pointing accuracy, and post-processing algorithms. The implication for the deep-space link is direct. Per-complex DSN throughput is a function of weather outages at Goldstone, Madrid, and Canberra, of antenna pointing precision, and of the receiver and post-processing chain. The empirical strategy developed in the prospectus to include per-complex weather outage minutes as a covariate is consistent with the engineering literature’s recognition that ground-side throughput is a stochastic object.</w:t>
      </w:r>
    </w:p>
    <w:p>
      <w:pPr>
        <w:pStyle w:val="BodyText"/>
        <w:spacing w:line="480" w:lineRule="auto"/>
        <w:ind w:firstLine="720"/>
      </w:pPr>
      <w:r>
        <w:t xml:space="preserve">The end-to-end link budget literature couples these two sides. Betriu and colleagues [3, 22] survey relay-network topologies for Earth-Mars communications and document how peak downlink rate scales with free-space path loss, transmitter power, and the chosen modulation and coding combination. Their analysis treats the link as a hard physical ceiling whose relaxation requires either spacecraft-side aperture increases, ground-side aperture increases, or the insertion of a relay orbiter that shortens the Earth-leg link and permits a higher-rate relay. The relay-topology assessment in Betriu et al. [3, 22] is the most direct articulation in the recent peer-reviewed literature of the policy question that the present dissertation seeks to baseline empirically: how much congestion-cost relief would a relay augmentation actually deliver, conditional on the existing DSN load, and what shadow price does the existing load place on the additional aperture,</w:t>
      </w:r>
    </w:p>
    <w:p>
      <w:pPr>
        <w:pStyle w:val="BodyText"/>
        <w:spacing w:line="480" w:lineRule="auto"/>
        <w:ind w:firstLine="720"/>
      </w:pPr>
      <w:r>
        <w:t xml:space="preserve">A complementary thread in the link literature treats the contact-time itself as a scarce resource to be allocated under predictability constraints. Dhara and colleagues</w:t>
      </w:r>
      <w:r>
        <w:t xml:space="preserve"> </w:t>
      </w:r>
      <w:hyperlink w:anchor="ref-23">
        <w:r>
          <w:rPr>
            <w:rStyle w:val="Hyperlink"/>
          </w:rPr>
          <w:t xml:space="preserve">[23]</w:t>
        </w:r>
      </w:hyperlink>
      <w:r>
        <w:t xml:space="preserve"> </w:t>
      </w:r>
      <w:r>
        <w:t xml:space="preserve">develop an efficient contact-utilization scheme for predictable deep-space delay-tolerant networking, modeling the contact graph as a routing object over which messages must be scheduled. Their CGR-BF scheme is engineering-side rather than econometric, but it implicitly recognizes that contact-time is a queueing object with admission and service-time properties. The present dissertation takes that recognition seriously and treats the contact-time allocation as the empirical object to be modeled. The Dhara et al. </w:t>
      </w:r>
      <w:hyperlink w:anchor="ref-23">
        <w:r>
          <w:rPr>
            <w:rStyle w:val="Hyperlink"/>
          </w:rPr>
          <w:t xml:space="preserve">[23]</w:t>
        </w:r>
      </w:hyperlink>
      <w:r>
        <w:t xml:space="preserve"> </w:t>
      </w:r>
      <w:r>
        <w:t xml:space="preserve">formulation provides the operational vocabulary, in particular the contact graph and the predictable-but-finite contact-time inventory, on which the panel specification of Chapter 4 will rest.</w:t>
      </w:r>
    </w:p>
    <w:p>
      <w:pPr>
        <w:pStyle w:val="BodyText"/>
        <w:spacing w:line="480" w:lineRule="auto"/>
        <w:ind w:firstLine="720"/>
      </w:pPr>
      <w:r>
        <w:t xml:space="preserve">Rollock and Klaus</w:t>
      </w:r>
      <w:r>
        <w:t xml:space="preserve"> </w:t>
      </w:r>
      <w:hyperlink w:anchor="ref-6">
        <w:r>
          <w:rPr>
            <w:rStyle w:val="Hyperlink"/>
          </w:rPr>
          <w:t xml:space="preserve">[6]</w:t>
        </w:r>
      </w:hyperlink>
      <w:r>
        <w:t xml:space="preserve"> </w:t>
      </w:r>
      <w:r>
        <w:t xml:space="preserve">survey the impact of emergent technologies on Earth communications reliance for crewed deep space missions and document a portfolio of architectural options, including optical communications, on-board autonomy, and in-situ data processing, that would alter the load each spacecraft places on the DSN. Their treatment is forward-looking and qualitative rather than empirical, but it is important for the present study in two respects. First, it documents the engineering community’s working assumption that DSN load is binding and growing. Second, it identifies the set of policy levers, optical augmentation</w:t>
      </w:r>
      <w:r>
        <w:t xml:space="preserve"> </w:t>
      </w:r>
      <w:hyperlink w:anchor="ref-13">
        <w:r>
          <w:rPr>
            <w:rStyle w:val="Hyperlink"/>
          </w:rPr>
          <w:t xml:space="preserve">[13]</w:t>
        </w:r>
      </w:hyperlink>
      <w:r>
        <w:t xml:space="preserve">, on-board autonomy</w:t>
      </w:r>
      <w:r>
        <w:t xml:space="preserve"> </w:t>
      </w:r>
      <w:hyperlink w:anchor="ref-7">
        <w:r>
          <w:rPr>
            <w:rStyle w:val="Hyperlink"/>
          </w:rPr>
          <w:t xml:space="preserve">[7]</w:t>
        </w:r>
      </w:hyperlink>
      <w:r>
        <w:t xml:space="preserve">, and in-situ processing, against which the estimated congestion frontier of the present dissertation will be evaluated. Cesarone and colleagues</w:t>
      </w:r>
      <w:r>
        <w:t xml:space="preserve"> </w:t>
      </w:r>
      <w:hyperlink w:anchor="ref-13">
        <w:r>
          <w:rPr>
            <w:rStyle w:val="Hyperlink"/>
          </w:rPr>
          <w:t xml:space="preserve">[13]</w:t>
        </w:r>
      </w:hyperlink>
      <w:r>
        <w:t xml:space="preserve"> </w:t>
      </w:r>
      <w:r>
        <w:t xml:space="preserve">provide the canonical IPN Progress Report account of deep-space optical communications visions, trends, and prospects, and that account establishes that an order-of-magnitude relaxation of the per-link constraint is technically plausible within a decade. The relevant empirical question, which the engineering literature does not pose and the present dissertation does, is the marginal value of that relaxation under the actual current load on the radio-frequency subnet.</w:t>
      </w:r>
    </w:p>
    <w:p>
      <w:pPr>
        <w:pStyle w:val="BodyText"/>
        <w:spacing w:line="480" w:lineRule="auto"/>
        <w:ind w:firstLine="720"/>
      </w:pPr>
      <w:r>
        <w:t xml:space="preserve">Autonomous navigation and on-board processing for small satellites is reviewed by Turan, Speretta, and Gill</w:t>
      </w:r>
      <w:r>
        <w:t xml:space="preserve"> </w:t>
      </w:r>
      <w:hyperlink w:anchor="ref-7">
        <w:r>
          <w:rPr>
            <w:rStyle w:val="Hyperlink"/>
          </w:rPr>
          <w:t xml:space="preserve">[7]</w:t>
        </w:r>
      </w:hyperlink>
      <w:r>
        <w:t xml:space="preserve"> </w:t>
      </w:r>
      <w:r>
        <w:t xml:space="preserve">as a complementary load-shedding strategy: a spacecraft that navigates autonomously reduces its uplink burden and its tracking burden on the DSN. The review is technological rather than econometric, but it is methodologically aligned with the present study in identifying the per-spacecraft demand on the DSN as a sum of distinct service classes, including telemetry downlink, command uplink, and tracking, each of which can in principle be relaxed by a separate technology.</w:t>
      </w:r>
    </w:p>
    <w:p>
      <w:pPr>
        <w:pStyle w:val="BodyText"/>
        <w:spacing w:line="480" w:lineRule="auto"/>
        <w:ind w:firstLine="720"/>
      </w:pPr>
      <w:r>
        <w:t xml:space="preserve">Closer to the spacecraft proximity-operations side, machine-learning-based pose estimation work for docking and landing [24, 25, 29] documents how on-board autonomy is reducing the DSN tracking burden for a class of missions whose proximity-operations phases would otherwise be DSN-intensive. The same orientation appears in Caldas and Soares’ survey of machine learning in orbit estimation</w:t>
      </w:r>
      <w:r>
        <w:t xml:space="preserve"> </w:t>
      </w:r>
      <w:hyperlink w:anchor="ref-27">
        <w:r>
          <w:rPr>
            <w:rStyle w:val="Hyperlink"/>
          </w:rPr>
          <w:t xml:space="preserve">[27]</w:t>
        </w:r>
      </w:hyperlink>
      <w:r>
        <w:t xml:space="preserve"> </w:t>
      </w:r>
      <w:r>
        <w:t xml:space="preserve">and in Jahanshahi and Zhu’s review of machine learning in robotic grasping control in space</w:t>
      </w:r>
      <w:r>
        <w:t xml:space="preserve"> </w:t>
      </w:r>
      <w:hyperlink w:anchor="ref-28">
        <w:r>
          <w:rPr>
            <w:rStyle w:val="Hyperlink"/>
          </w:rPr>
          <w:t xml:space="preserve">[28]</w:t>
        </w:r>
      </w:hyperlink>
      <w:r>
        <w:t xml:space="preserve">. The cumulative effect is that the per-mission DSN load is itself a moving target, declining for some service classes through on-board autonomy and growing for others through higher-volume science instruments. The present dissertation treats this heterogeneity through mission and complex fixed effects and through the explicit inclusion of instrument-volume and link-rate covariates.</w:t>
      </w:r>
    </w:p>
    <w:p>
      <w:pPr>
        <w:pStyle w:val="BodyText"/>
        <w:spacing w:line="480" w:lineRule="auto"/>
        <w:ind w:firstLine="720"/>
      </w:pPr>
      <w:r>
        <w:t xml:space="preserve">Two further engineering threads round out the link literature. First, mission architecture analyses for crewed exploration of near-Earth objects</w:t>
      </w:r>
      <w:r>
        <w:t xml:space="preserve"> </w:t>
      </w:r>
      <w:hyperlink w:anchor="ref-26">
        <w:r>
          <w:rPr>
            <w:rStyle w:val="Hyperlink"/>
          </w:rPr>
          <w:t xml:space="preserve">[26]</w:t>
        </w:r>
      </w:hyperlink>
      <w:r>
        <w:t xml:space="preserve"> </w:t>
      </w:r>
      <w:r>
        <w:t xml:space="preserve">document how mission concepts impose distinct DSN profiles by phase, with cruise, approach, proximity-operations, and return phases each generating different contact-time and data-volume signatures. Second, on-chain validation of tracking data messages using distributed deep learning</w:t>
      </w:r>
      <w:r>
        <w:t xml:space="preserve"> </w:t>
      </w:r>
      <w:hyperlink w:anchor="ref-14">
        <w:r>
          <w:rPr>
            <w:rStyle w:val="Hyperlink"/>
          </w:rPr>
          <w:t xml:space="preserve">[14]</w:t>
        </w:r>
      </w:hyperlink>
      <w:r>
        <w:t xml:space="preserve"> </w:t>
      </w:r>
      <w:r>
        <w:t xml:space="preserve">illustrates that the tracking-data layer of the DSN service portfolio is being reconceived as a distributed object whose integrity is enforced through cryptographic and machine-learning techniques rather than through the historical single-source authority. Each of these threads documents that the DSN load is heterogeneous across missions, phases, and service classes, and that any econometric specification must be at a level of aggregation that absorbs this heterogeneity without collapsing it.</w:t>
      </w:r>
    </w:p>
    <w:p>
      <w:pPr>
        <w:pStyle w:val="BodyText"/>
        <w:spacing w:line="480" w:lineRule="auto"/>
        <w:ind w:firstLine="720"/>
      </w:pPr>
      <w:r>
        <w:t xml:space="preserve">Beyond the planetary-probe literature, the SOFIA airborne-observatory tradition</w:t>
      </w:r>
      <w:r>
        <w:t xml:space="preserve"> </w:t>
      </w:r>
      <w:hyperlink w:anchor="ref-15">
        <w:r>
          <w:rPr>
            <w:rStyle w:val="Hyperlink"/>
          </w:rPr>
          <w:t xml:space="preserve">[15]</w:t>
        </w:r>
      </w:hyperlink>
      <w:r>
        <w:t xml:space="preserve"> </w:t>
      </w:r>
      <w:r>
        <w:t xml:space="preserve">illustrates an adjacent allocation problem in which a finite aperture, in that case an airborne 2.5-meter infrared telescope, is rationed across a queue of science proposals through a Cycle-based time-allocation process. The methodological parallel is direct. The SOFIA Cycle-1 proposal cycle is a small-N instance of the same admitted-load problem that the present dissertation analyzes at the DSN scale, and the analytical orientation, which is to characterize the time-allocation policy as the binding constraint on science return, is the orientation the present dissertation adopts.</w:t>
      </w:r>
    </w:p>
    <w:bookmarkEnd w:id="69"/>
    <w:bookmarkStart w:id="70" w:name="relay-mule-and-augmentation-concepts"/>
    <w:p>
      <w:pPr>
        <w:pStyle w:val="Heading2"/>
        <w:spacing w:line="480" w:lineRule="auto"/>
      </w:pPr>
      <w:r>
        <w:t xml:space="preserve">2.3 Relay, Mule, and Augmentation Concepts</w:t>
      </w:r>
    </w:p>
    <w:p>
      <w:pPr>
        <w:pStyle w:val="FirstParagraph"/>
        <w:spacing w:line="480" w:lineRule="auto"/>
      </w:pPr>
      <w:r>
        <w:t xml:space="preserve">The relay and data-mule literature is properly a sub-literature of the engineering tradition reviewed in the preceding section, but it warrants separate treatment because its proposals are the policy alternatives against which the present dissertation’s congestion frontier will be evaluated. Two recent peer-reviewed contributions define the frontier of this sub-literature.</w:t>
      </w:r>
    </w:p>
    <w:p>
      <w:pPr>
        <w:pStyle w:val="BodyText"/>
        <w:spacing w:line="480" w:lineRule="auto"/>
        <w:ind w:firstLine="720"/>
      </w:pPr>
      <w:r>
        <w:t xml:space="preserve">Pascarella and colleagues</w:t>
      </w:r>
      <w:r>
        <w:t xml:space="preserve"> </w:t>
      </w:r>
      <w:hyperlink w:anchor="ref-4">
        <w:r>
          <w:rPr>
            <w:rStyle w:val="Hyperlink"/>
          </w:rPr>
          <w:t xml:space="preserve">[4]</w:t>
        </w:r>
      </w:hyperlink>
      <w:r>
        <w:t xml:space="preserve"> </w:t>
      </w:r>
      <w:r>
        <w:t xml:space="preserve">develop a low-thrust trajectory optimization for the Solar System Pony Express, a data-mule architecture in which a dedicated relay spacecraft is placed on a low-thrust trajectory that physically transports archived data from outer-planet missions to a closer point of downlink. The architecture is responsive to exactly the constraint that the present dissertation seeks to baseline: when the DSN downlink rate to an outer-planet mission is bandwidth-limited by free-space path loss, a data-mule that physically returns to a closer downlink range can amortize a higher integrated bit-rate per unit antenna-hour on the DSN side. The Pascarella et al. </w:t>
      </w:r>
      <w:hyperlink w:anchor="ref-4">
        <w:r>
          <w:rPr>
            <w:rStyle w:val="Hyperlink"/>
          </w:rPr>
          <w:t xml:space="preserve">[4]</w:t>
        </w:r>
      </w:hyperlink>
      <w:r>
        <w:t xml:space="preserve"> </w:t>
      </w:r>
      <w:r>
        <w:t xml:space="preserve">contribution is a trajectory optimization rather than a system-level cost-benefit analysis. The cost-benefit analysis requires the marginal congestion cost of antenna-hour scarcity that this dissertation will estimate.</w:t>
      </w:r>
    </w:p>
    <w:p>
      <w:pPr>
        <w:pStyle w:val="BodyText"/>
        <w:spacing w:line="480" w:lineRule="auto"/>
        <w:ind w:firstLine="720"/>
      </w:pPr>
      <w:r>
        <w:t xml:space="preserve">Betriu and colleagues [3, 22] provide the corresponding relay-topology analysis for Earth-Mars communications. The relay-orbiter architecture they evaluate substitutes a shorter, higher-rate Earth-Mars link for the existing direct-to-Earth link, with the relay orbiter holding the higher-gain Earth-facing aperture. As the cross-mission OLS estimate developed in P1 of this dissertation indicates, the elasticity of cumulative archived science volume with respect to effective high-gain antenna aperture is approximately one point eight two and statistically distinguishable from zero at the one percent level. The relay-orbiter architecture analyzed by Betriu et al. [3, 22] earns its delta cost in that aperture term, not only in the link-budget term, and the magnitude of the aperture elasticity from the cross-mission cliometric estimate is directly relevant to the cost-benefit evaluation of the relay-orbiter concept. The present dissertation thus stands in a complementary rather than competitive relation to Betriu et al. [3, 22]: the engineering analysis specifies the candidate augmentation, and the cliometric analysis quantifies its baseline benefit.</w:t>
      </w:r>
    </w:p>
    <w:p>
      <w:pPr>
        <w:pStyle w:val="BodyText"/>
        <w:spacing w:line="480" w:lineRule="auto"/>
        <w:ind w:firstLine="720"/>
      </w:pPr>
      <w:r>
        <w:t xml:space="preserve">A third augmentation thread treats optical communications as the technological alternative to relay topologies. Cesarone and colleagues</w:t>
      </w:r>
      <w:r>
        <w:t xml:space="preserve"> </w:t>
      </w:r>
      <w:hyperlink w:anchor="ref-13">
        <w:r>
          <w:rPr>
            <w:rStyle w:val="Hyperlink"/>
          </w:rPr>
          <w:t xml:space="preserve">[13]</w:t>
        </w:r>
      </w:hyperlink>
      <w:r>
        <w:t xml:space="preserve"> </w:t>
      </w:r>
      <w:r>
        <w:t xml:space="preserve">document the long-running JPL program in deep-space optical communications and project an order-of-magnitude per-link rate increase relative to the Ka-band radio-frequency baseline. The substantive policy question is whether that order-of-magnitude per-link increase relieves the binding DSN constraint or merely shifts it to a different layer, since the optical ground segment is itself capacity-constrained by weather and by the small number of large-aperture optical ground stations. Rollock and Klaus</w:t>
      </w:r>
      <w:r>
        <w:t xml:space="preserve"> </w:t>
      </w:r>
      <w:hyperlink w:anchor="ref-6">
        <w:r>
          <w:rPr>
            <w:rStyle w:val="Hyperlink"/>
          </w:rPr>
          <w:t xml:space="preserve">[6]</w:t>
        </w:r>
      </w:hyperlink>
      <w:r>
        <w:t xml:space="preserve"> </w:t>
      </w:r>
      <w:r>
        <w:t xml:space="preserve">survey this trade-off without quantifying it. The present dissertation does not estimate the optical case directly, but the threshold model proposed in the prospectus would, after re-estimation on an optical-era panel, distinguish the two regimes.</w:t>
      </w:r>
    </w:p>
    <w:p>
      <w:pPr>
        <w:pStyle w:val="BodyText"/>
        <w:spacing w:line="480" w:lineRule="auto"/>
        <w:ind w:firstLine="720"/>
      </w:pPr>
      <w:r>
        <w:t xml:space="preserve">The augmentation literature is unified by a methodological feature that is important for the gap analysis to follow. Each proposed architecture is evaluated through engineering performance metrics, including end-to-end bit rate, mass and power budgets, and trajectory feasibility, without an empirical baseline for the marginal congestion cost the architecture is meant to relieve. The Betriu et al. [3, 22] assessment is explicit that the relay architecture would improve Earth-Mars communications, and the Pascarella et al. </w:t>
      </w:r>
      <w:hyperlink w:anchor="ref-4">
        <w:r>
          <w:rPr>
            <w:rStyle w:val="Hyperlink"/>
          </w:rPr>
          <w:t xml:space="preserve">[4]</w:t>
        </w:r>
      </w:hyperlink>
      <w:r>
        <w:t xml:space="preserve"> </w:t>
      </w:r>
      <w:r>
        <w:t xml:space="preserve">assessment is explicit that the data mule would improve outer-planet downlink, but neither paper provides an estimated shadow price on antenna-hour scarcity against which the value of the proposed relief can be quantified. The absence of an estimated shadow price is precisely the empirical gap that the present dissertation closes.</w:t>
      </w:r>
    </w:p>
    <w:bookmarkEnd w:id="70"/>
    <w:bookmarkStart w:id="71" w:name="Xd1904853d2a00a2c0448fd8cf52c4dfa2dfc5e1"/>
    <w:p>
      <w:pPr>
        <w:pStyle w:val="Heading2"/>
        <w:spacing w:line="480" w:lineRule="auto"/>
      </w:pPr>
      <w:r>
        <w:t xml:space="preserve">2.4 Adjacent Shared-Infrastructure Literatures</w:t>
      </w:r>
    </w:p>
    <w:p>
      <w:pPr>
        <w:pStyle w:val="FirstParagraph"/>
        <w:spacing w:line="480" w:lineRule="auto"/>
      </w:pPr>
      <w:r>
        <w:t xml:space="preserve">A small number of adjacent literatures have treated shared-infrastructure capacity as an economic or computational object whose congestion behavior can be characterized empirically or by simulation. These adjacent literatures supply methodological tools and analytical orientation that the cliometric analysis of the DSN will adapt.</w:t>
      </w:r>
    </w:p>
    <w:p>
      <w:pPr>
        <w:pStyle w:val="BodyText"/>
        <w:spacing w:line="480" w:lineRule="auto"/>
        <w:ind w:firstLine="720"/>
      </w:pPr>
      <w:r>
        <w:t xml:space="preserve">The most directly comparable adjacent literature is the recent space-economy work on commercial low-Earth-orbit constellation capacity. The Space Economy Papers corpus document SD13</w:t>
      </w:r>
      <w:r>
        <w:t xml:space="preserve"> </w:t>
      </w:r>
      <w:hyperlink w:anchor="ref-5">
        <w:r>
          <w:rPr>
            <w:rStyle w:val="Hyperlink"/>
          </w:rPr>
          <w:t xml:space="preserve">[5]</w:t>
        </w:r>
      </w:hyperlink>
      <w:r>
        <w:t xml:space="preserve"> </w:t>
      </w:r>
      <w:r>
        <w:t xml:space="preserve">establishes that network capacity is an economic object with congestion costs that can be estimated empirically. Sturza, Dankberg, and Blount</w:t>
      </w:r>
      <w:r>
        <w:t xml:space="preserve"> </w:t>
      </w:r>
      <w:hyperlink w:anchor="ref-17">
        <w:r>
          <w:rPr>
            <w:rStyle w:val="Hyperlink"/>
          </w:rPr>
          <w:t xml:space="preserve">[17]</w:t>
        </w:r>
      </w:hyperlink>
      <w:r>
        <w:t xml:space="preserve"> </w:t>
      </w:r>
      <w:r>
        <w:t xml:space="preserve">develop a sustainable-design capacity model for LEO constellations that explicitly treats the orbital and spectrum resources as finite and characterizes the per-satellite contribution to aggregate capacity under interference constraints. Their analytical framework, which treats the constellation as a network of service-providing units sharing a finite resource, is closely analogous to the DSN as a network of antenna complexes sharing a finite contact-time inventory. The mathematical difference is that LEO capacity is bounded by spectrum and interference rather than by antenna-hour scarcity, but the empirical posture, which is to estimate marginal congestion under observed allocation, is the same.</w:t>
      </w:r>
    </w:p>
    <w:p>
      <w:pPr>
        <w:pStyle w:val="BodyText"/>
        <w:spacing w:line="480" w:lineRule="auto"/>
        <w:ind w:firstLine="720"/>
      </w:pPr>
      <w:r>
        <w:t xml:space="preserve">The space-domain awareness simulation literature contributes a second adjacent thread. Jefferson and Leek</w:t>
      </w:r>
      <w:r>
        <w:t xml:space="preserve"> </w:t>
      </w:r>
      <w:hyperlink w:anchor="ref-21">
        <w:r>
          <w:rPr>
            <w:rStyle w:val="Hyperlink"/>
          </w:rPr>
          <w:t xml:space="preserve">[21]</w:t>
        </w:r>
      </w:hyperlink>
      <w:r>
        <w:t xml:space="preserve"> </w:t>
      </w:r>
      <w:r>
        <w:t xml:space="preserve">apply parallel discrete-event simulation to the Space Surveillance Network and demonstrate that the network’s tasking and observation throughput can be characterized through a discrete-event queueing model. Tomita, Shimane, and Ho</w:t>
      </w:r>
      <w:r>
        <w:t xml:space="preserve"> </w:t>
      </w:r>
      <w:hyperlink w:anchor="ref-16">
        <w:r>
          <w:rPr>
            <w:rStyle w:val="Hyperlink"/>
          </w:rPr>
          <w:t xml:space="preserve">[16]</w:t>
        </w:r>
      </w:hyperlink>
      <w:r>
        <w:t xml:space="preserve"> </w:t>
      </w:r>
      <w:r>
        <w:t xml:space="preserve">extend this orientation to multi-spacecraft predictive sensor tasking for cislunar space-situational awareness, and Temple</w:t>
      </w:r>
      <w:r>
        <w:t xml:space="preserve"> </w:t>
      </w:r>
      <w:hyperlink w:anchor="ref-20">
        <w:r>
          <w:rPr>
            <w:rStyle w:val="Hyperlink"/>
          </w:rPr>
          <w:t xml:space="preserve">[20]</w:t>
        </w:r>
      </w:hyperlink>
      <w:r>
        <w:t xml:space="preserve"> </w:t>
      </w:r>
      <w:r>
        <w:t xml:space="preserve">applies neural-network event winnowing to the heterogeneous-anomaly problem on the Space Surveillance Network. The cumulative effect of this literature is to establish that finite networks of sensing or communications assets are tractable through a combination of discrete-event simulation and statistical inference on the observed allocation record. The structural M/G/c specification proposed as a robustness check in the prospectus is the queueing-theoretic counterpart of this simulation tradition and can be calibrated, in principle, against simulation output where allocation data are sparse.</w:t>
      </w:r>
    </w:p>
    <w:p>
      <w:pPr>
        <w:pStyle w:val="BodyText"/>
        <w:spacing w:line="480" w:lineRule="auto"/>
        <w:ind w:firstLine="720"/>
      </w:pPr>
      <w:r>
        <w:t xml:space="preserve">The Pan-STARRS published-science-products subsystem documentation</w:t>
      </w:r>
      <w:r>
        <w:t xml:space="preserve"> </w:t>
      </w:r>
      <w:hyperlink w:anchor="ref-18">
        <w:r>
          <w:rPr>
            <w:rStyle w:val="Hyperlink"/>
          </w:rPr>
          <w:t xml:space="preserve">[18]</w:t>
        </w:r>
      </w:hyperlink>
      <w:r>
        <w:t xml:space="preserve"> </w:t>
      </w:r>
      <w:r>
        <w:t xml:space="preserve">illustrates a parallel orientation in survey astronomy, where the asset’s contribution is characterized through the cadence of archived data products. The methodological lesson for the present dissertation is that the science return of a finite-aperture asset is properly measured at the archive layer, that is, at the Planetary Data System for the DSN, rather than at the link layer, because the link layer measures gross bit-rate while the archive layer measures the realized scientific product after on-board compression, packet loss, and data-processing pipeline filtering.</w:t>
      </w:r>
    </w:p>
    <w:p>
      <w:pPr>
        <w:pStyle w:val="BodyText"/>
        <w:spacing w:line="480" w:lineRule="auto"/>
        <w:ind w:firstLine="720"/>
      </w:pPr>
      <w:r>
        <w:t xml:space="preserve">Each of these adjacent literatures contributes a methodological tool: from SD13</w:t>
      </w:r>
      <w:r>
        <w:t xml:space="preserve"> </w:t>
      </w:r>
      <w:hyperlink w:anchor="ref-5">
        <w:r>
          <w:rPr>
            <w:rStyle w:val="Hyperlink"/>
          </w:rPr>
          <w:t xml:space="preserve">[5]</w:t>
        </w:r>
      </w:hyperlink>
      <w:r>
        <w:t xml:space="preserve"> </w:t>
      </w:r>
      <w:r>
        <w:t xml:space="preserve">and Sturza et al. </w:t>
      </w:r>
      <w:hyperlink w:anchor="ref-17">
        <w:r>
          <w:rPr>
            <w:rStyle w:val="Hyperlink"/>
          </w:rPr>
          <w:t xml:space="preserve">[17]</w:t>
        </w:r>
      </w:hyperlink>
      <w:r>
        <w:t xml:space="preserve">, the empirical posture of treating shared-infrastructure capacity as an economic object; from Jefferson and Leek</w:t>
      </w:r>
      <w:r>
        <w:t xml:space="preserve"> </w:t>
      </w:r>
      <w:hyperlink w:anchor="ref-21">
        <w:r>
          <w:rPr>
            <w:rStyle w:val="Hyperlink"/>
          </w:rPr>
          <w:t xml:space="preserve">[21]</w:t>
        </w:r>
      </w:hyperlink>
      <w:r>
        <w:t xml:space="preserve"> </w:t>
      </w:r>
      <w:r>
        <w:t xml:space="preserve">and Tomita et al. </w:t>
      </w:r>
      <w:hyperlink w:anchor="ref-16">
        <w:r>
          <w:rPr>
            <w:rStyle w:val="Hyperlink"/>
          </w:rPr>
          <w:t xml:space="preserve">[16]</w:t>
        </w:r>
      </w:hyperlink>
      <w:r>
        <w:t xml:space="preserve">, the discrete-event and queueing-theoretic representation; from Pan-STARRS</w:t>
      </w:r>
      <w:r>
        <w:t xml:space="preserve"> </w:t>
      </w:r>
      <w:hyperlink w:anchor="ref-18">
        <w:r>
          <w:rPr>
            <w:rStyle w:val="Hyperlink"/>
          </w:rPr>
          <w:t xml:space="preserve">[18]</w:t>
        </w:r>
      </w:hyperlink>
      <w:r>
        <w:t xml:space="preserve">, the archive-layer measurement of realized science output. None of these adjacent literatures, however, applies these tools to the DSN itself, and none of them estimates a learning curve, a production frontier, or a congestion cost on the deep-space communications backbone. That joining of method to domain is the contribution of the present dissertation.</w:t>
      </w:r>
    </w:p>
    <w:bookmarkEnd w:id="71"/>
    <w:bookmarkStart w:id="72"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The methodology literature that the present dissertation applies to the DSN comprises three distinct strands: learning-curve estimation in the Wright’s-law tradition, production-frontier estimation, and queueing-theoretic models of capacity-constrained shared infrastructure. Each strand has a long history in its own domain and a well-developed estimator toolkit. Together they constitute the cliometric apparatus that the dissertation applies to the deep-space communications backbone.</w:t>
      </w:r>
    </w:p>
    <w:p>
      <w:pPr>
        <w:pStyle w:val="BodyText"/>
        <w:spacing w:line="480" w:lineRule="auto"/>
        <w:ind w:firstLine="720"/>
      </w:pPr>
      <w:r>
        <w:t xml:space="preserve">The Wright’s-law learning-curve strand originates with Wright</w:t>
      </w:r>
      <w:r>
        <w:t xml:space="preserve"> </w:t>
      </w:r>
      <w:hyperlink w:anchor="ref-8">
        <w:r>
          <w:rPr>
            <w:rStyle w:val="Hyperlink"/>
          </w:rPr>
          <w:t xml:space="preserve">[8]</w:t>
        </w:r>
      </w:hyperlink>
      <w:r>
        <w:t xml:space="preserve">, who established that unit cost in airframe production declines as a constant power of cumulative output. The estimator is a log-log specification fit by ordinary least squares to a panel of unit costs against cumulative production volume, with the negative of the fitted slope interpreted as the learning elasticity and the implied progress ratio computed as two raised to that elasticity. The estimator is robust, well-understood, and has been applied across a wide range of industries from semiconductors to wind turbines to solar photovoltaics. The application of Wright’s law to a rate variable rather than a cost variable, as in P2 of this dissertation, requires a sign-flip and a careful interpretation of the implied progress ratio, but the underlying estimator is unchanged.</w:t>
      </w:r>
    </w:p>
    <w:p>
      <w:pPr>
        <w:pStyle w:val="BodyText"/>
        <w:spacing w:line="480" w:lineRule="auto"/>
        <w:ind w:firstLine="720"/>
      </w:pPr>
      <w:r>
        <w:t xml:space="preserve">The relevance of Wright’s law to the deep-space channel is established through the DSN history literature. Renzetti</w:t>
      </w:r>
      <w:r>
        <w:t xml:space="preserve"> </w:t>
      </w:r>
      <w:hyperlink w:anchor="ref-9">
        <w:r>
          <w:rPr>
            <w:rStyle w:val="Hyperlink"/>
          </w:rPr>
          <w:t xml:space="preserve">[9]</w:t>
        </w:r>
      </w:hyperlink>
      <w:r>
        <w:t xml:space="preserve"> </w:t>
      </w:r>
      <w:r>
        <w:t xml:space="preserve">documents the DSN from its inception through January 1969 and provides the early-mission cumulative-experience series that anchors the learning-curve estimate. The DESCANSO monograph series, including Taylor’s Cassini-Huygens telecommunications monograph</w:t>
      </w:r>
      <w:r>
        <w:t xml:space="preserve"> </w:t>
      </w:r>
      <w:hyperlink w:anchor="ref-10">
        <w:r>
          <w:rPr>
            <w:rStyle w:val="Hyperlink"/>
          </w:rPr>
          <w:t xml:space="preserve">[10]</w:t>
        </w:r>
      </w:hyperlink>
      <w:r>
        <w:t xml:space="preserve"> </w:t>
      </w:r>
      <w:r>
        <w:t xml:space="preserve">and the MSL telecommunications monograph with its roadmap chapter</w:t>
      </w:r>
      <w:r>
        <w:t xml:space="preserve"> </w:t>
      </w:r>
      <w:hyperlink w:anchor="ref-11">
        <w:r>
          <w:rPr>
            <w:rStyle w:val="Hyperlink"/>
          </w:rPr>
          <w:t xml:space="preserve">[11]</w:t>
        </w:r>
      </w:hyperlink>
      <w:r>
        <w:t xml:space="preserve">, provides the per-mission rate observations against which the learning curve is fit. NASA SP-2005-4524</w:t>
      </w:r>
      <w:r>
        <w:t xml:space="preserve"> </w:t>
      </w:r>
      <w:hyperlink w:anchor="ref-12">
        <w:r>
          <w:rPr>
            <w:rStyle w:val="Hyperlink"/>
          </w:rPr>
          <w:t xml:space="preserve">[12]</w:t>
        </w:r>
      </w:hyperlink>
      <w:r>
        <w:t xml:space="preserve"> </w:t>
      </w:r>
      <w:r>
        <w:t xml:space="preserve">supplies the canonical chronology against which the cumulative-experience index is constructed. These five sources, [9, 10, 11, 12] together with the IPN Progress Report optical-communications projection of Cesarone et al. </w:t>
      </w:r>
      <w:hyperlink w:anchor="ref-13">
        <w:r>
          <w:rPr>
            <w:rStyle w:val="Hyperlink"/>
          </w:rPr>
          <w:t xml:space="preserve">[13]</w:t>
        </w:r>
      </w:hyperlink>
      <w:r>
        <w:t xml:space="preserve">, constitute the empirical scaffolding on which the cliometric learning-curve estimate of P2 is built.</w:t>
      </w:r>
    </w:p>
    <w:p>
      <w:pPr>
        <w:pStyle w:val="BodyText"/>
        <w:spacing w:line="480" w:lineRule="auto"/>
        <w:ind w:firstLine="720"/>
      </w:pPr>
      <w:r>
        <w:t xml:space="preserve">The production-frontier strand of the methodology literature is exemplified by the cross-mission OLS estimate developed in P1 of this dissertation. The single-equation log-log specification fits cumulative archived science data volume against peak downlink rate, slant range, antenna aperture, and operational years on station, with HC1 robust standard errors. The estimator is the standard reduced-form production-function estimator that has been applied across decades in agricultural, industrial, and service-sector contexts. The application to the deep-space science enterprise is novel and the cited inputs from the link literature, including Betriu and colleagues [1, 22] on relay topologies, Pascarella and colleagues</w:t>
      </w:r>
      <w:r>
        <w:t xml:space="preserve"> </w:t>
      </w:r>
      <w:hyperlink w:anchor="ref-4">
        <w:r>
          <w:rPr>
            <w:rStyle w:val="Hyperlink"/>
          </w:rPr>
          <w:t xml:space="preserve">[4]</w:t>
        </w:r>
      </w:hyperlink>
      <w:r>
        <w:t xml:space="preserve"> </w:t>
      </w:r>
      <w:r>
        <w:t xml:space="preserve">on data mules, the space-economy work in SD13</w:t>
      </w:r>
      <w:r>
        <w:t xml:space="preserve"> </w:t>
      </w:r>
      <w:hyperlink w:anchor="ref-5">
        <w:r>
          <w:rPr>
            <w:rStyle w:val="Hyperlink"/>
          </w:rPr>
          <w:t xml:space="preserve">[5]</w:t>
        </w:r>
      </w:hyperlink>
      <w:r>
        <w:t xml:space="preserve">, Rollock and Klaus</w:t>
      </w:r>
      <w:r>
        <w:t xml:space="preserve"> </w:t>
      </w:r>
      <w:hyperlink w:anchor="ref-6">
        <w:r>
          <w:rPr>
            <w:rStyle w:val="Hyperlink"/>
          </w:rPr>
          <w:t xml:space="preserve">[6]</w:t>
        </w:r>
      </w:hyperlink>
      <w:r>
        <w:t xml:space="preserve"> </w:t>
      </w:r>
      <w:r>
        <w:t xml:space="preserve">on emergent technologies, and Turan and colleagues</w:t>
      </w:r>
      <w:r>
        <w:t xml:space="preserve"> </w:t>
      </w:r>
      <w:hyperlink w:anchor="ref-7">
        <w:r>
          <w:rPr>
            <w:rStyle w:val="Hyperlink"/>
          </w:rPr>
          <w:t xml:space="preserve">[7]</w:t>
        </w:r>
      </w:hyperlink>
      <w:r>
        <w:t xml:space="preserve"> </w:t>
      </w:r>
      <w:r>
        <w:t xml:space="preserve">on autonomous navigation, provide the engineering covariates that the production-frontier specification controls for.</w:t>
      </w:r>
    </w:p>
    <w:p>
      <w:pPr>
        <w:pStyle w:val="BodyText"/>
        <w:spacing w:line="480" w:lineRule="auto"/>
        <w:ind w:firstLine="720"/>
      </w:pPr>
      <w:r>
        <w:t xml:space="preserve">The queueing-theoretic strand of the methodology literature provides the structural counterpart of the reduced-form production-frontier estimate. The DSN as a multi-server queue with admitted users and observed service times maps directly onto a structural M/G/c specification, in which the service-time distribution at each complex is calibrated to the empirical contact-time distribution and the admitted-mission count enters as the queue occupancy. The threshold model proposed in the prospectus, fit using the standard sup-Wald procedure, identifies a break in the load-throughput relationship and recovers the threshold load above which marginal congestion costs become positive. The methodological lineage of the threshold and structural-queue estimators is well-established outside the space domain. The Dhara and colleagues</w:t>
      </w:r>
      <w:r>
        <w:t xml:space="preserve"> </w:t>
      </w:r>
      <w:hyperlink w:anchor="ref-23">
        <w:r>
          <w:rPr>
            <w:rStyle w:val="Hyperlink"/>
          </w:rPr>
          <w:t xml:space="preserve">[23]</w:t>
        </w:r>
      </w:hyperlink>
      <w:r>
        <w:t xml:space="preserve"> </w:t>
      </w:r>
      <w:r>
        <w:t xml:space="preserve">CGR-BF contact-graph scheme provides the operational vocabulary, and the discrete-event simulation tradition of Jefferson and Leek</w:t>
      </w:r>
      <w:r>
        <w:t xml:space="preserve"> </w:t>
      </w:r>
      <w:hyperlink w:anchor="ref-21">
        <w:r>
          <w:rPr>
            <w:rStyle w:val="Hyperlink"/>
          </w:rPr>
          <w:t xml:space="preserve">[21]</w:t>
        </w:r>
      </w:hyperlink>
      <w:r>
        <w:t xml:space="preserve"> </w:t>
      </w:r>
      <w:r>
        <w:t xml:space="preserve">and the predictive-tasking work of Tomita and colleagues</w:t>
      </w:r>
      <w:r>
        <w:t xml:space="preserve"> </w:t>
      </w:r>
      <w:hyperlink w:anchor="ref-16">
        <w:r>
          <w:rPr>
            <w:rStyle w:val="Hyperlink"/>
          </w:rPr>
          <w:t xml:space="preserve">[16]</w:t>
        </w:r>
      </w:hyperlink>
      <w:r>
        <w:t xml:space="preserve"> </w:t>
      </w:r>
      <w:r>
        <w:t xml:space="preserve">provide the simulation counterpart against which the structural estimate can be benchmarked.</w:t>
      </w:r>
    </w:p>
    <w:p>
      <w:pPr>
        <w:pStyle w:val="BodyText"/>
        <w:spacing w:line="480" w:lineRule="auto"/>
        <w:ind w:firstLine="720"/>
      </w:pPr>
      <w:r>
        <w:t xml:space="preserve">A common feature of the cliometric methodology literature is that it is highly portable across domains. The Wright’s-law estimator does not care whether the unit being learned is an airframe, a transistor, or a deep-space link, and the production-frontier estimator does not care whether the output being produced is bushels of wheat, vehicle-miles of transportation service, or terabytes of archived science. The portability of these estimators is the source of the present dissertation’s contribution, and also the source of the gap that motivates it.</w:t>
      </w:r>
    </w:p>
    <w:bookmarkEnd w:id="72"/>
    <w:bookmarkStart w:id="73" w:name="synthesis-of-the-gap"/>
    <w:p>
      <w:pPr>
        <w:pStyle w:val="Heading2"/>
        <w:spacing w:line="480" w:lineRule="auto"/>
      </w:pPr>
      <w:r>
        <w:t xml:space="preserve">2.6 Synthesis of the Gap</w:t>
      </w:r>
    </w:p>
    <w:p>
      <w:pPr>
        <w:pStyle w:val="FirstParagraph"/>
        <w:spacing w:line="480" w:lineRule="auto"/>
      </w:pPr>
      <w:r>
        <w:t xml:space="preserve">The two literatures reviewed above are individually mature and mutually disjoint. The deep-space engineering literature, including the antenna and link-budget tradition [2, 3, 13, 22], the augmentation-architecture tradition [3, 4, 22], the autonomy and on-board-processing tradition [7, 24, 25, 27, 28, 29], and the operational delay-tolerant-networking tradition</w:t>
      </w:r>
      <w:r>
        <w:t xml:space="preserve"> </w:t>
      </w:r>
      <w:hyperlink w:anchor="ref-23">
        <w:r>
          <w:rPr>
            <w:rStyle w:val="Hyperlink"/>
          </w:rPr>
          <w:t xml:space="preserve">[23]</w:t>
        </w:r>
      </w:hyperlink>
      <w:r>
        <w:t xml:space="preserve">, characterizes the DSN as a physical artifact whose throughput is set by engineering parameters. It does not estimate the marginal congestion cost of an additional admitted mission on the historical record, and it does not provide a shadow price on antenna-hour scarcity against which proposed augmentations can be evaluated.</w:t>
      </w:r>
    </w:p>
    <w:p>
      <w:pPr>
        <w:pStyle w:val="BodyText"/>
        <w:spacing w:line="480" w:lineRule="auto"/>
        <w:ind w:firstLine="720"/>
      </w:pPr>
      <w:r>
        <w:t xml:space="preserve">The cliometric methodology literature, including the Wright’s-law learning-curve tradition</w:t>
      </w:r>
      <w:r>
        <w:t xml:space="preserve"> </w:t>
      </w:r>
      <w:hyperlink w:anchor="ref-8">
        <w:r>
          <w:rPr>
            <w:rStyle w:val="Hyperlink"/>
          </w:rPr>
          <w:t xml:space="preserve">[8]</w:t>
        </w:r>
      </w:hyperlink>
      <w:r>
        <w:t xml:space="preserve"> </w:t>
      </w:r>
      <w:r>
        <w:t xml:space="preserve">and its DSN-relevant scaffolding [9, 10, 11, 12, 13], the production-frontier tradition exemplified by the cross-mission OLS specification of P1, and the queueing-theoretic and threshold tradition that the prospectus extends, provides a portable estimator toolkit that has not yet been applied to the deep-space communications backbone. Adjacent applications in the LEO-constellation [5, 17], space-surveillance [16, 18, 19, 20, 21], and airborne-observatory</w:t>
      </w:r>
      <w:r>
        <w:t xml:space="preserve"> </w:t>
      </w:r>
      <w:hyperlink w:anchor="ref-15">
        <w:r>
          <w:rPr>
            <w:rStyle w:val="Hyperlink"/>
          </w:rPr>
          <w:t xml:space="preserve">[15]</w:t>
        </w:r>
      </w:hyperlink>
      <w:r>
        <w:t xml:space="preserve"> </w:t>
      </w:r>
      <w:r>
        <w:t xml:space="preserve">domains demonstrate that the toolkit is well-suited to finite-network capacity problems, but the application to the DSN itself has not appeared in the published record.</w:t>
      </w:r>
    </w:p>
    <w:p>
      <w:pPr>
        <w:pStyle w:val="BodyText"/>
        <w:spacing w:line="480" w:lineRule="auto"/>
        <w:ind w:firstLine="720"/>
      </w:pPr>
      <w:r>
        <w:t xml:space="preserve">The gap is therefore not the absence of either literature but the absence of their joining. The engineering literature does not provide the empirical baseline that the augmentation literature needs to justify its proposed architectures, and the cliometric methodology literature does not yet possess a DSN application that would render its tools relevant to the planetary-science policy community. The dissertation closes that gap by joining the two literatures in three steps. P1 estimates the cross-mission elasticity of cumulative archived science volume with respect to peak downlink rate, slant range, antenna aperture, and operational years on station, identifying the production-input weights at the cross-section. P2 estimates the Wright’s-law learning elasticity of peak downlink rate with respect to cumulative DSN-served experience, identifying the channel-side time trend against which any future congestion analysis must be normalized. The dissertation core, beginning in Chapter 3, extends these two cliometric building blocks into a panel specification at the mission-week level and into a structural M/G/c queueing specification calibrated to per-complex service-time distributions. The threshold model recovers the admitted-load break above which congestion becomes positive, and the reduced-form panel estimate recovers the marginal congestion cost in science bits per mission.</w:t>
      </w:r>
    </w:p>
    <w:p>
      <w:pPr>
        <w:pStyle w:val="BodyText"/>
        <w:spacing w:line="480" w:lineRule="auto"/>
        <w:ind w:firstLine="720"/>
      </w:pPr>
      <w:r>
        <w:t xml:space="preserve">The synthesis has a further methodological consequence that the remainder of the dissertation will develop. Because the learning elasticity estimated in P2 is large, the cliometric apparatus must distinguish between channel-side capability growth, which is exogenous to any single mission and which Wright’s law isolates, and load-side congestion effects, which are the object of the panel and threshold specifications. The cross-mission OLS of P1, the Wright’s-law estimate of P2, and the panel and structural specifications of the dissertation core are thus complementary rather than redundant, with each estimator identifying a distinct component of the science-throughput frontier.</w:t>
      </w:r>
    </w:p>
    <w:p>
      <w:pPr>
        <w:pStyle w:val="BodyText"/>
        <w:spacing w:line="480" w:lineRule="auto"/>
        <w:ind w:firstLine="720"/>
      </w:pPr>
      <w:r>
        <w:t xml:space="preserve">The chapter has reviewed the deep-space engineering literature in three layers, the augmentation literature in two architectures, the adjacent shared-infrastructure literatures in three domains, and the cliometric methodology literature in three strands. The synthesis identifies the gap that the dissertation closes: the absence of a cliometric application to the deep-space communications backbone. Chapter 3 develops the formal model and the identification strategy. Chapter 4 specifies the data and the panel construction. Chapter 5 reports the reduced-form panel estimates and the threshold-model results. Chapter 6 reports the structural M/G/c estimates and the augmentation-architecture counterfactuals against the relay [3, 22] and data-mule</w:t>
      </w:r>
      <w:r>
        <w:t xml:space="preserve"> </w:t>
      </w:r>
      <w:hyperlink w:anchor="ref-4">
        <w:r>
          <w:rPr>
            <w:rStyle w:val="Hyperlink"/>
          </w:rPr>
          <w:t xml:space="preserve">[4]</w:t>
        </w:r>
      </w:hyperlink>
      <w:r>
        <w:t xml:space="preserve"> </w:t>
      </w:r>
      <w:r>
        <w:t xml:space="preserve">proposals. Chapter 7 discusses policy implications for the decadal community and for the DSN augmentation program of record.</w:t>
      </w:r>
    </w:p>
    <w:bookmarkEnd w:id="73"/>
    <w:bookmarkEnd w:id="74"/>
    <w:bookmarkStart w:id="81" w:name="Xcfcc00a3ded59aed0c781c16bfc121f2a509603"/>
    <w:p>
      <w:pPr>
        <w:pStyle w:val="Heading1"/>
        <w:spacing w:line="480" w:lineRule="auto"/>
      </w:pPr>
      <w:r>
        <w:t xml:space="preserve">Chapter 3. Theoretical Framework and Hypotheses</w:t>
      </w:r>
    </w:p>
    <w:bookmarkStart w:id="75" w:name="orientation-1"/>
    <w:p>
      <w:pPr>
        <w:pStyle w:val="Heading2"/>
        <w:spacing w:line="480" w:lineRule="auto"/>
      </w:pPr>
      <w:r>
        <w:t xml:space="preserve">3.1 Orientation</w:t>
      </w:r>
    </w:p>
    <w:p>
      <w:pPr>
        <w:pStyle w:val="FirstParagraph"/>
        <w:spacing w:line="480" w:lineRule="auto"/>
      </w:pPr>
      <w:r>
        <w:t xml:space="preserve">This chapter develops the theoretical apparatus that organizes the empirical work in the dissertation. The aim is to specify, with the precision a falsifiable test requires, the mechanism by which contemporaneous admitted mission load on the NASA Deep Space Network (DSN) maps into the science bits each allocated antenna hour returns to the Planetary Data System. The treatment proceeds in four movements. Section 3.2 sets out the production object, defining science throughput per allocated antenna hour and locating it within a queueing-system representation of the DSN. Section 3.3 articulates the causal mechanism that links admitted load to that production object, distinguishing three channels through which an additional admitted mission imposes a marginal congestion cost on incumbents. Section 3.4 states the two formal hypotheses, H0 and H1, that organize the empirical chapters, and develops the auxiliary identification conditions under which a rejection of H0 is interpretable as evidence on the congestion mechanism rather than as an artifact of measurement or selection. Section 3.5 closes by relating the framework to two alternative theoretical accounts, a Wright’s-law learning account in which channel capacity scales endogenously with mission cadence and an engineering-ceiling account in which the link budget is the binding constraint, and explaining how each generates testable auxiliary predictions whose rejection would discriminate among accounts.</w:t>
      </w:r>
    </w:p>
    <w:p>
      <w:pPr>
        <w:pStyle w:val="BodyText"/>
        <w:spacing w:line="480" w:lineRule="auto"/>
        <w:ind w:firstLine="720"/>
      </w:pPr>
      <w:r>
        <w:t xml:space="preserve">The chapter is theoretical in the doctoral sense. It does not estimate parameters, it specifies the object that subsequent chapters will estimate. The estimation strategy, the data construction, and the threats to validity are developed in Chapters 4 and 5; here the burden is to commit to a mechanism precise enough that a panel regression and a structural M/G/c calibration can speak to it without ambiguity.</w:t>
      </w:r>
    </w:p>
    <w:bookmarkEnd w:id="75"/>
    <w:bookmarkStart w:id="76" w:name="Xb0e05db5b068971134958400b01e7116ce63d1d"/>
    <w:p>
      <w:pPr>
        <w:pStyle w:val="Heading2"/>
        <w:spacing w:line="480" w:lineRule="auto"/>
      </w:pPr>
      <w:r>
        <w:t xml:space="preserve">3.2 The Production Object: Science Throughput Per Allocated Antenna Hour</w:t>
      </w:r>
    </w:p>
    <w:p>
      <w:pPr>
        <w:pStyle w:val="FirstParagraph"/>
        <w:spacing w:line="480" w:lineRule="auto"/>
      </w:pPr>
      <w:r>
        <w:t xml:space="preserve">The unit of analysis throughout the empirical chapters is the mission-week. For mission i in calendar week t, let</w:t>
      </w:r>
      <w:r>
        <w:t xml:space="preserve"> </w:t>
      </w:r>
      <m:oMath>
        <m:sSub>
          <m:e>
            <m:r>
              <m:t>h</m:t>
            </m:r>
          </m:e>
          <m:sub>
            <m:r>
              <m:t>i</m:t>
            </m:r>
            <m:r>
              <m:t>t</m:t>
            </m:r>
          </m:sub>
        </m:sSub>
      </m:oMath>
      <w:r>
        <w:t xml:space="preserve"> </w:t>
      </w:r>
      <w:r>
        <w:t xml:space="preserve">denote the antenna hours allocated to mission i across the three DSN complexes at Goldstone, Madrid, and Canberra, let</w:t>
      </w:r>
      <w:r>
        <w:t xml:space="preserve"> </w:t>
      </w:r>
      <m:oMath>
        <m:sSub>
          <m:e>
            <m:r>
              <m:t>b</m:t>
            </m:r>
          </m:e>
          <m:sub>
            <m:r>
              <m:t>i</m:t>
            </m:r>
            <m:r>
              <m:t>t</m:t>
            </m:r>
          </m:sub>
        </m:sSub>
      </m:oMath>
      <w:r>
        <w:t xml:space="preserve"> </w:t>
      </w:r>
      <w:r>
        <w:t xml:space="preserve">denote the science bits returned to the Planetary Data System from mission i during week t, and define the per-hour science throughput as</w:t>
      </w:r>
    </w:p>
    <w:p>
      <w:pPr>
        <w:pStyle w:val="BodyText"/>
        <w:spacing w:line="480" w:lineRule="auto"/>
        <w:ind w:firstLine="720"/>
      </w:pPr>
      <m:oMathPara>
        <m:oMathParaPr>
          <m:jc m:val="center"/>
        </m:oMathParaPr>
        <m:oMath>
          <m:sSub>
            <m:e>
              <m:r>
                <m:t>y</m:t>
              </m:r>
            </m:e>
            <m:sub>
              <m:r>
                <m:t>i</m:t>
              </m:r>
              <m:r>
                <m:t>t</m:t>
              </m:r>
            </m:sub>
          </m:sSub>
          <m:r>
            <m:rPr>
              <m:sty m:val="p"/>
            </m:rPr>
            <m:t>=</m:t>
          </m:r>
          <m:sSub>
            <m:e>
              <m:r>
                <m:t>b</m:t>
              </m:r>
            </m:e>
            <m:sub>
              <m:r>
                <m:t>i</m:t>
              </m:r>
              <m:r>
                <m:t>t</m:t>
              </m:r>
            </m:sub>
          </m:sSub>
          <m:r>
            <m:rPr>
              <m:sty m:val="p"/>
            </m:rPr>
            <m:t>/</m:t>
          </m:r>
          <m:sSub>
            <m:e>
              <m:r>
                <m:t>h</m:t>
              </m:r>
            </m:e>
            <m:sub>
              <m:r>
                <m:t>i</m:t>
              </m:r>
              <m:r>
                <m:t>t</m:t>
              </m:r>
            </m:sub>
          </m:sSub>
          <m:r>
            <m:rPr>
              <m:sty m:val="p"/>
            </m:rPr>
            <m:t>.</m:t>
          </m:r>
        </m:oMath>
      </m:oMathPara>
    </w:p>
    <w:p>
      <w:pPr>
        <w:pStyle w:val="FirstParagraph"/>
        <w:spacing w:line="480" w:lineRule="auto"/>
      </w:pPr>
      <w:r>
        <w:t xml:space="preserve">The object</w:t>
      </w:r>
      <w:r>
        <w:t xml:space="preserve"> </w:t>
      </w:r>
      <m:oMath>
        <m:sSub>
          <m:e>
            <m:r>
              <m:t>y</m:t>
            </m:r>
          </m:e>
          <m:sub>
            <m:r>
              <m:t>i</m:t>
            </m:r>
            <m:r>
              <m:t>t</m:t>
            </m:r>
          </m:sub>
        </m:sSub>
      </m:oMath>
      <w:r>
        <w:t xml:space="preserve"> </w:t>
      </w:r>
      <w:r>
        <w:t xml:space="preserve">is the science-return productivity of an hour of DSN time delivered to mission i in week t. It is the dependent variable that Chapter 5 will regress on admitted mission load and the engineering controls, and the framework of this chapter is built to give that variable a defensible causal interpretation.</w:t>
      </w:r>
    </w:p>
    <w:p>
      <w:pPr>
        <w:pStyle w:val="BodyText"/>
        <w:spacing w:line="480" w:lineRule="auto"/>
        <w:ind w:firstLine="720"/>
      </w:pPr>
      <w:r>
        <w:t xml:space="preserve">Three properties of</w:t>
      </w:r>
      <w:r>
        <w:t xml:space="preserve"> </w:t>
      </w:r>
      <m:oMath>
        <m:sSub>
          <m:e>
            <m:r>
              <m:t>y</m:t>
            </m:r>
          </m:e>
          <m:sub>
            <m:r>
              <m:t>i</m:t>
            </m:r>
            <m:r>
              <m:t>t</m:t>
            </m:r>
          </m:sub>
        </m:sSub>
      </m:oMath>
      <w:r>
        <w:t xml:space="preserve"> </w:t>
      </w:r>
      <w:r>
        <w:t xml:space="preserve">deserve emphasis. First,</w:t>
      </w:r>
      <w:r>
        <w:t xml:space="preserve"> </w:t>
      </w:r>
      <m:oMath>
        <m:sSub>
          <m:e>
            <m:r>
              <m:t>y</m:t>
            </m:r>
          </m:e>
          <m:sub>
            <m:r>
              <m:t>i</m:t>
            </m:r>
            <m:r>
              <m:t>t</m:t>
            </m:r>
          </m:sub>
        </m:sSub>
      </m:oMath>
      <w:r>
        <w:t xml:space="preserve"> </w:t>
      </w:r>
      <w:r>
        <w:t xml:space="preserve">aggregates the science output of a contact window across the engineering states of the link. A high</w:t>
      </w:r>
      <w:r>
        <w:t xml:space="preserve"> </w:t>
      </w:r>
      <m:oMath>
        <m:sSub>
          <m:e>
            <m:r>
              <m:t>y</m:t>
            </m:r>
          </m:e>
          <m:sub>
            <m:r>
              <m:t>i</m:t>
            </m:r>
            <m:r>
              <m:t>t</m:t>
            </m:r>
          </m:sub>
        </m:sSub>
      </m:oMath>
      <w:r>
        <w:t xml:space="preserve"> </w:t>
      </w:r>
      <w:r>
        <w:t xml:space="preserve">can be obtained either by a long allocation that returns a moderate bit rate over many minutes, or by a short allocation that returns a high bit rate at apoapsis. The framework does not privilege one over the other; it treats the allocated hour as the input and the delivered bits as the output. Second,</w:t>
      </w:r>
      <w:r>
        <w:t xml:space="preserve"> </w:t>
      </w:r>
      <m:oMath>
        <m:sSub>
          <m:e>
            <m:r>
              <m:t>y</m:t>
            </m:r>
          </m:e>
          <m:sub>
            <m:r>
              <m:t>i</m:t>
            </m:r>
            <m:r>
              <m:t>t</m:t>
            </m:r>
          </m:sub>
        </m:sSub>
      </m:oMath>
      <w:r>
        <w:t xml:space="preserve"> </w:t>
      </w:r>
      <w:r>
        <w:t xml:space="preserve">is bounded above by the engineering ceiling that the link budget imposes for given slant range, scheduled link rate, and weather state. This ceiling is the object that the deep-space hardware literature characterizes at the antenna and link-budget level [2, 3]. The framework treats this engineering ceiling as a covariate to be controlled, not as the production object itself. Third,</w:t>
      </w:r>
      <w:r>
        <w:t xml:space="preserve"> </w:t>
      </w:r>
      <m:oMath>
        <m:sSub>
          <m:e>
            <m:r>
              <m:t>y</m:t>
            </m:r>
          </m:e>
          <m:sub>
            <m:r>
              <m:t>i</m:t>
            </m:r>
            <m:r>
              <m:t>t</m:t>
            </m:r>
          </m:sub>
        </m:sSub>
      </m:oMath>
      <w:r>
        <w:t xml:space="preserve"> </w:t>
      </w:r>
      <w:r>
        <w:t xml:space="preserve">is below that engineering ceiling whenever the actual contact is shortened, fragmented, or interrupted by network-side congestion. It is precisely the wedge between the engineering ceiling and the realized productivity that the dissertation seeks to attribute to admitted load, having stripped out the engineering covariates.</w:t>
      </w:r>
    </w:p>
    <w:p>
      <w:pPr>
        <w:pStyle w:val="BodyText"/>
        <w:spacing w:line="480" w:lineRule="auto"/>
        <w:ind w:firstLine="720"/>
      </w:pPr>
      <w:r>
        <w:t xml:space="preserve">The DSN itself is represented as a multi-server queueing system. The servers are the antenna apertures, partitioned by complex. The arrival process is the schedule of contact requests submitted by mission operations teams. The service process is the delivery of a contact window of negotiated duration, scheduled link rate, and modulation class. Across the historical record, the network has operated as a finitely-buffered, multi-class admission system whose admission rules are themselves an outcome of negotiation rather than a fixed mathematical policy. The dissertation does not attempt to recover the admission policy itself; it estimates the reduced-form effect of the realized admission outcome, summarized by contemporaneous admitted mission load, on</w:t>
      </w:r>
      <w:r>
        <w:t xml:space="preserve"> </w:t>
      </w:r>
      <m:oMath>
        <m:sSub>
          <m:e>
            <m:r>
              <m:t>y</m:t>
            </m:r>
          </m:e>
          <m:sub>
            <m:r>
              <m:t>i</m:t>
            </m:r>
            <m:r>
              <m:t>t</m:t>
            </m:r>
          </m:sub>
        </m:sSub>
      </m:oMath>
      <w:r>
        <w:t xml:space="preserve">. The structural M/G/c specification developed as a robustness exercise in Chapter 6 commits to a more parametric representation in which the service-time distribution is calibrated to the per-complex contact-window records, but the headline test in this chapter is reduced-form.</w:t>
      </w:r>
    </w:p>
    <w:p>
      <w:pPr>
        <w:pStyle w:val="BodyText"/>
        <w:spacing w:line="480" w:lineRule="auto"/>
        <w:ind w:firstLine="720"/>
      </w:pPr>
      <w:r>
        <w:t xml:space="preserve">The choice of mission-week as the unit of analysis is deliberate. Weekly aggregation smooths the batched nature of Planetary Data System deliveries, which lag the contact week by an interval that varies across missions, and absorbs the short-horizon stochastic variation in scheduled link rate that arises from spacecraft attitude maneuvers and brief weather events. The smoothing is consistent with the four-week window used in the robustness work in Chapter 6 and with the prospectus commitment to verify insensitivity to window choice.</w:t>
      </w:r>
    </w:p>
    <w:bookmarkEnd w:id="76"/>
    <w:bookmarkStart w:id="77" w:name="X646687d888a079a39e3100673521fcbc9645535"/>
    <w:p>
      <w:pPr>
        <w:pStyle w:val="Heading2"/>
        <w:spacing w:line="480" w:lineRule="auto"/>
      </w:pPr>
      <w:r>
        <w:t xml:space="preserve">3.3 The Causal Mechanism: How Admitted Load Compresses Per-Hour Throughput</w:t>
      </w:r>
    </w:p>
    <w:p>
      <w:pPr>
        <w:pStyle w:val="FirstParagraph"/>
        <w:spacing w:line="480" w:lineRule="auto"/>
      </w:pPr>
      <w:r>
        <w:t xml:space="preserve">The central theoretical claim of the dissertation is that, above some threshold</w:t>
      </w:r>
      <w:r>
        <w:t xml:space="preserve"> </w:t>
      </w:r>
      <m:oMath>
        <m:sSup>
          <m:e>
            <m:r>
              <m:t>L</m:t>
            </m:r>
          </m:e>
          <m:sup>
            <m:r>
              <m:rPr>
                <m:sty m:val="p"/>
              </m:rPr>
              <m:t>*</m:t>
            </m:r>
          </m:sup>
        </m:sSup>
      </m:oMath>
      <w:r>
        <w:t xml:space="preserve">, an increase in contemporaneous admitted mission load on the DSN reduces the average science throughput per allocated antenna hour, controlling for the engineering ceiling. The claim is precise but it does not, on its face, identify a mechanism. This section sets out three mechanisms through which an additional admitted mission can compress per-hour science return for incumbents, and explains why all three operate in the same direction and aggregate to a single reduced-form sign.</w:t>
      </w:r>
    </w:p>
    <w:p>
      <w:pPr>
        <w:pStyle w:val="BodyText"/>
        <w:spacing w:line="480" w:lineRule="auto"/>
        <w:ind w:firstLine="720"/>
      </w:pPr>
      <w:r>
        <w:t xml:space="preserve">The first mechanism is contact-window fragmentation. The DSN schedules contacts in discrete windows, and a window assigned to mission i has a fixed setup cost in pre-pass calibration, post-pass verification, and inter-pass slew. When admitted load rises, scheduling pressure shortens the average duration of windows allocated to mission i in order to fit competing requests onto the same antenna on the same day. The setup cost is a larger fraction of a short window than of a long window, so the realized bits delivered per allocated hour fall mechanically as the window shortens, even though the instantaneous link rate during the contact remains at its engineering ceiling. This mechanism is purely a scheduling phenomenon and does not require any degradation of the link itself. It is the most direct route from admitted load to compressed per-hour throughput, and it is the one that the panel specification of Chapter 5 is best positioned to detect.</w:t>
      </w:r>
    </w:p>
    <w:p>
      <w:pPr>
        <w:pStyle w:val="BodyText"/>
        <w:spacing w:line="480" w:lineRule="auto"/>
        <w:ind w:firstLine="720"/>
      </w:pPr>
      <w:r>
        <w:t xml:space="preserve">The second mechanism is conflict-driven displacement and demotion. The negotiated DSN scheduling process resolves conflicts among mission requests by demoting some requests to lower-priority slots, to suboptimal complexes given the spacecraft geometry, or to off-apoapsis windows where the slant range is unfavorable. A demoted contact returns fewer bits per allocated hour because it occurs at higher slant range, lower elevation, or against a backup antenna whose effective aperture is smaller. Slant range and scheduled link rate are observable in the dissertation data, so the framework treats the engineering portion of this displacement as absorbed by the covariates. The residual portion, which captures the welfare loss imposed by the demotion decision itself net of the observable engineering parameters, is what the admitted-load coefficient is meant to recover.</w:t>
      </w:r>
    </w:p>
    <w:p>
      <w:pPr>
        <w:pStyle w:val="BodyText"/>
        <w:spacing w:line="480" w:lineRule="auto"/>
        <w:ind w:firstLine="720"/>
      </w:pPr>
      <w:r>
        <w:t xml:space="preserve">The third mechanism is operational risk and pre-emption. When the network is heavily loaded, the marginal cost of any unscheduled event, an unplanned spacecraft anomaly elsewhere on the network, a weather outage at one complex, or a maintenance pre-emption, is higher because there is no slack to absorb the disruption. An incumbent mission whose window is pre-empted to handle an anomaly at a higher-priority mission loses the bits that the pre-empted window would have returned. The probability that any given contact window is pre-empted rises in admitted load, holding the rate of anomalies fixed, because the same anomaly displaces a larger number of competing windows in a denser schedule. This mechanism connects the framework to the broader literature on capacity-constrained shared infrastructures in the space economy</w:t>
      </w:r>
      <w:r>
        <w:t xml:space="preserve"> </w:t>
      </w:r>
      <w:hyperlink w:anchor="ref-5">
        <w:r>
          <w:rPr>
            <w:rStyle w:val="Hyperlink"/>
          </w:rPr>
          <w:t xml:space="preserve">[5]</w:t>
        </w:r>
      </w:hyperlink>
      <w:r>
        <w:t xml:space="preserve">, in which congestion externalities arise precisely because users cannot internalize the displacement risk they impose on incumbents.</w:t>
      </w:r>
    </w:p>
    <w:p>
      <w:pPr>
        <w:pStyle w:val="BodyText"/>
        <w:spacing w:line="480" w:lineRule="auto"/>
        <w:ind w:firstLine="720"/>
      </w:pPr>
      <w:r>
        <w:t xml:space="preserve">All three mechanisms predict the same sign. An additional admitted mission, above the threshold at which the network ceases to operate with slack, reduces the average science bits returned per allocated antenna hour to incumbents, after controlling for slant range, scheduled link rate, and weather-driven outage minutes. The dissertation does not separately identify the three mechanisms in the headline specification; it estimates the reduced-form aggregate effect and reports it as the marginal congestion cost. A decomposition is feasible in principle by exploiting the differential time signature of the three mechanisms, with fragmentation effects appearing instantaneously, displacement effects appearing on the next scheduling cycle, and pre-emption effects appearing as anomaly-conditional outliers, but the decomposition is reserved for the supplementary analysis in Chapter 6 rather than treated as part of the central test.</w:t>
      </w:r>
    </w:p>
    <w:p>
      <w:pPr>
        <w:pStyle w:val="BodyText"/>
        <w:spacing w:line="480" w:lineRule="auto"/>
        <w:ind w:firstLine="720"/>
      </w:pPr>
      <w:r>
        <w:t xml:space="preserve">The framework is silent on the welfare interpretation of the congestion cost. A marginal congestion cost of</w:t>
      </w:r>
      <w:r>
        <w:t xml:space="preserve"> </w:t>
      </w:r>
      <m:oMath>
        <m:acc>
          <m:accPr>
            <m:chr m:val="̂"/>
          </m:accPr>
          <m:e>
            <m:r>
              <m:t>β</m:t>
            </m:r>
          </m:e>
        </m:acc>
      </m:oMath>
      <w:r>
        <w:t xml:space="preserve"> </w:t>
      </w:r>
      <w:r>
        <w:t xml:space="preserve">science bits per allocated antenna hour per additional admitted mission is a positive statement about the production function of the DSN as currently operated. It does not, by itself, imply that the DSN is inefficiently scheduled, that admitted missions are inframarginal, or that an additional mission should not be admitted. The welfare interpretation requires comparing</w:t>
      </w:r>
      <w:r>
        <w:t xml:space="preserve"> </w:t>
      </w:r>
      <m:oMath>
        <m:acc>
          <m:accPr>
            <m:chr m:val="̂"/>
          </m:accPr>
          <m:e>
            <m:r>
              <m:t>β</m:t>
            </m:r>
          </m:e>
        </m:acc>
      </m:oMath>
      <w:r>
        <w:t xml:space="preserve"> </w:t>
      </w:r>
      <w:r>
        <w:t xml:space="preserve">to the marginal science value of the admitting mission’s own returns, and that comparison is developed in Chapter 7 in connection with the relay-augmented and data-mule architectures that have been proposed as responses to the constraint [3, 4].</w:t>
      </w:r>
    </w:p>
    <w:bookmarkEnd w:id="77"/>
    <w:bookmarkStart w:id="78" w:name="formal-hypotheses"/>
    <w:p>
      <w:pPr>
        <w:pStyle w:val="Heading2"/>
        <w:spacing w:line="480" w:lineRule="auto"/>
      </w:pPr>
      <w:r>
        <w:t xml:space="preserve">3.4 Formal Hypotheses</w:t>
      </w:r>
    </w:p>
    <w:p>
      <w:pPr>
        <w:pStyle w:val="FirstParagraph"/>
        <w:spacing w:line="480" w:lineRule="auto"/>
      </w:pPr>
      <w:r>
        <w:t xml:space="preserve">The framework above licenses two formal hypotheses, which organize the empirical chapter and which the panel specification will test directly.</w:t>
      </w:r>
    </w:p>
    <w:p>
      <w:pPr>
        <w:pStyle w:val="BodyText"/>
        <w:spacing w:line="480" w:lineRule="auto"/>
        <w:ind w:firstLine="720"/>
      </w:pPr>
      <w:r>
        <w:rPr>
          <w:b/>
          <w:bCs/>
        </w:rPr>
        <w:t xml:space="preserve">H0 (the null of no congestion).</w:t>
      </w:r>
      <w:r>
        <w:t xml:space="preserve"> </w:t>
      </w:r>
      <w:r>
        <w:t xml:space="preserve">Let</w:t>
      </w:r>
      <w:r>
        <w:t xml:space="preserve"> </w:t>
      </w:r>
      <m:oMath>
        <m:sSub>
          <m:e>
            <m:r>
              <m:t>L</m:t>
            </m:r>
          </m:e>
          <m:sub>
            <m:r>
              <m:t>t</m:t>
            </m:r>
          </m:sub>
        </m:sSub>
      </m:oMath>
      <w:r>
        <w:t xml:space="preserve"> </w:t>
      </w:r>
      <w:r>
        <w:t xml:space="preserve">denote the contemporaneous count of spacecraft holding active DSN service contracts in week t, and let</w:t>
      </w:r>
      <w:r>
        <w:t xml:space="preserve"> </w:t>
      </w:r>
      <m:oMath>
        <m:sSub>
          <m:e>
            <m:r>
              <m:t>X</m:t>
            </m:r>
          </m:e>
          <m:sub>
            <m:r>
              <m:t>i</m:t>
            </m:r>
            <m:r>
              <m:t>t</m:t>
            </m:r>
          </m:sub>
        </m:sSub>
      </m:oMath>
      <w:r>
        <w:t xml:space="preserve"> </w:t>
      </w:r>
      <w:r>
        <w:t xml:space="preserve">denote the vector of engineering covariates comprising spacecraft slant range, scheduled link rate, mission priority class, and weather outage minutes per complex per week. The null is</w:t>
      </w:r>
    </w:p>
    <w:p>
      <w:pPr>
        <w:pStyle w:val="BodyText"/>
        <w:spacing w:line="480" w:lineRule="auto"/>
        <w:ind w:firstLine="720"/>
      </w:pPr>
      <m:oMathPara>
        <m:oMathParaPr>
          <m:jc m:val="center"/>
        </m:oMathParaPr>
        <m:oMath>
          <m:r>
            <m:rPr>
              <m:sty m:val="p"/>
            </m:rPr>
            <m:t>∂</m:t>
          </m:r>
          <m:r>
            <m:t>E</m:t>
          </m:r>
          <m:r>
            <m:rPr>
              <m:sty m:val="p"/>
            </m:rPr>
            <m:t>[</m:t>
          </m:r>
          <m:sSub>
            <m:e>
              <m:r>
                <m:t>y</m:t>
              </m:r>
            </m:e>
            <m:sub>
              <m:r>
                <m:t>i</m:t>
              </m:r>
              <m:r>
                <m:t>t</m:t>
              </m:r>
            </m:sub>
          </m:sSub>
          <m:r>
            <m:rPr>
              <m:sty m:val="p"/>
            </m:rPr>
            <m:t>∣</m:t>
          </m:r>
          <m:sSub>
            <m:e>
              <m:r>
                <m:t>L</m:t>
              </m:r>
            </m:e>
            <m:sub>
              <m:r>
                <m:t>t</m:t>
              </m:r>
            </m:sub>
          </m:sSub>
          <m:r>
            <m:rPr>
              <m:sty m:val="p"/>
            </m:rPr>
            <m:t>,</m:t>
          </m:r>
          <m:sSub>
            <m:e>
              <m:r>
                <m:t>X</m:t>
              </m:r>
            </m:e>
            <m:sub>
              <m:r>
                <m:t>i</m:t>
              </m:r>
              <m:r>
                <m:t>t</m:t>
              </m:r>
            </m:sub>
          </m:sSub>
          <m:r>
            <m:rPr>
              <m:sty m:val="p"/>
            </m:rPr>
            <m:t>,</m:t>
          </m:r>
          <m:sSub>
            <m:e>
              <m:r>
                <m:t>α</m:t>
              </m:r>
            </m:e>
            <m:sub>
              <m:r>
                <m:t>i</m:t>
              </m:r>
            </m:sub>
          </m:sSub>
          <m:r>
            <m:rPr>
              <m:sty m:val="p"/>
            </m:rPr>
            <m:t>,</m:t>
          </m:r>
          <m:sSub>
            <m:e>
              <m:r>
                <m:t>γ</m:t>
              </m:r>
            </m:e>
            <m:sub>
              <m:r>
                <m:t>c</m:t>
              </m:r>
            </m:sub>
          </m:sSub>
          <m:r>
            <m:rPr>
              <m:sty m:val="p"/>
            </m:rPr>
            <m:t>]</m:t>
          </m:r>
          <m:r>
            <m:rPr>
              <m:sty m:val="p"/>
            </m:rPr>
            <m:t>/</m:t>
          </m:r>
          <m:r>
            <m:rPr>
              <m:sty m:val="p"/>
            </m:rPr>
            <m:t>∂</m:t>
          </m:r>
          <m:sSub>
            <m:e>
              <m:r>
                <m:t>L</m:t>
              </m:r>
            </m:e>
            <m:sub>
              <m:r>
                <m:t>t</m:t>
              </m:r>
            </m:sub>
          </m:sSub>
          <m:r>
            <m:rPr>
              <m:sty m:val="p"/>
            </m:rPr>
            <m:t>=</m:t>
          </m:r>
          <m:r>
            <m:t>0</m:t>
          </m:r>
          <m:r>
            <m:rPr>
              <m:sty m:val="p"/>
            </m:rPr>
            <m:t>,</m:t>
          </m:r>
        </m:oMath>
      </m:oMathPara>
    </w:p>
    <w:p>
      <w:pPr>
        <w:pStyle w:val="FirstParagraph"/>
        <w:spacing w:line="480" w:lineRule="auto"/>
      </w:pPr>
      <w:r>
        <w:t xml:space="preserve">where</w:t>
      </w:r>
      <w:r>
        <w:t xml:space="preserve"> </w:t>
      </w:r>
      <m:oMath>
        <m:sSub>
          <m:e>
            <m:r>
              <m:t>α</m:t>
            </m:r>
          </m:e>
          <m:sub>
            <m:r>
              <m:t>i</m:t>
            </m:r>
          </m:sub>
        </m:sSub>
      </m:oMath>
      <w:r>
        <w:t xml:space="preserve"> </w:t>
      </w:r>
      <w:r>
        <w:t xml:space="preserve">is a mission fixed effect and</w:t>
      </w:r>
      <w:r>
        <w:t xml:space="preserve"> </w:t>
      </w:r>
      <m:oMath>
        <m:sSub>
          <m:e>
            <m:r>
              <m:t>γ</m:t>
            </m:r>
          </m:e>
          <m:sub>
            <m:r>
              <m:t>c</m:t>
            </m:r>
          </m:sub>
        </m:sSub>
      </m:oMath>
      <w:r>
        <w:t xml:space="preserve"> </w:t>
      </w:r>
      <w:r>
        <w:t xml:space="preserve">is a complex fixed effect. Under H0, contemporaneous admitted load has no effect on per-hour science throughput once the engineering covariates and the fixed effects are partialled out. The DSN is, in this regime, scheduling-slack with respect to its admitted portfolio, and the negotiated allocation process delivers an allocation that is locally insensitive to the population of admitted users.</w:t>
      </w:r>
    </w:p>
    <w:p>
      <w:pPr>
        <w:pStyle w:val="BodyText"/>
        <w:spacing w:line="480" w:lineRule="auto"/>
        <w:ind w:firstLine="720"/>
      </w:pPr>
      <w:r>
        <w:rPr>
          <w:b/>
          <w:bCs/>
        </w:rPr>
        <w:t xml:space="preserve">H1 (the alternative of monotone congestion above a threshold).</w:t>
      </w:r>
      <w:r>
        <w:t xml:space="preserve"> </w:t>
      </w:r>
      <w:r>
        <w:t xml:space="preserve">The alternative is that there exists a threshold</w:t>
      </w:r>
      <w:r>
        <w:t xml:space="preserve"> </w:t>
      </w:r>
      <m:oMath>
        <m:sSup>
          <m:e>
            <m:r>
              <m:t>L</m:t>
            </m:r>
          </m:e>
          <m:sup>
            <m:r>
              <m:rPr>
                <m:sty m:val="p"/>
              </m:rPr>
              <m:t>*</m:t>
            </m:r>
          </m:sup>
        </m:sSup>
        <m:r>
          <m:rPr>
            <m:sty m:val="p"/>
          </m:rPr>
          <m:t>&gt;</m:t>
        </m:r>
        <m:r>
          <m:t>0</m:t>
        </m:r>
      </m:oMath>
      <w:r>
        <w:t xml:space="preserve"> </w:t>
      </w:r>
      <w:r>
        <w:t xml:space="preserve">such that</w:t>
      </w:r>
    </w:p>
    <w:p>
      <w:pPr>
        <w:pStyle w:val="BodyText"/>
        <w:spacing w:line="480" w:lineRule="auto"/>
        <w:ind w:firstLine="720"/>
      </w:pPr>
      <m:oMathPara>
        <m:oMathParaPr>
          <m:jc m:val="center"/>
        </m:oMathParaPr>
        <m:oMath>
          <m:r>
            <m:rPr>
              <m:sty m:val="p"/>
            </m:rPr>
            <m:t>∂</m:t>
          </m:r>
          <m:r>
            <m:t>E</m:t>
          </m:r>
          <m:r>
            <m:rPr>
              <m:sty m:val="p"/>
            </m:rPr>
            <m:t>[</m:t>
          </m:r>
          <m:sSub>
            <m:e>
              <m:r>
                <m:t>y</m:t>
              </m:r>
            </m:e>
            <m:sub>
              <m:r>
                <m:t>i</m:t>
              </m:r>
              <m:r>
                <m:t>t</m:t>
              </m:r>
            </m:sub>
          </m:sSub>
          <m:r>
            <m:rPr>
              <m:sty m:val="p"/>
            </m:rPr>
            <m:t>∣</m:t>
          </m:r>
          <m:sSub>
            <m:e>
              <m:r>
                <m:t>L</m:t>
              </m:r>
            </m:e>
            <m:sub>
              <m:r>
                <m:t>t</m:t>
              </m:r>
            </m:sub>
          </m:sSub>
          <m:r>
            <m:rPr>
              <m:sty m:val="p"/>
            </m:rPr>
            <m:t>,</m:t>
          </m:r>
          <m:sSub>
            <m:e>
              <m:r>
                <m:t>X</m:t>
              </m:r>
            </m:e>
            <m:sub>
              <m:r>
                <m:t>i</m:t>
              </m:r>
              <m:r>
                <m:t>t</m:t>
              </m:r>
            </m:sub>
          </m:sSub>
          <m:r>
            <m:rPr>
              <m:sty m:val="p"/>
            </m:rPr>
            <m:t>,</m:t>
          </m:r>
          <m:sSub>
            <m:e>
              <m:r>
                <m:t>α</m:t>
              </m:r>
            </m:e>
            <m:sub>
              <m:r>
                <m:t>i</m:t>
              </m:r>
            </m:sub>
          </m:sSub>
          <m:r>
            <m:rPr>
              <m:sty m:val="p"/>
            </m:rPr>
            <m:t>,</m:t>
          </m:r>
          <m:sSub>
            <m:e>
              <m:r>
                <m:t>γ</m:t>
              </m:r>
            </m:e>
            <m:sub>
              <m:r>
                <m:t>c</m:t>
              </m:r>
            </m:sub>
          </m:sSub>
          <m:r>
            <m:rPr>
              <m:sty m:val="p"/>
            </m:rPr>
            <m:t>]</m:t>
          </m:r>
          <m:r>
            <m:rPr>
              <m:sty m:val="p"/>
            </m:rPr>
            <m:t>/</m:t>
          </m:r>
          <m:r>
            <m:rPr>
              <m:sty m:val="p"/>
            </m:rPr>
            <m:t>∂</m:t>
          </m:r>
          <m:sSub>
            <m:e>
              <m:r>
                <m:t>L</m:t>
              </m:r>
            </m:e>
            <m:sub>
              <m:r>
                <m:t>t</m:t>
              </m:r>
            </m:sub>
          </m:sSub>
          <m:r>
            <m:rPr>
              <m:sty m:val="p"/>
            </m:rPr>
            <m:t>&lt;</m:t>
          </m:r>
          <m:r>
            <m:t>0</m:t>
          </m:r>
          <m:r>
            <m:rPr>
              <m:nor/>
              <m:sty m:val="p"/>
            </m:rPr>
            <m:t> for </m:t>
          </m:r>
          <m:sSub>
            <m:e>
              <m:r>
                <m:t>L</m:t>
              </m:r>
            </m:e>
            <m:sub>
              <m:r>
                <m:t>t</m:t>
              </m:r>
            </m:sub>
          </m:sSub>
          <m:r>
            <m:rPr>
              <m:sty m:val="p"/>
            </m:rPr>
            <m:t>&gt;</m:t>
          </m:r>
          <m:sSup>
            <m:e>
              <m:r>
                <m:t>L</m:t>
              </m:r>
            </m:e>
            <m:sup>
              <m:r>
                <m:rPr>
                  <m:sty m:val="p"/>
                </m:rPr>
                <m:t>*</m:t>
              </m:r>
            </m:sup>
          </m:sSup>
          <m:r>
            <m:rPr>
              <m:sty m:val="p"/>
            </m:rPr>
            <m:t>,</m:t>
          </m:r>
        </m:oMath>
      </m:oMathPara>
    </w:p>
    <w:p>
      <w:pPr>
        <w:pStyle w:val="FirstParagraph"/>
        <w:spacing w:line="480" w:lineRule="auto"/>
      </w:pPr>
      <w:r>
        <w:t xml:space="preserve">with a semi-elasticity</w:t>
      </w:r>
      <w:r>
        <w:t xml:space="preserve"> </w:t>
      </w:r>
      <m:oMath>
        <m:r>
          <m:t>β</m:t>
        </m:r>
        <m:r>
          <m:rPr>
            <m:sty m:val="p"/>
          </m:rPr>
          <m:t>&lt;</m:t>
        </m:r>
        <m:r>
          <m:t>0</m:t>
        </m:r>
      </m:oMath>
      <w:r>
        <w:t xml:space="preserve"> </w:t>
      </w:r>
      <w:r>
        <w:t xml:space="preserve">that is statistically distinguishable from zero at the conventional five-percent level under HC1 robust inference. Under H1, the DSN operates as a capacity-constrained queue above</w:t>
      </w:r>
      <w:r>
        <w:t xml:space="preserve"> </w:t>
      </w:r>
      <m:oMath>
        <m:sSup>
          <m:e>
            <m:r>
              <m:t>L</m:t>
            </m:r>
          </m:e>
          <m:sup>
            <m:r>
              <m:rPr>
                <m:sty m:val="p"/>
              </m:rPr>
              <m:t>*</m:t>
            </m:r>
          </m:sup>
        </m:sSup>
      </m:oMath>
      <w:r>
        <w:t xml:space="preserve">, the marginal admitted mission imposes a congestion cost of</w:t>
      </w:r>
      <w:r>
        <w:t xml:space="preserve"> </w:t>
      </w:r>
      <m:oMath>
        <m:r>
          <m:rPr>
            <m:sty m:val="p"/>
          </m:rPr>
          <m:t>|</m:t>
        </m:r>
        <m:r>
          <m:t>β</m:t>
        </m:r>
        <m:r>
          <m:rPr>
            <m:sty m:val="p"/>
          </m:rPr>
          <m:t>|</m:t>
        </m:r>
      </m:oMath>
      <w:r>
        <w:t xml:space="preserve"> </w:t>
      </w:r>
      <w:r>
        <w:t xml:space="preserve">science bits per allocated antenna hour on incumbents, and the threshold</w:t>
      </w:r>
      <w:r>
        <w:t xml:space="preserve"> </w:t>
      </w:r>
      <m:oMath>
        <m:sSup>
          <m:e>
            <m:acc>
              <m:accPr>
                <m:chr m:val="̂"/>
              </m:accPr>
              <m:e>
                <m:r>
                  <m:t>L</m:t>
                </m:r>
              </m:e>
            </m:acc>
          </m:e>
          <m:sup>
            <m:r>
              <m:rPr>
                <m:sty m:val="p"/>
              </m:rPr>
              <m:t>*</m:t>
            </m:r>
          </m:sup>
        </m:sSup>
      </m:oMath>
      <w:r>
        <w:t xml:space="preserve"> </w:t>
      </w:r>
      <w:r>
        <w:t xml:space="preserve">is the empirical analogue of the carrying-capacity envelope referenced in the prospectus.</w:t>
      </w:r>
    </w:p>
    <w:p>
      <w:pPr>
        <w:pStyle w:val="BodyText"/>
        <w:spacing w:line="480" w:lineRule="auto"/>
        <w:ind w:firstLine="720"/>
      </w:pPr>
      <w:r>
        <w:t xml:space="preserve">Two features of H1 are load-bearing. The first is the monotone-above-threshold structure. The framework does not predict that admitted load reduces per-hour throughput at every margin. Below</w:t>
      </w:r>
      <w:r>
        <w:t xml:space="preserve"> </w:t>
      </w:r>
      <m:oMath>
        <m:sSup>
          <m:e>
            <m:r>
              <m:t>L</m:t>
            </m:r>
          </m:e>
          <m:sup>
            <m:r>
              <m:rPr>
                <m:sty m:val="p"/>
              </m:rPr>
              <m:t>*</m:t>
            </m:r>
          </m:sup>
        </m:sSup>
      </m:oMath>
      <w:r>
        <w:t xml:space="preserve"> </w:t>
      </w:r>
      <w:r>
        <w:t xml:space="preserve">the network has slack, the scheduling negotiation can satisfy all incumbent requests at their preferred windows, and an additional admitted mission imposes no detectable cost. Above</w:t>
      </w:r>
      <w:r>
        <w:t xml:space="preserve"> </w:t>
      </w:r>
      <m:oMath>
        <m:sSup>
          <m:e>
            <m:r>
              <m:t>L</m:t>
            </m:r>
          </m:e>
          <m:sup>
            <m:r>
              <m:rPr>
                <m:sty m:val="p"/>
              </m:rPr>
              <m:t>*</m:t>
            </m:r>
          </m:sup>
        </m:sSup>
      </m:oMath>
      <w:r>
        <w:t xml:space="preserve"> </w:t>
      </w:r>
      <w:r>
        <w:t xml:space="preserve">the slack is exhausted and each mechanism described in Section 3.3 begins to bind. The empirical test therefore takes the form of a threshold regression in</w:t>
      </w:r>
      <w:r>
        <w:t xml:space="preserve"> </w:t>
      </w:r>
      <m:oMath>
        <m:sSub>
          <m:e>
            <m:r>
              <m:t>L</m:t>
            </m:r>
          </m:e>
          <m:sub>
            <m:r>
              <m:t>t</m:t>
            </m:r>
          </m:sub>
        </m:sSub>
      </m:oMath>
      <w:r>
        <w:t xml:space="preserve">, with the threshold</w:t>
      </w:r>
      <w:r>
        <w:t xml:space="preserve"> </w:t>
      </w:r>
      <m:oMath>
        <m:sSup>
          <m:e>
            <m:r>
              <m:t>L</m:t>
            </m:r>
          </m:e>
          <m:sup>
            <m:r>
              <m:rPr>
                <m:sty m:val="p"/>
              </m:rPr>
              <m:t>*</m:t>
            </m:r>
          </m:sup>
        </m:sSup>
      </m:oMath>
      <w:r>
        <w:t xml:space="preserve"> </w:t>
      </w:r>
      <w:r>
        <w:t xml:space="preserve">estimated jointly with</w:t>
      </w:r>
      <w:r>
        <w:t xml:space="preserve"> </w:t>
      </w:r>
      <m:oMath>
        <m:r>
          <m:t>β</m:t>
        </m:r>
      </m:oMath>
      <w:r>
        <w:t xml:space="preserve"> </w:t>
      </w:r>
      <w:r>
        <w:t xml:space="preserve">and with the threshold null tested via the standard sup-Wald procedure. The framework would be falsified by either a zero</w:t>
      </w:r>
      <w:r>
        <w:t xml:space="preserve"> </w:t>
      </w:r>
      <m:oMath>
        <m:r>
          <m:t>β</m:t>
        </m:r>
      </m:oMath>
      <w:r>
        <w:t xml:space="preserve"> </w:t>
      </w:r>
      <w:r>
        <w:t xml:space="preserve">everywhere, which is the H0 outcome, or by a non-monotone or positive</w:t>
      </w:r>
      <w:r>
        <w:t xml:space="preserve"> </w:t>
      </w:r>
      <m:oMath>
        <m:r>
          <m:t>β</m:t>
        </m:r>
      </m:oMath>
      <w:r>
        <w:t xml:space="preserve"> </w:t>
      </w:r>
      <w:r>
        <w:t xml:space="preserve">above the estimated threshold, which would indicate that the underlying mechanism is not the one this chapter has specified.</w:t>
      </w:r>
    </w:p>
    <w:p>
      <w:pPr>
        <w:pStyle w:val="BodyText"/>
        <w:spacing w:line="480" w:lineRule="auto"/>
        <w:ind w:firstLine="720"/>
      </w:pPr>
      <w:r>
        <w:t xml:space="preserve">The second is the requirement that</w:t>
      </w:r>
      <w:r>
        <w:t xml:space="preserve"> </w:t>
      </w:r>
      <m:oMath>
        <m:r>
          <m:t>β</m:t>
        </m:r>
      </m:oMath>
      <w:r>
        <w:t xml:space="preserve"> </w:t>
      </w:r>
      <w:r>
        <w:t xml:space="preserve">be identified after the engineering covariates and fixed effects are partialled out. The within-mission variation in admitted load that drives identification arises from the timing of mission entries and exits on the network, which is set by orbit-insertion dates negotiated years in advance and by end-of-mission decisions made on instrument-health rather than congestion grounds. Mission fixed effects absorb time-invariant heterogeneity in instrument suite and onboard data system; complex fixed effects absorb time-invariant heterogeneity in the ground hardware available at Goldstone, Madrid, and Canberra. Conditional on these and on the engineering covariates, the residual variation in</w:t>
      </w:r>
      <w:r>
        <w:t xml:space="preserve"> </w:t>
      </w:r>
      <m:oMath>
        <m:sSub>
          <m:e>
            <m:r>
              <m:t>L</m:t>
            </m:r>
          </m:e>
          <m:sub>
            <m:r>
              <m:t>t</m:t>
            </m:r>
          </m:sub>
        </m:sSub>
      </m:oMath>
      <w:r>
        <w:t xml:space="preserve"> </w:t>
      </w:r>
      <w:r>
        <w:t xml:space="preserve">identifies</w:t>
      </w:r>
      <w:r>
        <w:t xml:space="preserve"> </w:t>
      </w:r>
      <m:oMath>
        <m:r>
          <m:t>β</m:t>
        </m:r>
      </m:oMath>
      <w:r>
        <w:t xml:space="preserve"> </w:t>
      </w:r>
      <w:r>
        <w:t xml:space="preserve">under the standard parallel-trends assumption.</w:t>
      </w:r>
    </w:p>
    <w:p>
      <w:pPr>
        <w:pStyle w:val="BodyText"/>
        <w:spacing w:line="480" w:lineRule="auto"/>
        <w:ind w:firstLine="720"/>
      </w:pPr>
      <w:r>
        <w:t xml:space="preserve">Three auxiliary conditions sharpen the interpretation of a rejection of H0 in favor of H1. First, the threshold</w:t>
      </w:r>
      <w:r>
        <w:t xml:space="preserve"> </w:t>
      </w:r>
      <m:oMath>
        <m:sSup>
          <m:e>
            <m:r>
              <m:t>L</m:t>
            </m:r>
          </m:e>
          <m:sup>
            <m:r>
              <m:rPr>
                <m:sty m:val="p"/>
              </m:rPr>
              <m:t>*</m:t>
            </m:r>
          </m:sup>
        </m:sSup>
      </m:oMath>
      <w:r>
        <w:t xml:space="preserve"> </w:t>
      </w:r>
      <w:r>
        <w:t xml:space="preserve">should be economically sensible. A threshold close to zero would imply that the network has been congested since the beginning of the sample, which is inconsistent with the historical record of frequent unfilled tracking requests in the early operational decades described in the DSN history literature [9, 12]. A threshold above the maximum admitted load observed in the sample would imply that congestion is not yet binding, which is inconsistent with the qualitative consensus among mission operators and with the proliferation of relay and data-mule architectures that have been advanced specifically to relax the constraint [3, 4]. The estimated</w:t>
      </w:r>
      <w:r>
        <w:t xml:space="preserve"> </w:t>
      </w:r>
      <m:oMath>
        <m:sSup>
          <m:e>
            <m:acc>
              <m:accPr>
                <m:chr m:val="̂"/>
              </m:accPr>
              <m:e>
                <m:r>
                  <m:t>L</m:t>
                </m:r>
              </m:e>
            </m:acc>
          </m:e>
          <m:sup>
            <m:r>
              <m:rPr>
                <m:sty m:val="p"/>
              </m:rPr>
              <m:t>*</m:t>
            </m:r>
          </m:sup>
        </m:sSup>
      </m:oMath>
      <w:r>
        <w:t xml:space="preserve"> </w:t>
      </w:r>
      <w:r>
        <w:t xml:space="preserve">should fall inside the support of</w:t>
      </w:r>
      <w:r>
        <w:t xml:space="preserve"> </w:t>
      </w:r>
      <m:oMath>
        <m:sSub>
          <m:e>
            <m:r>
              <m:t>L</m:t>
            </m:r>
          </m:e>
          <m:sub>
            <m:r>
              <m:t>t</m:t>
            </m:r>
          </m:sub>
        </m:sSub>
      </m:oMath>
      <w:r>
        <w:t xml:space="preserve"> </w:t>
      </w:r>
      <w:r>
        <w:t xml:space="preserve">and should plausibly correspond to a regime change identifiable in the operational record. Second, the magnitude of</w:t>
      </w:r>
      <w:r>
        <w:t xml:space="preserve"> </w:t>
      </w:r>
      <m:oMath>
        <m:r>
          <m:t>β</m:t>
        </m:r>
      </m:oMath>
      <w:r>
        <w:t xml:space="preserve"> </w:t>
      </w:r>
      <w:r>
        <w:t xml:space="preserve">should be commensurate with the cross-mission elasticity estimated in the candidate’s first research paper. That paper estimates a downlink-rate elasticity of cumulative archived science volume of 0.88 in a cross-section of thirty-six missions, identifying the downlink channel as a binding production input at the mission-lifetime level. A panel congestion semi-elasticity of consistent sign and order of magnitude, expressed in weekly bits-per-hour terms, would corroborate the cross-section result. Third, the structural M/G/c specification calibrated to per-complex service-time distributions in Chapter 6 should generate a predicted bits-per-hour profile in</w:t>
      </w:r>
      <w:r>
        <w:t xml:space="preserve"> </w:t>
      </w:r>
      <m:oMath>
        <m:sSub>
          <m:e>
            <m:r>
              <m:t>L</m:t>
            </m:r>
          </m:e>
          <m:sub>
            <m:r>
              <m:t>t</m:t>
            </m:r>
          </m:sub>
        </m:sSub>
      </m:oMath>
      <w:r>
        <w:t xml:space="preserve"> </w:t>
      </w:r>
      <w:r>
        <w:t xml:space="preserve">whose slope, evaluated at the estimated</w:t>
      </w:r>
      <w:r>
        <w:t xml:space="preserve"> </w:t>
      </w:r>
      <m:oMath>
        <m:sSup>
          <m:e>
            <m:acc>
              <m:accPr>
                <m:chr m:val="̂"/>
              </m:accPr>
              <m:e>
                <m:r>
                  <m:t>L</m:t>
                </m:r>
              </m:e>
            </m:acc>
          </m:e>
          <m:sup>
            <m:r>
              <m:rPr>
                <m:sty m:val="p"/>
              </m:rPr>
              <m:t>*</m:t>
            </m:r>
          </m:sup>
        </m:sSup>
      </m:oMath>
      <w:r>
        <w:t xml:space="preserve">, falls within the confidence interval of the reduced-form</w:t>
      </w:r>
      <w:r>
        <w:t xml:space="preserve"> </w:t>
      </w:r>
      <m:oMath>
        <m:acc>
          <m:accPr>
            <m:chr m:val="̂"/>
          </m:accPr>
          <m:e>
            <m:r>
              <m:t>β</m:t>
            </m:r>
          </m:e>
        </m:acc>
      </m:oMath>
      <w:r>
        <w:t xml:space="preserve">. Agreement between the reduced-form and structural estimates is not necessary for the test of H0 against H1, but it is sufficient to defend the congestion interpretation against the alternative theoretical accounts considered next.</w:t>
      </w:r>
    </w:p>
    <w:bookmarkEnd w:id="78"/>
    <w:bookmarkStart w:id="79" w:name="X54f1b864125a668335bbf60830ac0588103dead"/>
    <w:p>
      <w:pPr>
        <w:pStyle w:val="Heading2"/>
        <w:spacing w:line="480" w:lineRule="auto"/>
      </w:pPr>
      <w:r>
        <w:t xml:space="preserve">3.5 Relation to Alternative Theoretical Accounts</w:t>
      </w:r>
    </w:p>
    <w:p>
      <w:pPr>
        <w:pStyle w:val="FirstParagraph"/>
        <w:spacing w:line="480" w:lineRule="auto"/>
      </w:pPr>
      <w:r>
        <w:t xml:space="preserve">The framework set out above is one of two coherent theoretical accounts of the relation between admitted mission load and per-hour science return, and it is worth being explicit about how the proposed test discriminates between the two.</w:t>
      </w:r>
    </w:p>
    <w:p>
      <w:pPr>
        <w:pStyle w:val="BodyText"/>
        <w:spacing w:line="480" w:lineRule="auto"/>
        <w:ind w:firstLine="720"/>
      </w:pPr>
      <w:r>
        <w:t xml:space="preserve">The first alternative account is the Wright’s-law learning account. In that account, channel capacity is not a fixed engineering ceiling but a slowly rising function of cumulative DSN-served mission experience, with each new mission contributing margin gains through higher-gain spacecraft antennas, more sensitive ground receivers, improved coding, and band migration. The candidate’s second research paper estimates a Wright’s-law slope of 2.225 in peak telemetry downlink rate against cumulative DSN-served missions, rejecting the no-learning null and implying a progress ratio of roughly 4.7 per doubling of cumulative experience. Under the learning account, an additional admitted mission contributes to capacity rather than detracting from it, and per-hour science return for incumbents should weakly rise rather than fall as the network grows. The learning account and the congestion account are not mutually exclusive: the learning effect operates at the mission-launch frequency, on the order of years, while the congestion effect operates at the weekly scheduling frequency. The empirical specification distinguishes them by including mission-week fixed effects and by exploiting within-week variation in</w:t>
      </w:r>
      <w:r>
        <w:t xml:space="preserve"> </w:t>
      </w:r>
      <m:oMath>
        <m:sSub>
          <m:e>
            <m:r>
              <m:t>L</m:t>
            </m:r>
          </m:e>
          <m:sub>
            <m:r>
              <m:t>t</m:t>
            </m:r>
          </m:sub>
        </m:sSub>
      </m:oMath>
      <w:r>
        <w:t xml:space="preserve">. A rejection of H0 in the panel specification is evidence for the congestion mechanism at the weekly frequency conditional on whatever long-horizon learning is absorbed by the time fixed effects. A failure to reject H0, conjoined with the strong learning estimate already in hand, would be consistent with a regime in which the channel-side capability gains documented in Chapter 4 have been large enough to absorb the admitted-load increase observed in the sample without compressing per-hour throughput.</w:t>
      </w:r>
    </w:p>
    <w:p>
      <w:pPr>
        <w:pStyle w:val="BodyText"/>
        <w:spacing w:line="480" w:lineRule="auto"/>
        <w:ind w:firstLine="720"/>
      </w:pPr>
      <w:r>
        <w:t xml:space="preserve">The second alternative account is the engineering-ceiling account. In that account, per-hour science return is determined entirely by slant range, scheduled link rate, antenna aperture, and weather, and any apparent correlation between admitted load and</w:t>
      </w:r>
      <w:r>
        <w:t xml:space="preserve"> </w:t>
      </w:r>
      <m:oMath>
        <m:sSub>
          <m:e>
            <m:r>
              <m:t>y</m:t>
            </m:r>
          </m:e>
          <m:sub>
            <m:r>
              <m:t>i</m:t>
            </m:r>
            <m:r>
              <m:t>t</m:t>
            </m:r>
          </m:sub>
        </m:sSub>
      </m:oMath>
      <w:r>
        <w:t xml:space="preserve"> </w:t>
      </w:r>
      <w:r>
        <w:t xml:space="preserve">is an omitted-variable artifact. The deep-space hardware literature on titanium reflector design</w:t>
      </w:r>
      <w:r>
        <w:t xml:space="preserve"> </w:t>
      </w:r>
      <w:hyperlink w:anchor="ref-2">
        <w:r>
          <w:rPr>
            <w:rStyle w:val="Hyperlink"/>
          </w:rPr>
          <w:t xml:space="preserve">[2]</w:t>
        </w:r>
      </w:hyperlink>
      <w:r>
        <w:t xml:space="preserve"> </w:t>
      </w:r>
      <w:r>
        <w:t xml:space="preserve">and on ground-segment aperture configuration</w:t>
      </w:r>
      <w:r>
        <w:t xml:space="preserve"> </w:t>
      </w:r>
      <w:hyperlink w:anchor="ref-1">
        <w:r>
          <w:rPr>
            <w:rStyle w:val="Hyperlink"/>
          </w:rPr>
          <w:t xml:space="preserve">[1]</w:t>
        </w:r>
      </w:hyperlink>
      <w:r>
        <w:t xml:space="preserve"> </w:t>
      </w:r>
      <w:r>
        <w:t xml:space="preserve">characterizes precisely these engineering parameters. The framework here does not dispute that they are first-order; the cross-section paper estimates an aperture elasticity of 1.82 and a downlink-rate elasticity of 0.88, both statistically significant at conventional levels, which is consistent with engineering parameters dominating the production function at the mission-lifetime level. The panel specification accommodates the engineering-ceiling account by including the engineering covariates and the mission and complex fixed effects, and a rejection of H0 conditional on those controls is, by construction, evidence that admitted load matters above and beyond what the engineering parameters can explain. The engineering-ceiling account is falsified, in this framework, by a significant</w:t>
      </w:r>
      <w:r>
        <w:t xml:space="preserve"> </w:t>
      </w:r>
      <m:oMath>
        <m:acc>
          <m:accPr>
            <m:chr m:val="̂"/>
          </m:accPr>
          <m:e>
            <m:r>
              <m:t>β</m:t>
            </m:r>
          </m:e>
        </m:acc>
      </m:oMath>
      <w:r>
        <w:t xml:space="preserve"> </w:t>
      </w:r>
      <w:r>
        <w:t xml:space="preserve">that survives the inclusion of the engineering covariates and the fixed effects; it is sustained by a</w:t>
      </w:r>
      <w:r>
        <w:t xml:space="preserve"> </w:t>
      </w:r>
      <m:oMath>
        <m:acc>
          <m:accPr>
            <m:chr m:val="̂"/>
          </m:accPr>
          <m:e>
            <m:r>
              <m:t>β</m:t>
            </m:r>
          </m:e>
        </m:acc>
      </m:oMath>
      <w:r>
        <w:t xml:space="preserve"> </w:t>
      </w:r>
      <w:r>
        <w:t xml:space="preserve">that is indistinguishable from zero under those controls.</w:t>
      </w:r>
    </w:p>
    <w:p>
      <w:pPr>
        <w:pStyle w:val="BodyText"/>
        <w:spacing w:line="480" w:lineRule="auto"/>
        <w:ind w:firstLine="720"/>
      </w:pPr>
      <w:r>
        <w:t xml:space="preserve">A third class of theoretical accounts, which the dissertation does not test directly but which the framework is consistent with, concerns architectural relaxations of the DSN constraint. Relay-network topologies for Earth-Mars communications</w:t>
      </w:r>
      <w:r>
        <w:t xml:space="preserve"> </w:t>
      </w:r>
      <w:hyperlink w:anchor="ref-3">
        <w:r>
          <w:rPr>
            <w:rStyle w:val="Hyperlink"/>
          </w:rPr>
          <w:t xml:space="preserve">[3]</w:t>
        </w:r>
      </w:hyperlink>
      <w:r>
        <w:t xml:space="preserve">, low-thrust data-mule trajectories of the Solar System Pony Express class</w:t>
      </w:r>
      <w:r>
        <w:t xml:space="preserve"> </w:t>
      </w:r>
      <w:hyperlink w:anchor="ref-4">
        <w:r>
          <w:rPr>
            <w:rStyle w:val="Hyperlink"/>
          </w:rPr>
          <w:t xml:space="preserve">[4]</w:t>
        </w:r>
      </w:hyperlink>
      <w:r>
        <w:t xml:space="preserve">, delay-tolerant contact-graph routing schemes</w:t>
      </w:r>
      <w:r>
        <w:t xml:space="preserve"> </w:t>
      </w:r>
      <w:hyperlink w:anchor="ref-23">
        <w:r>
          <w:rPr>
            <w:rStyle w:val="Hyperlink"/>
          </w:rPr>
          <w:t xml:space="preserve">[23]</w:t>
        </w:r>
      </w:hyperlink>
      <w:r>
        <w:t xml:space="preserve">, and the broader trajectory of emergent technologies that reduce Earth communications reliance for crewed deep space operations</w:t>
      </w:r>
      <w:r>
        <w:t xml:space="preserve"> </w:t>
      </w:r>
      <w:hyperlink w:anchor="ref-6">
        <w:r>
          <w:rPr>
            <w:rStyle w:val="Hyperlink"/>
          </w:rPr>
          <w:t xml:space="preserve">[6]</w:t>
        </w:r>
      </w:hyperlink>
      <w:r>
        <w:t xml:space="preserve"> </w:t>
      </w:r>
      <w:r>
        <w:t xml:space="preserve">each propose architectures whose value depends on the magnitude of the congestion cost the dissertation is estimating. A negligible</w:t>
      </w:r>
      <w:r>
        <w:t xml:space="preserve"> </w:t>
      </w:r>
      <m:oMath>
        <m:acc>
          <m:accPr>
            <m:chr m:val="̂"/>
          </m:accPr>
          <m:e>
            <m:r>
              <m:t>β</m:t>
            </m:r>
          </m:e>
        </m:acc>
      </m:oMath>
      <w:r>
        <w:t xml:space="preserve"> </w:t>
      </w:r>
      <w:r>
        <w:t xml:space="preserve">would weaken the case for these architectures on science-return grounds; a substantial</w:t>
      </w:r>
      <w:r>
        <w:t xml:space="preserve"> </w:t>
      </w:r>
      <m:oMath>
        <m:acc>
          <m:accPr>
            <m:chr m:val="̂"/>
          </m:accPr>
          <m:e>
            <m:r>
              <m:t>β</m:t>
            </m:r>
          </m:e>
        </m:acc>
      </m:oMath>
      <w:r>
        <w:t xml:space="preserve"> </w:t>
      </w:r>
      <w:r>
        <w:t xml:space="preserve">in the bits-per-hour per admitted mission metric would translate, via the cross-section elasticities estimated in the first research paper, into a quantitative lower bound on the science-return value of relaxing the constraint. The framework therefore links the panel test of H0 against H1 to the broader policy question of how the next generation of deep-space architectures should be evaluated against the current 34 m and 70 m subnet baseline.</w:t>
      </w:r>
    </w:p>
    <w:bookmarkEnd w:id="79"/>
    <w:bookmarkStart w:id="80" w:name="summary-and-forward-linkage"/>
    <w:p>
      <w:pPr>
        <w:pStyle w:val="Heading2"/>
        <w:spacing w:line="480" w:lineRule="auto"/>
      </w:pPr>
      <w:r>
        <w:t xml:space="preserve">3.6 Summary and Forward Linkage</w:t>
      </w:r>
    </w:p>
    <w:p>
      <w:pPr>
        <w:pStyle w:val="FirstParagraph"/>
        <w:spacing w:line="480" w:lineRule="auto"/>
      </w:pPr>
      <w:r>
        <w:t xml:space="preserve">The chapter has specified the production object,</w:t>
      </w:r>
      <w:r>
        <w:t xml:space="preserve"> </w:t>
      </w:r>
      <m:oMath>
        <m:sSub>
          <m:e>
            <m:r>
              <m:t>y</m:t>
            </m:r>
          </m:e>
          <m:sub>
            <m:r>
              <m:t>i</m:t>
            </m:r>
            <m:r>
              <m:t>t</m:t>
            </m:r>
          </m:sub>
        </m:sSub>
      </m:oMath>
      <w:r>
        <w:t xml:space="preserve">, as science bits returned to the Planetary Data System per allocated DSN antenna hour at the mission-week level; identified three mechanisms, fragmentation, displacement, and pre-emption, by which an additional admitted mission compresses</w:t>
      </w:r>
      <w:r>
        <w:t xml:space="preserve"> </w:t>
      </w:r>
      <m:oMath>
        <m:sSub>
          <m:e>
            <m:r>
              <m:t>y</m:t>
            </m:r>
          </m:e>
          <m:sub>
            <m:r>
              <m:t>i</m:t>
            </m:r>
            <m:r>
              <m:t>t</m:t>
            </m:r>
          </m:sub>
        </m:sSub>
      </m:oMath>
      <w:r>
        <w:t xml:space="preserve"> </w:t>
      </w:r>
      <w:r>
        <w:t xml:space="preserve">for incumbents above a threshold</w:t>
      </w:r>
      <w:r>
        <w:t xml:space="preserve"> </w:t>
      </w:r>
      <m:oMath>
        <m:sSup>
          <m:e>
            <m:r>
              <m:t>L</m:t>
            </m:r>
          </m:e>
          <m:sup>
            <m:r>
              <m:rPr>
                <m:sty m:val="p"/>
              </m:rPr>
              <m:t>*</m:t>
            </m:r>
          </m:sup>
        </m:sSup>
      </m:oMath>
      <w:r>
        <w:t xml:space="preserve">; stated the null H0 of no congestion and the alternative H1 of monotone congestion above an estimable threshold; and located the framework against a Wright’s-law learning account and an engineering-ceiling account whose discriminating predictions the panel specification will adjudicate. The empirical strategy that operationalizes these hypotheses is developed in Chapter 4, the data and the panel construction are documented in Chapter 5, and the reduced-form and structural estimates are presented in Chapter 6. The welfare and architectural implications, including the comparison of</w:t>
      </w:r>
      <w:r>
        <w:t xml:space="preserve"> </w:t>
      </w:r>
      <m:oMath>
        <m:acc>
          <m:accPr>
            <m:chr m:val="̂"/>
          </m:accPr>
          <m:e>
            <m:r>
              <m:t>β</m:t>
            </m:r>
          </m:e>
        </m:acc>
      </m:oMath>
      <w:r>
        <w:t xml:space="preserve"> </w:t>
      </w:r>
      <w:r>
        <w:t xml:space="preserve">to the marginal science value implied by the cross-section elasticities in the first research paper and to the architectural deltas proposed in the relay-network and data-mule literatures [3, 4], are reserved for Chapter 7.</w:t>
      </w:r>
    </w:p>
    <w:bookmarkEnd w:id="80"/>
    <w:bookmarkEnd w:id="81"/>
    <w:bookmarkStart w:id="92" w:name="chapter-4.-data-and-measurement"/>
    <w:p>
      <w:pPr>
        <w:pStyle w:val="Heading1"/>
        <w:spacing w:line="480" w:lineRule="auto"/>
      </w:pPr>
      <w:r>
        <w:t xml:space="preserve">Chapter 4. Data and Measurement</w:t>
      </w:r>
    </w:p>
    <w:bookmarkStart w:id="82" w:name="overview-and-purpose-of-the-chapter"/>
    <w:p>
      <w:pPr>
        <w:pStyle w:val="Heading2"/>
        <w:spacing w:line="480" w:lineRule="auto"/>
      </w:pPr>
      <w:r>
        <w:t xml:space="preserve">4.1 Overview and Purpose of the Chapter</w:t>
      </w:r>
    </w:p>
    <w:p>
      <w:pPr>
        <w:pStyle w:val="FirstParagraph"/>
        <w:spacing w:line="480" w:lineRule="auto"/>
      </w:pPr>
      <w:r>
        <w:t xml:space="preserve">This chapter specifies, in operational detail, the empirical material on which the two completed papers of this dissertation rest and on which the panel extension proposed in the prospectus will be built. It identifies the authoritative primary sources from which every observation is drawn, defines the unit of analysis for each of the two estimating equations, and shows how each right-hand and left-hand variable is constructed from primary records rather than from secondary compilations. The chapter is deliberately conservative in scope. It does not introduce new estimators; those are deferred to Chapter 5. It does not present new descriptive statistics beyond those required to establish the integrity of the constructed variables. Its purpose is to make the measurement chain auditable from the published artefact backward to the individual telecommunications subsystem document, ephemeris query, or archive holding from which each cell was populated.</w:t>
      </w:r>
    </w:p>
    <w:p>
      <w:pPr>
        <w:pStyle w:val="BodyText"/>
        <w:spacing w:line="480" w:lineRule="auto"/>
        <w:ind w:firstLine="720"/>
      </w:pPr>
      <w:r>
        <w:t xml:space="preserve">Three measurement objects organize the discussion. The first is the cross-section of thirty-six interplanetary missions used in Paper 1 to estimate the telecommunications elasticity of cumulative archived science volume. The second is the cross-section of thirty NASA-led or NASA-partnered interplanetary missions used in Paper 2 to fit the Wright’s-law learning curve in peak downlink rate against cumulative DSN-served experience. The third is the mission-week panel proposed in the prospectus, for which the variable definitions and source paths are specified here even though the panel estimates are not part of the two completed papers. Treating the panel definitions as part of Chapter 4 is the right architectural choice because the variable construction logic of the panel is a natural extension of the cross-sectional logic of Papers 1 and 2 and because committing to the operational definitions now disciplines the panel build to come.</w:t>
      </w:r>
    </w:p>
    <w:p>
      <w:pPr>
        <w:pStyle w:val="BodyText"/>
        <w:spacing w:line="480" w:lineRule="auto"/>
        <w:ind w:firstLine="720"/>
      </w:pPr>
      <w:r>
        <w:t xml:space="preserve">The chapter proceeds as follows. Section 4.2 names the authoritative data sources and characterizes their archival status. Section 4.3 fixes the unit of analysis for each empirical layer. Section 4.4 constructs the dependent variables. Section 4.5 constructs the right-hand variables of Paper 1. Section 4.6 constructs the right-hand variable of Paper 2. Section 4.7 specifies the panel variables needed for the prospectus extension. Section 4.8 documents the matching, deduplication, and unit-harmonization rules applied across sources. Section 4.9 inventories the categories of missingness encountered and the disposition rule for each. Section 4.10 closes with the data-integrity audit that was run against the completed Paper 1 and Paper 2 datasets, including the fraction of cells keyed to a documented primary source.</w:t>
      </w:r>
    </w:p>
    <w:bookmarkEnd w:id="82"/>
    <w:bookmarkStart w:id="83" w:name="authoritative-primary-sources"/>
    <w:p>
      <w:pPr>
        <w:pStyle w:val="Heading2"/>
        <w:spacing w:line="480" w:lineRule="auto"/>
      </w:pPr>
      <w:r>
        <w:t xml:space="preserve">4.2 Authoritative Primary Sources</w:t>
      </w:r>
    </w:p>
    <w:p>
      <w:pPr>
        <w:pStyle w:val="FirstParagraph"/>
        <w:spacing w:line="480" w:lineRule="auto"/>
      </w:pPr>
      <w:r>
        <w:t xml:space="preserve">Six families of primary sources supply every cell in the empirical work. None of the six is a secondary aggregator; each is either an instrument-of-record archive maintained by NASA or a partner agency, a peer-reviewed mission-design document, or a chronologically authoritative reference publication. The hierarchy among them is fixed in advance so that, where two sources disagree, the higher-tier source prevails and the lower-tier value is retained only as a cross-check.</w:t>
      </w:r>
    </w:p>
    <w:p>
      <w:pPr>
        <w:pStyle w:val="BodyText"/>
        <w:spacing w:line="480" w:lineRule="auto"/>
        <w:ind w:firstLine="720"/>
      </w:pPr>
      <w:r>
        <w:t xml:space="preserve">The first family is the</w:t>
      </w:r>
      <w:r>
        <w:t xml:space="preserve"> </w:t>
      </w:r>
      <w:r>
        <w:rPr>
          <w:b/>
          <w:bCs/>
        </w:rPr>
        <w:t xml:space="preserve">Planetary Data System</w:t>
      </w:r>
      <w:r>
        <w:t xml:space="preserve"> </w:t>
      </w:r>
      <w:r>
        <w:t xml:space="preserve">at pds.nasa.gov, which publishes per-mission archived data volume by discipline node and by delivery date. The PDS is the materialized record of science return for every NASA-supported planetary mission and the partner-archived holdings of cooperating ESA and JAXA missions. The dependent variable in Paper 1 is constructed directly from PDS holdings as of the end of calendar year 2024 and is not derived from secondary tabulations. The second family is the</w:t>
      </w:r>
      <w:r>
        <w:t xml:space="preserve"> </w:t>
      </w:r>
      <w:r>
        <w:rPr>
          <w:b/>
          <w:bCs/>
        </w:rPr>
        <w:t xml:space="preserve">DESCANSO monograph series</w:t>
      </w:r>
      <w:r>
        <w:t xml:space="preserve">, which publishes per-mission telecommunications system descriptions written by the responsible JPL telecom engineers. DESCANSO Monograph 3 on Cassini and Huygens</w:t>
      </w:r>
      <w:r>
        <w:t xml:space="preserve"> </w:t>
      </w:r>
      <w:hyperlink w:anchor="ref-10">
        <w:r>
          <w:rPr>
            <w:rStyle w:val="Hyperlink"/>
          </w:rPr>
          <w:t xml:space="preserve">[10]</w:t>
        </w:r>
      </w:hyperlink>
      <w:r>
        <w:t xml:space="preserve"> </w:t>
      </w:r>
      <w:r>
        <w:t xml:space="preserve">and the MSL volume in the same series</w:t>
      </w:r>
      <w:r>
        <w:t xml:space="preserve"> </w:t>
      </w:r>
      <w:hyperlink w:anchor="ref-11">
        <w:r>
          <w:rPr>
            <w:rStyle w:val="Hyperlink"/>
          </w:rPr>
          <w:t xml:space="preserve">[11]</w:t>
        </w:r>
      </w:hyperlink>
      <w:r>
        <w:t xml:space="preserve"> </w:t>
      </w:r>
      <w:r>
        <w:t xml:space="preserve">are representative; the series as a whole supplies the spacecraft-side telecommunications budgets, including peak telemetry downlink rate, modulation, and high-gain antenna aperture, that enter Paper 1 as covariates and Paper 2 as the dependent variable.</w:t>
      </w:r>
    </w:p>
    <w:p>
      <w:pPr>
        <w:pStyle w:val="BodyText"/>
        <w:spacing w:line="480" w:lineRule="auto"/>
        <w:ind w:firstLine="720"/>
      </w:pPr>
      <w:r>
        <w:t xml:space="preserve">The third family is the</w:t>
      </w:r>
      <w:r>
        <w:t xml:space="preserve"> </w:t>
      </w:r>
      <w:r>
        <w:rPr>
          <w:b/>
          <w:bCs/>
        </w:rPr>
        <w:t xml:space="preserve">NASA Technical Reports Server (NTRS)</w:t>
      </w:r>
      <w:r>
        <w:t xml:space="preserve">, which publishes mission-status reports, JPL D-series telecom design documents, and program-level chronologies. NTRS supplies the operational duration variable in Paper 1 and the launch-year ordering variable in Paper 2. The fourth family is the</w:t>
      </w:r>
      <w:r>
        <w:t xml:space="preserve"> </w:t>
      </w:r>
      <w:r>
        <w:rPr>
          <w:b/>
          <w:bCs/>
        </w:rPr>
        <w:t xml:space="preserve">NASA History Division chronology</w:t>
      </w:r>
      <w:r>
        <w:t xml:space="preserve"> </w:t>
      </w:r>
      <w:r>
        <w:t xml:space="preserve">SP-2005-4524</w:t>
      </w:r>
      <w:r>
        <w:t xml:space="preserve"> </w:t>
      </w:r>
      <w:hyperlink w:anchor="ref-12">
        <w:r>
          <w:rPr>
            <w:rStyle w:val="Hyperlink"/>
          </w:rPr>
          <w:t xml:space="preserve">[12]</w:t>
        </w:r>
      </w:hyperlink>
      <w:r>
        <w:t xml:space="preserve">, which provides the canonical launch dates and end-of-mission dates for every NASA-led or NASA-partnered interplanetary spacecraft launched between 1958 and 2000 and which is the spine on which the cumulative-experience index of Paper 2 is built. Renzetti’s history of the early Deep Space Network</w:t>
      </w:r>
      <w:r>
        <w:t xml:space="preserve"> </w:t>
      </w:r>
      <w:hyperlink w:anchor="ref-9">
        <w:r>
          <w:rPr>
            <w:rStyle w:val="Hyperlink"/>
          </w:rPr>
          <w:t xml:space="preserve">[9]</w:t>
        </w:r>
      </w:hyperlink>
      <w:r>
        <w:t xml:space="preserve"> </w:t>
      </w:r>
      <w:r>
        <w:t xml:space="preserve">supplies the same spine for the 1964 to 1971 portion of the Paper 2 sample.</w:t>
      </w:r>
    </w:p>
    <w:p>
      <w:pPr>
        <w:pStyle w:val="BodyText"/>
        <w:spacing w:line="480" w:lineRule="auto"/>
        <w:ind w:firstLine="720"/>
      </w:pPr>
      <w:r>
        <w:t xml:space="preserve">The fifth family is</w:t>
      </w:r>
      <w:r>
        <w:t xml:space="preserve"> </w:t>
      </w:r>
      <w:r>
        <w:rPr>
          <w:b/>
          <w:bCs/>
        </w:rPr>
        <w:t xml:space="preserve">JPL Horizons</w:t>
      </w:r>
      <w:r>
        <w:t xml:space="preserve"> </w:t>
      </w:r>
      <w:r>
        <w:t xml:space="preserve">at ssd.jpl.nasa.gov/horizons, which serves on-demand ephemerides for every catalogued solar-system body and active spacecraft. Horizons supplies the slant-range covariate in Paper 1 at a defined operational epoch per mission and will supply the weekly slant-range series for every admitted spacecraft in the panel extension. The sixth family is the</w:t>
      </w:r>
      <w:r>
        <w:t xml:space="preserve"> </w:t>
      </w:r>
      <w:r>
        <w:rPr>
          <w:b/>
          <w:bCs/>
        </w:rPr>
        <w:t xml:space="preserve">DSN scheduling record</w:t>
      </w:r>
      <w:r>
        <w:t xml:space="preserve"> </w:t>
      </w:r>
      <w:r>
        <w:t xml:space="preserve">published at deepspace.jpl.nasa.gov, comprising the near-real-time DSN Now service and the archived scheduling logs that, taken together, define the admitted-mission panel proposed in the prospectus. The scheduling record is not exercised in Papers 1 or 2 and is documented here in anticipation of the Chapter 5 panel build.</w:t>
      </w:r>
    </w:p>
    <w:p>
      <w:pPr>
        <w:pStyle w:val="BodyText"/>
        <w:spacing w:line="480" w:lineRule="auto"/>
        <w:ind w:firstLine="720"/>
      </w:pPr>
      <w:r>
        <w:t xml:space="preserve">A seventh source category, the peer-reviewed mission-overview literature in journals such as Space Science Reviews and Acta Astronautica, is used only to cross-check the DESCANSO and NTRS values and never as a primary entry. Where a relay-architecture reference is cited in Paper 1 to motivate the aperture term</w:t>
      </w:r>
      <w:r>
        <w:t xml:space="preserve"> </w:t>
      </w:r>
      <w:hyperlink w:anchor="ref-3">
        <w:r>
          <w:rPr>
            <w:rStyle w:val="Hyperlink"/>
          </w:rPr>
          <w:t xml:space="preserve">[3]</w:t>
        </w:r>
      </w:hyperlink>
      <w:r>
        <w:t xml:space="preserve"> </w:t>
      </w:r>
      <w:r>
        <w:t xml:space="preserve">or where a data-mule trajectory paper is cited to motivate the slant-range term</w:t>
      </w:r>
      <w:r>
        <w:t xml:space="preserve"> </w:t>
      </w:r>
      <w:hyperlink w:anchor="ref-4">
        <w:r>
          <w:rPr>
            <w:rStyle w:val="Hyperlink"/>
          </w:rPr>
          <w:t xml:space="preserve">[4]</w:t>
        </w:r>
      </w:hyperlink>
      <w:r>
        <w:t xml:space="preserve">, the citation is conceptual rather than measurement-bearing; no variable cell is sourced from those references.</w:t>
      </w:r>
    </w:p>
    <w:bookmarkEnd w:id="83"/>
    <w:bookmarkStart w:id="84" w:name="unit-of-analysis"/>
    <w:p>
      <w:pPr>
        <w:pStyle w:val="Heading2"/>
        <w:spacing w:line="480" w:lineRule="auto"/>
      </w:pPr>
      <w:r>
        <w:t xml:space="preserve">4.3 Unit of Analysis</w:t>
      </w:r>
    </w:p>
    <w:p>
      <w:pPr>
        <w:pStyle w:val="FirstParagraph"/>
        <w:spacing w:line="480" w:lineRule="auto"/>
      </w:pPr>
      <w:r>
        <w:t xml:space="preserve">The unit of analysis differs across the three empirical layers and the distinction matters for the standard errors reported in the two completed papers and for the identification claim made in the panel extension.</w:t>
      </w:r>
    </w:p>
    <w:p>
      <w:pPr>
        <w:pStyle w:val="BodyText"/>
        <w:spacing w:line="480" w:lineRule="auto"/>
        <w:ind w:firstLine="720"/>
      </w:pPr>
      <w:r>
        <w:t xml:space="preserve">In Paper 1 the unit of analysis is the</w:t>
      </w:r>
      <w:r>
        <w:t xml:space="preserve"> </w:t>
      </w:r>
      <w:r>
        <w:rPr>
          <w:b/>
          <w:bCs/>
        </w:rPr>
        <w:t xml:space="preserve">interplanetary mission</w:t>
      </w:r>
      <w:r>
        <w:t xml:space="preserve">. A mission is defined as a distinct spacecraft, or coordinated pair of co-launched spacecraft sharing a single telecommunications design and a single PDS archival volume, that flew an interplanetary trajectory and returned data through the Deep Space Network or a cooperating partner network. Pioneer 10 and Pioneer 11 enter as separate observations because their PDS holdings are archived separately and their operational durations differ. Voyager 1 and Voyager 2 likewise enter as separate observations on the same logic. A mission is included if and only if it has a DESCANSO or NTRS telecommunications description sufficient to populate peak downlink rate and antenna aperture, has a PDS volume entry through end of 2024, and reports operational years on station in a published NASA status document. Thirty-six missions clear this admission rule, as reported in Paper 1.</w:t>
      </w:r>
    </w:p>
    <w:p>
      <w:pPr>
        <w:pStyle w:val="BodyText"/>
        <w:spacing w:line="480" w:lineRule="auto"/>
        <w:ind w:firstLine="720"/>
      </w:pPr>
      <w:r>
        <w:t xml:space="preserve">In Paper 2 the unit of analysis is also the interplanetary mission but the admission rule is narrower in two respects and broader in one. It is narrower in that the mission must be NASA-led or NASA-partnered, so that the cumulative-experience index is defined against the same agency-of-record spine throughout. It is narrower in that the mission must have a peak telemetry downlink rate against a DSN antenna documented in a primary telecom source, with the documented rate measured under nominal cruise or science-phase conditions rather than under a one-off demonstration mode. It is broader in that the mission need not have a PDS volume entry, because Paper 2 does not use archived volume as either dependent or independent variable. Thirty missions clear this admission rule, as reported in Paper 2.</w:t>
      </w:r>
    </w:p>
    <w:p>
      <w:pPr>
        <w:pStyle w:val="BodyText"/>
        <w:spacing w:line="480" w:lineRule="auto"/>
        <w:ind w:firstLine="720"/>
      </w:pPr>
      <w:r>
        <w:t xml:space="preserve">In the panel extension proposed in the prospectus the unit of analysis is the</w:t>
      </w:r>
      <w:r>
        <w:t xml:space="preserve"> </w:t>
      </w:r>
      <w:r>
        <w:rPr>
          <w:b/>
          <w:bCs/>
        </w:rPr>
        <w:t xml:space="preserve">mission-week</w:t>
      </w:r>
      <w:r>
        <w:t xml:space="preserve">. A mission-week is the pairing of a specific spacecraft with a specific ISO calendar week during which that spacecraft held an active DSN service contract, regardless of whether it received any contact time in the week. The mission-week is the correct unit for the panel because the admission decision under study is the contemporaneous admitted-mission load, which is well-defined only when service contracts rather than realized contacts are counted. The panel is unbalanced in length because missions enter at orbit insertion and exit at end-of-mission declaration.</w:t>
      </w:r>
    </w:p>
    <w:bookmarkEnd w:id="84"/>
    <w:bookmarkStart w:id="85" w:name="construction-of-the-dependent-variables"/>
    <w:p>
      <w:pPr>
        <w:pStyle w:val="Heading2"/>
        <w:spacing w:line="480" w:lineRule="auto"/>
      </w:pPr>
      <w:r>
        <w:t xml:space="preserve">4.4 Construction of the Dependent Variables</w:t>
      </w:r>
    </w:p>
    <w:p>
      <w:pPr>
        <w:pStyle w:val="FirstParagraph"/>
        <w:spacing w:line="480" w:lineRule="auto"/>
      </w:pPr>
      <w:r>
        <w:t xml:space="preserve">Paper 1 uses</w:t>
      </w:r>
      <w:r>
        <w:t xml:space="preserve"> </w:t>
      </w:r>
      <w:r>
        <w:rPr>
          <w:b/>
          <w:bCs/>
        </w:rPr>
        <w:t xml:space="preserve">cumulative archived science data volume in terabytes</w:t>
      </w:r>
      <w:r>
        <w:t xml:space="preserve"> </w:t>
      </w:r>
      <w:r>
        <w:t xml:space="preserve">through the end of 2024 as its dependent variable, and enters the variable in base-ten logarithms in the estimating equation. Volume is constructed by summing the byte counts of all data products archived in the PDS discipline nodes attributable to the mission, then dividing by ten to the twelfth and taking the base-ten logarithm. For ESA and JAXA missions in the Paper 1 sample, the equivalent partner-node holdings are queried and summed by the same rule. The construction has three features that warrant comment. First, the byte counts are over archived volume rather than over downlinked volume; the two differ when a mission downlinked data that did not survive the quality-control and validation steps required for PDS archival, and the archived figure is the conservatively smaller of the two. Second, the construction is mission-cumulative through 2024 rather than year-by-year, so mission-extension volume is included by design; this is consistent with the operational-years coefficient interpretation reported in Paper 1. Third, the construction does not weight bytes by scientific value, an issue addressed in the validity discussion of Paper 1 and revisited as a threat to validity in Chapter 6.</w:t>
      </w:r>
    </w:p>
    <w:p>
      <w:pPr>
        <w:pStyle w:val="BodyText"/>
        <w:spacing w:line="480" w:lineRule="auto"/>
        <w:ind w:firstLine="720"/>
      </w:pPr>
      <w:r>
        <w:t xml:space="preserve">Paper 2 uses</w:t>
      </w:r>
      <w:r>
        <w:t xml:space="preserve"> </w:t>
      </w:r>
      <w:r>
        <w:rPr>
          <w:b/>
          <w:bCs/>
        </w:rPr>
        <w:t xml:space="preserve">peak telemetry downlink rate in bits per second</w:t>
      </w:r>
      <w:r>
        <w:t xml:space="preserve">, entered in base-ten logarithms, as its dependent variable. The rate is the highest sustained telemetry downlink rate documented for the mission in its DESCANSO monograph, JPL D-series telecom design document, NASA mission press kit, or peer-reviewed mission-overview paper, in that order of source priority. The qualifier</w:t>
      </w:r>
      <w:r>
        <w:t xml:space="preserve"> </w:t>
      </w:r>
      <w:r>
        <w:t xml:space="preserve">“sustained”</w:t>
      </w:r>
      <w:r>
        <w:t xml:space="preserve"> </w:t>
      </w:r>
      <w:r>
        <w:t xml:space="preserve">is operational: a one-pass demonstration rate at end-of-mission, such as the 1.9 megabits-per-second Mars Reconnaissance Orbiter Ka-band demonstration link, is admitted only if the documenting source describes the rate as sustained over a science-phase planning interval rather than as a one-shot test. The Mariner 4 entry at 33.3 bits per second [9, 12] anchors the lower end of the dependent-variable range and the Lunar Reconnaissance Orbiter Ka-band entry at 1.0 times 10 to the eighth bits per second anchors the upper end. The dependent variable spans approximately nine orders of magnitude as reported in Paper 2.</w:t>
      </w:r>
    </w:p>
    <w:p>
      <w:pPr>
        <w:pStyle w:val="BodyText"/>
        <w:spacing w:line="480" w:lineRule="auto"/>
        <w:ind w:firstLine="720"/>
      </w:pPr>
      <w:r>
        <w:t xml:space="preserve">In the proposed panel extension the dependent variable will be</w:t>
      </w:r>
      <w:r>
        <w:t xml:space="preserve"> </w:t>
      </w:r>
      <w:r>
        <w:rPr>
          <w:b/>
          <w:bCs/>
        </w:rPr>
        <w:t xml:space="preserve">science bits returned per allocated antenna hour</w:t>
      </w:r>
      <w:r>
        <w:t xml:space="preserve"> </w:t>
      </w:r>
      <w:r>
        <w:t xml:space="preserve">at the mission-week level. The numerator is the PDS-archived byte volume timestamped to the contact week, smoothed over a four-week window to absorb batched-delivery lag as flagged in the prospectus, and converted to bits. The denominator is the realized allocated antenna time at any of the three complexes for that spacecraft in that week, extracted from the DSN scheduling log. The ratio is the operational measure of service productivity and is the natural dependent variable for the M/G/c queueing baseline against which the reduced-form panel coefficient will be compared. The construction is documented here in anticipation of the panel build; no panel observations are reported in Paper 1 or Paper 2.</w:t>
      </w:r>
    </w:p>
    <w:bookmarkEnd w:id="85"/>
    <w:bookmarkStart w:id="86" w:name="X400aa616d4f0a95c80a6f36131faaeb6188356c"/>
    <w:p>
      <w:pPr>
        <w:pStyle w:val="Heading2"/>
        <w:spacing w:line="480" w:lineRule="auto"/>
      </w:pPr>
      <w:r>
        <w:t xml:space="preserve">4.5 Construction of the Right-Hand Variables in Paper 1</w:t>
      </w:r>
    </w:p>
    <w:p>
      <w:pPr>
        <w:pStyle w:val="FirstParagraph"/>
        <w:spacing w:line="480" w:lineRule="auto"/>
      </w:pPr>
      <w:r>
        <w:t xml:space="preserve">The Paper 1 specification has four right-hand variables, each entered in base-ten logarithms: peak downlink rate, maximum operational slant range, effective high-gain antenna aperture, and operational years on station. Their construction is as follows.</w:t>
      </w:r>
    </w:p>
    <w:p>
      <w:pPr>
        <w:pStyle w:val="BodyText"/>
        <w:spacing w:line="480" w:lineRule="auto"/>
        <w:ind w:firstLine="720"/>
      </w:pPr>
      <w:r>
        <w:rPr>
          <w:b/>
          <w:bCs/>
        </w:rPr>
        <w:t xml:space="preserve">Peak downlink rate</w:t>
      </w:r>
      <w:r>
        <w:t xml:space="preserve"> </w:t>
      </w:r>
      <w:r>
        <w:t xml:space="preserve">is constructed identically to the Paper 2 dependent variable described in Section 4.4 above. The same primary-source hierarchy applies and the same</w:t>
      </w:r>
      <w:r>
        <w:t xml:space="preserve"> </w:t>
      </w:r>
      <w:r>
        <w:t xml:space="preserve">“sustained”</w:t>
      </w:r>
      <w:r>
        <w:t xml:space="preserve"> </w:t>
      </w:r>
      <w:r>
        <w:t xml:space="preserve">qualifier governs admission. Where the Paper 1 sample and the Paper 2 sample overlap, which they do across a majority of the missions, the cell values are by construction identical. The estimated coefficient of 0.88 reported in Paper 1, statistically distinguishable from zero at any conventional level, is the elasticity of cumulative archived volume with respect to this construction of peak downlink rate.</w:t>
      </w:r>
    </w:p>
    <w:p>
      <w:pPr>
        <w:pStyle w:val="BodyText"/>
        <w:spacing w:line="480" w:lineRule="auto"/>
        <w:ind w:firstLine="720"/>
      </w:pPr>
      <w:r>
        <w:rPr>
          <w:b/>
          <w:bCs/>
        </w:rPr>
        <w:t xml:space="preserve">Maximum operational slant range</w:t>
      </w:r>
      <w:r>
        <w:t xml:space="preserve"> </w:t>
      </w:r>
      <w:r>
        <w:t xml:space="preserve">is constructed as the spacecraft-Earth distance at the most distant scientifically active point in the mission’s trajectory, expressed in astronomical units. For an orbiter at a single target body the value is the maximum range across the orbital phase. For a flyby or multi-target mission it is the maximum range across all encounters. For Voyager 1 and Voyager 2 it is the spacecraft-Earth distance at end of 2024, which is the operational maximum for an ongoing extended mission. Values are extracted from JPL Horizons at the operational epoch identified from the mission timeline in the NTRS or DESCANSO source. The estimated coefficient of negative 0.29 reported in Paper 1, with p equal to 0.10, is the elasticity of cumulative archived volume with respect to this construction of slant range.</w:t>
      </w:r>
    </w:p>
    <w:p>
      <w:pPr>
        <w:pStyle w:val="BodyText"/>
        <w:spacing w:line="480" w:lineRule="auto"/>
        <w:ind w:firstLine="720"/>
      </w:pPr>
      <w:r>
        <w:rPr>
          <w:b/>
          <w:bCs/>
        </w:rPr>
        <w:t xml:space="preserve">Effective high-gain antenna aperture</w:t>
      </w:r>
      <w:r>
        <w:t xml:space="preserve"> </w:t>
      </w:r>
      <w:r>
        <w:t xml:space="preserve">is constructed as the diameter in meters of the spacecraft’s high-gain antenna as documented in the DESCANSO or telecom design source. For missions employing a deployable or articulated antenna, the deployed nominal diameter is used. For missions in which the documented spacecraft antenna includes a substantial passive reflector, such as the titanium reflector designs surveyed in the deep-space hardware literature</w:t>
      </w:r>
      <w:r>
        <w:t xml:space="preserve"> </w:t>
      </w:r>
      <w:hyperlink w:anchor="ref-2">
        <w:r>
          <w:rPr>
            <w:rStyle w:val="Hyperlink"/>
          </w:rPr>
          <w:t xml:space="preserve">[2]</w:t>
        </w:r>
      </w:hyperlink>
      <w:r>
        <w:t xml:space="preserve">, the reflector diameter is the entered value provided the source documents it as the radiating aperture. The choice of spacecraft-side aperture rather than ground-side aperture is deliberate. Ground aperture varies week to week with which DSN complex is in view and which antenna is allocated, and a cross-sectional summary measure would be misleading. Spacecraft aperture is a mission-design constant. The estimated coefficient of 1.82 reported in Paper 1, statistically significant at the one-percent level, is the elasticity with respect to this construction.</w:t>
      </w:r>
    </w:p>
    <w:p>
      <w:pPr>
        <w:pStyle w:val="BodyText"/>
        <w:spacing w:line="480" w:lineRule="auto"/>
        <w:ind w:firstLine="720"/>
      </w:pPr>
      <w:r>
        <w:rPr>
          <w:b/>
          <w:bCs/>
        </w:rPr>
        <w:t xml:space="preserve">Operational years on station</w:t>
      </w:r>
      <w:r>
        <w:t xml:space="preserve"> </w:t>
      </w:r>
      <w:r>
        <w:t xml:space="preserve">is constructed as the elapsed time in years between the documented start of science operations and either the documented end of mission or the end of 2024, whichever is earlier. The start of science operations is taken from the mission status reports in NTRS and is distinct from launch date; cruise phases are excluded. The end of mission is taken from the NASA History Division chronology</w:t>
      </w:r>
      <w:r>
        <w:t xml:space="preserve"> </w:t>
      </w:r>
      <w:hyperlink w:anchor="ref-12">
        <w:r>
          <w:rPr>
            <w:rStyle w:val="Hyperlink"/>
          </w:rPr>
          <w:t xml:space="preserve">[12]</w:t>
        </w:r>
      </w:hyperlink>
      <w:r>
        <w:t xml:space="preserve"> </w:t>
      </w:r>
      <w:r>
        <w:t xml:space="preserve">for missions that have ended and from the most recent NTRS status report for missions that remain active. The estimated coefficient of 1.71 reported in Paper 1, statistically significant at any conventional level, is the elasticity with respect to this construction.</w:t>
      </w:r>
    </w:p>
    <w:bookmarkEnd w:id="86"/>
    <w:bookmarkStart w:id="87" w:name="X62f5bf757e00657dba873fc9d6a2f416e5d1502"/>
    <w:p>
      <w:pPr>
        <w:pStyle w:val="Heading2"/>
        <w:spacing w:line="480" w:lineRule="auto"/>
      </w:pPr>
      <w:r>
        <w:t xml:space="preserve">4.6 Construction of the Right-Hand Variable in Paper 2</w:t>
      </w:r>
    </w:p>
    <w:p>
      <w:pPr>
        <w:pStyle w:val="FirstParagraph"/>
        <w:spacing w:line="480" w:lineRule="auto"/>
      </w:pPr>
      <w:r>
        <w:t xml:space="preserve">Paper 2 has a single right-hand variable, the</w:t>
      </w:r>
      <w:r>
        <w:t xml:space="preserve"> </w:t>
      </w:r>
      <w:r>
        <w:rPr>
          <w:b/>
          <w:bCs/>
        </w:rPr>
        <w:t xml:space="preserve">cumulative count of DSN-tracked interplanetary missions</w:t>
      </w:r>
      <w:r>
        <w:t xml:space="preserve"> </w:t>
      </w:r>
      <w:r>
        <w:t xml:space="preserve">launched up to and including mission i, entered in base-ten logarithms. The construction is the chronological count of all NASA-led or NASA-partnered interplanetary spacecraft launched on or before the launch date of mission i, with ties at the same launch date resolved by NSSDC catalogue number to give a strictly increasing index. The launch-date spine is the NASA History Division chronology</w:t>
      </w:r>
      <w:r>
        <w:t xml:space="preserve"> </w:t>
      </w:r>
      <w:hyperlink w:anchor="ref-12">
        <w:r>
          <w:rPr>
            <w:rStyle w:val="Hyperlink"/>
          </w:rPr>
          <w:t xml:space="preserve">[12]</w:t>
        </w:r>
      </w:hyperlink>
      <w:r>
        <w:t xml:space="preserve"> </w:t>
      </w:r>
      <w:r>
        <w:t xml:space="preserve">for the 1958 through 2000 portion and the NTRS launch-record series for the 2001 through 2024 portion. The early-DSN history of Renzetti</w:t>
      </w:r>
      <w:r>
        <w:t xml:space="preserve"> </w:t>
      </w:r>
      <w:hyperlink w:anchor="ref-9">
        <w:r>
          <w:rPr>
            <w:rStyle w:val="Hyperlink"/>
          </w:rPr>
          <w:t xml:space="preserve">[9]</w:t>
        </w:r>
      </w:hyperlink>
      <w:r>
        <w:t xml:space="preserve"> </w:t>
      </w:r>
      <w:r>
        <w:t xml:space="preserve">is used as a cross-check for missions launched between 1958 and 1971, during which period the DSN tracking record is sparser in the NTRS holdings.</w:t>
      </w:r>
    </w:p>
    <w:p>
      <w:pPr>
        <w:pStyle w:val="BodyText"/>
        <w:spacing w:line="480" w:lineRule="auto"/>
        <w:ind w:firstLine="720"/>
      </w:pPr>
      <w:r>
        <w:t xml:space="preserve">The construction has two implications that warrant comment. First, the experience index is a count of missions rather than a count of antenna-hours, because antenna-hour records are not available in primary form for the 1964 through 1989 portion of the sample. The count-of-missions experience index is the strongest construction supportable by the primary-source hierarchy for the full six-decade window and is the construction reported in Paper 2. Second, the index treats partner missions symmetrically with NASA missions provided the partner mission was DSN-tracked under a documented support agreement; this admits, for example, ESA Mars Express tracking time as DSN-served experience for the index. The implied progress ratio of approximately 4.67 reported in Paper 2, with an estimated elasticity of 2.225, is the elasticity of log peak downlink rate with respect to this construction of cumulative DSN-served experience.</w:t>
      </w:r>
    </w:p>
    <w:bookmarkEnd w:id="87"/>
    <w:bookmarkStart w:id="88" w:name="Xe649b15c9f865a797285b60cd59fa2841b91a58"/>
    <w:p>
      <w:pPr>
        <w:pStyle w:val="Heading2"/>
        <w:spacing w:line="480" w:lineRule="auto"/>
      </w:pPr>
      <w:r>
        <w:t xml:space="preserve">4.7 Panel Variables for the Prospectus Extension</w:t>
      </w:r>
    </w:p>
    <w:p>
      <w:pPr>
        <w:pStyle w:val="FirstParagraph"/>
        <w:spacing w:line="480" w:lineRule="auto"/>
      </w:pPr>
      <w:r>
        <w:t xml:space="preserve">The mission-week panel proposed in the prospectus requires four variables beyond those used in Papers 1 and 2. Their definitions are fixed here so that the panel build documented in Chapter 5 does not silently redefine them.</w:t>
      </w:r>
    </w:p>
    <w:p>
      <w:pPr>
        <w:pStyle w:val="BodyText"/>
        <w:spacing w:line="480" w:lineRule="auto"/>
        <w:ind w:firstLine="720"/>
      </w:pPr>
      <w:r>
        <w:rPr>
          <w:b/>
          <w:bCs/>
        </w:rPr>
        <w:t xml:space="preserve">Admitted mission load</w:t>
      </w:r>
      <w:r>
        <w:t xml:space="preserve"> </w:t>
      </w:r>
      <w:r>
        <w:t xml:space="preserve">in week t is the count of distinct spacecraft holding an active DSN service contract during week t, where active is operationalized as the presence of at least one scheduled contact window during the eight-week window centered on week t in the archived DSN scheduling log. The eight-week window absorbs scheduling-cycle granularity without absorbing entry-and-exit transitions; the choice of eight weeks is a working default to be revisited under sensitivity analysis in Chapter 5.</w:t>
      </w:r>
      <w:r>
        <w:t xml:space="preserve"> </w:t>
      </w:r>
      <w:r>
        <w:rPr>
          <w:b/>
          <w:bCs/>
        </w:rPr>
        <w:t xml:space="preserve">Scheduled link rate</w:t>
      </w:r>
      <w:r>
        <w:t xml:space="preserve"> </w:t>
      </w:r>
      <w:r>
        <w:t xml:space="preserve">for spacecraft i in week t is the modal sustained downlink rate scheduled for that spacecraft in week t, drawn from the DSN scheduling record and cross-checked against the mission’s DESCANSO telecom budget.</w:t>
      </w:r>
      <w:r>
        <w:t xml:space="preserve"> </w:t>
      </w:r>
      <w:r>
        <w:rPr>
          <w:b/>
          <w:bCs/>
        </w:rPr>
        <w:t xml:space="preserve">Weather outage minutes</w:t>
      </w:r>
      <w:r>
        <w:t xml:space="preserve"> </w:t>
      </w:r>
      <w:r>
        <w:t xml:space="preserve">per complex per week is the operational-log measure of outage time attributable to weather or to equipment failure, summed across antennas within the complex.</w:t>
      </w:r>
      <w:r>
        <w:t xml:space="preserve"> </w:t>
      </w:r>
      <w:r>
        <w:rPr>
          <w:b/>
          <w:bCs/>
        </w:rPr>
        <w:t xml:space="preserve">Slant range</w:t>
      </w:r>
      <w:r>
        <w:t xml:space="preserve"> </w:t>
      </w:r>
      <w:r>
        <w:t xml:space="preserve">for spacecraft i in week t is the Horizons-reported spacecraft-Earth distance at the midpoint of the ISO week, converted to astronomical units.</w:t>
      </w:r>
    </w:p>
    <w:p>
      <w:pPr>
        <w:pStyle w:val="BodyText"/>
        <w:spacing w:line="480" w:lineRule="auto"/>
        <w:ind w:firstLine="720"/>
      </w:pPr>
      <w:r>
        <w:t xml:space="preserve">Mission priority class is a discrete control reported in the DSN service contract and is preserved as an unordered categorical variable rather than recoded to a numeric ordering. This is deliberate. The mapping from priority class to scheduling preference is institutionally negotiated and a numeric ordering would impose an unsupported cardinal interpretation.</w:t>
      </w:r>
    </w:p>
    <w:bookmarkEnd w:id="88"/>
    <w:bookmarkStart w:id="89" w:name="X06b2b881084c42cc4e70b869c0edaa4957fbadc"/>
    <w:p>
      <w:pPr>
        <w:pStyle w:val="Heading2"/>
        <w:spacing w:line="480" w:lineRule="auto"/>
      </w:pPr>
      <w:r>
        <w:t xml:space="preserve">4.8 Matching, Deduplication, and Unit Harmonization</w:t>
      </w:r>
    </w:p>
    <w:p>
      <w:pPr>
        <w:pStyle w:val="FirstParagraph"/>
        <w:spacing w:line="480" w:lineRule="auto"/>
      </w:pPr>
      <w:r>
        <w:t xml:space="preserve">Three rules govern the integration of records across the six primary-source families. The first is</w:t>
      </w:r>
      <w:r>
        <w:t xml:space="preserve"> </w:t>
      </w:r>
      <w:r>
        <w:rPr>
          <w:b/>
          <w:bCs/>
        </w:rPr>
        <w:t xml:space="preserve">mission-identity matching</w:t>
      </w:r>
      <w:r>
        <w:t xml:space="preserve">: every entered row is keyed to an NSSDC catalogue identifier as the canonical join key, with the COSPAR international designator as a secondary key for partner missions. Telecom values from DESCANSO are joined to PDS volumes and to NTRS status records on the NSSDC key, and disagreements between sources on which spacecraft is named in a free-text field are resolved by the catalogue identifier rather than by name normalization. The second is</w:t>
      </w:r>
      <w:r>
        <w:t xml:space="preserve"> </w:t>
      </w:r>
      <w:r>
        <w:rPr>
          <w:b/>
          <w:bCs/>
        </w:rPr>
        <w:t xml:space="preserve">deduplication</w:t>
      </w:r>
      <w:r>
        <w:t xml:space="preserve">: where a mission has multiple DESCANSO volumes across mission phases, such as a separate orbiter and lander volume for a flagship mission, the spacecraft-level row aggregates antenna aperture and peak downlink rate to the spacecraft that owned the prime DSN link; relay-only craft are not separately admitted to Paper 1 or Paper 2.</w:t>
      </w:r>
    </w:p>
    <w:p>
      <w:pPr>
        <w:pStyle w:val="BodyText"/>
        <w:spacing w:line="480" w:lineRule="auto"/>
        <w:ind w:firstLine="720"/>
      </w:pPr>
      <w:r>
        <w:t xml:space="preserve">The third is</w:t>
      </w:r>
      <w:r>
        <w:t xml:space="preserve"> </w:t>
      </w:r>
      <w:r>
        <w:rPr>
          <w:b/>
          <w:bCs/>
        </w:rPr>
        <w:t xml:space="preserve">unit harmonization</w:t>
      </w:r>
      <w:r>
        <w:t xml:space="preserve">. Downlink rates are stored as bits per second throughout. Kilobits-per-second and megabits-per-second values quoted in source documents are multiplied by ten to the third or ten to the sixth respectively before entry. Apertures are stored as meters. Slant ranges are stored as astronomical units. Operational durations are stored as decimal years. PDS volumes are stored as bytes prior to the gigabytes-to-terabytes conversion that precedes the logarithmic transformation. All conversions are performed in the data-build script and are not done by hand at the entry stage.</w:t>
      </w:r>
    </w:p>
    <w:bookmarkEnd w:id="89"/>
    <w:bookmarkStart w:id="90" w:name="missingness-inventory-and-disposition"/>
    <w:p>
      <w:pPr>
        <w:pStyle w:val="Heading2"/>
        <w:spacing w:line="480" w:lineRule="auto"/>
      </w:pPr>
      <w:r>
        <w:t xml:space="preserve">4.9 Missingness Inventory and Disposition</w:t>
      </w:r>
    </w:p>
    <w:p>
      <w:pPr>
        <w:pStyle w:val="FirstParagraph"/>
        <w:spacing w:line="480" w:lineRule="auto"/>
      </w:pPr>
      <w:r>
        <w:t xml:space="preserve">Three categories of missingness arise. The first is</w:t>
      </w:r>
      <w:r>
        <w:t xml:space="preserve"> </w:t>
      </w:r>
      <w:r>
        <w:rPr>
          <w:b/>
          <w:bCs/>
        </w:rPr>
        <w:t xml:space="preserve">structural missingness</w:t>
      </w:r>
      <w:r>
        <w:t xml:space="preserve">, in which a variable is not defined for a mission. The clearest example is the spacecraft-side high-gain antenna aperture for missions, such as some early Mariners, that used a body-fixed low-gain antenna as the prime communications surface throughout the mission. The disposition for Paper 1 is to record the documented prime antenna aperture even when small, and not to impute a virtual high-gain figure; this preserves the cross-sectional interpretation of the aperture coefficient. The second category is</w:t>
      </w:r>
      <w:r>
        <w:t xml:space="preserve"> </w:t>
      </w:r>
      <w:r>
        <w:rPr>
          <w:b/>
          <w:bCs/>
        </w:rPr>
        <w:t xml:space="preserve">batched-delivery lag</w:t>
      </w:r>
      <w:r>
        <w:t xml:space="preserve">, which arises for PDS volume in the panel construction but not in the cross-sectional construction of Paper 1, because Paper 1 sums cumulative volume through end of 2024 and is insensitive to delivery-week timing. The panel disposition is the four-week smoothing window already specified in the prospectus and re-stated in Section 4.4 above.</w:t>
      </w:r>
    </w:p>
    <w:p>
      <w:pPr>
        <w:pStyle w:val="BodyText"/>
        <w:spacing w:line="480" w:lineRule="auto"/>
        <w:ind w:firstLine="720"/>
      </w:pPr>
      <w:r>
        <w:t xml:space="preserve">The third category is</w:t>
      </w:r>
      <w:r>
        <w:t xml:space="preserve"> </w:t>
      </w:r>
      <w:r>
        <w:rPr>
          <w:b/>
          <w:bCs/>
        </w:rPr>
        <w:t xml:space="preserve">source disagreement</w:t>
      </w:r>
      <w:r>
        <w:t xml:space="preserve">, in which two primary sources report different values for the same cell. The disposition rule fixed in advance is that the higher-tier source prevails: DESCANSO over peer-reviewed mission overview, NTRS over press kit, JPL Horizons over published table. Documented disagreements between PDS volumes and downlinked-volume figures in mission-summary papers are resolved in favor of the PDS archived figure, because PDS is the archive-of-record and the downlinked-volume figure may include data that did not survive validation.</w:t>
      </w:r>
    </w:p>
    <w:p>
      <w:pPr>
        <w:pStyle w:val="BodyText"/>
        <w:spacing w:line="480" w:lineRule="auto"/>
        <w:ind w:firstLine="720"/>
      </w:pPr>
      <w:r>
        <w:t xml:space="preserve">A small minority of cells in Paper 1, all in pre-encounter or very-early-mission rows, are flagged in the source column as illustrative rather than as primary-keyed. As reported in Paper 1, this fraction is below fifteen percent and is documented row by row in the source column of the working data file.</w:t>
      </w:r>
    </w:p>
    <w:bookmarkEnd w:id="90"/>
    <w:bookmarkStart w:id="91" w:name="integrity-audit-and-closing-remarks"/>
    <w:p>
      <w:pPr>
        <w:pStyle w:val="Heading2"/>
        <w:spacing w:line="480" w:lineRule="auto"/>
      </w:pPr>
      <w:r>
        <w:t xml:space="preserve">4.10 Integrity Audit and Closing Remarks</w:t>
      </w:r>
    </w:p>
    <w:p>
      <w:pPr>
        <w:pStyle w:val="FirstParagraph"/>
        <w:spacing w:line="480" w:lineRule="auto"/>
      </w:pPr>
      <w:r>
        <w:t xml:space="preserve">The completed Paper 1 and Paper 2 datasets were audited against three integrity criteria before estimation was run. The first criterion is</w:t>
      </w:r>
      <w:r>
        <w:t xml:space="preserve"> </w:t>
      </w:r>
      <w:r>
        <w:rPr>
          <w:b/>
          <w:bCs/>
        </w:rPr>
        <w:t xml:space="preserve">source keying</w:t>
      </w:r>
      <w:r>
        <w:t xml:space="preserve">: every cell in the working data file must carry a source-column entry naming the primary document from which the value was drawn. As of the audit, the Paper 1 dataset clears this criterion for greater than eighty-five percent of cells, and the Paper 2 dataset clears it for one hundred percent of cells in the dependent variable and the experience-index variable. The second criterion is</w:t>
      </w:r>
      <w:r>
        <w:t xml:space="preserve"> </w:t>
      </w:r>
      <w:r>
        <w:rPr>
          <w:b/>
          <w:bCs/>
        </w:rPr>
        <w:t xml:space="preserve">unit consistency</w:t>
      </w:r>
      <w:r>
        <w:t xml:space="preserve">: every numeric cell must enter the estimating equation in the units declared in Section 4.8 above. The data-build script enforces this by construction and the audit confirms it. The third criterion is</w:t>
      </w:r>
      <w:r>
        <w:t xml:space="preserve"> </w:t>
      </w:r>
      <w:r>
        <w:rPr>
          <w:b/>
          <w:bCs/>
        </w:rPr>
        <w:t xml:space="preserve">no-fabrication</w:t>
      </w:r>
      <w:r>
        <w:t xml:space="preserve">: no cell is populated by interpolation, by analogy from a sister mission, or by uncited estimate. The audit confirms that every entered value either resolves to a primary source or is explicitly flagged as illustrative in the source column.</w:t>
      </w:r>
    </w:p>
    <w:p>
      <w:pPr>
        <w:pStyle w:val="BodyText"/>
        <w:spacing w:line="480" w:lineRule="auto"/>
        <w:ind w:firstLine="720"/>
      </w:pPr>
      <w:r>
        <w:t xml:space="preserve">Two design choices made in this chapter are non-obvious and warrant restatement. The first is the use of spacecraft-side antenna aperture rather than ground-side aperture as the Paper 1 covariate. This is the right choice for the cross-sectional specification because spacecraft aperture is a mission-design constant whereas ground aperture varies with allocation; the price paid is that the aperture coefficient cannot be read as a pure ground-segment lever, an interpretation reserved for the panel extension. The second is the use of cumulative count of DSN-served missions, rather than cumulative antenna-hours, as the Paper 2 experience index. This is the right choice for the six-decade window because antenna-hour records are not uniformly available before 1989; the price paid is that the implied progress ratio of 4.67 is a mission-count progress ratio rather than an hour-progress ratio and cannot be compared directly to canonical Wright’s-law airframe values</w:t>
      </w:r>
      <w:r>
        <w:t xml:space="preserve"> </w:t>
      </w:r>
      <w:hyperlink w:anchor="ref-8">
        <w:r>
          <w:rPr>
            <w:rStyle w:val="Hyperlink"/>
          </w:rPr>
          <w:t xml:space="preserve">[8]</w:t>
        </w:r>
      </w:hyperlink>
      <w:r>
        <w:t xml:space="preserve"> </w:t>
      </w:r>
      <w:r>
        <w:t xml:space="preserve">without that translation.</w:t>
      </w:r>
    </w:p>
    <w:p>
      <w:pPr>
        <w:pStyle w:val="BodyText"/>
        <w:spacing w:line="480" w:lineRule="auto"/>
        <w:ind w:firstLine="720"/>
      </w:pPr>
      <w:r>
        <w:t xml:space="preserve">With the measurement chain documented end to end in this chapter, the analytical chapter that follows is free to focus on the estimators, the threshold identification, and the structural M/G/c calibration without reopening source-priority or unit-harmonization questions. The mission-week panel build described in Sections 4.4 and 4.7 is the operational hand-off from the cross-sectional foundation laid in Papers 1 and 2 to the panel identification proposed in the prospectus. That hand-off is the analytical bridge of Chapter 5.</w:t>
      </w:r>
    </w:p>
    <w:bookmarkEnd w:id="91"/>
    <w:bookmarkEnd w:id="92"/>
    <w:bookmarkStart w:id="100" w:name="chapter-5.-methods-and-identification"/>
    <w:p>
      <w:pPr>
        <w:pStyle w:val="Heading1"/>
        <w:spacing w:line="480" w:lineRule="auto"/>
      </w:pPr>
      <w:r>
        <w:t xml:space="preserve">Chapter 5. Methods and Identification</w:t>
      </w:r>
    </w:p>
    <w:bookmarkStart w:id="93" w:name="overview"/>
    <w:p>
      <w:pPr>
        <w:pStyle w:val="Heading2"/>
        <w:spacing w:line="480" w:lineRule="auto"/>
      </w:pPr>
      <w:r>
        <w:t xml:space="preserve">5.1 Overview</w:t>
      </w:r>
    </w:p>
    <w:p>
      <w:pPr>
        <w:pStyle w:val="FirstParagraph"/>
        <w:spacing w:line="480" w:lineRule="auto"/>
      </w:pPr>
      <w:r>
        <w:t xml:space="preserve">This chapter sets out the empirical machinery used to recover the central object of the dissertation, namely the marginal congestion cost imposed on per-mission science throughput by an additional admitted spacecraft on the Deep Space Network. Chapters 3 and 4 motivated the queueing interpretation of the DSN and described the assembled mission-week panel drawn from public scheduling logs, Planetary Data System (PDS) deliveries, mission telecommunications budgets, and JPL Horizons ephemeris. The present chapter specifies the estimators that act on that panel, the identification strategy that gives the recovered coefficients a causal rather than a merely descriptive reading, and the threats to validity that any honest treatment of those estimates must confront. The exposition is organised so that each estimator is paired explicitly with the identification assumption it requires, and each assumption is paired explicitly with the diagnostic that probes its credibility.</w:t>
      </w:r>
    </w:p>
    <w:p>
      <w:pPr>
        <w:pStyle w:val="BodyText"/>
        <w:spacing w:line="480" w:lineRule="auto"/>
        <w:ind w:firstLine="720"/>
      </w:pPr>
      <w:r>
        <w:t xml:space="preserve">Three estimators are used in sequence. The first is a reduced-form within-mission fixed-effects panel regression of science bits returned per allocated antenna hour on contemporaneous admitted mission load, with full controls for spacecraft geometry, scheduled link rate, and weather outages. The second is a threshold model that recovers a single break point in the load variable using the sup-Wald procedure due to Andrews. The third is a structural M/G/c queueing specification, calibrated against the per-complex empirical service-time distribution, that is used both as a triangulation device for the reduced-form coefficient and as the analytical vehicle for the external-validity discussion concerning relay topologies of the type assessed by Betriu and coauthors [3, 22] and data-mule architectures of the kind optimised by Pascarella and coauthors</w:t>
      </w:r>
      <w:r>
        <w:t xml:space="preserve"> </w:t>
      </w:r>
      <w:hyperlink w:anchor="ref-4">
        <w:r>
          <w:rPr>
            <w:rStyle w:val="Hyperlink"/>
          </w:rPr>
          <w:t xml:space="preserve">[4]</w:t>
        </w:r>
      </w:hyperlink>
      <w:r>
        <w:t xml:space="preserve">. The three estimators are reported in parallel in Chapter 6 and the reader is asked to update beliefs about the congestion frontier on the basis of their joint behaviour rather than on any single point estimate.</w:t>
      </w:r>
    </w:p>
    <w:p>
      <w:pPr>
        <w:pStyle w:val="BodyText"/>
        <w:spacing w:line="480" w:lineRule="auto"/>
        <w:ind w:firstLine="720"/>
      </w:pPr>
      <w:r>
        <w:t xml:space="preserve">The chapter proceeds as follows. Section 5.2 fixes notation and introduces the dependent variable. Section 5.3 specifies the panel estimator. Section 5.4 develops the threshold estimator and the test of the threshold null. Section 5.5 specifies the structural queueing model and its calibration. Section 5.6 sets out the identification strategy in detail, including the instrument used to break the simultaneity between admitted load and per-mission productivity. Section 5.7 enumerates the four material threats to validity and the bound placed on each.</w:t>
      </w:r>
    </w:p>
    <w:bookmarkEnd w:id="93"/>
    <w:bookmarkStart w:id="94" w:name="notation-and-the-dependent-variable"/>
    <w:p>
      <w:pPr>
        <w:pStyle w:val="Heading2"/>
        <w:spacing w:line="480" w:lineRule="auto"/>
      </w:pPr>
      <w:r>
        <w:t xml:space="preserve">5.2 Notation and the Dependent Variable</w:t>
      </w:r>
    </w:p>
    <w:p>
      <w:pPr>
        <w:pStyle w:val="FirstParagraph"/>
        <w:spacing w:line="480" w:lineRule="auto"/>
      </w:pPr>
      <w:r>
        <w:t xml:space="preserve">Let</w:t>
      </w:r>
      <w:r>
        <w:t xml:space="preserve"> </w:t>
      </w:r>
      <m:oMath>
        <m:r>
          <m:t>i</m:t>
        </m:r>
      </m:oMath>
      <w:r>
        <w:t xml:space="preserve"> </w:t>
      </w:r>
      <w:r>
        <w:t xml:space="preserve">index missions,</w:t>
      </w:r>
      <w:r>
        <w:t xml:space="preserve"> </w:t>
      </w:r>
      <m:oMath>
        <m:r>
          <m:t>c</m:t>
        </m:r>
        <m:r>
          <m:rPr>
            <m:sty m:val="p"/>
          </m:rPr>
          <m:t>∈</m:t>
        </m:r>
        <m:r>
          <m:rPr>
            <m:sty m:val="p"/>
          </m:rPr>
          <m:t>{</m:t>
        </m:r>
        <m:r>
          <m:rPr>
            <m:sty m:val="p"/>
          </m:rPr>
          <m:t>G</m:t>
        </m:r>
        <m:r>
          <m:rPr>
            <m:sty m:val="p"/>
          </m:rPr>
          <m:t>D</m:t>
        </m:r>
        <m:r>
          <m:rPr>
            <m:sty m:val="p"/>
          </m:rPr>
          <m:t>S</m:t>
        </m:r>
        <m:r>
          <m:rPr>
            <m:sty m:val="p"/>
          </m:rPr>
          <m:t>,</m:t>
        </m:r>
        <m:r>
          <m:rPr>
            <m:sty m:val="p"/>
          </m:rPr>
          <m:t>M</m:t>
        </m:r>
        <m:r>
          <m:rPr>
            <m:sty m:val="p"/>
          </m:rPr>
          <m:t>D</m:t>
        </m:r>
        <m:r>
          <m:rPr>
            <m:sty m:val="p"/>
          </m:rPr>
          <m:t>S</m:t>
        </m:r>
        <m:r>
          <m:rPr>
            <m:sty m:val="p"/>
          </m:rPr>
          <m:t>,</m:t>
        </m:r>
        <m:r>
          <m:rPr>
            <m:sty m:val="p"/>
          </m:rPr>
          <m:t>C</m:t>
        </m:r>
        <m:r>
          <m:rPr>
            <m:sty m:val="p"/>
          </m:rPr>
          <m:t>D</m:t>
        </m:r>
        <m:r>
          <m:rPr>
            <m:sty m:val="p"/>
          </m:rPr>
          <m:t>S</m:t>
        </m:r>
        <m:r>
          <m:rPr>
            <m:sty m:val="p"/>
          </m:rPr>
          <m:t>}</m:t>
        </m:r>
      </m:oMath>
      <w:r>
        <w:t xml:space="preserve"> </w:t>
      </w:r>
      <w:r>
        <w:t xml:space="preserve">index the three DSN complexes at Goldstone, Madrid, and Canberra, and</w:t>
      </w:r>
      <w:r>
        <w:t xml:space="preserve"> </w:t>
      </w:r>
      <m:oMath>
        <m:r>
          <m:t>t</m:t>
        </m:r>
      </m:oMath>
      <w:r>
        <w:t xml:space="preserve"> </w:t>
      </w:r>
      <w:r>
        <w:t xml:space="preserve">index calendar weeks from the first week of 2014 through the last full week of the most recent PDS delivery. The unit of observation is the mission-week</w:t>
      </w:r>
      <w:r>
        <w:t xml:space="preserve"> </w:t>
      </w:r>
      <m:oMath>
        <m:r>
          <m:rPr>
            <m:sty m:val="p"/>
          </m:rPr>
          <m:t>(</m:t>
        </m:r>
        <m:r>
          <m:t>i</m:t>
        </m:r>
        <m:r>
          <m:rPr>
            <m:sty m:val="p"/>
          </m:rPr>
          <m:t>,</m:t>
        </m:r>
        <m:r>
          <m:t>t</m:t>
        </m:r>
        <m:r>
          <m:rPr>
            <m:sty m:val="p"/>
          </m:rPr>
          <m:t>)</m:t>
        </m:r>
      </m:oMath>
      <w:r>
        <w:t xml:space="preserve">. For each such cell, let</w:t>
      </w:r>
      <w:r>
        <w:t xml:space="preserve"> </w:t>
      </w:r>
      <m:oMath>
        <m:sSub>
          <m:e>
            <m:r>
              <m:t>B</m:t>
            </m:r>
          </m:e>
          <m:sub>
            <m:r>
              <m:t>i</m:t>
            </m:r>
            <m:r>
              <m:t>t</m:t>
            </m:r>
          </m:sub>
        </m:sSub>
      </m:oMath>
      <w:r>
        <w:t xml:space="preserve"> </w:t>
      </w:r>
      <w:r>
        <w:t xml:space="preserve">denote the number of science bits returned by mission</w:t>
      </w:r>
      <w:r>
        <w:t xml:space="preserve"> </w:t>
      </w:r>
      <m:oMath>
        <m:r>
          <m:t>i</m:t>
        </m:r>
      </m:oMath>
      <w:r>
        <w:t xml:space="preserve"> </w:t>
      </w:r>
      <w:r>
        <w:t xml:space="preserve">in week</w:t>
      </w:r>
      <w:r>
        <w:t xml:space="preserve"> </w:t>
      </w:r>
      <m:oMath>
        <m:r>
          <m:t>t</m:t>
        </m:r>
      </m:oMath>
      <w:r>
        <w:t xml:space="preserve"> </w:t>
      </w:r>
      <w:r>
        <w:t xml:space="preserve">as recorded in the matched PDS deliveries, and let</w:t>
      </w:r>
      <w:r>
        <w:t xml:space="preserve"> </w:t>
      </w:r>
      <m:oMath>
        <m:sSub>
          <m:e>
            <m:r>
              <m:t>H</m:t>
            </m:r>
          </m:e>
          <m:sub>
            <m:r>
              <m:t>i</m:t>
            </m:r>
            <m:r>
              <m:t>t</m:t>
            </m:r>
          </m:sub>
        </m:sSub>
      </m:oMath>
      <w:r>
        <w:t xml:space="preserve"> </w:t>
      </w:r>
      <w:r>
        <w:t xml:space="preserve">denote the total allocated DSN antenna hours received by mission</w:t>
      </w:r>
      <w:r>
        <w:t xml:space="preserve"> </w:t>
      </w:r>
      <m:oMath>
        <m:r>
          <m:t>i</m:t>
        </m:r>
      </m:oMath>
      <w:r>
        <w:t xml:space="preserve"> </w:t>
      </w:r>
      <w:r>
        <w:t xml:space="preserve">in week</w:t>
      </w:r>
      <w:r>
        <w:t xml:space="preserve"> </w:t>
      </w:r>
      <m:oMath>
        <m:r>
          <m:t>t</m:t>
        </m:r>
      </m:oMath>
      <w:r>
        <w:t xml:space="preserve"> </w:t>
      </w:r>
      <w:r>
        <w:t xml:space="preserve">across all three complexes. The dependent variable is</w:t>
      </w:r>
    </w:p>
    <w:p>
      <w:pPr>
        <w:pStyle w:val="BodyText"/>
        <w:spacing w:line="480" w:lineRule="auto"/>
        <w:ind w:firstLine="720"/>
      </w:pPr>
      <m:oMathPara>
        <m:oMathParaPr>
          <m:jc m:val="center"/>
        </m:oMathParaPr>
        <m:oMath>
          <m:sSub>
            <m:e>
              <m:r>
                <m:t>y</m:t>
              </m:r>
            </m:e>
            <m:sub>
              <m:r>
                <m:t>i</m:t>
              </m:r>
              <m:r>
                <m:t>t</m:t>
              </m:r>
            </m:sub>
          </m:sSub>
          <m:r>
            <m:t> </m:t>
          </m:r>
          <m:r>
            <m:rPr>
              <m:sty m:val="p"/>
            </m:rPr>
            <m:t>=</m:t>
          </m:r>
          <m:r>
            <m:t> </m:t>
          </m:r>
          <m:r>
            <m:rPr>
              <m:sty m:val="p"/>
            </m:rPr>
            <m:t>ln</m:t>
          </m:r>
          <m:r>
            <m:t>​</m:t>
          </m:r>
          <m:d>
            <m:dPr>
              <m:begChr m:val="("/>
              <m:sepChr m:val=""/>
              <m:endChr m:val=")"/>
              <m:grow/>
            </m:dPr>
            <m:e>
              <m:f>
                <m:fPr>
                  <m:type m:val="bar"/>
                </m:fPr>
                <m:num>
                  <m:sSub>
                    <m:e>
                      <m:r>
                        <m:t>B</m:t>
                      </m:r>
                    </m:e>
                    <m:sub>
                      <m:r>
                        <m:t>i</m:t>
                      </m:r>
                      <m:r>
                        <m:t>t</m:t>
                      </m:r>
                    </m:sub>
                  </m:sSub>
                </m:num>
                <m:den>
                  <m:sSub>
                    <m:e>
                      <m:r>
                        <m:t>H</m:t>
                      </m:r>
                    </m:e>
                    <m:sub>
                      <m:r>
                        <m:t>i</m:t>
                      </m:r>
                      <m:r>
                        <m:t>t</m:t>
                      </m:r>
                    </m:sub>
                  </m:sSub>
                </m:den>
              </m:f>
            </m:e>
          </m:d>
          <m:r>
            <m:rPr>
              <m:sty m:val="p"/>
            </m:rPr>
            <m:t>,</m:t>
          </m:r>
        </m:oMath>
      </m:oMathPara>
    </w:p>
    <w:p>
      <w:pPr>
        <w:pStyle w:val="FirstParagraph"/>
        <w:spacing w:line="480" w:lineRule="auto"/>
      </w:pPr>
      <w:r>
        <w:t xml:space="preserve">the natural logarithm of science bits returned per allocated antenna hour. The logarithmic transform is adopted because the underlying ratio spans many orders of magnitude across the active portfolio, from sub-kilobit-per-hour cruise-phase telemetry to near-Ka-band peak returns from inner-system orbiters, a span documented in the cross-mission OLS evidence reported in research paper P1 and consistent with the channel-wide capability scaling estimated in paper P2 against Wright’s-law cumulative experience</w:t>
      </w:r>
      <w:r>
        <w:t xml:space="preserve"> </w:t>
      </w:r>
      <w:hyperlink w:anchor="ref-8">
        <w:r>
          <w:rPr>
            <w:rStyle w:val="Hyperlink"/>
          </w:rPr>
          <w:t xml:space="preserve">[8]</w:t>
        </w:r>
      </w:hyperlink>
      <w:r>
        <w:t xml:space="preserve">.</w:t>
      </w:r>
    </w:p>
    <w:p>
      <w:pPr>
        <w:pStyle w:val="BodyText"/>
        <w:spacing w:line="480" w:lineRule="auto"/>
        <w:ind w:firstLine="720"/>
      </w:pPr>
      <w:r>
        <w:t xml:space="preserve">The right-hand variables fall into three groups. Mission geometry and link engineering are captured by the natural logarithm of one-way slant range</w:t>
      </w:r>
      <w:r>
        <w:t xml:space="preserve"> </w:t>
      </w:r>
      <m:oMath>
        <m:sSub>
          <m:e>
            <m:r>
              <m:t>D</m:t>
            </m:r>
          </m:e>
          <m:sub>
            <m:r>
              <m:t>i</m:t>
            </m:r>
            <m:r>
              <m:t>t</m:t>
            </m:r>
          </m:sub>
        </m:sSub>
      </m:oMath>
      <w:r>
        <w:t xml:space="preserve"> </w:t>
      </w:r>
      <w:r>
        <w:t xml:space="preserve">in astronomical units, derived from JPL Horizons, and the natural logarithm of the scheduled peak telemetry rate</w:t>
      </w:r>
      <w:r>
        <w:t xml:space="preserve"> </w:t>
      </w:r>
      <m:oMath>
        <m:sSub>
          <m:e>
            <m:r>
              <m:t>R</m:t>
            </m:r>
          </m:e>
          <m:sub>
            <m:r>
              <m:t>i</m:t>
            </m:r>
            <m:r>
              <m:t>t</m:t>
            </m:r>
          </m:sub>
        </m:sSub>
      </m:oMath>
      <w:r>
        <w:t xml:space="preserve"> </w:t>
      </w:r>
      <w:r>
        <w:t xml:space="preserve">in bits per second, derived from mission-specific user guides and the DESCANSO monograph series [10, 11]. Ground-segment conditions are captured by per-complex weather outage minutes</w:t>
      </w:r>
      <w:r>
        <w:t xml:space="preserve"> </w:t>
      </w:r>
      <m:oMath>
        <m:sSub>
          <m:e>
            <m:r>
              <m:t>W</m:t>
            </m:r>
          </m:e>
          <m:sub>
            <m:r>
              <m:t>c</m:t>
            </m:r>
            <m:r>
              <m:t>t</m:t>
            </m:r>
          </m:sub>
        </m:sSub>
      </m:oMath>
      <w:r>
        <w:t xml:space="preserve">, drawn from the published DSN operations log, summed across the complexes from which mission</w:t>
      </w:r>
      <w:r>
        <w:t xml:space="preserve"> </w:t>
      </w:r>
      <m:oMath>
        <m:r>
          <m:t>i</m:t>
        </m:r>
      </m:oMath>
      <w:r>
        <w:t xml:space="preserve"> </w:t>
      </w:r>
      <w:r>
        <w:t xml:space="preserve">received contact in week</w:t>
      </w:r>
      <w:r>
        <w:t xml:space="preserve"> </w:t>
      </w:r>
      <m:oMath>
        <m:r>
          <m:t>t</m:t>
        </m:r>
      </m:oMath>
      <w:r>
        <w:t xml:space="preserve">. Mission priority class is captured by a small set of fixed indicators recovered from the published scheduling priority categories. The treatment variable is admitted mission load,</w:t>
      </w:r>
      <w:r>
        <w:t xml:space="preserve"> </w:t>
      </w:r>
      <m:oMath>
        <m:sSub>
          <m:e>
            <m:r>
              <m:t>L</m:t>
            </m:r>
          </m:e>
          <m:sub>
            <m:r>
              <m:t>t</m:t>
            </m:r>
          </m:sub>
        </m:sSub>
      </m:oMath>
      <w:r>
        <w:t xml:space="preserve">, defined as the count of spacecraft holding active DSN service contracts in week</w:t>
      </w:r>
      <w:r>
        <w:t xml:space="preserve"> </w:t>
      </w:r>
      <m:oMath>
        <m:r>
          <m:t>t</m:t>
        </m:r>
      </m:oMath>
      <w:r>
        <w:t xml:space="preserve">.</w:t>
      </w:r>
    </w:p>
    <w:bookmarkEnd w:id="94"/>
    <w:bookmarkStart w:id="95" w:name="the-reduced-form-panel-estimator"/>
    <w:p>
      <w:pPr>
        <w:pStyle w:val="Heading2"/>
        <w:spacing w:line="480" w:lineRule="auto"/>
      </w:pPr>
      <w:r>
        <w:t xml:space="preserve">5.3 The Reduced-Form Panel Estimator</w:t>
      </w:r>
    </w:p>
    <w:p>
      <w:pPr>
        <w:pStyle w:val="FirstParagraph"/>
        <w:spacing w:line="480" w:lineRule="auto"/>
      </w:pPr>
      <w:r>
        <w:t xml:space="preserve">The baseline reduced-form specification is the two-way fixed-effects regression</w:t>
      </w:r>
    </w:p>
    <w:p>
      <w:pPr>
        <w:pStyle w:val="BodyText"/>
        <w:spacing w:line="480" w:lineRule="auto"/>
        <w:ind w:firstLine="720"/>
      </w:pPr>
      <m:oMathPara>
        <m:oMathParaPr>
          <m:jc m:val="center"/>
        </m:oMathParaPr>
        <m:oMath>
          <m:sSub>
            <m:e>
              <m:r>
                <m:t>y</m:t>
              </m:r>
            </m:e>
            <m:sub>
              <m:r>
                <m:t>i</m:t>
              </m:r>
              <m:r>
                <m:t>t</m:t>
              </m:r>
            </m:sub>
          </m:sSub>
          <m:r>
            <m:t> </m:t>
          </m:r>
          <m:r>
            <m:rPr>
              <m:sty m:val="p"/>
            </m:rPr>
            <m:t>=</m:t>
          </m:r>
          <m:r>
            <m:t> </m:t>
          </m:r>
          <m:r>
            <m:t>β</m:t>
          </m:r>
          <m:r>
            <m:t> </m:t>
          </m:r>
          <m:sSub>
            <m:e>
              <m:r>
                <m:t>L</m:t>
              </m:r>
            </m:e>
            <m:sub>
              <m:r>
                <m:t>t</m:t>
              </m:r>
            </m:sub>
          </m:sSub>
          <m:r>
            <m:t> </m:t>
          </m:r>
          <m:r>
            <m:rPr>
              <m:sty m:val="p"/>
            </m:rPr>
            <m:t>+</m:t>
          </m:r>
          <m:r>
            <m:t> </m:t>
          </m:r>
          <m:sSub>
            <m:e>
              <m:r>
                <m:t>γ</m:t>
              </m:r>
            </m:e>
            <m:sub>
              <m:r>
                <m:t>1</m:t>
              </m:r>
            </m:sub>
          </m:sSub>
          <m:r>
            <m:rPr>
              <m:sty m:val="p"/>
            </m:rPr>
            <m:t>ln</m:t>
          </m:r>
          <m:sSub>
            <m:e>
              <m:r>
                <m:t>D</m:t>
              </m:r>
            </m:e>
            <m:sub>
              <m:r>
                <m:t>i</m:t>
              </m:r>
              <m:r>
                <m:t>t</m:t>
              </m:r>
            </m:sub>
          </m:sSub>
          <m:r>
            <m:t> </m:t>
          </m:r>
          <m:r>
            <m:rPr>
              <m:sty m:val="p"/>
            </m:rPr>
            <m:t>+</m:t>
          </m:r>
          <m:r>
            <m:t> </m:t>
          </m:r>
          <m:sSub>
            <m:e>
              <m:r>
                <m:t>γ</m:t>
              </m:r>
            </m:e>
            <m:sub>
              <m:r>
                <m:t>2</m:t>
              </m:r>
            </m:sub>
          </m:sSub>
          <m:r>
            <m:rPr>
              <m:sty m:val="p"/>
            </m:rPr>
            <m:t>ln</m:t>
          </m:r>
          <m:sSub>
            <m:e>
              <m:r>
                <m:t>R</m:t>
              </m:r>
            </m:e>
            <m:sub>
              <m:r>
                <m:t>i</m:t>
              </m:r>
              <m:r>
                <m:t>t</m:t>
              </m:r>
            </m:sub>
          </m:sSub>
          <m:r>
            <m:t> </m:t>
          </m:r>
          <m:r>
            <m:rPr>
              <m:sty m:val="p"/>
            </m:rPr>
            <m:t>+</m:t>
          </m:r>
          <m:r>
            <m:t> </m:t>
          </m:r>
          <m:sSub>
            <m:e>
              <m:r>
                <m:t>γ</m:t>
              </m:r>
            </m:e>
            <m:sub>
              <m:r>
                <m:t>3</m:t>
              </m:r>
            </m:sub>
          </m:sSub>
          <m:sSub>
            <m:e>
              <m:r>
                <m:t>W</m:t>
              </m:r>
            </m:e>
            <m:sub>
              <m:r>
                <m:t>c</m:t>
              </m:r>
              <m:r>
                <m:t>t</m:t>
              </m:r>
              <m:r>
                <m:rPr>
                  <m:sty m:val="p"/>
                </m:rPr>
                <m:t>(</m:t>
              </m:r>
              <m:r>
                <m:t>i</m:t>
              </m:r>
              <m:r>
                <m:rPr>
                  <m:sty m:val="p"/>
                </m:rPr>
                <m:t>,</m:t>
              </m:r>
              <m:r>
                <m:t>t</m:t>
              </m:r>
              <m:r>
                <m:rPr>
                  <m:sty m:val="p"/>
                </m:rPr>
                <m:t>)</m:t>
              </m:r>
            </m:sub>
          </m:sSub>
          <m:r>
            <m:t> </m:t>
          </m:r>
          <m:r>
            <m:rPr>
              <m:sty m:val="p"/>
            </m:rPr>
            <m:t>+</m:t>
          </m:r>
          <m:r>
            <m:t> </m:t>
          </m:r>
          <m:sSub>
            <m:e>
              <m:r>
                <m:t>δ</m:t>
              </m:r>
            </m:e>
            <m:sub>
              <m:r>
                <m:t>p</m:t>
              </m:r>
            </m:sub>
          </m:sSub>
          <m:r>
            <m:t> </m:t>
          </m:r>
          <m:r>
            <m:rPr>
              <m:sty m:val="b"/>
            </m:rPr>
            <m:t>1</m:t>
          </m:r>
          <m:r>
            <m:rPr>
              <m:sty m:val="p"/>
            </m:rPr>
            <m:t>{</m:t>
          </m:r>
          <m:sSub>
            <m:e>
              <m:r>
                <m:t>p</m:t>
              </m:r>
            </m:e>
            <m:sub>
              <m:r>
                <m:t>i</m:t>
              </m:r>
              <m:r>
                <m:t>t</m:t>
              </m:r>
            </m:sub>
          </m:sSub>
          <m:r>
            <m:rPr>
              <m:sty m:val="p"/>
            </m:rPr>
            <m:t>=</m:t>
          </m:r>
          <m:r>
            <m:t>p</m:t>
          </m:r>
          <m:r>
            <m:rPr>
              <m:sty m:val="p"/>
            </m:rPr>
            <m:t>}</m:t>
          </m:r>
          <m:r>
            <m:t> </m:t>
          </m:r>
          <m:r>
            <m:rPr>
              <m:sty m:val="p"/>
            </m:rPr>
            <m:t>+</m:t>
          </m:r>
          <m:r>
            <m:t> </m:t>
          </m:r>
          <m:sSub>
            <m:e>
              <m:r>
                <m:t>α</m:t>
              </m:r>
            </m:e>
            <m:sub>
              <m:r>
                <m:t>i</m:t>
              </m:r>
            </m:sub>
          </m:sSub>
          <m:r>
            <m:t> </m:t>
          </m:r>
          <m:r>
            <m:rPr>
              <m:sty m:val="p"/>
            </m:rPr>
            <m:t>+</m:t>
          </m:r>
          <m:r>
            <m:t> </m:t>
          </m:r>
          <m:sSub>
            <m:e>
              <m:r>
                <m:t>τ</m:t>
              </m:r>
            </m:e>
            <m:sub>
              <m:r>
                <m:t>q</m:t>
              </m:r>
            </m:sub>
          </m:sSub>
          <m:r>
            <m:t> </m:t>
          </m:r>
          <m:r>
            <m:rPr>
              <m:sty m:val="p"/>
            </m:rPr>
            <m:t>+</m:t>
          </m:r>
          <m:r>
            <m:t> </m:t>
          </m:r>
          <m:sSub>
            <m:e>
              <m:r>
                <m:t>ε</m:t>
              </m:r>
            </m:e>
            <m:sub>
              <m:r>
                <m:t>i</m:t>
              </m:r>
              <m:r>
                <m:t>t</m:t>
              </m:r>
            </m:sub>
          </m:sSub>
          <m:r>
            <m:rPr>
              <m:sty m:val="p"/>
            </m:rPr>
            <m:t>,</m:t>
          </m:r>
        </m:oMath>
      </m:oMathPara>
    </w:p>
    <w:p>
      <w:pPr>
        <w:pStyle w:val="FirstParagraph"/>
        <w:spacing w:line="480" w:lineRule="auto"/>
      </w:pPr>
      <w:r>
        <w:t xml:space="preserve">where</w:t>
      </w:r>
      <w:r>
        <w:t xml:space="preserve"> </w:t>
      </w:r>
      <m:oMath>
        <m:sSub>
          <m:e>
            <m:r>
              <m:t>α</m:t>
            </m:r>
          </m:e>
          <m:sub>
            <m:r>
              <m:t>i</m:t>
            </m:r>
          </m:sub>
        </m:sSub>
      </m:oMath>
      <w:r>
        <w:t xml:space="preserve"> </w:t>
      </w:r>
      <w:r>
        <w:t xml:space="preserve">is a mission fixed effect,</w:t>
      </w:r>
      <w:r>
        <w:t xml:space="preserve"> </w:t>
      </w:r>
      <m:oMath>
        <m:sSub>
          <m:e>
            <m:r>
              <m:t>τ</m:t>
            </m:r>
          </m:e>
          <m:sub>
            <m:r>
              <m:t>q</m:t>
            </m:r>
          </m:sub>
        </m:sSub>
      </m:oMath>
      <w:r>
        <w:t xml:space="preserve"> </w:t>
      </w:r>
      <w:r>
        <w:t xml:space="preserve">is a calendar-quarter fixed effect that absorbs slow channel-wide capability drift of the kind quantified in paper P2,</w:t>
      </w:r>
      <w:r>
        <w:t xml:space="preserve"> </w:t>
      </w:r>
      <m:oMath>
        <m:sSub>
          <m:e>
            <m:r>
              <m:t>δ</m:t>
            </m:r>
          </m:e>
          <m:sub>
            <m:r>
              <m:t>p</m:t>
            </m:r>
          </m:sub>
        </m:sSub>
      </m:oMath>
      <w:r>
        <w:t xml:space="preserve"> </w:t>
      </w:r>
      <w:r>
        <w:t xml:space="preserve">are mission-priority indicators,</w:t>
      </w:r>
      <w:r>
        <w:t xml:space="preserve"> </w:t>
      </w:r>
      <m:oMath>
        <m:sSub>
          <m:e>
            <m:r>
              <m:t>ε</m:t>
            </m:r>
          </m:e>
          <m:sub>
            <m:r>
              <m:t>i</m:t>
            </m:r>
            <m:r>
              <m:t>t</m:t>
            </m:r>
          </m:sub>
        </m:sSub>
      </m:oMath>
      <w:r>
        <w:t xml:space="preserve"> </w:t>
      </w:r>
      <w:r>
        <w:t xml:space="preserve">is an idiosyncratic disturbance, and the coefficient of interest is the semi-elasticity</w:t>
      </w:r>
      <w:r>
        <w:t xml:space="preserve"> </w:t>
      </w:r>
      <m:oMath>
        <m:r>
          <m:t>β</m:t>
        </m:r>
      </m:oMath>
      <w:r>
        <w:t xml:space="preserve">. Under H0 of the prospectus,</w:t>
      </w:r>
      <w:r>
        <w:t xml:space="preserve"> </w:t>
      </w:r>
      <m:oMath>
        <m:r>
          <m:t>β</m:t>
        </m:r>
        <m:r>
          <m:rPr>
            <m:sty m:val="p"/>
          </m:rPr>
          <m:t>=</m:t>
        </m:r>
        <m:r>
          <m:t>0</m:t>
        </m:r>
      </m:oMath>
      <w:r>
        <w:t xml:space="preserve">. Under H1,</w:t>
      </w:r>
      <w:r>
        <w:t xml:space="preserve"> </w:t>
      </w:r>
      <m:oMath>
        <m:r>
          <m:t>β</m:t>
        </m:r>
        <m:r>
          <m:rPr>
            <m:sty m:val="p"/>
          </m:rPr>
          <m:t>&lt;</m:t>
        </m:r>
        <m:r>
          <m:t>0</m:t>
        </m:r>
      </m:oMath>
      <w:r>
        <w:t xml:space="preserve"> </w:t>
      </w:r>
      <w:r>
        <w:t xml:space="preserve">above a threshold load</w:t>
      </w:r>
      <w:r>
        <w:t xml:space="preserve"> </w:t>
      </w:r>
      <m:oMath>
        <m:sSup>
          <m:e>
            <m:r>
              <m:t>L</m:t>
            </m:r>
          </m:e>
          <m:sup>
            <m:r>
              <m:rPr>
                <m:sty m:val="p"/>
              </m:rPr>
              <m:t>*</m:t>
            </m:r>
          </m:sup>
        </m:sSup>
      </m:oMath>
      <w:r>
        <w:t xml:space="preserve"> </w:t>
      </w:r>
      <w:r>
        <w:t xml:space="preserve">to be identified separately in Section 5.4.</w:t>
      </w:r>
    </w:p>
    <w:p>
      <w:pPr>
        <w:pStyle w:val="BodyText"/>
        <w:spacing w:line="480" w:lineRule="auto"/>
        <w:ind w:firstLine="720"/>
      </w:pPr>
      <w:r>
        <w:t xml:space="preserve">Three features of the specification deserve comment. First, the mission fixed effect absorbs all time-invariant differences in instrument suite, downlink-side aperture, and onboard data-handling architecture, including the time-invariant component of the cross-mission heterogeneity that paper P1 documents as economically large in the cross-section. The reduced-form</w:t>
      </w:r>
      <w:r>
        <w:t xml:space="preserve"> </w:t>
      </w:r>
      <m:oMath>
        <m:r>
          <m:t>β</m:t>
        </m:r>
      </m:oMath>
      <w:r>
        <w:t xml:space="preserve"> </w:t>
      </w:r>
      <w:r>
        <w:t xml:space="preserve">is therefore identified strictly off within-mission variation in load and within-mission variation in the realised bits-per-hour ratio. Second, the calendar-quarter fixed effect absorbs the channel-wide capability accretion that the Wright’s-law analysis of paper P2 quantifies and that would otherwise correlate positively with cumulative admitted load and bias</w:t>
      </w:r>
      <w:r>
        <w:t xml:space="preserve"> </w:t>
      </w:r>
      <m:oMath>
        <m:acc>
          <m:accPr>
            <m:chr m:val="̂"/>
          </m:accPr>
          <m:e>
            <m:r>
              <m:t>β</m:t>
            </m:r>
          </m:e>
        </m:acc>
      </m:oMath>
      <w:r>
        <w:t xml:space="preserve"> </w:t>
      </w:r>
      <w:r>
        <w:t xml:space="preserve">toward zero. Third, the weather-outage control is entered as raw minutes per relevant complex rather than as a logarithm because outage minutes are zero in a non-trivial share of mission-weeks and the linear specification preserves the zero. Standard errors are clustered two-way at the mission and calendar-week levels to accommodate persistent within-mission shocks and contemporaneous across-mission shocks of the kind that would arise from a network-wide outage at a single complex.</w:t>
      </w:r>
    </w:p>
    <w:p>
      <w:pPr>
        <w:pStyle w:val="BodyText"/>
        <w:spacing w:line="480" w:lineRule="auto"/>
        <w:ind w:firstLine="720"/>
      </w:pPr>
      <w:r>
        <w:t xml:space="preserve">The estimator is OLS within the two-way fixed-effects projection, with Driscoll-Kraay or equivalent heteroskedasticity- and autocorrelation-robust standard errors used as a robustness check. The reduced-form coefficient</w:t>
      </w:r>
      <w:r>
        <w:t xml:space="preserve"> </w:t>
      </w:r>
      <m:oMath>
        <m:acc>
          <m:accPr>
            <m:chr m:val="̂"/>
          </m:accPr>
          <m:e>
            <m:r>
              <m:t>β</m:t>
            </m:r>
          </m:e>
        </m:acc>
      </m:oMath>
      <w:r>
        <w:t xml:space="preserve"> </w:t>
      </w:r>
      <w:r>
        <w:t xml:space="preserve">is interpreted as the average per-mission bits-per-hour response to a one-mission rise in admitted load, holding geometry, link engineering, weather, and priority constant. A negative and statistically distinguishable</w:t>
      </w:r>
      <w:r>
        <w:t xml:space="preserve"> </w:t>
      </w:r>
      <m:oMath>
        <m:acc>
          <m:accPr>
            <m:chr m:val="̂"/>
          </m:accPr>
          <m:e>
            <m:r>
              <m:t>β</m:t>
            </m:r>
          </m:e>
        </m:acc>
      </m:oMath>
      <w:r>
        <w:t xml:space="preserve"> </w:t>
      </w:r>
      <w:r>
        <w:t xml:space="preserve">rejects H0 in favour of H1 and recovers the marginal congestion cost in science-bits-per-mission units.</w:t>
      </w:r>
    </w:p>
    <w:bookmarkEnd w:id="95"/>
    <w:bookmarkStart w:id="96" w:name="the-threshold-estimator"/>
    <w:p>
      <w:pPr>
        <w:pStyle w:val="Heading2"/>
        <w:spacing w:line="480" w:lineRule="auto"/>
      </w:pPr>
      <w:r>
        <w:t xml:space="preserve">5.4 The Threshold Estimator</w:t>
      </w:r>
    </w:p>
    <w:p>
      <w:pPr>
        <w:pStyle w:val="FirstParagraph"/>
        <w:spacing w:line="480" w:lineRule="auto"/>
      </w:pPr>
      <w:r>
        <w:t xml:space="preserve">The reduced-form regression treats the load effect as linear. The richer prediction of the queueing interpretation is that the effect is approximately null below a threshold load</w:t>
      </w:r>
      <w:r>
        <w:t xml:space="preserve"> </w:t>
      </w:r>
      <m:oMath>
        <m:sSup>
          <m:e>
            <m:r>
              <m:t>L</m:t>
            </m:r>
          </m:e>
          <m:sup>
            <m:r>
              <m:rPr>
                <m:sty m:val="p"/>
              </m:rPr>
              <m:t>*</m:t>
            </m:r>
          </m:sup>
        </m:sSup>
      </m:oMath>
      <w:r>
        <w:t xml:space="preserve"> </w:t>
      </w:r>
      <w:r>
        <w:t xml:space="preserve">and strictly negative above it, because a multi-server queue is approximately slack until the offered load approaches the service capacity. To recover that threshold I estimate the single-break specification</w:t>
      </w:r>
    </w:p>
    <w:p>
      <w:pPr>
        <w:pStyle w:val="BodyText"/>
        <w:spacing w:line="480" w:lineRule="auto"/>
        <w:ind w:firstLine="720"/>
      </w:pPr>
      <m:oMathPara>
        <m:oMathParaPr>
          <m:jc m:val="center"/>
        </m:oMathParaPr>
        <m:oMath>
          <m:sSub>
            <m:e>
              <m:r>
                <m:t>y</m:t>
              </m:r>
            </m:e>
            <m:sub>
              <m:r>
                <m:t>i</m:t>
              </m:r>
              <m:r>
                <m:t>t</m:t>
              </m:r>
            </m:sub>
          </m:sSub>
          <m:r>
            <m:t> </m:t>
          </m:r>
          <m:r>
            <m:rPr>
              <m:sty m:val="p"/>
            </m:rPr>
            <m:t>=</m:t>
          </m:r>
          <m:r>
            <m:t> </m:t>
          </m:r>
          <m:sSub>
            <m:e>
              <m:r>
                <m:t>β</m:t>
              </m:r>
            </m:e>
            <m:sub>
              <m:r>
                <m:rPr>
                  <m:sty m:val="p"/>
                </m:rPr>
                <m:t>−</m:t>
              </m:r>
            </m:sub>
          </m:sSub>
          <m:sSub>
            <m:e>
              <m:r>
                <m:t>L</m:t>
              </m:r>
            </m:e>
            <m:sub>
              <m:r>
                <m:t>t</m:t>
              </m:r>
            </m:sub>
          </m:sSub>
          <m:r>
            <m:rPr>
              <m:sty m:val="p"/>
            </m:rPr>
            <m:t>⋅</m:t>
          </m:r>
          <m:r>
            <m:rPr>
              <m:sty m:val="b"/>
            </m:rPr>
            <m:t>1</m:t>
          </m:r>
          <m:r>
            <m:rPr>
              <m:sty m:val="p"/>
            </m:rPr>
            <m:t>{</m:t>
          </m:r>
          <m:sSub>
            <m:e>
              <m:r>
                <m:t>L</m:t>
              </m:r>
            </m:e>
            <m:sub>
              <m:r>
                <m:t>t</m:t>
              </m:r>
            </m:sub>
          </m:sSub>
          <m:r>
            <m:rPr>
              <m:sty m:val="p"/>
            </m:rPr>
            <m:t>≤</m:t>
          </m:r>
          <m:sSup>
            <m:e>
              <m:r>
                <m:t>L</m:t>
              </m:r>
            </m:e>
            <m:sup>
              <m:r>
                <m:rPr>
                  <m:sty m:val="p"/>
                </m:rPr>
                <m:t>*</m:t>
              </m:r>
            </m:sup>
          </m:sSup>
          <m:r>
            <m:rPr>
              <m:sty m:val="p"/>
            </m:rPr>
            <m:t>}</m:t>
          </m:r>
          <m:r>
            <m:t> </m:t>
          </m:r>
          <m:r>
            <m:rPr>
              <m:sty m:val="p"/>
            </m:rPr>
            <m:t>+</m:t>
          </m:r>
          <m:r>
            <m:t> </m:t>
          </m:r>
          <m:sSub>
            <m:e>
              <m:r>
                <m:t>β</m:t>
              </m:r>
            </m:e>
            <m:sub>
              <m:r>
                <m:rPr>
                  <m:sty m:val="p"/>
                </m:rPr>
                <m:t>+</m:t>
              </m:r>
            </m:sub>
          </m:sSub>
          <m:sSub>
            <m:e>
              <m:r>
                <m:t>L</m:t>
              </m:r>
            </m:e>
            <m:sub>
              <m:r>
                <m:t>t</m:t>
              </m:r>
            </m:sub>
          </m:sSub>
          <m:r>
            <m:rPr>
              <m:sty m:val="p"/>
            </m:rPr>
            <m:t>⋅</m:t>
          </m:r>
          <m:r>
            <m:rPr>
              <m:sty m:val="b"/>
            </m:rPr>
            <m:t>1</m:t>
          </m:r>
          <m:r>
            <m:rPr>
              <m:sty m:val="p"/>
            </m:rPr>
            <m:t>{</m:t>
          </m:r>
          <m:sSub>
            <m:e>
              <m:r>
                <m:t>L</m:t>
              </m:r>
            </m:e>
            <m:sub>
              <m:r>
                <m:t>t</m:t>
              </m:r>
            </m:sub>
          </m:sSub>
          <m:r>
            <m:rPr>
              <m:sty m:val="p"/>
            </m:rPr>
            <m:t>&gt;</m:t>
          </m:r>
          <m:sSup>
            <m:e>
              <m:r>
                <m:t>L</m:t>
              </m:r>
            </m:e>
            <m:sup>
              <m:r>
                <m:rPr>
                  <m:sty m:val="p"/>
                </m:rPr>
                <m:t>*</m:t>
              </m:r>
            </m:sup>
          </m:sSup>
          <m:r>
            <m:rPr>
              <m:sty m:val="p"/>
            </m:rPr>
            <m:t>}</m:t>
          </m:r>
          <m:r>
            <m:t> </m:t>
          </m:r>
          <m:r>
            <m:rPr>
              <m:sty m:val="p"/>
            </m:rPr>
            <m:t>+</m:t>
          </m:r>
          <m:r>
            <m:t> </m:t>
          </m:r>
          <m:sSubSup>
            <m:e>
              <m:r>
                <m:t>X</m:t>
              </m:r>
            </m:e>
            <m:sub>
              <m:r>
                <m:t>i</m:t>
              </m:r>
              <m:r>
                <m:t>t</m:t>
              </m:r>
            </m:sub>
            <m:sup>
              <m:r>
                <m:rPr>
                  <m:sty m:val="p"/>
                </m:rPr>
                <m:t>′</m:t>
              </m:r>
            </m:sup>
          </m:sSubSup>
          <m:r>
            <m:t>γ</m:t>
          </m:r>
          <m:r>
            <m:t> </m:t>
          </m:r>
          <m:r>
            <m:rPr>
              <m:sty m:val="p"/>
            </m:rPr>
            <m:t>+</m:t>
          </m:r>
          <m:r>
            <m:t> </m:t>
          </m:r>
          <m:sSub>
            <m:e>
              <m:r>
                <m:t>α</m:t>
              </m:r>
            </m:e>
            <m:sub>
              <m:r>
                <m:t>i</m:t>
              </m:r>
            </m:sub>
          </m:sSub>
          <m:r>
            <m:t> </m:t>
          </m:r>
          <m:r>
            <m:rPr>
              <m:sty m:val="p"/>
            </m:rPr>
            <m:t>+</m:t>
          </m:r>
          <m:r>
            <m:t> </m:t>
          </m:r>
          <m:sSub>
            <m:e>
              <m:r>
                <m:t>τ</m:t>
              </m:r>
            </m:e>
            <m:sub>
              <m:r>
                <m:t>q</m:t>
              </m:r>
            </m:sub>
          </m:sSub>
          <m:r>
            <m:t> </m:t>
          </m:r>
          <m:r>
            <m:rPr>
              <m:sty m:val="p"/>
            </m:rPr>
            <m:t>+</m:t>
          </m:r>
          <m:r>
            <m:t> </m:t>
          </m:r>
          <m:sSub>
            <m:e>
              <m:r>
                <m:t>ε</m:t>
              </m:r>
            </m:e>
            <m:sub>
              <m:r>
                <m:t>i</m:t>
              </m:r>
              <m:r>
                <m:t>t</m:t>
              </m:r>
            </m:sub>
          </m:sSub>
          <m:r>
            <m:rPr>
              <m:sty m:val="p"/>
            </m:rPr>
            <m:t>,</m:t>
          </m:r>
        </m:oMath>
      </m:oMathPara>
    </w:p>
    <w:p>
      <w:pPr>
        <w:pStyle w:val="FirstParagraph"/>
        <w:spacing w:line="480" w:lineRule="auto"/>
      </w:pPr>
      <w:r>
        <w:t xml:space="preserve">where</w:t>
      </w:r>
      <w:r>
        <w:t xml:space="preserve"> </w:t>
      </w:r>
      <m:oMath>
        <m:sSub>
          <m:e>
            <m:r>
              <m:t>X</m:t>
            </m:r>
          </m:e>
          <m:sub>
            <m:r>
              <m:t>i</m:t>
            </m:r>
            <m:r>
              <m:t>t</m:t>
            </m:r>
          </m:sub>
        </m:sSub>
      </m:oMath>
      <w:r>
        <w:t xml:space="preserve"> </w:t>
      </w:r>
      <w:r>
        <w:t xml:space="preserve">stacks the geometry, link, weather, and priority controls of Section 5.3. The threshold</w:t>
      </w:r>
      <w:r>
        <w:t xml:space="preserve"> </w:t>
      </w:r>
      <m:oMath>
        <m:sSup>
          <m:e>
            <m:r>
              <m:t>L</m:t>
            </m:r>
          </m:e>
          <m:sup>
            <m:r>
              <m:rPr>
                <m:sty m:val="p"/>
              </m:rPr>
              <m:t>*</m:t>
            </m:r>
          </m:sup>
        </m:sSup>
      </m:oMath>
      <w:r>
        <w:t xml:space="preserve"> </w:t>
      </w:r>
      <w:r>
        <w:t xml:space="preserve">is unknown and is estimated by grid search over the empirical support of</w:t>
      </w:r>
      <w:r>
        <w:t xml:space="preserve"> </w:t>
      </w:r>
      <m:oMath>
        <m:sSub>
          <m:e>
            <m:r>
              <m:t>L</m:t>
            </m:r>
          </m:e>
          <m:sub>
            <m:r>
              <m:t>t</m:t>
            </m:r>
          </m:sub>
        </m:sSub>
      </m:oMath>
      <w:r>
        <w:t xml:space="preserve">, selecting the value that minimises the within-sample residual sum of squares.</w:t>
      </w:r>
    </w:p>
    <w:p>
      <w:pPr>
        <w:pStyle w:val="BodyText"/>
        <w:spacing w:line="480" w:lineRule="auto"/>
        <w:ind w:firstLine="720"/>
      </w:pPr>
      <w:r>
        <w:t xml:space="preserve">Inference on the threshold null,</w:t>
      </w:r>
      <w:r>
        <w:t xml:space="preserve"> </w:t>
      </w:r>
      <m:oMath>
        <m:sSub>
          <m:e>
            <m:r>
              <m:t>H</m:t>
            </m:r>
          </m:e>
          <m:sub>
            <m:r>
              <m:t>0</m:t>
            </m:r>
          </m:sub>
        </m:sSub>
        <m:r>
          <m:rPr>
            <m:sty m:val="p"/>
          </m:rPr>
          <m:t>:</m:t>
        </m:r>
        <m:sSub>
          <m:e>
            <m:r>
              <m:t>β</m:t>
            </m:r>
          </m:e>
          <m:sub>
            <m:r>
              <m:rPr>
                <m:sty m:val="p"/>
              </m:rPr>
              <m:t>−</m:t>
            </m:r>
          </m:sub>
        </m:sSub>
        <m:r>
          <m:rPr>
            <m:sty m:val="p"/>
          </m:rPr>
          <m:t>=</m:t>
        </m:r>
        <m:sSub>
          <m:e>
            <m:r>
              <m:t>β</m:t>
            </m:r>
          </m:e>
          <m:sub>
            <m:r>
              <m:rPr>
                <m:sty m:val="p"/>
              </m:rPr>
              <m:t>+</m:t>
            </m:r>
          </m:sub>
        </m:sSub>
      </m:oMath>
      <w:r>
        <w:t xml:space="preserve">, is carried out with the sup-Wald statistic, taking the supremum of the standard Wald statistic over a centred subset of the grid that trims the upper and lower fifteen percent of the support to satisfy the regularity conditions of the Andrews-style test. Critical values are obtained by a fixed-design wild cluster bootstrap that respects the two-way clustering structure of Section 5.3. The estimator returns</w:t>
      </w:r>
      <w:r>
        <w:t xml:space="preserve"> </w:t>
      </w:r>
      <m:oMath>
        <m:r>
          <m:rPr>
            <m:sty m:val="p"/>
          </m:rPr>
          <m:t>(</m:t>
        </m:r>
        <m:acc>
          <m:accPr>
            <m:chr m:val="̂"/>
          </m:accPr>
          <m:e>
            <m:sSup>
              <m:e>
                <m:r>
                  <m:t>L</m:t>
                </m:r>
              </m:e>
              <m:sup>
                <m:r>
                  <m:rPr>
                    <m:sty m:val="p"/>
                  </m:rPr>
                  <m:t>*</m:t>
                </m:r>
              </m:sup>
            </m:sSup>
          </m:e>
        </m:acc>
        <m:r>
          <m:rPr>
            <m:sty m:val="p"/>
          </m:rPr>
          <m:t>,</m:t>
        </m:r>
        <m:sSub>
          <m:e>
            <m:acc>
              <m:accPr>
                <m:chr m:val="̂"/>
              </m:accPr>
              <m:e>
                <m:r>
                  <m:t>β</m:t>
                </m:r>
              </m:e>
            </m:acc>
          </m:e>
          <m:sub>
            <m:r>
              <m:rPr>
                <m:sty m:val="p"/>
              </m:rPr>
              <m:t>−</m:t>
            </m:r>
          </m:sub>
        </m:sSub>
        <m:r>
          <m:rPr>
            <m:sty m:val="p"/>
          </m:rPr>
          <m:t>,</m:t>
        </m:r>
        <m:sSub>
          <m:e>
            <m:acc>
              <m:accPr>
                <m:chr m:val="̂"/>
              </m:accPr>
              <m:e>
                <m:r>
                  <m:t>β</m:t>
                </m:r>
              </m:e>
            </m:acc>
          </m:e>
          <m:sub>
            <m:r>
              <m:rPr>
                <m:sty m:val="p"/>
              </m:rPr>
              <m:t>+</m:t>
            </m:r>
          </m:sub>
        </m:sSub>
        <m:r>
          <m:rPr>
            <m:sty m:val="p"/>
          </m:rPr>
          <m:t>)</m:t>
        </m:r>
      </m:oMath>
      <w:r>
        <w:t xml:space="preserve"> </w:t>
      </w:r>
      <w:r>
        <w:t xml:space="preserve">together with the bootstrap p-value on the sup-Wald statistic. The threshold</w:t>
      </w:r>
      <w:r>
        <w:t xml:space="preserve"> </w:t>
      </w:r>
      <m:oMath>
        <m:acc>
          <m:accPr>
            <m:chr m:val="̂"/>
          </m:accPr>
          <m:e>
            <m:sSup>
              <m:e>
                <m:r>
                  <m:t>L</m:t>
                </m:r>
              </m:e>
              <m:sup>
                <m:r>
                  <m:rPr>
                    <m:sty m:val="p"/>
                  </m:rPr>
                  <m:t>*</m:t>
                </m:r>
              </m:sup>
            </m:sSup>
          </m:e>
        </m:acc>
      </m:oMath>
      <w:r>
        <w:t xml:space="preserve"> </w:t>
      </w:r>
      <w:r>
        <w:t xml:space="preserve">is the structural object the prospectus names; the pair</w:t>
      </w:r>
      <w:r>
        <w:t xml:space="preserve"> </w:t>
      </w:r>
      <m:oMath>
        <m:r>
          <m:rPr>
            <m:sty m:val="p"/>
          </m:rPr>
          <m:t>(</m:t>
        </m:r>
        <m:sSub>
          <m:e>
            <m:acc>
              <m:accPr>
                <m:chr m:val="̂"/>
              </m:accPr>
              <m:e>
                <m:r>
                  <m:t>β</m:t>
                </m:r>
              </m:e>
            </m:acc>
          </m:e>
          <m:sub>
            <m:r>
              <m:rPr>
                <m:sty m:val="p"/>
              </m:rPr>
              <m:t>−</m:t>
            </m:r>
          </m:sub>
        </m:sSub>
        <m:r>
          <m:rPr>
            <m:sty m:val="p"/>
          </m:rPr>
          <m:t>,</m:t>
        </m:r>
        <m:sSub>
          <m:e>
            <m:acc>
              <m:accPr>
                <m:chr m:val="̂"/>
              </m:accPr>
              <m:e>
                <m:r>
                  <m:t>β</m:t>
                </m:r>
              </m:e>
            </m:acc>
          </m:e>
          <m:sub>
            <m:r>
              <m:rPr>
                <m:sty m:val="p"/>
              </m:rPr>
              <m:t>+</m:t>
            </m:r>
          </m:sub>
        </m:sSub>
        <m:r>
          <m:rPr>
            <m:sty m:val="p"/>
          </m:rPr>
          <m:t>)</m:t>
        </m:r>
      </m:oMath>
      <w:r>
        <w:t xml:space="preserve"> </w:t>
      </w:r>
      <w:r>
        <w:t xml:space="preserve">is the change in marginal congestion cost across the break.</w:t>
      </w:r>
    </w:p>
    <w:bookmarkEnd w:id="96"/>
    <w:bookmarkStart w:id="97" w:name="the-structural-mgc-specification"/>
    <w:p>
      <w:pPr>
        <w:pStyle w:val="Heading2"/>
        <w:spacing w:line="480" w:lineRule="auto"/>
      </w:pPr>
      <w:r>
        <w:t xml:space="preserve">5.5 The Structural M/G/c Specification</w:t>
      </w:r>
    </w:p>
    <w:p>
      <w:pPr>
        <w:pStyle w:val="FirstParagraph"/>
        <w:spacing w:line="480" w:lineRule="auto"/>
      </w:pPr>
      <w:r>
        <w:t xml:space="preserve">Reduced-form and threshold estimates identify the slope and break of the congestion relation on the historical operating envelope but do not extrapolate cleanly to counterfactual augmentations of the ground or relay segment. For that purpose I fit a structural M/G/c queueing model per complex. The arrival process is taken as Poisson with rate</w:t>
      </w:r>
      <w:r>
        <w:t xml:space="preserve"> </w:t>
      </w:r>
      <m:oMath>
        <m:sSub>
          <m:e>
            <m:r>
              <m:t>λ</m:t>
            </m:r>
          </m:e>
          <m:sub>
            <m:r>
              <m:t>c</m:t>
            </m:r>
          </m:sub>
        </m:sSub>
      </m:oMath>
      <w:r>
        <w:t xml:space="preserve"> </w:t>
      </w:r>
      <w:r>
        <w:t xml:space="preserve">recovered from the empirical inter-contact-request distribution at complex</w:t>
      </w:r>
      <w:r>
        <w:t xml:space="preserve"> </w:t>
      </w:r>
      <m:oMath>
        <m:r>
          <m:t>c</m:t>
        </m:r>
      </m:oMath>
      <w:r>
        <w:t xml:space="preserve">; the service-time distribution</w:t>
      </w:r>
      <w:r>
        <w:t xml:space="preserve"> </w:t>
      </w:r>
      <m:oMath>
        <m:sSub>
          <m:e>
            <m:r>
              <m:t>G</m:t>
            </m:r>
          </m:e>
          <m:sub>
            <m:r>
              <m:t>c</m:t>
            </m:r>
          </m:sub>
        </m:sSub>
      </m:oMath>
      <w:r>
        <w:t xml:space="preserve"> </w:t>
      </w:r>
      <w:r>
        <w:t xml:space="preserve">is estimated non-parametrically from the empirical pass-duration distribution at the same complex; the number of servers</w:t>
      </w:r>
      <w:r>
        <w:t xml:space="preserve"> </w:t>
      </w:r>
      <m:oMath>
        <m:r>
          <m:t>c</m:t>
        </m:r>
      </m:oMath>
      <w:r>
        <w:t xml:space="preserve"> </w:t>
      </w:r>
      <w:r>
        <w:t xml:space="preserve">is the count of operational apertures at the complex, which is documented in the DSN engineering history</w:t>
      </w:r>
      <w:r>
        <w:t xml:space="preserve"> </w:t>
      </w:r>
      <w:hyperlink w:anchor="ref-9">
        <w:r>
          <w:rPr>
            <w:rStyle w:val="Hyperlink"/>
          </w:rPr>
          <w:t xml:space="preserve">[9]</w:t>
        </w:r>
      </w:hyperlink>
      <w:r>
        <w:t xml:space="preserve"> </w:t>
      </w:r>
      <w:r>
        <w:t xml:space="preserve">and in the optical and roadmap surveys [11, 13]. The model produces a predicted mean bits-per-hour as a function of offered load that is independent of the reduced-form regression and that can be compared point-by-point to</w:t>
      </w:r>
      <w:r>
        <w:t xml:space="preserve"> </w:t>
      </w:r>
      <m:oMath>
        <m:acc>
          <m:accPr>
            <m:chr m:val="̂"/>
          </m:accPr>
          <m:e>
            <m:r>
              <m:t>β</m:t>
            </m:r>
          </m:e>
        </m:acc>
      </m:oMath>
      <w:r>
        <w:t xml:space="preserve"> </w:t>
      </w:r>
      <w:r>
        <w:t xml:space="preserve">across the empirical support of</w:t>
      </w:r>
      <w:r>
        <w:t xml:space="preserve"> </w:t>
      </w:r>
      <m:oMath>
        <m:sSub>
          <m:e>
            <m:r>
              <m:t>L</m:t>
            </m:r>
          </m:e>
          <m:sub>
            <m:r>
              <m:t>t</m:t>
            </m:r>
          </m:sub>
        </m:sSub>
      </m:oMath>
      <w:r>
        <w:t xml:space="preserve">.</w:t>
      </w:r>
    </w:p>
    <w:p>
      <w:pPr>
        <w:pStyle w:val="BodyText"/>
        <w:spacing w:line="480" w:lineRule="auto"/>
        <w:ind w:firstLine="720"/>
      </w:pPr>
      <w:r>
        <w:t xml:space="preserve">The structural specification has two further uses. First, it lets me re-evaluate the model under counterfactual server counts that approximate the Earth-Mars relay topologies of</w:t>
      </w:r>
      <w:r>
        <w:t xml:space="preserve"> </w:t>
      </w:r>
      <w:hyperlink w:anchor="ref-3">
        <w:r>
          <w:rPr>
            <w:rStyle w:val="Hyperlink"/>
          </w:rPr>
          <w:t xml:space="preserve">[3]</w:t>
        </w:r>
      </w:hyperlink>
      <w:r>
        <w:t xml:space="preserve"> </w:t>
      </w:r>
      <w:r>
        <w:t xml:space="preserve">and</w:t>
      </w:r>
      <w:r>
        <w:t xml:space="preserve"> </w:t>
      </w:r>
      <w:hyperlink w:anchor="ref-22">
        <w:r>
          <w:rPr>
            <w:rStyle w:val="Hyperlink"/>
          </w:rPr>
          <w:t xml:space="preserve">[22]</w:t>
        </w:r>
      </w:hyperlink>
      <w:r>
        <w:t xml:space="preserve"> </w:t>
      </w:r>
      <w:r>
        <w:t xml:space="preserve">and the data-mule cadences of</w:t>
      </w:r>
      <w:r>
        <w:t xml:space="preserve"> </w:t>
      </w:r>
      <w:hyperlink w:anchor="ref-4">
        <w:r>
          <w:rPr>
            <w:rStyle w:val="Hyperlink"/>
          </w:rPr>
          <w:t xml:space="preserve">[4]</w:t>
        </w:r>
      </w:hyperlink>
      <w:r>
        <w:t xml:space="preserve">, producing a structural counterfactual bits-per-hour that is not identified by the reduced form. Second, it provides a falsification test of the reduced-form coefficient: if the structural prediction and the reduced-form</w:t>
      </w:r>
      <w:r>
        <w:t xml:space="preserve"> </w:t>
      </w:r>
      <m:oMath>
        <m:acc>
          <m:accPr>
            <m:chr m:val="̂"/>
          </m:accPr>
          <m:e>
            <m:r>
              <m:t>β</m:t>
            </m:r>
          </m:e>
        </m:acc>
      </m:oMath>
      <w:r>
        <w:t xml:space="preserve"> </w:t>
      </w:r>
      <w:r>
        <w:t xml:space="preserve">diverge by more than the reduced-form confidence interval over the empirical support, the queueing interpretation is in tension with the data and the reduced-form estimate should not be propagated as a structural congestion cost. I report this comparison as a first-class diagnostic in Chapter 6.</w:t>
      </w:r>
    </w:p>
    <w:bookmarkEnd w:id="97"/>
    <w:bookmarkStart w:id="98" w:name="identification-strategy"/>
    <w:p>
      <w:pPr>
        <w:pStyle w:val="Heading2"/>
        <w:spacing w:line="480" w:lineRule="auto"/>
      </w:pPr>
      <w:r>
        <w:t xml:space="preserve">5.6 Identification Strategy</w:t>
      </w:r>
    </w:p>
    <w:p>
      <w:pPr>
        <w:pStyle w:val="FirstParagraph"/>
        <w:spacing w:line="480" w:lineRule="auto"/>
      </w:pPr>
      <w:r>
        <w:t xml:space="preserve">The identifying assumption that gives the reduced-form</w:t>
      </w:r>
      <w:r>
        <w:t xml:space="preserve"> </w:t>
      </w:r>
      <m:oMath>
        <m:acc>
          <m:accPr>
            <m:chr m:val="̂"/>
          </m:accPr>
          <m:e>
            <m:r>
              <m:t>β</m:t>
            </m:r>
          </m:e>
        </m:acc>
      </m:oMath>
      <w:r>
        <w:t xml:space="preserve"> </w:t>
      </w:r>
      <w:r>
        <w:t xml:space="preserve">a causal reading is that, conditional on the mission and quarter fixed effects, on geometry and link engineering, and on per-complex weather, the contemporaneous admitted load</w:t>
      </w:r>
      <w:r>
        <w:t xml:space="preserve"> </w:t>
      </w:r>
      <m:oMath>
        <m:sSub>
          <m:e>
            <m:r>
              <m:t>L</m:t>
            </m:r>
          </m:e>
          <m:sub>
            <m:r>
              <m:t>t</m:t>
            </m:r>
          </m:sub>
        </m:sSub>
      </m:oMath>
      <w:r>
        <w:t xml:space="preserve"> </w:t>
      </w:r>
      <w:r>
        <w:t xml:space="preserve">is uncorrelated with the idiosyncratic component of mission</w:t>
      </w:r>
      <w:r>
        <w:t xml:space="preserve"> </w:t>
      </w:r>
      <m:oMath>
        <m:r>
          <m:t>i</m:t>
        </m:r>
      </m:oMath>
      <w:r>
        <w:t xml:space="preserve">’s bits-per-hour realisation in week</w:t>
      </w:r>
      <w:r>
        <w:t xml:space="preserve"> </w:t>
      </w:r>
      <m:oMath>
        <m:r>
          <m:t>t</m:t>
        </m:r>
      </m:oMath>
      <w:r>
        <w:t xml:space="preserve">. The credibility of that assumption is the central methodological question of the dissertation and is treated in three steps.</w:t>
      </w:r>
    </w:p>
    <w:p>
      <w:pPr>
        <w:pStyle w:val="BodyText"/>
        <w:spacing w:line="480" w:lineRule="auto"/>
        <w:ind w:firstLine="720"/>
      </w:pPr>
      <w:r>
        <w:t xml:space="preserve">First, the within-mission fixed effect removes the most natural source of confounding, which is that intrinsically productive missions both attract scheduling priority and are admitted into busier portfolio windows. Within a single mission, the cross-time variation in</w:t>
      </w:r>
      <w:r>
        <w:t xml:space="preserve"> </w:t>
      </w:r>
      <m:oMath>
        <m:sSub>
          <m:e>
            <m:r>
              <m:t>L</m:t>
            </m:r>
          </m:e>
          <m:sub>
            <m:r>
              <m:t>t</m:t>
            </m:r>
          </m:sub>
        </m:sSub>
      </m:oMath>
      <w:r>
        <w:t xml:space="preserve"> </w:t>
      </w:r>
      <w:r>
        <w:t xml:space="preserve">is driven by the arrival and departure of other missions and not by any property of the focal mission’s instrument or downlink chain.</w:t>
      </w:r>
    </w:p>
    <w:p>
      <w:pPr>
        <w:pStyle w:val="BodyText"/>
        <w:spacing w:line="480" w:lineRule="auto"/>
        <w:ind w:firstLine="720"/>
      </w:pPr>
      <w:r>
        <w:t xml:space="preserve">Second, the calendar-quarter fixed effect removes the secular drift in channel-wide capability that is documented at the cumulative-experience level in paper P2. This is the channel-side counterpart to controlling for technological progress on the supply side and is non-trivial: without it, the negative effect of load on per-mission bits-per-hour would be confounded by the positive effect of channel-wide capability accretion on the same quantity.</w:t>
      </w:r>
    </w:p>
    <w:p>
      <w:pPr>
        <w:pStyle w:val="BodyText"/>
        <w:spacing w:line="480" w:lineRule="auto"/>
        <w:ind w:firstLine="720"/>
      </w:pPr>
      <w:r>
        <w:t xml:space="preserve">Third, to address the residual concern that mission entry and exit could be timed in response to anticipated science productivity, I instrument</w:t>
      </w:r>
      <w:r>
        <w:t xml:space="preserve"> </w:t>
      </w:r>
      <m:oMath>
        <m:sSub>
          <m:e>
            <m:r>
              <m:t>L</m:t>
            </m:r>
          </m:e>
          <m:sub>
            <m:r>
              <m:t>t</m:t>
            </m:r>
          </m:sub>
        </m:sSub>
      </m:oMath>
      <w:r>
        <w:t xml:space="preserve"> </w:t>
      </w:r>
      <w:r>
        <w:t xml:space="preserve">with the count of spacecraft whose primary mission entry into DSN service in week</w:t>
      </w:r>
      <w:r>
        <w:t xml:space="preserve"> </w:t>
      </w:r>
      <m:oMath>
        <m:r>
          <m:t>t</m:t>
        </m:r>
      </m:oMath>
      <w:r>
        <w:t xml:space="preserve"> </w:t>
      </w:r>
      <w:r>
        <w:t xml:space="preserve">was set by an orbit-insertion or planetary encounter date determined at the time of launch-vehicle commitment, that is, years in advance. The instrument is constructed from press-kit and trajectory-design records and is plausibly exogenous to any individual mission’s week-</w:t>
      </w:r>
      <m:oMath>
        <m:r>
          <m:t>t</m:t>
        </m:r>
      </m:oMath>
      <w:r>
        <w:t xml:space="preserve"> </w:t>
      </w:r>
      <w:r>
        <w:t xml:space="preserve">bits-per-hour realisation, because the planetary geometry that fixes encounter timing is set by celestial mechanics rather than by ground-segment scheduling. The two-stage least squares specification mirrors Section 5.3 with</w:t>
      </w:r>
      <w:r>
        <w:t xml:space="preserve"> </w:t>
      </w:r>
      <m:oMath>
        <m:sSub>
          <m:e>
            <m:r>
              <m:t>L</m:t>
            </m:r>
          </m:e>
          <m:sub>
            <m:r>
              <m:t>t</m:t>
            </m:r>
          </m:sub>
        </m:sSub>
      </m:oMath>
      <w:r>
        <w:t xml:space="preserve"> </w:t>
      </w:r>
      <w:r>
        <w:t xml:space="preserve">replaced by its instrumented value, and the first-stage F-statistic is reported as a weak-instrument diagnostic. A material divergence between the OLS and IV estimates of</w:t>
      </w:r>
      <w:r>
        <w:t xml:space="preserve"> </w:t>
      </w:r>
      <m:oMath>
        <m:r>
          <m:t>β</m:t>
        </m:r>
      </m:oMath>
      <w:r>
        <w:t xml:space="preserve"> </w:t>
      </w:r>
      <w:r>
        <w:t xml:space="preserve">would indicate that the within-mission fixed effect is not fully neutralising the scheduling-selection channel and would shift the identifying claim toward the IV estimate.</w:t>
      </w:r>
    </w:p>
    <w:bookmarkEnd w:id="98"/>
    <w:bookmarkStart w:id="99" w:name="threats-to-validity-and-their-bounds"/>
    <w:p>
      <w:pPr>
        <w:pStyle w:val="Heading2"/>
        <w:spacing w:line="480" w:lineRule="auto"/>
      </w:pPr>
      <w:r>
        <w:t xml:space="preserve">5.7 Threats to Validity and Their Bounds</w:t>
      </w:r>
    </w:p>
    <w:p>
      <w:pPr>
        <w:pStyle w:val="FirstParagraph"/>
        <w:spacing w:line="480" w:lineRule="auto"/>
      </w:pPr>
      <w:r>
        <w:t xml:space="preserve">Four threats are material to the integrity of the recovered congestion frontier. Each is named, the mechanism is stated, and the bound on it is identified.</w:t>
      </w:r>
    </w:p>
    <w:p>
      <w:pPr>
        <w:pStyle w:val="BodyText"/>
        <w:spacing w:line="480" w:lineRule="auto"/>
        <w:ind w:firstLine="720"/>
      </w:pPr>
      <w:r>
        <w:rPr>
          <w:b/>
          <w:bCs/>
        </w:rPr>
        <w:t xml:space="preserve">Selection in admitted load.</w:t>
      </w:r>
      <w:r>
        <w:t xml:space="preserve"> </w:t>
      </w:r>
      <w:r>
        <w:t xml:space="preserve">Admitted mission load is the equilibrium outcome of a multi-stage scheduling negotiation that may correlate with anticipated science productivity at the network level. Within-mission and within-complex fixed effects net out the time-invariant component of this selection, and the celestial-mechanics instrument of Section 5.6 isolates the component of</w:t>
      </w:r>
      <w:r>
        <w:t xml:space="preserve"> </w:t>
      </w:r>
      <m:oMath>
        <m:sSub>
          <m:e>
            <m:r>
              <m:t>L</m:t>
            </m:r>
          </m:e>
          <m:sub>
            <m:r>
              <m:t>t</m:t>
            </m:r>
          </m:sub>
        </m:sSub>
      </m:oMath>
      <w:r>
        <w:t xml:space="preserve"> </w:t>
      </w:r>
      <w:r>
        <w:t xml:space="preserve">that is fixed years before week</w:t>
      </w:r>
      <w:r>
        <w:t xml:space="preserve"> </w:t>
      </w:r>
      <m:oMath>
        <m:r>
          <m:t>t</m:t>
        </m:r>
      </m:oMath>
      <w:r>
        <w:t xml:space="preserve">. The bound is the gap between the OLS and IV estimates of</w:t>
      </w:r>
      <w:r>
        <w:t xml:space="preserve"> </w:t>
      </w:r>
      <m:oMath>
        <m:r>
          <m:t>β</m:t>
        </m:r>
      </m:oMath>
      <w:r>
        <w:t xml:space="preserve">. A small gap implies that the within-mission fixed effect is doing most of the identification work and that the residual selection is second-order. A large gap is reported and the IV estimate is treated as the headline.</w:t>
      </w:r>
    </w:p>
    <w:p>
      <w:pPr>
        <w:pStyle w:val="BodyText"/>
        <w:spacing w:line="480" w:lineRule="auto"/>
        <w:ind w:firstLine="720"/>
      </w:pPr>
      <w:r>
        <w:rPr>
          <w:b/>
          <w:bCs/>
        </w:rPr>
        <w:t xml:space="preserve">Measurement error in returned science bits.</w:t>
      </w:r>
      <w:r>
        <w:t xml:space="preserve"> </w:t>
      </w:r>
      <w:r>
        <w:t xml:space="preserve">PDS deliveries are batched rather than streamed, so</w:t>
      </w:r>
      <w:r>
        <w:t xml:space="preserve"> </w:t>
      </w:r>
      <m:oMath>
        <m:sSub>
          <m:e>
            <m:r>
              <m:t>B</m:t>
            </m:r>
          </m:e>
          <m:sub>
            <m:r>
              <m:t>i</m:t>
            </m:r>
            <m:r>
              <m:t>t</m:t>
            </m:r>
          </m:sub>
        </m:sSub>
      </m:oMath>
      <w:r>
        <w:t xml:space="preserve"> </w:t>
      </w:r>
      <w:r>
        <w:t xml:space="preserve">at the mission-week level mixes bits actually downlinked in week</w:t>
      </w:r>
      <w:r>
        <w:t xml:space="preserve"> </w:t>
      </w:r>
      <m:oMath>
        <m:r>
          <m:t>t</m:t>
        </m:r>
      </m:oMath>
      <w:r>
        <w:t xml:space="preserve"> </w:t>
      </w:r>
      <w:r>
        <w:t xml:space="preserve">with bits archived in week</w:t>
      </w:r>
      <w:r>
        <w:t xml:space="preserve"> </w:t>
      </w:r>
      <m:oMath>
        <m:r>
          <m:t>t</m:t>
        </m:r>
      </m:oMath>
      <w:r>
        <w:t xml:space="preserve"> </w:t>
      </w:r>
      <w:r>
        <w:t xml:space="preserve">from contacts in earlier weeks. Classical measurement error in the dependent variable inflates standard errors but does not bias the slope. To bound the non-classical component, I smooth</w:t>
      </w:r>
      <w:r>
        <w:t xml:space="preserve"> </w:t>
      </w:r>
      <m:oMath>
        <m:sSub>
          <m:e>
            <m:r>
              <m:t>B</m:t>
            </m:r>
          </m:e>
          <m:sub>
            <m:r>
              <m:t>i</m:t>
            </m:r>
            <m:r>
              <m:t>t</m:t>
            </m:r>
          </m:sub>
        </m:sSub>
      </m:oMath>
      <w:r>
        <w:t xml:space="preserve"> </w:t>
      </w:r>
      <w:r>
        <w:t xml:space="preserve">over a centred four-week window and re-estimate the reduced-form, threshold, and structural specifications, reporting the smoothed estimates alongside the unsmoothed estimates. Insensitivity of the point estimates to the smoothing window is reported as the diagnostic; a window-sensitive estimate is discussed in plain language and is not propagated as a structural object.</w:t>
      </w:r>
    </w:p>
    <w:p>
      <w:pPr>
        <w:pStyle w:val="BodyText"/>
        <w:spacing w:line="480" w:lineRule="auto"/>
        <w:ind w:firstLine="720"/>
      </w:pPr>
      <w:r>
        <w:rPr>
          <w:b/>
          <w:bCs/>
        </w:rPr>
        <w:t xml:space="preserve">Weather and equipment outage confounding.</w:t>
      </w:r>
      <w:r>
        <w:t xml:space="preserve"> </w:t>
      </w:r>
      <w:r>
        <w:t xml:space="preserve">Outages at one complex shift offered load to the other two, generating a within-week cross-complex displacement that could be mistaken for a mission-level load effect. The per-complex weather minutes</w:t>
      </w:r>
      <w:r>
        <w:t xml:space="preserve"> </w:t>
      </w:r>
      <m:oMath>
        <m:sSub>
          <m:e>
            <m:r>
              <m:t>W</m:t>
            </m:r>
          </m:e>
          <m:sub>
            <m:r>
              <m:t>c</m:t>
            </m:r>
            <m:r>
              <m:t>t</m:t>
            </m:r>
          </m:sub>
        </m:sSub>
      </m:oMath>
      <w:r>
        <w:t xml:space="preserve"> </w:t>
      </w:r>
      <w:r>
        <w:t xml:space="preserve">enter the specification directly, and the mission</w:t>
      </w:r>
      <w:r>
        <w:t xml:space="preserve"> </w:t>
      </w:r>
      <m:oMath>
        <m:r>
          <m:rPr>
            <m:sty m:val="p"/>
          </m:rPr>
          <m:t>×</m:t>
        </m:r>
      </m:oMath>
      <w:r>
        <w:t xml:space="preserve"> </w:t>
      </w:r>
      <w:r>
        <w:t xml:space="preserve">complex assignment is preserved in the matched panel rather than aggregated away. As a further check I re-estimate the model dropping weeks in which any single complex experienced more than a threshold of cumulative outage minutes, treating that subset as a placebo sample in which the displacement channel is muted. The bound is the difference between full-sample and outage-trimmed estimates.</w:t>
      </w:r>
    </w:p>
    <w:p>
      <w:pPr>
        <w:pStyle w:val="BodyText"/>
        <w:spacing w:line="480" w:lineRule="auto"/>
        <w:ind w:firstLine="720"/>
      </w:pPr>
      <w:r>
        <w:rPr>
          <w:b/>
          <w:bCs/>
        </w:rPr>
        <w:t xml:space="preserve">External validity to future augmentations.</w:t>
      </w:r>
      <w:r>
        <w:t xml:space="preserve"> </w:t>
      </w:r>
      <w:r>
        <w:t xml:space="preserve">The reduced-form</w:t>
      </w:r>
      <w:r>
        <w:t xml:space="preserve"> </w:t>
      </w:r>
      <m:oMath>
        <m:acc>
          <m:accPr>
            <m:chr m:val="̂"/>
          </m:accPr>
          <m:e>
            <m:r>
              <m:t>β</m:t>
            </m:r>
          </m:e>
        </m:acc>
      </m:oMath>
      <w:r>
        <w:t xml:space="preserve"> </w:t>
      </w:r>
      <w:r>
        <w:t xml:space="preserve">and the threshold</w:t>
      </w:r>
      <w:r>
        <w:t xml:space="preserve"> </w:t>
      </w:r>
      <m:oMath>
        <m:acc>
          <m:accPr>
            <m:chr m:val="̂"/>
          </m:accPr>
          <m:e>
            <m:sSup>
              <m:e>
                <m:r>
                  <m:t>L</m:t>
                </m:r>
              </m:e>
              <m:sup>
                <m:r>
                  <m:rPr>
                    <m:sty m:val="p"/>
                  </m:rPr>
                  <m:t>*</m:t>
                </m:r>
              </m:sup>
            </m:sSup>
          </m:e>
        </m:acc>
      </m:oMath>
      <w:r>
        <w:t xml:space="preserve"> </w:t>
      </w:r>
      <w:r>
        <w:t xml:space="preserve">are local to the 34 m and 70 m subnet configuration that prevails over the sample window. They are not, by themselves, valid predictors of the per-mission bits-per-hour response to relay-network topologies of the kind assessed by Betriu and coauthors [3, 22] or to data-mule cadences of the kind optimised by Pascarella and coauthors</w:t>
      </w:r>
      <w:r>
        <w:t xml:space="preserve"> </w:t>
      </w:r>
      <w:hyperlink w:anchor="ref-4">
        <w:r>
          <w:rPr>
            <w:rStyle w:val="Hyperlink"/>
          </w:rPr>
          <w:t xml:space="preserve">[4]</w:t>
        </w:r>
      </w:hyperlink>
      <w:r>
        <w:t xml:space="preserve">. The structural M/G/c specification of Section 5.5 is the analytical vehicle for that extrapolation, and the dissertation is explicit that any policy claim about the science-return value of an augmentation rests on the structural predictions rather than the reduced-form coefficient. The bound on external validity is the gap between the structural counterfactual and the reduced-form extrapolation at the same offered load; a material gap is reported, and the structural prediction is the propagated object.</w:t>
      </w:r>
    </w:p>
    <w:p>
      <w:pPr>
        <w:pStyle w:val="BodyText"/>
        <w:spacing w:line="480" w:lineRule="auto"/>
        <w:ind w:firstLine="720"/>
      </w:pPr>
      <w:r>
        <w:t xml:space="preserve">A further set of secondary threats deserves brief acknowledgement. The cross-mission cross-section of paper P1 establishes that spacecraft-side aperture and operational years on station are first-order productivity inputs whose time-invariant variation is fully absorbed by the mission fixed effect, so they do not enter the panel specification directly. The Wright’s-law channel-side scaling estimated in paper P2 is absorbed by the calendar-quarter fixed effect under the maintained assumption that channel-wide capability accretion is approximately smooth at quarterly resolution. Both maintained assumptions are tested in Chapter 6 by re-estimating the panel with mission-specific time trends and with finer-grained calendar fixed effects; a material change in</w:t>
      </w:r>
      <w:r>
        <w:t xml:space="preserve"> </w:t>
      </w:r>
      <m:oMath>
        <m:acc>
          <m:accPr>
            <m:chr m:val="̂"/>
          </m:accPr>
          <m:e>
            <m:r>
              <m:t>β</m:t>
            </m:r>
          </m:e>
        </m:acc>
      </m:oMath>
      <w:r>
        <w:t xml:space="preserve"> </w:t>
      </w:r>
      <w:r>
        <w:t xml:space="preserve">under either perturbation is reported and discussed. Finally, the structural M/G/c specification assumes Poisson arrivals; the empirical inter-request distribution is tested against the exponential null using a Kolmogorov-Smirnov procedure, and a material rejection is met by re-fitting the structural model with the empirical arrival distribution rather than the exponential approximation. None of these secondary checks is expected to overturn the headline qualitative finding, but all of them are run and all of them are reported.</w:t>
      </w:r>
    </w:p>
    <w:p>
      <w:pPr>
        <w:pStyle w:val="BodyText"/>
        <w:spacing w:line="480" w:lineRule="auto"/>
        <w:ind w:firstLine="720"/>
      </w:pPr>
      <w:r>
        <w:t xml:space="preserve">The chapter closes with an explicit statement of what the methods cannot do. They cannot identify the science-return value of a counterfactual ground-segment investment whose link-budget characteristics fall outside the empirical support of the historical mission portfolio; the structural specification can extrapolate, but extrapolation outside the support is acknowledged for what it is. They cannot identify the welfare value of a marginal admitted mission, because admitted-mission productivity is not the only argument of the decadal welfare function. And they cannot adjudicate between specific augmentation architectures on cost-effectiveness grounds, because the cost side of those architectures lies outside the data assembled here. What they can do, and what the next chapter delivers, is recover the slope and break of the congestion relation on the operating envelope of the existing network, and ground a defensible structural baseline against which the proposed relay and data-mule augmentations of</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and</w:t>
      </w:r>
      <w:r>
        <w:t xml:space="preserve"> </w:t>
      </w:r>
      <w:hyperlink w:anchor="ref-22">
        <w:r>
          <w:rPr>
            <w:rStyle w:val="Hyperlink"/>
          </w:rPr>
          <w:t xml:space="preserve">[22]</w:t>
        </w:r>
      </w:hyperlink>
      <w:r>
        <w:t xml:space="preserve"> </w:t>
      </w:r>
      <w:r>
        <w:t xml:space="preserve">can be evaluated by future work.</w:t>
      </w:r>
    </w:p>
    <w:bookmarkEnd w:id="99"/>
    <w:bookmarkEnd w:id="100"/>
    <w:bookmarkStart w:id="118"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estimating papers that anchor the dissertation. Paper P1 estimates a cross-mission ordinary-least-squares specification of cumulative archived planetary science volume on peak downlink rate, slant range, antenna aperture, and operational years, fit on thirty-six NASA, ESA, and JAXA interplanetary missions launched between 1972 and 2024. Paper P2 estimates a log-log Wright’s-law specification of peak telemetry downlink rate on the cumulative count of Deep Space Network served interplanetary missions, fit on thirty NASA-led or NASA-partnered missions launched between 1964 and 2024. Both estimators were re-executed against the archived data files immediately prior to the drafting of this chapter, and every numerical value reported below is the direct output of those runs. Each coefficient is interpreted on its own substantive terms, then in the company of the other coefficients in its specification, and then against the prospectus hypotheses defended in Chapter 3. The presentation is organized so that the reader can move from the headline finding of each paper to the joint reading without recourse to the appendix material. Tables, formulas, charts, and the underlying data are reproduced in Appendix A; this chapter discusses the substantive content of the estimates rather than re-printing the artifacts.</w:t>
      </w:r>
    </w:p>
    <w:bookmarkStart w:id="108" w:name="Xb3acc762ceb587a7a4129def9b8a38493be8d76"/>
    <w:p>
      <w:pPr>
        <w:pStyle w:val="Heading2"/>
        <w:spacing w:line="480" w:lineRule="auto"/>
      </w:pPr>
      <w:r>
        <w:t xml:space="preserve">6.1 Paper P1: The Cross-Mission Production Function for Archived Science Volume</w:t>
      </w:r>
    </w:p>
    <w:p>
      <w:pPr>
        <w:pStyle w:val="FirstParagraph"/>
        <w:spacing w:line="480" w:lineRule="auto"/>
      </w:pPr>
      <w:r>
        <w:t xml:space="preserve">The first paper fits a single-equation ordinary-least-squares regression in which the dependent variable is the base-ten logarithm of cumulative archived science data volume in terabytes, measured at the close of 2024, and the four right-hand regressors are the base-ten logarithms of peak spacecraft-to-Earth downlink rate in kilobits per second, maximum operational slant range in astronomical units, effective high-gain antenna aperture in meters, and operational years on station. The estimator employs HC1 robust standard errors throughout. The sample is N equal to thirty-six, no mission with complete telecommunications and archival records was dropped, and the four-regressor specification was preserved exactly as registered in the prospectus.</w:t>
      </w:r>
    </w:p>
    <w:bookmarkStart w:id="101" w:name="overall-fit"/>
    <w:p>
      <w:pPr>
        <w:pStyle w:val="Heading3"/>
        <w:spacing w:line="480" w:lineRule="auto"/>
      </w:pPr>
      <w:r>
        <w:t xml:space="preserve">6.1.1 Overall Fit</w:t>
      </w:r>
    </w:p>
    <w:p>
      <w:pPr>
        <w:pStyle w:val="FirstParagraph"/>
        <w:spacing w:line="480" w:lineRule="auto"/>
      </w:pPr>
      <w:r>
        <w:t xml:space="preserve">The fitted model achieves an R-squared of 0.8112 and an adjusted R-squared of 0.7869. The model F-statistic is 94.04, with an associated p-value of approximately 7.07 times ten to the negative seventeenth. The joint significance of the four regressors is therefore established at any conventional significance threshold, and the four-input log-log production function explains slightly more than four fifths of the cross-mission variation in the dependent variable. Because the dependent variable is itself a logarithm of cumulative archived volume that spans many orders of magnitude across the sample, an R-squared above eighty percent represents a substantial empirical regularity rather than a mechanical artifact of variable scaling. The drop from R-squared to adjusted R-squared is roughly two and a half percentage points, which is small for a four-regressor specification on thirty-six observations and is consistent with each of the included regressors carrying real explanatory weight rather than absorbing residual degrees of freedom.</w:t>
      </w:r>
    </w:p>
    <w:bookmarkEnd w:id="101"/>
    <w:bookmarkStart w:id="102" w:name="the-downlink-elasticity"/>
    <w:p>
      <w:pPr>
        <w:pStyle w:val="Heading3"/>
        <w:spacing w:line="480" w:lineRule="auto"/>
      </w:pPr>
      <w:r>
        <w:t xml:space="preserve">6.1.2 The Downlink Elasticity</w:t>
      </w:r>
    </w:p>
    <w:p>
      <w:pPr>
        <w:pStyle w:val="FirstParagraph"/>
        <w:spacing w:line="480" w:lineRule="auto"/>
      </w:pPr>
      <w:r>
        <w:t xml:space="preserve">The estimated elasticity of log cumulative archived volume with respect to log peak downlink rate is 0.8759, with a robust standard error of 0.0605 and a p-value reported at the working precision of zero. The point estimate implies that a one percent increase in sustained peak downlink rate is associated with an approximately 0.88 percent increase in cumulative archived science volume after spacecraft slant range, antenna aperture, and operational years on station are held constant. This is the central finding of P1. It rejects, decisively and at any conventional level, the prospectus null that the cross-mission elasticity of returned science volume with respect to the downlink channel is statistically indistinguishable from zero. The magnitude is large enough to bring deep-space telecommunications into the cost-benefit frame of mission selection rather than leaving it in the residual category of ground-segment overhead. A telecommunications upgrade that produces a fractional improvement in sustained downlink rate at the spacecraft side or at the ground complex side propagates into very nearly the same fractional improvement in archived planetary data return at the network level. This is the precise interpretation of the elasticity coefficient and is the substantive content of the headline result. The link-budget literature surveyed by Betriu and coauthors</w:t>
      </w:r>
      <w:r>
        <w:t xml:space="preserve"> </w:t>
      </w:r>
      <w:hyperlink w:anchor="ref-3">
        <w:r>
          <w:rPr>
            <w:rStyle w:val="Hyperlink"/>
          </w:rPr>
          <w:t xml:space="preserve">[3]</w:t>
        </w:r>
      </w:hyperlink>
      <w:r>
        <w:t xml:space="preserve"> </w:t>
      </w:r>
      <w:r>
        <w:t xml:space="preserve">frames the downlink rate as a physical engineering constraint; the estimate here translates that engineering constraint into a science-return semi-elasticity that can be carried into mission-class trade studies and into decadal-survey portfolio analysis.</w:t>
      </w:r>
    </w:p>
    <w:bookmarkEnd w:id="102"/>
    <w:bookmarkStart w:id="103" w:name="the-slant-range-coefficient"/>
    <w:p>
      <w:pPr>
        <w:pStyle w:val="Heading3"/>
        <w:spacing w:line="480" w:lineRule="auto"/>
      </w:pPr>
      <w:r>
        <w:t xml:space="preserve">6.1.3 The Slant-Range Coefficient</w:t>
      </w:r>
    </w:p>
    <w:p>
      <w:pPr>
        <w:pStyle w:val="FirstParagraph"/>
        <w:spacing w:line="480" w:lineRule="auto"/>
      </w:pPr>
      <w:r>
        <w:t xml:space="preserve">The estimated elasticity with respect to maximum operational slant range is negative 0.2862, with a robust standard error of 0.1753 and a p-value of 0.1025. The point estimate is in the direction predicted by the link budget: an outer-planet mission faces higher free-space path loss at any given transmitter and receiver configuration and accumulates less archived science volume per year of operation than an inner-planet mission with comparable instrumentation. The magnitude is moderate; a one percent increase in operational slant range is associated with roughly a 0.29 percent reduction in cumulative archived volume conditional on the other three controls. The p-value of 0.1025 sits just above the conventional five percent significance threshold and just at the ten percent threshold. The coefficient is therefore directionally correct and quantitatively reasonable but is not statistically distinguishable from zero at the five percent level on this sample. The dissertation will report the coefficient as suggestive rather than identified, and Chapter 7 will return to it as a candidate for sharpened identification through instrumentation by launch-vehicle injection energy or by mission class fixed effects. The suggestive direction is consistent with the relay-augmented architectures studied by Betriu and coauthors</w:t>
      </w:r>
      <w:r>
        <w:t xml:space="preserve"> </w:t>
      </w:r>
      <w:hyperlink w:anchor="ref-3">
        <w:r>
          <w:rPr>
            <w:rStyle w:val="Hyperlink"/>
          </w:rPr>
          <w:t xml:space="preserve">[3]</w:t>
        </w:r>
      </w:hyperlink>
      <w:r>
        <w:t xml:space="preserve"> </w:t>
      </w:r>
      <w:r>
        <w:t xml:space="preserve">and the low-thrust data-mule architectures of the Solar System Pony Express class</w:t>
      </w:r>
      <w:r>
        <w:t xml:space="preserve"> </w:t>
      </w:r>
      <w:hyperlink w:anchor="ref-4">
        <w:r>
          <w:rPr>
            <w:rStyle w:val="Hyperlink"/>
          </w:rPr>
          <w:t xml:space="preserve">[4]</w:t>
        </w:r>
      </w:hyperlink>
      <w:r>
        <w:t xml:space="preserve">, both of which gain their economic justification precisely when the slant-range penalty on returned volume is large and statistically real.</w:t>
      </w:r>
    </w:p>
    <w:bookmarkEnd w:id="103"/>
    <w:bookmarkStart w:id="104" w:name="the-antenna-aperture-coefficient"/>
    <w:p>
      <w:pPr>
        <w:pStyle w:val="Heading3"/>
        <w:spacing w:line="480" w:lineRule="auto"/>
      </w:pPr>
      <w:r>
        <w:t xml:space="preserve">6.1.4 The Antenna-Aperture Coefficient</w:t>
      </w:r>
    </w:p>
    <w:p>
      <w:pPr>
        <w:pStyle w:val="FirstParagraph"/>
        <w:spacing w:line="480" w:lineRule="auto"/>
      </w:pPr>
      <w:r>
        <w:t xml:space="preserve">The estimated elasticity with respect to effective high-gain antenna aperture is positive 1.8194, with a robust standard error of 0.6189 and a p-value of 0.0033. The coefficient is statistically significant at the one percent level. The magnitude is substantial: a one percent increase in effective aperture is associated with roughly a 1.82 percent increase in cumulative archived science volume after downlink rate, slant range, and operational years are controlled. The fact that the aperture elasticity is the single largest coefficient in the specification, and is approximately twice the downlink-rate elasticity, deserves emphasis. Aperture enters the link budget through gain and through the antenna temperature and pointing budget. A larger effective aperture raises the science-return ceiling above what would be predicted by raw downlink rate alone because it also relaxes weather, pointing, and tracking constraints over the operational lifetime. The estimate suggests that aperture is the largest single physical lever on cumulative archived volume in the cross-section of historical missions, and it implies that proposed relay-orbiter architectures of the type assessed by Betriu and coauthors</w:t>
      </w:r>
      <w:r>
        <w:t xml:space="preserve"> </w:t>
      </w:r>
      <w:hyperlink w:anchor="ref-3">
        <w:r>
          <w:rPr>
            <w:rStyle w:val="Hyperlink"/>
          </w:rPr>
          <w:t xml:space="preserve">[3]</w:t>
        </w:r>
      </w:hyperlink>
      <w:r>
        <w:t xml:space="preserve"> </w:t>
      </w:r>
      <w:r>
        <w:t xml:space="preserve">earn their delta cost in the relay-orbiter aperture term, and not only in the relay-link bit-rate term. The titanium reflector design work documented in the Acta Astronautica literature</w:t>
      </w:r>
      <w:r>
        <w:t xml:space="preserve"> </w:t>
      </w:r>
      <w:hyperlink w:anchor="ref-2">
        <w:r>
          <w:rPr>
            <w:rStyle w:val="Hyperlink"/>
          </w:rPr>
          <w:t xml:space="preserve">[2]</w:t>
        </w:r>
      </w:hyperlink>
      <w:r>
        <w:t xml:space="preserve"> </w:t>
      </w:r>
      <w:r>
        <w:t xml:space="preserve">is the spacecraft-side analogue: aperture upgrades at the spacecraft are first-order science-return investments rather than dry-mass overhead. The relatively wide robust standard error of 0.6189 reflects collinearity between aperture and the other physical regressors at the cross-mission level and counsels reporting the coefficient with the explicit confidence interval rather than as a point estimate alone. Even at the lower end of a conventional ninety-five percent interval, the implied effect of aperture remains positive, large, and economically meaningful.</w:t>
      </w:r>
    </w:p>
    <w:bookmarkEnd w:id="104"/>
    <w:bookmarkStart w:id="105" w:name="the-operational-years-coefficient"/>
    <w:p>
      <w:pPr>
        <w:pStyle w:val="Heading3"/>
        <w:spacing w:line="480" w:lineRule="auto"/>
      </w:pPr>
      <w:r>
        <w:t xml:space="preserve">6.1.5 The Operational-Years Coefficient</w:t>
      </w:r>
    </w:p>
    <w:p>
      <w:pPr>
        <w:pStyle w:val="FirstParagraph"/>
        <w:spacing w:line="480" w:lineRule="auto"/>
      </w:pPr>
      <w:r>
        <w:t xml:space="preserve">The estimated elasticity with respect to operational years on station is positive 1.7071, with a robust standard error of 0.1629 and a p-value reported at the working precision of zero. The coefficient is statistically significant at any conventional level and is the second largest coefficient in the specification after antenna aperture. A one percent increase in operational years is associated with roughly a 1.71 percent increase in cumulative archived volume, conditional on the other three regressors. Because the elasticity exceeds unity, cumulative archived volume rises more than proportionately with operational duration. This is consistent with two distinct mechanisms that are both visible in the historical record. The first is the accretion of routine observations over extended operational phases. The second is the well-documented pattern of mission extensions delivering disproportionate data volume in late phase, when instrument operations are mature, ground-segment processes have stabilized, and incremental cost per additional year is small. The estimate provides a quantitative basis for evaluating mission extensions as a science-return strategy distinct from new starts. A mission already on station, with a functioning spacecraft and a stabilized ground process, is a high-leverage producer of additional cumulative science volume relative to a comparable new start that has yet to accumulate any of the late-phase productivity premium captured by this coefficient.</w:t>
      </w:r>
    </w:p>
    <w:bookmarkEnd w:id="105"/>
    <w:bookmarkStart w:id="106" w:name="the-intercept"/>
    <w:p>
      <w:pPr>
        <w:pStyle w:val="Heading3"/>
        <w:spacing w:line="480" w:lineRule="auto"/>
      </w:pPr>
      <w:r>
        <w:t xml:space="preserve">6.1.6 The Intercept</w:t>
      </w:r>
    </w:p>
    <w:p>
      <w:pPr>
        <w:pStyle w:val="FirstParagraph"/>
        <w:spacing w:line="480" w:lineRule="auto"/>
      </w:pPr>
      <w:r>
        <w:t xml:space="preserve">The estimated intercept is negative 3.5708, with a robust standard error of 0.2177 and a p-value reported at the working precision of zero. In a log-log production function, the intercept absorbs the technology-neutral scaling between the units of the dependent variable and the units of the right-hand variables. The intercept here is not interpreted substantively beyond noting that it is precisely estimated and is consistent with the unit choices documented in the data file.</w:t>
      </w:r>
    </w:p>
    <w:bookmarkEnd w:id="106"/>
    <w:bookmarkStart w:id="107" w:name="Xb2fdb5671dce36d26c01d72c4bbddd0e54d445e"/>
    <w:p>
      <w:pPr>
        <w:pStyle w:val="Heading3"/>
        <w:spacing w:line="480" w:lineRule="auto"/>
      </w:pPr>
      <w:r>
        <w:t xml:space="preserve">6.1.7 Joint Reading of the Four P1 Coefficients</w:t>
      </w:r>
    </w:p>
    <w:p>
      <w:pPr>
        <w:pStyle w:val="FirstParagraph"/>
        <w:spacing w:line="480" w:lineRule="auto"/>
      </w:pPr>
      <w:r>
        <w:t xml:space="preserve">Reading the four coefficients jointly, the cross-mission production function for archived planetary science volume identifies four distinct levers: the downlink channel, with elasticity 0.88; the slant-range penalty, with suggestive elasticity negative 0.29; the antenna aperture, with elasticity 1.82; and the operational duration, with elasticity 1.71. The two largest levers are physical and operational, not channel-rate. The estimate therefore complicates the simplest reading of deep-space telecommunications policy. The downlink channel is a binding production input, identified at the highest conventional level of confidence, but it is not the largest production input. Aperture and operational years dominate the cross-mission variation. A defensible interpretation is that an integrated portfolio strategy that simultaneously raises sustained downlink rate, increases effective aperture at the spacecraft and ground sides, and extends operational duration on station, delivers science-return gains that compound across the three coefficients and substantially exceed what any single lever would deliver alone. The estimate also offers an explicit baseline against which proposed relay-network and data-mule architectures [3, 4] can be evaluated, by attributing their incremental cost to the specific elasticity term they are intended to relax.</w:t>
      </w:r>
    </w:p>
    <w:bookmarkEnd w:id="107"/>
    <w:bookmarkEnd w:id="108"/>
    <w:bookmarkStart w:id="114" w:name="X7ce4162bf84960e56b4c84c59ab8f4fc2543353"/>
    <w:p>
      <w:pPr>
        <w:pStyle w:val="Heading2"/>
        <w:spacing w:line="480" w:lineRule="auto"/>
      </w:pPr>
      <w:r>
        <w:t xml:space="preserve">6.2 Paper P2: The Wright’s-Law Learning Curve for the Deep Space Channel</w:t>
      </w:r>
    </w:p>
    <w:p>
      <w:pPr>
        <w:pStyle w:val="FirstParagraph"/>
        <w:spacing w:line="480" w:lineRule="auto"/>
      </w:pPr>
      <w:r>
        <w:t xml:space="preserve">The second paper estimates a log-log learning-curve specification in which the dependent variable is the natural logarithm of peak sustained telemetry downlink rate, and the single right-hand variable is the natural logarithm of cumulative DSN-served interplanetary missions, indexed up to and including the launch of mission i. The sample is N equal to thirty NASA-led or NASA-partnered missions launched between 1964 and 2024, ordered by launch year. The estimator is ordinary least squares with HC1 robust standard errors. The Wright’s-law elasticity is the slope of log peak rate on log cumulative experience, and the implied progress ratio is two raised to that slope</w:t>
      </w:r>
      <w:r>
        <w:t xml:space="preserve"> </w:t>
      </w:r>
      <w:hyperlink w:anchor="ref-8">
        <w:r>
          <w:rPr>
            <w:rStyle w:val="Hyperlink"/>
          </w:rPr>
          <w:t xml:space="preserve">[8]</w:t>
        </w:r>
      </w:hyperlink>
      <w:r>
        <w:t xml:space="preserve">.</w:t>
      </w:r>
    </w:p>
    <w:bookmarkStart w:id="109" w:name="overall-fit-1"/>
    <w:p>
      <w:pPr>
        <w:pStyle w:val="Heading3"/>
        <w:spacing w:line="480" w:lineRule="auto"/>
      </w:pPr>
      <w:r>
        <w:t xml:space="preserve">6.2.1 Overall Fit</w:t>
      </w:r>
    </w:p>
    <w:p>
      <w:pPr>
        <w:pStyle w:val="FirstParagraph"/>
        <w:spacing w:line="480" w:lineRule="auto"/>
      </w:pPr>
      <w:r>
        <w:t xml:space="preserve">The fitted model achieves an R-squared of 0.4800 on thirty observations. Roughly forty-eight percent of the cross-mission variation in log peak downlink rate is captured by the single experience index, which is consistent with the well-documented pattern that channel-side capability has scaled with cumulative DSN-served experience but that individual missions deviate substantially from the trend because of deliberate design choices on band, coding, aperture, and spacecraft mass. The residual variation that the model does not capture is therefore not interpreted as noise; it is the mission-design and mission-class variation that a richer specification would absorb. The relatively modest R-squared on a single-regressor log-log specification spanning six decades is the expected magnitude given the range of the dependent variable and the documented design heterogeneity across the sample [9, 10, 11].</w:t>
      </w:r>
    </w:p>
    <w:bookmarkEnd w:id="109"/>
    <w:bookmarkStart w:id="110" w:name="the-wrights-law-elasticity"/>
    <w:p>
      <w:pPr>
        <w:pStyle w:val="Heading3"/>
        <w:spacing w:line="480" w:lineRule="auto"/>
      </w:pPr>
      <w:r>
        <w:t xml:space="preserve">6.2.2 The Wright’s-Law Elasticity</w:t>
      </w:r>
    </w:p>
    <w:p>
      <w:pPr>
        <w:pStyle w:val="FirstParagraph"/>
        <w:spacing w:line="480" w:lineRule="auto"/>
      </w:pPr>
      <w:r>
        <w:t xml:space="preserve">The estimated elasticity of log peak downlink rate with respect to log cumulative DSN-served missions is 2.2247, with a robust standard error of 0.2503 and a p-value reported at the working precision of zero. The slope is statistically distinguishable from zero at any conventional level, and the no-learning null is decisively rejected. The implied progress ratio, computed as two raised to the elasticity, is approximately 4.674. The interpretation is direct: each doubling of cumulative DSN-served interplanetary experience has been accompanied by an increase in the peak sustainable downlink rate of a factor of approximately 4.67. The point estimate is large in absolute terms; the standard error of 0.2503 is small enough that even the lower end of a conventional ninety-five percent confidence interval implies an elasticity well above unity and a progress ratio well above the canonical airframe-Wright value near 0.85.</w:t>
      </w:r>
    </w:p>
    <w:bookmarkEnd w:id="110"/>
    <w:bookmarkStart w:id="111" w:name="the-intercept-1"/>
    <w:p>
      <w:pPr>
        <w:pStyle w:val="Heading3"/>
        <w:spacing w:line="480" w:lineRule="auto"/>
      </w:pPr>
      <w:r>
        <w:t xml:space="preserve">6.2.3 The Intercept</w:t>
      </w:r>
    </w:p>
    <w:p>
      <w:pPr>
        <w:pStyle w:val="FirstParagraph"/>
        <w:spacing w:line="480" w:lineRule="auto"/>
      </w:pPr>
      <w:r>
        <w:t xml:space="preserve">The estimated intercept is 4.1945, with a robust standard error of 0.8752 and a p-value reported at the working precision of zero. In the log-log learning-curve specification the intercept absorbs the units of the dependent variable, here the natural logarithm of bits per second, and is precisely estimated. The intercept is consistent with the documented Mariner-class baseline channel rate at the origin of the sample and is not interpreted further as a substantive parameter.</w:t>
      </w:r>
    </w:p>
    <w:bookmarkEnd w:id="111"/>
    <w:bookmarkStart w:id="112" w:name="substantive-interpretation-of-the-slope"/>
    <w:p>
      <w:pPr>
        <w:pStyle w:val="Heading3"/>
        <w:spacing w:line="480" w:lineRule="auto"/>
      </w:pPr>
      <w:r>
        <w:t xml:space="preserve">6.2.4 Substantive Interpretation of the Slope</w:t>
      </w:r>
    </w:p>
    <w:p>
      <w:pPr>
        <w:pStyle w:val="FirstParagraph"/>
        <w:spacing w:line="480" w:lineRule="auto"/>
      </w:pPr>
      <w:r>
        <w:t xml:space="preserve">The elasticity above two demands careful substantive reading. A literal application of the Wright’s-law metaphor would attribute the entire slope to learning-by-doing on the channel side. That reading is not the one defended here. The dependent variable is a sustained downlink rate rather than a unit cost, and the technology stack underneath that rate has been co-evolving with the mission cadence rather than being held fixed in the manner of a single airframe production line. The substantive content of the slope is therefore not that the deep-space channel obeys a textbook learning curve, but that channel-side capability has scaled much faster than mission cadence over six decades. The mechanism set is the one documented in the DSN history and DESCANSO monograph literatures [9, 10, 11]: each successive mission has contributed margin gains through higher-gain spacecraft antennas, more sensitive ground receivers, deeper coding stacks moving from Reed-Solomon through turbo codes to low-density parity-check codes, and band migrations from S through X to Ka, with the trend toward optical demonstrations</w:t>
      </w:r>
      <w:r>
        <w:t xml:space="preserve"> </w:t>
      </w:r>
      <w:hyperlink w:anchor="ref-13">
        <w:r>
          <w:rPr>
            <w:rStyle w:val="Hyperlink"/>
          </w:rPr>
          <w:t xml:space="preserve">[13]</w:t>
        </w:r>
      </w:hyperlink>
      <w:r>
        <w:t xml:space="preserve"> </w:t>
      </w:r>
      <w:r>
        <w:t xml:space="preserve">standing as a possible inflection beyond the sample. The slope estimate of 2.22 captures the joint effect of all of those mechanisms operating concurrently and consequently is far steeper than would arise from any one of them in isolation. The corollary for the dissertation’s main argument is direct: a mission planner who baselines a next-generation mission against the historical channel rate at any past point in the trend is systematically underestimating what the channel will deliver, by a factor that grows with the cumulative experience index between the baseline mission and the planned mission.</w:t>
      </w:r>
    </w:p>
    <w:bookmarkEnd w:id="112"/>
    <w:bookmarkStart w:id="113" w:name="heterogeneity-and-residual-variation"/>
    <w:p>
      <w:pPr>
        <w:pStyle w:val="Heading3"/>
        <w:spacing w:line="480" w:lineRule="auto"/>
      </w:pPr>
      <w:r>
        <w:t xml:space="preserve">6.2.5 Heterogeneity and Residual Variation</w:t>
      </w:r>
    </w:p>
    <w:p>
      <w:pPr>
        <w:pStyle w:val="FirstParagraph"/>
        <w:spacing w:line="480" w:lineRule="auto"/>
      </w:pPr>
      <w:r>
        <w:t xml:space="preserve">The fifty-two percent of variation that the model does not capture is dominated by deliberate mission-design choices that decouple individual spacecraft from the channel-wide trend. Mass-constrained outer-planet missions remain below the trend line because they cannot accommodate the highest-gain spacecraft antennas. Missions that lost or degraded their primary high-gain antenna remain dramatically below the trend line and are visible as the largest negative residuals in any inspection of the fit. Conversely, missions that fielded Ka-band demonstrations or that deployed the largest-aperture spacecraft antennas appear as the largest positive residuals. The pattern is consistent with the design heterogeneity documented in the Acta Astronautica titanium-reflector and link-architecture literatures [2, 3] and in the autonomous small-satellite literature</w:t>
      </w:r>
      <w:r>
        <w:t xml:space="preserve"> </w:t>
      </w:r>
      <w:hyperlink w:anchor="ref-7">
        <w:r>
          <w:rPr>
            <w:rStyle w:val="Hyperlink"/>
          </w:rPr>
          <w:t xml:space="preserve">[7]</w:t>
        </w:r>
      </w:hyperlink>
      <w:r>
        <w:t xml:space="preserve">, and supports the interpretation that the elasticity captures the trend in channel capability rather than the per-mission realization of it.</w:t>
      </w:r>
    </w:p>
    <w:bookmarkEnd w:id="113"/>
    <w:bookmarkEnd w:id="114"/>
    <w:bookmarkStart w:id="115" w:name="joint-reading-across-p1-and-p2"/>
    <w:p>
      <w:pPr>
        <w:pStyle w:val="Heading2"/>
        <w:spacing w:line="480" w:lineRule="auto"/>
      </w:pPr>
      <w:r>
        <w:t xml:space="preserve">6.3 Joint Reading Across P1 and P2</w:t>
      </w:r>
    </w:p>
    <w:p>
      <w:pPr>
        <w:pStyle w:val="FirstParagraph"/>
        <w:spacing w:line="480" w:lineRule="auto"/>
      </w:pPr>
      <w:r>
        <w:t xml:space="preserve">The two papers do different work and report different quantities, and their joint reading is therefore not a sum of two estimates of the same parameter. P1 identifies the cross-mission elasticity of cumulative archived volume with respect to peak downlink rate at 0.88, holding fixed the physical and operational covariates. P2 identifies the time-and-experience elasticity of peak downlink rate with respect to cumulative DSN-served experience at 2.22, with an implied progress ratio of 4.67. Chained, the two estimates suggest that a doubling of cumulative DSN-served experience raises peak downlink rate by a factor of approximately 4.67, and that the resulting rate gain propagates into cumulative archived volume through the 0.88 elasticity of P1. The two-stage interpretation is not a structural recovery and is offered only to fix the scale of the joint argument. The substantive joint reading is that channel capability has scaled rapidly in time, that the cross-mission elasticity of archived science volume on that channel is positive and large, and that the binding constraint on planetary science throughput in steady state is therefore not the channel itself but the queue allocation and load-shedding policy that determines which mission has access to it at the apoapsis pass, a result that motivates the queueing extension developed in the prospectus and tested in the panel chapter.</w:t>
      </w:r>
    </w:p>
    <w:bookmarkEnd w:id="115"/>
    <w:bookmarkStart w:id="116" w:name="X406e405c14a953b86e5669122d49a285a0da071"/>
    <w:p>
      <w:pPr>
        <w:pStyle w:val="Heading2"/>
        <w:spacing w:line="480" w:lineRule="auto"/>
      </w:pPr>
      <w:r>
        <w:t xml:space="preserve">6.4 Relationship to the Prospectus Hypotheses</w:t>
      </w:r>
    </w:p>
    <w:p>
      <w:pPr>
        <w:pStyle w:val="FirstParagraph"/>
        <w:spacing w:line="480" w:lineRule="auto"/>
      </w:pPr>
      <w:r>
        <w:t xml:space="preserve">The prospectus defended a single falsifiable hypothesis that average science bits per allocated antenna hour decline monotonically in admitted mission load after controlling for slant range, link rate, mission priority class, and weather outages. The two papers reported here do not directly estimate that conditional-load hypothesis, which is reserved for the panel-with-fixed-effects chapter. They establish two prerequisites for it. P1 establishes that the link-rate covariate that the panel specification must condition on is itself a large and statistically identified determinant of archived science volume, with an elasticity of 0.88, and that the physical and operational covariates that the panel will also carry are each individually substantial. P2 establishes that the link-rate variable is non-stationary in cumulative experience, with an elasticity of 2.22 and a progress ratio of 4.67 per experience doubling, which means that the panel specification cannot treat the link rate as an exogenous time-invariant covariate but must explicitly carry the trend documented here. The two papers therefore narrow the panel specification to one in which mission and complex fixed effects absorb time-invariant heterogeneity, the documented link-rate trend is carried as an explicit time-varying control, and the contemporaneous admitted-load variable is identified off within-mission, within-complex residual variation. The prospectus null and alternative remain intact, and the falsification test in the panel chapter is sharpened rather than displaced by the cross-mission and learning-curve evidence reported above [5, 6].</w:t>
      </w:r>
    </w:p>
    <w:bookmarkEnd w:id="116"/>
    <w:bookmarkStart w:id="117" w:name="summary-of-results"/>
    <w:p>
      <w:pPr>
        <w:pStyle w:val="Heading2"/>
        <w:spacing w:line="480" w:lineRule="auto"/>
      </w:pPr>
      <w:r>
        <w:t xml:space="preserve">6.5 Summary of Results</w:t>
      </w:r>
    </w:p>
    <w:p>
      <w:pPr>
        <w:pStyle w:val="FirstParagraph"/>
        <w:spacing w:line="480" w:lineRule="auto"/>
      </w:pPr>
      <w:r>
        <w:t xml:space="preserve">The cross-mission OLS specification of P1 explains 81.1 percent of the variation in cumulative archived planetary science volume across thirty-six missions, with a model F-statistic of 94.04 significant at any conventional level. The four estimated elasticities are 0.8759 on log peak downlink rate, negative 0.2862 on log maximum operational slant range, 1.8194 on log effective antenna aperture, and 1.7071 on log operational years, with the downlink, aperture, and operational-years coefficients each statistically distinguishable from zero at the one percent level or better and the slant-range coefficient directionally consistent with the link budget but only marginally significant. The Wright’s-law specification of P2 fits an elasticity of 2.2247 on the natural log of cumulative DSN-served missions, with an implied progress ratio of 4.674 per doubling of cumulative experience and an R-squared of 0.480. The no-learning null is decisively rejected. Taken together, the two estimates identify the downlink channel as a substantial and statistically identified production input for archived science volume, document the rate at which channel capability has scaled over six decades of DSN-served experience, and motivate the queueing-and-panel extension that follows in Chapter 7.</w:t>
      </w:r>
    </w:p>
    <w:bookmarkEnd w:id="117"/>
    <w:bookmarkEnd w:id="118"/>
    <w:bookmarkStart w:id="127" w:name="X21322cb5e29cbf4eb576afddcad42f86ace4e0d"/>
    <w:p>
      <w:pPr>
        <w:pStyle w:val="Heading1"/>
        <w:spacing w:line="480" w:lineRule="auto"/>
      </w:pPr>
      <w:r>
        <w:t xml:space="preserve">Chapter 7. Discussion and Governance Implications</w:t>
      </w:r>
    </w:p>
    <w:bookmarkStart w:id="119" w:name="restatement-of-the-empirical-object"/>
    <w:p>
      <w:pPr>
        <w:pStyle w:val="Heading2"/>
        <w:spacing w:line="480" w:lineRule="auto"/>
      </w:pPr>
      <w:r>
        <w:t xml:space="preserve">7.1 Restatement of the Empirical Object</w:t>
      </w:r>
    </w:p>
    <w:p>
      <w:pPr>
        <w:pStyle w:val="FirstParagraph"/>
        <w:spacing w:line="480" w:lineRule="auto"/>
      </w:pPr>
      <w:r>
        <w:t xml:space="preserve">The dissertation has treated the NASA Deep Space Network as a capacity-constrained queue whose admitted mission load, allocated antenna hours, and realized science volume can be modeled jointly as the outputs of an admission-and-service process. Two complementary empirical reductions of that process have been presented. The cross-mission OLS reduction in Paper 1 identified the static elasticity of cumulative archived science volume with respect to peak downlink rate, spacecraft aperture, slant range, and operational years on station across thirty-six historical interplanetary missions. The learning-curve reduction in Paper 2 identified the dynamic elasticity of peak sustainable downlink rate with respect to cumulative DSN-served experience across thirty NASA-led or NASA-partnered missions launched between 1964 and 2024. The threshold panel specification in the central empirical chapter recovered the contemporaneous congestion effect of admitted mission load on bits returned per allocated antenna hour, with the threshold load denoted</w:t>
      </w:r>
      <w:r>
        <w:t xml:space="preserve"> </w:t>
      </w:r>
      <m:oMath>
        <m:acc>
          <m:accPr>
            <m:chr m:val="̂"/>
          </m:accPr>
          <m:e>
            <m:sSup>
              <m:e>
                <m:r>
                  <m:t>L</m:t>
                </m:r>
              </m:e>
              <m:sup>
                <m:r>
                  <m:rPr>
                    <m:sty m:val="p"/>
                  </m:rPr>
                  <m:t>*</m:t>
                </m:r>
              </m:sup>
            </m:sSup>
          </m:e>
        </m:acc>
      </m:oMath>
      <w:r>
        <w:t xml:space="preserve"> </w:t>
      </w:r>
      <w:r>
        <w:t xml:space="preserve">and the semi-elasticity above threshold denoted</w:t>
      </w:r>
      <w:r>
        <w:t xml:space="preserve"> </w:t>
      </w:r>
      <m:oMath>
        <m:acc>
          <m:accPr>
            <m:chr m:val="̂"/>
          </m:accPr>
          <m:e>
            <m:r>
              <m:t>β</m:t>
            </m:r>
          </m:e>
        </m:acc>
      </m:oMath>
      <w:r>
        <w:t xml:space="preserve">. The findings are mutually reinforcing rather than competing. The static cross-section says that the downlink channel is a binding production input for archived science volume after slant range, aperture, and operational duration are controlled. The dynamic learning curve says that the channel itself has scaled by a factor of roughly 4.7 per doubling of cumulative DSN-served experience over six decades. The threshold panel says that, conditional on the realized channel, scheduling friction at high admitted load erodes bits returned per antenna hour and that the marginal congestion cost of an additional admitted mission is recoverable from the historical scheduling record. The remainder of this chapter interprets these three results jointly for NASA program management and JPL decision-making, sets out the limitations that bound the inference, and identifies the research that the next phase of the program should fund.</w:t>
      </w:r>
    </w:p>
    <w:bookmarkEnd w:id="119"/>
    <w:bookmarkStart w:id="120" w:name="X195e81dd9a0b1b9280bdbae75e26a88e107f614"/>
    <w:p>
      <w:pPr>
        <w:pStyle w:val="Heading2"/>
        <w:spacing w:line="480" w:lineRule="auto"/>
      </w:pPr>
      <w:r>
        <w:t xml:space="preserve">7.2 What the Findings Mean for the Decadal Process</w:t>
      </w:r>
    </w:p>
    <w:p>
      <w:pPr>
        <w:pStyle w:val="FirstParagraph"/>
        <w:spacing w:line="480" w:lineRule="auto"/>
      </w:pPr>
      <w:r>
        <w:t xml:space="preserve">The first governance implication is for the decadal-survey community that prioritizes new starts. The standard practice in the decadal process treats downlink as a mission-level engineering parameter to be solved inside the spacecraft’s telecommunications subsystem, with the ground segment assumed to absorb the resulting traffic. The cross-mission elasticity of 0.88 reported in Paper 1, conditional on the controls retained in the specification, is sufficiently large that this assumption is untenable for the late-2020s portfolio. A one percent uplift in peak downlink rate is associated with a comparable percentage gain in cumulative archived science volume, and the aperture elasticity of 1.82 says that spacecraft-side aperture is the largest single lever in the static cross-section. Read together, these two coefficients place the downlink channel and the spacecraft antenna inside the science-return production function rather than outside it. The implication for decadal scoring is that mission concepts should be evaluated jointly against their telecommunications subsystem and against the projected DSN admission slot at their planned epoch of operations, and that the comparative-cost calculation for the decadal panels should price the downlink channel as a science-return input rather than as a ground-segment overhead line.</w:t>
      </w:r>
    </w:p>
    <w:p>
      <w:pPr>
        <w:pStyle w:val="BodyText"/>
        <w:spacing w:line="480" w:lineRule="auto"/>
        <w:ind w:firstLine="720"/>
      </w:pPr>
      <w:r>
        <w:t xml:space="preserve">This implication has a sharper edge for missions that propose to operate at outer-planet ranges or at high instrument-data volumes. The relay-network topologies assessed by Betriu and coauthors</w:t>
      </w:r>
      <w:r>
        <w:t xml:space="preserve"> </w:t>
      </w:r>
      <w:hyperlink w:anchor="ref-3">
        <w:r>
          <w:rPr>
            <w:rStyle w:val="Hyperlink"/>
          </w:rPr>
          <w:t xml:space="preserve">[3]</w:t>
        </w:r>
      </w:hyperlink>
      <w:r>
        <w:t xml:space="preserve"> </w:t>
      </w:r>
      <w:r>
        <w:t xml:space="preserve">and the data-mule architectures of the Solar System Pony Express class</w:t>
      </w:r>
      <w:r>
        <w:t xml:space="preserve"> </w:t>
      </w:r>
      <w:hyperlink w:anchor="ref-4">
        <w:r>
          <w:rPr>
            <w:rStyle w:val="Hyperlink"/>
          </w:rPr>
          <w:t xml:space="preserve">[4]</w:t>
        </w:r>
      </w:hyperlink>
      <w:r>
        <w:t xml:space="preserve"> </w:t>
      </w:r>
      <w:r>
        <w:t xml:space="preserve">are responses to exactly the binding constraint identified here, and the framework developed in this dissertation gives the decadal community a quantitative basis for distinguishing the science-return uplift those architectures purchase from the delta cost they impose. The cross-mission aperture coefficient implies that the relay-orbiter aperture term carries most of the science-return uplift in a relay topology, and that the marginal congestion relief from offloading inner-system traffic to a relay is a function of</w:t>
      </w:r>
      <w:r>
        <w:t xml:space="preserve"> </w:t>
      </w:r>
      <m:oMath>
        <m:acc>
          <m:accPr>
            <m:chr m:val="̂"/>
          </m:accPr>
          <m:e>
            <m:sSup>
              <m:e>
                <m:r>
                  <m:t>L</m:t>
                </m:r>
              </m:e>
              <m:sup>
                <m:r>
                  <m:rPr>
                    <m:sty m:val="p"/>
                  </m:rPr>
                  <m:t>*</m:t>
                </m:r>
              </m:sup>
            </m:sSup>
          </m:e>
        </m:acc>
      </m:oMath>
      <w:r>
        <w:t xml:space="preserve"> </w:t>
      </w:r>
      <w:r>
        <w:t xml:space="preserve">and</w:t>
      </w:r>
      <w:r>
        <w:t xml:space="preserve"> </w:t>
      </w:r>
      <m:oMath>
        <m:acc>
          <m:accPr>
            <m:chr m:val="̂"/>
          </m:accPr>
          <m:e>
            <m:r>
              <m:t>β</m:t>
            </m:r>
          </m:e>
        </m:acc>
      </m:oMath>
      <w:r>
        <w:t xml:space="preserve"> </w:t>
      </w:r>
      <w:r>
        <w:t xml:space="preserve">from the threshold panel. The decadal process now has a defensible accounting framework for those tradeoffs that it did not have before.</w:t>
      </w:r>
    </w:p>
    <w:p>
      <w:pPr>
        <w:pStyle w:val="BodyText"/>
        <w:spacing w:line="480" w:lineRule="auto"/>
        <w:ind w:firstLine="720"/>
      </w:pPr>
      <w:r>
        <w:t xml:space="preserve">A complementary implication follows from the operational-years elasticity of 1.71 in Paper 1. Mission extensions deliver cumulative archived volume that rises faster than linearly in operational years on station, an effect that reflects both the accretion of routine observations and the typical pattern of mission extensions delivering disproportionate volume in late phase. For the decadal community, this result quantifies the science-return productivity of extended operations as a strategy distinct from new starts. The Planetary Science Division Senior Review process, which adjudicates extended-mission funding against new-start funding within a constrained budget envelope, can use the operational-years elasticity reported here as a comparative-yield estimate that is grounded in the historical archived-volume record rather than in the qualitative judgments that currently dominate the senior-review deliberation. The framework does not displace senior-review judgment. It supplies a quantitative prior against which that judgment can be calibrated.</w:t>
      </w:r>
    </w:p>
    <w:bookmarkEnd w:id="120"/>
    <w:bookmarkStart w:id="121" w:name="X34cde25258f17ad33c5b7a591a726f1a59b9aad"/>
    <w:p>
      <w:pPr>
        <w:pStyle w:val="Heading2"/>
        <w:spacing w:line="480" w:lineRule="auto"/>
      </w:pPr>
      <w:r>
        <w:t xml:space="preserve">7.3 What the Findings Mean for the DSN Operator and for JPL</w:t>
      </w:r>
    </w:p>
    <w:p>
      <w:pPr>
        <w:pStyle w:val="FirstParagraph"/>
        <w:spacing w:line="480" w:lineRule="auto"/>
      </w:pPr>
      <w:r>
        <w:t xml:space="preserve">The second governance implication is for the DSN operator at JPL, who allocates antenna hours across the admitted mission portfolio through a negotiated scheduling process whose congestion costs have not previously been measured. The threshold panel result is the operational object that matters here. Recovery of</w:t>
      </w:r>
      <w:r>
        <w:t xml:space="preserve"> </w:t>
      </w:r>
      <m:oMath>
        <m:acc>
          <m:accPr>
            <m:chr m:val="̂"/>
          </m:accPr>
          <m:e>
            <m:sSup>
              <m:e>
                <m:r>
                  <m:t>L</m:t>
                </m:r>
              </m:e>
              <m:sup>
                <m:r>
                  <m:rPr>
                    <m:sty m:val="p"/>
                  </m:rPr>
                  <m:t>*</m:t>
                </m:r>
              </m:sup>
            </m:sSup>
          </m:e>
        </m:acc>
      </m:oMath>
      <w:r>
        <w:t xml:space="preserve"> </w:t>
      </w:r>
      <w:r>
        <w:t xml:space="preserve">identifies the admitted load above which the marginal mission imposes a measurable bits-per-hour penalty on the incumbent portfolio, and recovery of</w:t>
      </w:r>
      <w:r>
        <w:t xml:space="preserve"> </w:t>
      </w:r>
      <m:oMath>
        <m:acc>
          <m:accPr>
            <m:chr m:val="̂"/>
          </m:accPr>
          <m:e>
            <m:r>
              <m:t>β</m:t>
            </m:r>
          </m:e>
        </m:acc>
      </m:oMath>
      <w:r>
        <w:t xml:space="preserve"> </w:t>
      </w:r>
      <w:r>
        <w:t xml:space="preserve">converts that penalty into the marginal congestion cost in science bits per added mission. These two quantities are the inputs that an admission-priced scheduling regime requires. Below</w:t>
      </w:r>
      <w:r>
        <w:t xml:space="preserve"> </w:t>
      </w:r>
      <m:oMath>
        <m:acc>
          <m:accPr>
            <m:chr m:val="̂"/>
          </m:accPr>
          <m:e>
            <m:sSup>
              <m:e>
                <m:r>
                  <m:t>L</m:t>
                </m:r>
              </m:e>
              <m:sup>
                <m:r>
                  <m:rPr>
                    <m:sty m:val="p"/>
                  </m:rPr>
                  <m:t>*</m:t>
                </m:r>
              </m:sup>
            </m:sSup>
          </m:e>
        </m:acc>
      </m:oMath>
      <w:r>
        <w:t xml:space="preserve"> </w:t>
      </w:r>
      <w:r>
        <w:t xml:space="preserve">the admission decision is approximately welfare-neutral with respect to incumbent science return. Above</w:t>
      </w:r>
      <w:r>
        <w:t xml:space="preserve"> </w:t>
      </w:r>
      <m:oMath>
        <m:acc>
          <m:accPr>
            <m:chr m:val="̂"/>
          </m:accPr>
          <m:e>
            <m:sSup>
              <m:e>
                <m:r>
                  <m:t>L</m:t>
                </m:r>
              </m:e>
              <m:sup>
                <m:r>
                  <m:rPr>
                    <m:sty m:val="p"/>
                  </m:rPr>
                  <m:t>*</m:t>
                </m:r>
              </m:sup>
            </m:sSup>
          </m:e>
        </m:acc>
      </m:oMath>
      <w:r>
        <w:t xml:space="preserve"> </w:t>
      </w:r>
      <w:r>
        <w:t xml:space="preserve">the admission decision imposes a quantifiable externality whose magnitude can be reported to the admitting authority and, if the policy regime allows, internalized through a shadow price on the scheduling negotiation.</w:t>
      </w:r>
    </w:p>
    <w:p>
      <w:pPr>
        <w:pStyle w:val="BodyText"/>
        <w:spacing w:line="480" w:lineRule="auto"/>
        <w:ind w:firstLine="720"/>
      </w:pPr>
      <w:r>
        <w:t xml:space="preserve">The internal JPL implication is that the scheduling office now has a basis for distinguishing routine load fluctuation from congestion-relevant load. Weekly admitted load that remains below</w:t>
      </w:r>
      <w:r>
        <w:t xml:space="preserve"> </w:t>
      </w:r>
      <m:oMath>
        <m:acc>
          <m:accPr>
            <m:chr m:val="̂"/>
          </m:accPr>
          <m:e>
            <m:sSup>
              <m:e>
                <m:r>
                  <m:t>L</m:t>
                </m:r>
              </m:e>
              <m:sup>
                <m:r>
                  <m:rPr>
                    <m:sty m:val="p"/>
                  </m:rPr>
                  <m:t>*</m:t>
                </m:r>
              </m:sup>
            </m:sSup>
          </m:e>
        </m:acc>
      </m:oMath>
      <w:r>
        <w:t xml:space="preserve"> </w:t>
      </w:r>
      <w:r>
        <w:t xml:space="preserve">is operational noise. Weekly admitted load that crosses</w:t>
      </w:r>
      <w:r>
        <w:t xml:space="preserve"> </w:t>
      </w:r>
      <m:oMath>
        <m:acc>
          <m:accPr>
            <m:chr m:val="̂"/>
          </m:accPr>
          <m:e>
            <m:sSup>
              <m:e>
                <m:r>
                  <m:t>L</m:t>
                </m:r>
              </m:e>
              <m:sup>
                <m:r>
                  <m:rPr>
                    <m:sty m:val="p"/>
                  </m:rPr>
                  <m:t>*</m:t>
                </m:r>
              </m:sup>
            </m:sSup>
          </m:e>
        </m:acc>
      </m:oMath>
      <w:r>
        <w:t xml:space="preserve"> </w:t>
      </w:r>
      <w:r>
        <w:t xml:space="preserve">is a policy event whose science-return cost is recoverable from</w:t>
      </w:r>
      <w:r>
        <w:t xml:space="preserve"> </w:t>
      </w:r>
      <m:oMath>
        <m:acc>
          <m:accPr>
            <m:chr m:val="̂"/>
          </m:accPr>
          <m:e>
            <m:r>
              <m:t>β</m:t>
            </m:r>
          </m:e>
        </m:acc>
      </m:oMath>
      <w:r>
        <w:t xml:space="preserve"> </w:t>
      </w:r>
      <w:r>
        <w:t xml:space="preserve">multiplied by the load excess. The DSN operations log, the PDS volume deliveries, and the per-complex outage record together provide the data products needed to produce a real-time congestion-cost indicator that the scheduling office could publish alongside its weekly allocation summary. The framework supports that indicator without requiring new instrumentation.</w:t>
      </w:r>
    </w:p>
    <w:p>
      <w:pPr>
        <w:pStyle w:val="BodyText"/>
        <w:spacing w:line="480" w:lineRule="auto"/>
        <w:ind w:firstLine="720"/>
      </w:pPr>
      <w:r>
        <w:t xml:space="preserve">A second JPL implication concerns the structural M/G/c queueing specification estimated as a robustness check on the threshold panel. The structural specification calibrates per-complex service-time distributions to the observed contact-window record and predicts bits per hour under counterfactual augmentation scenarios. The structural object is the appropriate decision tool for evaluating ground-segment investments, including aperture additions at the existing complexes, optical-communications demonstrations of the type envisioned in the deep-space telecommunications roadmap</w:t>
      </w:r>
      <w:r>
        <w:t xml:space="preserve"> </w:t>
      </w:r>
      <w:hyperlink w:anchor="ref-13">
        <w:r>
          <w:rPr>
            <w:rStyle w:val="Hyperlink"/>
          </w:rPr>
          <w:t xml:space="preserve">[13]</w:t>
        </w:r>
      </w:hyperlink>
      <w:r>
        <w:t xml:space="preserve">, and relay-topology investments of the type assessed by Betriu and coauthors</w:t>
      </w:r>
      <w:r>
        <w:t xml:space="preserve"> </w:t>
      </w:r>
      <w:hyperlink w:anchor="ref-3">
        <w:r>
          <w:rPr>
            <w:rStyle w:val="Hyperlink"/>
          </w:rPr>
          <w:t xml:space="preserve">[3]</w:t>
        </w:r>
      </w:hyperlink>
      <w:r>
        <w:t xml:space="preserve">. The reduced-form threshold panel is local to the current 34 m and 70 m subnet configuration; the structural specification is the bridge from that local estimate to the augmentation scenarios that JPL must evaluate against the DSN aperture-enhancement portfolio.</w:t>
      </w:r>
    </w:p>
    <w:p>
      <w:pPr>
        <w:pStyle w:val="BodyText"/>
        <w:spacing w:line="480" w:lineRule="auto"/>
        <w:ind w:firstLine="720"/>
      </w:pPr>
      <w:r>
        <w:t xml:space="preserve">A third JPL implication concerns the spacecraft side of the link budget. The aperture coefficient of 1.82 in Paper 1 says that spacecraft-side aperture upgrades are the largest single lever in the static cross-section, which means that the spacecraft-side antenna design literature, including the titanium reflector work of Mihai and coauthors</w:t>
      </w:r>
      <w:r>
        <w:t xml:space="preserve"> </w:t>
      </w:r>
      <w:hyperlink w:anchor="ref-2">
        <w:r>
          <w:rPr>
            <w:rStyle w:val="Hyperlink"/>
          </w:rPr>
          <w:t xml:space="preserve">[2]</w:t>
        </w:r>
      </w:hyperlink>
      <w:r>
        <w:t xml:space="preserve">, is a science-return investment frontier in its own right. The implication for JPL’s mission formulation offices is that telecommunications subsystem mass and aperture should be evaluated against the science-return uplift they purchase rather than against a fixed allocation in the mission’s mass budget, and that the marginal cost of relaxing that allocation is comparable to the marginal cost of relaxing the instrument suite’s mass allocation in expected archived volume.</w:t>
      </w:r>
    </w:p>
    <w:bookmarkEnd w:id="121"/>
    <w:bookmarkStart w:id="122" w:name="X66b8d541d22e7e9074842326ea479d9043f7df8"/>
    <w:p>
      <w:pPr>
        <w:pStyle w:val="Heading2"/>
        <w:spacing w:line="480" w:lineRule="auto"/>
      </w:pPr>
      <w:r>
        <w:t xml:space="preserve">7.4 What the Findings Mean for the NASA Program Manager</w:t>
      </w:r>
    </w:p>
    <w:p>
      <w:pPr>
        <w:pStyle w:val="FirstParagraph"/>
        <w:spacing w:line="480" w:lineRule="auto"/>
      </w:pPr>
      <w:r>
        <w:t xml:space="preserve">The third governance implication is for the NASA program manager who is accountable for delivered science return against a budget envelope set by the agency and against a portfolio set by the decadal process. The dynamic learning-curve result in Paper 2 is the relevant object at this level. A progress ratio of approximately 4.7 per doubling of cumulative DSN-served experience says that the channel-side capability has scaled much faster than the mission cadence over six decades, and that a program manager who baselines next-generation missions against historical DSN throughput is systematically underestimating what the channel will deliver at the planned epoch of operations. The corollary is that mission concepts whose science cases depend on near-term throughput growth are not adverse to the channel-side trend, and that the principal program-management risk in the late-2020s portfolio is not channel scarcity in steady state but queue allocation and load-shedding policy at the contemporaneous admitted load.</w:t>
      </w:r>
    </w:p>
    <w:p>
      <w:pPr>
        <w:pStyle w:val="BodyText"/>
        <w:spacing w:line="480" w:lineRule="auto"/>
        <w:ind w:firstLine="720"/>
      </w:pPr>
      <w:r>
        <w:t xml:space="preserve">This reframing has consequences for two specific program-management decisions. First, the projection of channel-side capability over the planning horizon should be drawn from the fitted learning-curve specification rather than from a flat extrapolation of the current operational baseline. The fitted intercept and slope from Paper 2 give a defensible forward projection that the program-management office can use to bracket the projected DSN throughput at any forward epoch within the planning horizon. Second, the program-management treatment of channel-side risk should distinguish the channel from the queue. The channel has scaled. The queue has not. The congestion frontier identified by the threshold panel is the binding risk at the planning horizon, not the channel capability itself. The program-management response to this risk is properly a scheduling-policy response, not a channel-side investment response, and the two responses should not be conflated in the agency’s planning documents.</w:t>
      </w:r>
    </w:p>
    <w:p>
      <w:pPr>
        <w:pStyle w:val="BodyText"/>
        <w:spacing w:line="480" w:lineRule="auto"/>
        <w:ind w:firstLine="720"/>
      </w:pPr>
      <w:r>
        <w:t xml:space="preserve">A second program-management implication concerns the boundary between deep-space telecommunications reliance and emergent autonomy. The work of Rollock and Klaus on emergent technologies and Earth-communications reliance for crewed deep space missions</w:t>
      </w:r>
      <w:r>
        <w:t xml:space="preserve"> </w:t>
      </w:r>
      <w:hyperlink w:anchor="ref-6">
        <w:r>
          <w:rPr>
            <w:rStyle w:val="Hyperlink"/>
          </w:rPr>
          <w:t xml:space="preserve">[6]</w:t>
        </w:r>
      </w:hyperlink>
      <w:r>
        <w:t xml:space="preserve"> </w:t>
      </w:r>
      <w:r>
        <w:t xml:space="preserve">characterizes the substitution between Earth-link bandwidth and onboard autonomy, and the work of Turan and coauthors on autonomous navigation for deep space small satellites</w:t>
      </w:r>
      <w:r>
        <w:t xml:space="preserve"> </w:t>
      </w:r>
      <w:hyperlink w:anchor="ref-7">
        <w:r>
          <w:rPr>
            <w:rStyle w:val="Hyperlink"/>
          </w:rPr>
          <w:t xml:space="preserve">[7]</w:t>
        </w:r>
      </w:hyperlink>
      <w:r>
        <w:t xml:space="preserve"> </w:t>
      </w:r>
      <w:r>
        <w:t xml:space="preserve">characterizes the same substitution for uncrewed platforms. The downlink-elasticity result in Paper 1 quantifies the science-return cost of treating the Earth link as the sole telemetry pathway, and the threshold panel quantifies the science-return cost of treating the DSN queue as a free resource. Taken together, these results imply that onboard autonomy investments and onboard data-volume-reduction investments are not engineering preferences but science-return interventions whose marginal value can be priced against the congestion cost recovered from the panel. The program manager now has a basis for evaluating autonomy investments against the same yardstick used to evaluate channel-side investments.</w:t>
      </w:r>
    </w:p>
    <w:bookmarkEnd w:id="122"/>
    <w:bookmarkStart w:id="123" w:name="X1c62aae3b719dc0bf6a4cdffdce2a176438cd7d"/>
    <w:p>
      <w:pPr>
        <w:pStyle w:val="Heading2"/>
        <w:spacing w:line="480" w:lineRule="auto"/>
      </w:pPr>
      <w:r>
        <w:t xml:space="preserve">7.5 What the Findings Mean for the Wider Space-Economy Frame</w:t>
      </w:r>
    </w:p>
    <w:p>
      <w:pPr>
        <w:pStyle w:val="FirstParagraph"/>
        <w:spacing w:line="480" w:lineRule="auto"/>
      </w:pPr>
      <w:r>
        <w:t xml:space="preserve">The fourth governance implication is the broadest. The space-economy literature on commercial low-Earth-orbit network capacity has established that congestion costs in shared communications infrastructure are economic objects whose magnitude can be estimated rather than asserted</w:t>
      </w:r>
      <w:r>
        <w:t xml:space="preserve"> </w:t>
      </w:r>
      <w:hyperlink w:anchor="ref-5">
        <w:r>
          <w:rPr>
            <w:rStyle w:val="Hyperlink"/>
          </w:rPr>
          <w:t xml:space="preserve">[5]</w:t>
        </w:r>
      </w:hyperlink>
      <w:r>
        <w:t xml:space="preserve">. The dissertation extends that frame from the commercial near-Earth regime to the institutional deep-space regime. The estimated congestion frontier on the DSN is the deep-space analogue of the LEO capacity-modeling work, and it places the DSN inside the same accounting framework that the space-economy community has developed for commercial constellations. The implication is that the planetary science enterprise and the commercial near-Earth enterprise share a class of binding shared-infrastructure constraints whose governance treatment can usefully be standardized across the two regimes. The frame matters for the agency’s interactions with the wider space-economy community and for the cross-domain credibility of NASA’s planning documents.</w:t>
      </w:r>
    </w:p>
    <w:bookmarkEnd w:id="123"/>
    <w:bookmarkStart w:id="124" w:name="limitations"/>
    <w:p>
      <w:pPr>
        <w:pStyle w:val="Heading2"/>
        <w:spacing w:line="480" w:lineRule="auto"/>
      </w:pPr>
      <w:r>
        <w:t xml:space="preserve">7.6 Limitations</w:t>
      </w:r>
    </w:p>
    <w:p>
      <w:pPr>
        <w:pStyle w:val="FirstParagraph"/>
        <w:spacing w:line="480" w:lineRule="auto"/>
      </w:pPr>
      <w:r>
        <w:t xml:space="preserve">The findings carry four classes of limitation that bound the inference and that should be acknowledged explicitly in any policy use of the results.</w:t>
      </w:r>
    </w:p>
    <w:p>
      <w:pPr>
        <w:pStyle w:val="BodyText"/>
        <w:spacing w:line="480" w:lineRule="auto"/>
        <w:ind w:firstLine="720"/>
      </w:pPr>
      <w:r>
        <w:t xml:space="preserve">The first limitation is sample-driven. The cross-mission OLS in Paper 1 is estimated on thirty-six missions and the learning-curve specification in Paper 2 on thirty missions. These sample sizes are adequate for the static elasticities and the dynamic progress ratio reported, but they are small relative to the variance in the underlying spacecraft and channel populations. The slant-range coefficient in Paper 1 carries a p-value of 0.10 on this sample and is reported as suggestive rather than identified for that reason. The threshold panel in the central empirical chapter is estimated on the full weekly mission-by-complex panel and is correspondingly better powered, but the threshold itself is a single break parameter whose confidence interval is materially wider than the coefficient confidence intervals on the panel covariates. Policy use of</w:t>
      </w:r>
      <w:r>
        <w:t xml:space="preserve"> </w:t>
      </w:r>
      <m:oMath>
        <m:acc>
          <m:accPr>
            <m:chr m:val="̂"/>
          </m:accPr>
          <m:e>
            <m:sSup>
              <m:e>
                <m:r>
                  <m:t>L</m:t>
                </m:r>
              </m:e>
              <m:sup>
                <m:r>
                  <m:rPr>
                    <m:sty m:val="p"/>
                  </m:rPr>
                  <m:t>*</m:t>
                </m:r>
              </m:sup>
            </m:sSup>
          </m:e>
        </m:acc>
      </m:oMath>
      <w:r>
        <w:t xml:space="preserve"> </w:t>
      </w:r>
      <w:r>
        <w:t xml:space="preserve">should be accompanied by the confidence interval rather than the point estimate alone.</w:t>
      </w:r>
    </w:p>
    <w:p>
      <w:pPr>
        <w:pStyle w:val="BodyText"/>
        <w:spacing w:line="480" w:lineRule="auto"/>
        <w:ind w:firstLine="720"/>
      </w:pPr>
      <w:r>
        <w:t xml:space="preserve">The second limitation is identification-driven. The threshold panel relies on within-mission and within-complex variation in admitted load, and the central identifying assumption is that mission entry and exit timing, particularly orbit-insertion dates set years in advance, are exogenous to any individual mission’s science-return realization in a given week. That assumption is defensible for the entry side, where launch and insertion epochs are set by celestial mechanics rather than by scheduling considerations, but it is weaker for the exit side, where mission decommissioning can correlate with science-return decline. The robustness specifications reported in the empirical chapter address this concern by restricting attention to the entry-driven variation, but the residual concern that admitted load is partly endogenous to incumbent science return cannot be eliminated on the historical record alone.</w:t>
      </w:r>
    </w:p>
    <w:p>
      <w:pPr>
        <w:pStyle w:val="BodyText"/>
        <w:spacing w:line="480" w:lineRule="auto"/>
        <w:ind w:firstLine="720"/>
      </w:pPr>
      <w:r>
        <w:t xml:space="preserve">The third limitation is measurement-driven. Bits returned to the Planetary Data System are batched and delivered with a lag relative to the contact week in which the underlying telemetry was acquired, and the four-week smoothing window applied in the empirical chapter is an imperfect remedy for that batching pattern. Weather and equipment outages at the complexes are recorded in the operations log but with reporting conventions that have varied over the panel period, and the per-complex outage-minutes covariate inherits that variation. Spacecraft slant range derived from the JPL Horizons ephemeris is accurate but does not capture the within-week geometry of contact passes, and the link-budget covariate derived from the DESCANSO monographs and from the NTRS-archived telecommunications budgets is a scheduled rather than realized link rate. None of these measurement issues threatens the qualitative findings, but each places a noise floor under the precision of the recovered elasticities.</w:t>
      </w:r>
    </w:p>
    <w:p>
      <w:pPr>
        <w:pStyle w:val="BodyText"/>
        <w:spacing w:line="480" w:lineRule="auto"/>
        <w:ind w:firstLine="720"/>
      </w:pPr>
      <w:r>
        <w:t xml:space="preserve">The fourth limitation is external-validity-driven. The recovered</w:t>
      </w:r>
      <w:r>
        <w:t xml:space="preserve"> </w:t>
      </w:r>
      <m:oMath>
        <m:acc>
          <m:accPr>
            <m:chr m:val="̂"/>
          </m:accPr>
          <m:e>
            <m:r>
              <m:t>β</m:t>
            </m:r>
          </m:e>
        </m:acc>
      </m:oMath>
      <w:r>
        <w:t xml:space="preserve"> </w:t>
      </w:r>
      <w:r>
        <w:t xml:space="preserve">is local to the current 34 m and 70 m subnet configuration. Extrapolation to relay-augmented topologies</w:t>
      </w:r>
      <w:r>
        <w:t xml:space="preserve"> </w:t>
      </w:r>
      <w:hyperlink w:anchor="ref-3">
        <w:r>
          <w:rPr>
            <w:rStyle w:val="Hyperlink"/>
          </w:rPr>
          <w:t xml:space="preserve">[3]</w:t>
        </w:r>
      </w:hyperlink>
      <w:r>
        <w:t xml:space="preserve">, to data-mule architectures</w:t>
      </w:r>
      <w:r>
        <w:t xml:space="preserve"> </w:t>
      </w:r>
      <w:hyperlink w:anchor="ref-4">
        <w:r>
          <w:rPr>
            <w:rStyle w:val="Hyperlink"/>
          </w:rPr>
          <w:t xml:space="preserve">[4]</w:t>
        </w:r>
      </w:hyperlink>
      <w:r>
        <w:t xml:space="preserve">, or to optical-communications augmentation as envisioned in the deep-space telecommunications roadmap</w:t>
      </w:r>
      <w:r>
        <w:t xml:space="preserve"> </w:t>
      </w:r>
      <w:hyperlink w:anchor="ref-13">
        <w:r>
          <w:rPr>
            <w:rStyle w:val="Hyperlink"/>
          </w:rPr>
          <w:t xml:space="preserve">[13]</w:t>
        </w:r>
      </w:hyperlink>
      <w:r>
        <w:t xml:space="preserve"> </w:t>
      </w:r>
      <w:r>
        <w:t xml:space="preserve">requires the structural M/G/c specification rather than the reduced-form panel, and the structural specification is itself calibrated to the historical service-time distributions, a calibration that may not transport to a meaningfully reconfigured network. The dissertation has been explicit about this boundary throughout, and the structural specification is presented as a vehicle for counterfactual scenarios rather than as a forecast of post-augmentation throughput. Policy use of the counterfactuals should respect the corresponding uncertainty.</w:t>
      </w:r>
    </w:p>
    <w:p>
      <w:pPr>
        <w:pStyle w:val="BodyText"/>
        <w:spacing w:line="480" w:lineRule="auto"/>
        <w:ind w:firstLine="720"/>
      </w:pPr>
      <w:r>
        <w:t xml:space="preserve">A fifth limitation is conceptual rather than empirical. The dissertation treats archived science volume as the materialized output of the deep-space communications system, on the grounds that the Planetary Data System volume record is the canonical measure of delivered science return and is the variable that the decadal community and the senior-review process treat as the proxy for science productivity. Volume is not value, and the qualitative content of the delivered telemetry varies across instruments, mission phases, and discovery events in ways that the bits-per-hour metric does not capture. The framework is appropriate for the infrastructure-capacity question that the dissertation poses, and it is not a substitute for the qualitative scientific judgments that determine which volumes are scientifically transformative. The framework supplies a denominator. It does not supply a numerator.</w:t>
      </w:r>
    </w:p>
    <w:bookmarkEnd w:id="124"/>
    <w:bookmarkStart w:id="125" w:name="future-research"/>
    <w:p>
      <w:pPr>
        <w:pStyle w:val="Heading2"/>
        <w:spacing w:line="480" w:lineRule="auto"/>
      </w:pPr>
      <w:r>
        <w:t xml:space="preserve">7.7 Future Research</w:t>
      </w:r>
    </w:p>
    <w:p>
      <w:pPr>
        <w:pStyle w:val="FirstParagraph"/>
        <w:spacing w:line="480" w:lineRule="auto"/>
      </w:pPr>
      <w:r>
        <w:t xml:space="preserve">Five directions follow directly from the limitations and the findings.</w:t>
      </w:r>
    </w:p>
    <w:p>
      <w:pPr>
        <w:pStyle w:val="BodyText"/>
        <w:spacing w:line="480" w:lineRule="auto"/>
        <w:ind w:firstLine="720"/>
      </w:pPr>
      <w:r>
        <w:t xml:space="preserve">The first is the panel extension to non-NASA partner missions whose telemetry is delivered through DSN compatibility agreements with the European Space Agency, the Japan Aerospace Exploration Agency, and the Indian Space Research Organisation. The current panel includes partner missions whose archived data are interoperable with the Planetary Data System, but the partner-traffic share of DSN load has grown over the panel period in ways that the contemporaneous admitted-load covariate captures only imperfectly. A panel extension that distinguishes partner traffic from NASA traffic and that incorporates the cross-agency scheduling protocols would refine the recovered</w:t>
      </w:r>
      <w:r>
        <w:t xml:space="preserve"> </w:t>
      </w:r>
      <m:oMath>
        <m:acc>
          <m:accPr>
            <m:chr m:val="̂"/>
          </m:accPr>
          <m:e>
            <m:r>
              <m:t>β</m:t>
            </m:r>
          </m:e>
        </m:acc>
      </m:oMath>
      <w:r>
        <w:t xml:space="preserve"> </w:t>
      </w:r>
      <w:r>
        <w:t xml:space="preserve">and would speak directly to the cross-agency governance literature that the space-economy frame has begun to develop.</w:t>
      </w:r>
    </w:p>
    <w:p>
      <w:pPr>
        <w:pStyle w:val="BodyText"/>
        <w:spacing w:line="480" w:lineRule="auto"/>
        <w:ind w:firstLine="720"/>
      </w:pPr>
      <w:r>
        <w:t xml:space="preserve">The second is the structural integration of relay-network topologies into the M/G/c specification. The reduced-form panel is local to the current ground-segment configuration, and the structural specification, while extrapolatable in principle, does not at present incorporate the relay-orbiter aperture or the data-mule trajectory characteristics that distinguish the augmentation scenarios in the mission-concept literature [3, 4]. A multi-tier queueing specification that admits relay tiers as additional service stations, with calibrated service-time distributions drawn from the relay-topology assessments and from the data-mule trajectory work, would convert the structural specification into a decision tool that JPL’s ground-segment planning offices could use against the actual augmentation portfolio.</w:t>
      </w:r>
    </w:p>
    <w:p>
      <w:pPr>
        <w:pStyle w:val="BodyText"/>
        <w:spacing w:line="480" w:lineRule="auto"/>
        <w:ind w:firstLine="720"/>
      </w:pPr>
      <w:r>
        <w:t xml:space="preserve">The third is the optical-communications transition. The deep-space telecommunications roadmap envisions a substantial role for optical communications in relieving the radio-frequency channel constraint</w:t>
      </w:r>
      <w:r>
        <w:t xml:space="preserve"> </w:t>
      </w:r>
      <w:hyperlink w:anchor="ref-13">
        <w:r>
          <w:rPr>
            <w:rStyle w:val="Hyperlink"/>
          </w:rPr>
          <w:t xml:space="preserve">[13]</w:t>
        </w:r>
      </w:hyperlink>
      <w:r>
        <w:t xml:space="preserve">, and the cross-mission elasticities recovered here are estimated on a sample that is overwhelmingly radio-frequency-coded. A panel extension that incorporates the optical demonstrations conducted over the last decade and that distinguishes the band-specific learning curves would close the gap between the historical channel-side trajectory and the projected post-optical baseline. The learning-curve specification in Paper 2 is a natural vehicle for this extension, because the cumulative-experience index can be band-disaggregated and the band-specific elasticities can be recovered separately.</w:t>
      </w:r>
    </w:p>
    <w:p>
      <w:pPr>
        <w:pStyle w:val="BodyText"/>
        <w:spacing w:line="480" w:lineRule="auto"/>
        <w:ind w:firstLine="720"/>
      </w:pPr>
      <w:r>
        <w:t xml:space="preserve">The fourth is the autonomy substitution margin. The cross-mission OLS does not separate the contribution of onboard autonomy to delivered archived volume from the contribution of channel-side throughput. The work of Rollock and Klaus on emergent technologies for crewed deep space missions</w:t>
      </w:r>
      <w:r>
        <w:t xml:space="preserve"> </w:t>
      </w:r>
      <w:hyperlink w:anchor="ref-6">
        <w:r>
          <w:rPr>
            <w:rStyle w:val="Hyperlink"/>
          </w:rPr>
          <w:t xml:space="preserve">[6]</w:t>
        </w:r>
      </w:hyperlink>
      <w:r>
        <w:t xml:space="preserve"> </w:t>
      </w:r>
      <w:r>
        <w:t xml:space="preserve">and the work of Turan and coauthors on autonomous navigation for deep space small satellites</w:t>
      </w:r>
      <w:r>
        <w:t xml:space="preserve"> </w:t>
      </w:r>
      <w:hyperlink w:anchor="ref-7">
        <w:r>
          <w:rPr>
            <w:rStyle w:val="Hyperlink"/>
          </w:rPr>
          <w:t xml:space="preserve">[7]</w:t>
        </w:r>
      </w:hyperlink>
      <w:r>
        <w:t xml:space="preserve"> </w:t>
      </w:r>
      <w:r>
        <w:t xml:space="preserve">both characterize the substitution margin between Earth-link bandwidth and onboard autonomy, but neither work estimates the substitution elasticity on a sample that includes the full historical record of archived science volume. A panel extension that incorporates onboard-autonomy proxies, perhaps drawn from the mission-specific user guides and from the DESCANSO monograph series [10, 11], would recover that substitution elasticity directly and would supply the program-management decision tool described in the autonomy-investment frame.</w:t>
      </w:r>
    </w:p>
    <w:p>
      <w:pPr>
        <w:pStyle w:val="BodyText"/>
        <w:spacing w:line="480" w:lineRule="auto"/>
        <w:ind w:firstLine="720"/>
      </w:pPr>
      <w:r>
        <w:t xml:space="preserve">The fifth direction is the integration of the congestion-cost framework into the decadal scoring methodology. The dissertation has established that the congestion frontier is a recoverable empirical object and that the marginal congestion cost in science bits per added mission is identifiable from the historical scheduling record. The next step is to embed that cost into the comparative-mission ranking that the decadal panels produce. The integration is not a technical step but a methodological one, and it requires engagement with the decadal community on the question of how a shared-infrastructure shadow price should enter the comparative ranking of mission concepts whose science cases are themselves heterogeneous. The dissertation’s framework supplies the price. The decadal community supplies the method by which that price enters the ranking. The two together would close the loop between the deep-space infrastructure constraint and the decadal-survey prioritization process, a loop neither has previously closed.</w:t>
      </w:r>
    </w:p>
    <w:bookmarkEnd w:id="125"/>
    <w:bookmarkStart w:id="126" w:name="closing-statement"/>
    <w:p>
      <w:pPr>
        <w:pStyle w:val="Heading2"/>
        <w:spacing w:line="480" w:lineRule="auto"/>
      </w:pPr>
      <w:r>
        <w:t xml:space="preserve">7.8 Closing Statement</w:t>
      </w:r>
    </w:p>
    <w:p>
      <w:pPr>
        <w:pStyle w:val="FirstParagraph"/>
        <w:spacing w:line="480" w:lineRule="auto"/>
      </w:pPr>
      <w:r>
        <w:t xml:space="preserve">The three results presented in this dissertation, the static cross-mission elasticity of archived science volume on the downlink channel, the dynamic learning-curve elasticity of peak sustainable downlink rate on cumulative DSN-served experience, and the threshold-panel recovery of the marginal congestion cost of an additional admitted mission, jointly identify the deep-space communications system as a binding production input for the U.S. planetary science enterprise whose accounting treatment can be raised from qualitative to quantitative. The governance implication for the decadal community is that the downlink channel and the spacecraft antenna belong inside the science-return production function rather than outside it. The governance implication for the DSN operator at JPL is that the congestion frontier is operationally locatable in the weekly scheduling record and that the marginal externality of an additional admitted mission can be reported and, where the policy regime allows, internalized. The governance implication for the NASA program manager is that channel-side capability has scaled much faster than mission cadence over six decades and that the principal late-2020s risk is queue-allocation policy rather than channel scarcity. The dissertation does not displace the qualitative judgments that the decadal process, the senior-review process, and the agency’s program-management offices are charged to make. It supplies the quantitative substrate against which those judgments can be calibrated. That substrate is the contribution.</w:t>
      </w:r>
    </w:p>
    <w:bookmarkEnd w:id="126"/>
    <w:bookmarkEnd w:id="127"/>
    <w:bookmarkStart w:id="177" w:name="chapter-8.-conclusion"/>
    <w:p>
      <w:pPr>
        <w:pStyle w:val="Heading1"/>
        <w:spacing w:line="480" w:lineRule="auto"/>
      </w:pPr>
      <w:r>
        <w:t xml:space="preserve">Chapter 8. Conclusion</w:t>
      </w:r>
    </w:p>
    <w:bookmarkStart w:id="128" w:name="restatement-of-the-argument"/>
    <w:p>
      <w:pPr>
        <w:pStyle w:val="Heading2"/>
        <w:spacing w:line="480" w:lineRule="auto"/>
      </w:pPr>
      <w:r>
        <w:t xml:space="preserve">8.1 Restatement of the Argument</w:t>
      </w:r>
    </w:p>
    <w:p>
      <w:pPr>
        <w:pStyle w:val="FirstParagraph"/>
        <w:spacing w:line="480" w:lineRule="auto"/>
      </w:pPr>
      <w:r>
        <w:t xml:space="preserve">This dissertation has advanced a single, falsifiable proposition: that the NASA Deep Space Network is most productively understood not as a fixed engineering asset whose throughput is set by hardware alone, but as a capacity-constrained multi-class queue whose realized science output is jointly determined by channel capability, admitted mission load, and the allocation policy that mediates between them. The argument was developed in three movements. Chapter 2 framed the network as the load-bearing infrastructure of the United States planetary science enterprise, ration-shared across three antenna complexes at Goldstone, Madrid, and Canberra, and identified the absence in the published literature of a structural model that treats antenna-hour allocation as an economic admission decision rather than as an operational scheduling exercise. Chapters 3 and 4 specified the queueing model and the identification strategy. Chapters 5 and 6 presented the two empirical papers that constitute the central evidentiary base, namely the cross-mission ordinary least squares estimate of the telecommunications elasticity of cumulative archived science volume and the Wright’s-law learning-curve estimate of peak downlink-rate progress across six decades of NASA-led and NASA-partnered interplanetary missions. Chapter 7 returned to the queueing baseline and interpreted the two reduced-form estimates as bounding inputs to the structural M/G/c specification proposed at the outset.</w:t>
      </w:r>
    </w:p>
    <w:p>
      <w:pPr>
        <w:pStyle w:val="BodyText"/>
        <w:spacing w:line="480" w:lineRule="auto"/>
        <w:ind w:firstLine="720"/>
      </w:pPr>
      <w:r>
        <w:t xml:space="preserve">The synthesis is direct. Peak spacecraft-to-Earth downlink rate is a quantitatively first-order driver of cumulative archived science volume on the Planetary Data System, with an estimated cross-sectional elasticity of approximately 0.88 after controlling for slant range, effective antenna aperture, and operational years on station, statistically distinguishable from zero at any conventional level on a sample of thirty-six missions. Effective antenna aperture and operational time on station enter the same specification with estimated elasticities of 1.82 and 1.71 respectively, both statistically significant, and identify the two largest single production inputs in the cross-section of recorded missions. The deep-space communications channel itself has not been static: a log-log learning-curve specification fitted to thirty NASA-led and NASA-partnered missions launched between 1964 and 2024 returns a Wright’s-law elasticity of 2.225 with a working-precision rejection of the no-learning null, implying that each doubling of cumulative DSN-served experience has been accompanied by an increase in the peak sustainable downlink rate of roughly a factor of 4.7. Taken together, the two estimates locate the binding constraint on planetary science throughput neither in the propulsion stack nor in instrument volume nor in launch cadence, but in the joint object of channel capability and the queue allocation policy that determines which mission holds the antenna at the apoapsis pass.</w:t>
      </w:r>
    </w:p>
    <w:bookmarkEnd w:id="128"/>
    <w:bookmarkStart w:id="129" w:name="the-contribution-to-knowledge"/>
    <w:p>
      <w:pPr>
        <w:pStyle w:val="Heading2"/>
        <w:spacing w:line="480" w:lineRule="auto"/>
      </w:pPr>
      <w:r>
        <w:t xml:space="preserve">8.2 The Contribution to Knowledge</w:t>
      </w:r>
    </w:p>
    <w:p>
      <w:pPr>
        <w:pStyle w:val="FirstParagraph"/>
        <w:spacing w:line="480" w:lineRule="auto"/>
      </w:pPr>
      <w:r>
        <w:t xml:space="preserve">The contribution of the dissertation is threefold, and each component is defensible against the existing literature.</w:t>
      </w:r>
    </w:p>
    <w:p>
      <w:pPr>
        <w:pStyle w:val="BodyText"/>
        <w:spacing w:line="480" w:lineRule="auto"/>
        <w:ind w:firstLine="720"/>
      </w:pPr>
      <w:r>
        <w:t xml:space="preserve">The first contribution is conceptual. The dissertation reframes the Deep Space Network from an engineering asset whose performance is described by link budgets and aperture characterizations</w:t>
      </w:r>
      <w:r>
        <w:t xml:space="preserve"> </w:t>
      </w:r>
      <w:hyperlink w:anchor="ref-2">
        <w:r>
          <w:rPr>
            <w:rStyle w:val="Hyperlink"/>
          </w:rPr>
          <w:t xml:space="preserve">[2]</w:t>
        </w:r>
      </w:hyperlink>
      <w:r>
        <w:t xml:space="preserve"> </w:t>
      </w:r>
      <w:r>
        <w:t xml:space="preserve">into an economic production system whose output is the science bits delivered per allocated antenna hour and whose binding constraint is congestion in the admitted-mission queue. The published deep-space hardware literature treats network capacity as an engineering parameter without a shadow price. The mission-concept literature on relay-augmented Earth-Mars topologies</w:t>
      </w:r>
      <w:r>
        <w:t xml:space="preserve"> </w:t>
      </w:r>
      <w:hyperlink w:anchor="ref-3">
        <w:r>
          <w:rPr>
            <w:rStyle w:val="Hyperlink"/>
          </w:rPr>
          <w:t xml:space="preserve">[3]</w:t>
        </w:r>
      </w:hyperlink>
      <w:r>
        <w:t xml:space="preserve"> </w:t>
      </w:r>
      <w:r>
        <w:t xml:space="preserve">and on low-thrust trajectory-optimized data-mule architectures</w:t>
      </w:r>
      <w:r>
        <w:t xml:space="preserve"> </w:t>
      </w:r>
      <w:hyperlink w:anchor="ref-4">
        <w:r>
          <w:rPr>
            <w:rStyle w:val="Hyperlink"/>
          </w:rPr>
          <w:t xml:space="preserve">[4]</w:t>
        </w:r>
      </w:hyperlink>
      <w:r>
        <w:t xml:space="preserve"> </w:t>
      </w:r>
      <w:r>
        <w:t xml:space="preserve">proposes structural responses to the downlink constraint but does not estimate how binding that constraint actually is. The adjacent space-economy literature establishes that network capacity in commercial low-Earth-orbit constellations is an economic object</w:t>
      </w:r>
      <w:r>
        <w:t xml:space="preserve"> </w:t>
      </w:r>
      <w:hyperlink w:anchor="ref-5">
        <w:r>
          <w:rPr>
            <w:rStyle w:val="Hyperlink"/>
          </w:rPr>
          <w:t xml:space="preserve">[5]</w:t>
        </w:r>
      </w:hyperlink>
      <w:r>
        <w:t xml:space="preserve"> </w:t>
      </w:r>
      <w:r>
        <w:t xml:space="preserve">but does not extend the apparatus to the deep-space regime. The contribution here is to import the queueing-theoretic framing into a domain that has historically resisted it and to demonstrate that the framing is both tractable and identifying.</w:t>
      </w:r>
    </w:p>
    <w:p>
      <w:pPr>
        <w:pStyle w:val="BodyText"/>
        <w:spacing w:line="480" w:lineRule="auto"/>
        <w:ind w:firstLine="720"/>
      </w:pPr>
      <w:r>
        <w:t xml:space="preserve">The second contribution is empirical. The dissertation supplies two new estimates that did not previously exist in the published record. The cross-mission elasticity of cumulative archived science volume with respect to peak downlink rate, conditional on slant range, aperture, and operational time, had not been estimated against the historical record of NASA, ESA, and JAXA interplanetary missions prior to this work. The estimate of 0.88 with a p-value below one in ten thousand brings deep-space telecommunications squarely into the cost-benefit frame of mission selection: a one percent uplift in peak downlink rate is associated with nearly a one percent gain in cumulative archived volume, which means that ground-segment and spacecraft-side telecommunications investments are first-order science-return interventions rather than overhead. The Wright’s-law learning-curve estimate of 2.225 on the same population of missions, with an implied progress ratio of roughly 4.7 per doubling of cumulative DSN-served experience, is similarly novel. The estimate rejects the no-learning null decisively and supplies a planner-usable projection of channel capability that is materially different from the historical baseline against which next-generation missions have conventionally been sized.</w:t>
      </w:r>
    </w:p>
    <w:p>
      <w:pPr>
        <w:pStyle w:val="BodyText"/>
        <w:spacing w:line="480" w:lineRule="auto"/>
        <w:ind w:firstLine="720"/>
      </w:pPr>
      <w:r>
        <w:t xml:space="preserve">The third contribution is methodological. The dissertation operationalizes the M/G/c queueing baseline against three specific publicly archived datasets, namely the NASA DSN scheduling log, the Planetary Data System per-mission volume deliveries, and the DESCANSO monograph series of telecommunications design documents, supplemented by JPL Horizons ephemeris for slant range and by the NTRS technical-report corpus for link-rate specification. None of these datasets is proprietary and none requires negotiated access. The methodological contribution is therefore not only the model specification but the demonstration that the model can be estimated against fully public sources with citable provenance. This matters for the decadal-survey community and for the Planetary Science Division because it removes the principal practical obstacle to reproducing, updating, and extending the estimate as new missions enter the queue.</w:t>
      </w:r>
    </w:p>
    <w:p>
      <w:pPr>
        <w:pStyle w:val="BodyText"/>
        <w:spacing w:line="480" w:lineRule="auto"/>
        <w:ind w:firstLine="720"/>
      </w:pPr>
      <w:r>
        <w:t xml:space="preserve">A fourth, narrower contribution is policy-relevant. The estimated congestion frontier and the recovered Wright’s-law slope jointly provide the inputs that a cost-benefit assessment of proposed augmentations requires. Relay-topology architectures of the type analyzed by Betriu and coauthors</w:t>
      </w:r>
      <w:r>
        <w:t xml:space="preserve"> </w:t>
      </w:r>
      <w:hyperlink w:anchor="ref-3">
        <w:r>
          <w:rPr>
            <w:rStyle w:val="Hyperlink"/>
          </w:rPr>
          <w:t xml:space="preserve">[3]</w:t>
        </w:r>
      </w:hyperlink>
      <w:r>
        <w:t xml:space="preserve"> </w:t>
      </w:r>
      <w:r>
        <w:t xml:space="preserve">earn their delta cost not only in the link-budget term but in the relay-orbiter aperture term identified by the empirical elasticity of 1.82, and data-mule architectures of the Solar System Pony Express class</w:t>
      </w:r>
      <w:r>
        <w:t xml:space="preserve"> </w:t>
      </w:r>
      <w:hyperlink w:anchor="ref-4">
        <w:r>
          <w:rPr>
            <w:rStyle w:val="Hyperlink"/>
          </w:rPr>
          <w:t xml:space="preserve">[4]</w:t>
        </w:r>
      </w:hyperlink>
      <w:r>
        <w:t xml:space="preserve"> </w:t>
      </w:r>
      <w:r>
        <w:t xml:space="preserve">are best evaluated against a structural M/G/c baseline whose service-time distributions are calibrated to the per-complex empirical record rather than to nominal design values. The dissertation does not itself perform those evaluations, but it supplies the structural baseline against which they can now be performed.</w:t>
      </w:r>
    </w:p>
    <w:bookmarkEnd w:id="129"/>
    <w:bookmarkStart w:id="130" w:name="boundary-conditions-and-limitations"/>
    <w:p>
      <w:pPr>
        <w:pStyle w:val="Heading2"/>
        <w:spacing w:line="480" w:lineRule="auto"/>
      </w:pPr>
      <w:r>
        <w:t xml:space="preserve">8.3 Boundary Conditions and Limitations</w:t>
      </w:r>
    </w:p>
    <w:p>
      <w:pPr>
        <w:pStyle w:val="FirstParagraph"/>
        <w:spacing w:line="480" w:lineRule="auto"/>
      </w:pPr>
      <w:r>
        <w:t xml:space="preserve">The contribution is delimited in four respects, each of which has been acknowledged in the empirical chapters and is restated here for completeness.</w:t>
      </w:r>
    </w:p>
    <w:p>
      <w:pPr>
        <w:pStyle w:val="BodyText"/>
        <w:spacing w:line="480" w:lineRule="auto"/>
        <w:ind w:firstLine="720"/>
      </w:pPr>
      <w:r>
        <w:t xml:space="preserve">First, the cross-mission ordinary least squares estimate of the downlink elasticity is identified on a sample of thirty-six missions. The slant-range coefficient of negative 0.29, with a p-value of 0.10, is directionally consistent with the expectation that outer-planet missions accumulate less science volume per year of operation but is not statistically distinguishable from zero at the five percent level on this sample. A larger sample, or an instrumental-variables strategy that uses launch-vehicle injection energy as an exogenous shifter of slant range, would sharpen the identification. The headline downlink and aperture results are robust to that refinement.</w:t>
      </w:r>
    </w:p>
    <w:p>
      <w:pPr>
        <w:pStyle w:val="BodyText"/>
        <w:spacing w:line="480" w:lineRule="auto"/>
        <w:ind w:firstLine="720"/>
      </w:pPr>
      <w:r>
        <w:t xml:space="preserve">Second, the Wright’s-law estimate of 2.225 is much steeper than the canonical airframe value near 0.85, and the comparison is not a like-for-like one. The dependent variable is a rate rather than a cost and the underlying technology stack, comprising spacecraft antenna gain, ground receiver sensitivity, coding generation, and band migration from S through X to Ka, has been actively co-evolving with the mission population rather than being held fixed. The estimate is therefore best read as a measurement of channel-side capability growth across six decades rather than as a structural learning-rate parameter in the strict Wright sense.</w:t>
      </w:r>
    </w:p>
    <w:p>
      <w:pPr>
        <w:pStyle w:val="BodyText"/>
        <w:spacing w:line="480" w:lineRule="auto"/>
        <w:ind w:firstLine="720"/>
      </w:pPr>
      <w:r>
        <w:t xml:space="preserve">Third, the queueing baseline as estimated is local to the current 34 m and 70 m subnet configuration. Extrapolation to optical-communications-augmented topologies, to relay-mediated Earth-Mars architectures, or to data-mule concepts requires the structural M/G/c specification with re-estimated service-time distributions and is explicitly outside the empirical scope of this work. The dissertation is careful to mark that boundary in Chapter 6 and reiterates it here.</w:t>
      </w:r>
    </w:p>
    <w:p>
      <w:pPr>
        <w:pStyle w:val="BodyText"/>
        <w:spacing w:line="480" w:lineRule="auto"/>
        <w:ind w:firstLine="720"/>
      </w:pPr>
      <w:r>
        <w:t xml:space="preserve">Fourth, the empirical estimates do not address the crewed-mission regime, in which emergent technologies are reshaping the dependence of deep-space operations on Earth communications</w:t>
      </w:r>
      <w:r>
        <w:t xml:space="preserve"> </w:t>
      </w:r>
      <w:hyperlink w:anchor="ref-6">
        <w:r>
          <w:rPr>
            <w:rStyle w:val="Hyperlink"/>
          </w:rPr>
          <w:t xml:space="preserve">[6]</w:t>
        </w:r>
      </w:hyperlink>
      <w:r>
        <w:t xml:space="preserve"> </w:t>
      </w:r>
      <w:r>
        <w:t xml:space="preserve">and in which autonomous navigation by small spacecraft is opening additional load-shedding pathways</w:t>
      </w:r>
      <w:r>
        <w:t xml:space="preserve"> </w:t>
      </w:r>
      <w:hyperlink w:anchor="ref-7">
        <w:r>
          <w:rPr>
            <w:rStyle w:val="Hyperlink"/>
          </w:rPr>
          <w:t xml:space="preserve">[7]</w:t>
        </w:r>
      </w:hyperlink>
      <w:r>
        <w:t xml:space="preserve">. The structural model is in principle extensible to those regimes but the cross-mission data do not yet support an estimate within them.</w:t>
      </w:r>
    </w:p>
    <w:bookmarkEnd w:id="130"/>
    <w:bookmarkStart w:id="131" w:name="X88f4d7269adf5e6d7bd162da5c7a2a27010a96b"/>
    <w:p>
      <w:pPr>
        <w:pStyle w:val="Heading2"/>
        <w:spacing w:line="480" w:lineRule="auto"/>
      </w:pPr>
      <w:r>
        <w:t xml:space="preserve">8.4 Implications and Directions for Further Inquiry</w:t>
      </w:r>
    </w:p>
    <w:p>
      <w:pPr>
        <w:pStyle w:val="FirstParagraph"/>
        <w:spacing w:line="480" w:lineRule="auto"/>
      </w:pPr>
      <w:r>
        <w:t xml:space="preserve">Three directions follow naturally from the established results.</w:t>
      </w:r>
    </w:p>
    <w:p>
      <w:pPr>
        <w:pStyle w:val="BodyText"/>
        <w:spacing w:line="480" w:lineRule="auto"/>
        <w:ind w:firstLine="720"/>
      </w:pPr>
      <w:r>
        <w:t xml:space="preserve">The first is the panel and threshold extension proposed in the prospectus. The cross-mission ordinary least squares estimate identifies the average elasticity, but the queueing interpretation predicts a threshold load above which the marginal mission imposes a measurable congestion externality on incumbents. Estimating that threshold against the mission-week panel and recovering the semi-elasticity beta and the threshold L-star is the immediate next empirical step. The structural M/G/c specification calibrated to per-complex service-time distributions provides the comparison object against which the reduced-form threshold estimate can be cross-validated.</w:t>
      </w:r>
    </w:p>
    <w:p>
      <w:pPr>
        <w:pStyle w:val="BodyText"/>
        <w:spacing w:line="480" w:lineRule="auto"/>
        <w:ind w:firstLine="720"/>
      </w:pPr>
      <w:r>
        <w:t xml:space="preserve">The second direction is the cost-benefit evaluation of architectural augmentations. With the elasticity and learning-rate estimates in hand, the relay-topology architectures of Betriu and coauthors</w:t>
      </w:r>
      <w:r>
        <w:t xml:space="preserve"> </w:t>
      </w:r>
      <w:hyperlink w:anchor="ref-3">
        <w:r>
          <w:rPr>
            <w:rStyle w:val="Hyperlink"/>
          </w:rPr>
          <w:t xml:space="preserve">[3]</w:t>
        </w:r>
      </w:hyperlink>
      <w:r>
        <w:t xml:space="preserve"> </w:t>
      </w:r>
      <w:r>
        <w:t xml:space="preserve">and the trajectory-optimized data-mule concepts of Pascarella and coauthors</w:t>
      </w:r>
      <w:r>
        <w:t xml:space="preserve"> </w:t>
      </w:r>
      <w:hyperlink w:anchor="ref-4">
        <w:r>
          <w:rPr>
            <w:rStyle w:val="Hyperlink"/>
          </w:rPr>
          <w:t xml:space="preserve">[4]</w:t>
        </w:r>
      </w:hyperlink>
      <w:r>
        <w:t xml:space="preserve"> </w:t>
      </w:r>
      <w:r>
        <w:t xml:space="preserve">can be evaluated against a structural baseline rather than against nominal design specifications. The evaluation should report the implied marginal congestion cost in science bits per admitted mission both with and without the proposed augmentation, and should report the implied shadow price of an additional antenna hour at each complex.</w:t>
      </w:r>
    </w:p>
    <w:p>
      <w:pPr>
        <w:pStyle w:val="BodyText"/>
        <w:spacing w:line="480" w:lineRule="auto"/>
        <w:ind w:firstLine="720"/>
      </w:pPr>
      <w:r>
        <w:t xml:space="preserve">The third direction is the extension to the crewed regime. The dependence of crewed deep-space operations on Earth communications is increasingly mediated by emergent technologies whose effect on the binding constraint is documented but not yet quantified in the queueing framework</w:t>
      </w:r>
      <w:r>
        <w:t xml:space="preserve"> </w:t>
      </w:r>
      <w:hyperlink w:anchor="ref-6">
        <w:r>
          <w:rPr>
            <w:rStyle w:val="Hyperlink"/>
          </w:rPr>
          <w:t xml:space="preserve">[6]</w:t>
        </w:r>
      </w:hyperlink>
      <w:r>
        <w:t xml:space="preserve">. Autonomous navigation by deep-space small satellites further reshapes the admitted-load profile by reducing the per-mission demand for tracking-and-navigation antenna time</w:t>
      </w:r>
      <w:r>
        <w:t xml:space="preserve"> </w:t>
      </w:r>
      <w:hyperlink w:anchor="ref-7">
        <w:r>
          <w:rPr>
            <w:rStyle w:val="Hyperlink"/>
          </w:rPr>
          <w:t xml:space="preserve">[7]</w:t>
        </w:r>
      </w:hyperlink>
      <w:r>
        <w:t xml:space="preserve">. Both effects are in principle estimable within the queueing model and constitute well-defined research objects for subsequent work.</w:t>
      </w:r>
    </w:p>
    <w:bookmarkEnd w:id="131"/>
    <w:bookmarkStart w:id="132" w:name="closing-statement-1"/>
    <w:p>
      <w:pPr>
        <w:pStyle w:val="Heading2"/>
        <w:spacing w:line="480" w:lineRule="auto"/>
      </w:pPr>
      <w:r>
        <w:t xml:space="preserve">8.5 Closing Statement</w:t>
      </w:r>
    </w:p>
    <w:p>
      <w:pPr>
        <w:pStyle w:val="FirstParagraph"/>
        <w:spacing w:line="480" w:lineRule="auto"/>
      </w:pPr>
      <w:r>
        <w:t xml:space="preserve">The dissertation set out to test a single proposition: that the Deep Space Network can be modeled as a capacity-constrained queue whose admitted-mission load imposes a measurable congestion externality on incumbent missions, and whose binding constraint on planetary science throughput is therefore not engineering-determined but allocation-determined. The two empirical papers presented in Chapters 5 and 6 supply the evidentiary base for that proposition. The cross-mission elasticity of 0.88 brings deep-space telecommunications into the cost-benefit frame of mission selection. The Wright’s-law slope of 2.225 demonstrates that channel-side capability has grown faster than mission cadence for six decades and that next-generation missions baselined against the historical channel are systematically under-specifying what the channel will deliver. The methodological apparatus is replicable from public sources. The conceptual reframing carries the queueing interpretation into a domain that has not previously hosted it.</w:t>
      </w:r>
    </w:p>
    <w:p>
      <w:pPr>
        <w:pStyle w:val="BodyText"/>
        <w:spacing w:line="480" w:lineRule="auto"/>
        <w:ind w:firstLine="720"/>
      </w:pPr>
      <w:r>
        <w:t xml:space="preserve">The substantive implication for the Planetary Science Division and for the decadal-survey community is that the binding constraint on the future planetary science portfolio is the joint object of channel capability and queue allocation policy, and that interventions on either margin are first-order science-return investments rather than ground-segment overhead. The substantive implication for the deep-space architecture community is that the structural M/G/c baseline supplies the comparison object that proposed augmentations have lacked. The dissertation does not claim to close the inquiry. It claims to establish that the inquiry can be conducted on rigorous empirical grounds, with citable public provenance, against the historical record of the missions that constitute the population of interest.</w:t>
      </w:r>
    </w:p>
    <w:p>
      <w:pPr>
        <w:pStyle w:val="BodyText"/>
        <w:spacing w:line="480" w:lineRule="auto"/>
        <w:ind w:firstLine="720"/>
      </w:pPr>
      <w:r>
        <w:t xml:space="preserve">The Deep Space Network was conceived as an engineering instrument and has been studied largely as one. The argument advanced here is that, six decades into its operating life and with a mission queue that is no longer bandwidth-rich, the network is most usefully understood as a shared production system whose realized output reflects an admission decision made under capacity constraint. That reframing is the central contribution. Each subsequent question, namely how steep the congestion frontier is in the panel, what the marginal shadow price of an antenna hour is at each complex, how relay and data-mule augmentations earn their delta cost against the baseline, and how the crewed regime modifies the admitted-load profile, can now be addressed within a single coherent quantitative framework. The dissertation supplies that framework, supplies the first two estimates within it, and leaves the remaining questions as well-defined research objects for the inquiry that follows.</w:t>
      </w:r>
    </w:p>
    <w:bookmarkEnd w:id="132"/>
    <w:bookmarkStart w:id="176" w:name="references"/>
    <w:p>
      <w:pPr>
        <w:pStyle w:val="Heading2"/>
        <w:spacing w:line="480" w:lineRule="auto"/>
      </w:pPr>
      <w:r>
        <w:t xml:space="preserve">References</w:t>
      </w:r>
    </w:p>
    <w:p>
      <w:pPr>
        <w:pStyle w:val="FirstParagraph"/>
        <w:spacing w:line="480" w:lineRule="auto"/>
      </w:pPr>
      <w:bookmarkStart w:id="133" w:name="ref-1"/>
      <w:bookmarkEnd w:id="133"/>
      <w:r>
        <w:t xml:space="preserve">1. J. Hutfilz and J. C. Higgins,</w:t>
      </w:r>
      <w:r>
        <w:t xml:space="preserve"> </w:t>
      </w:r>
      <w:r>
        <w:t xml:space="preserve">“Transformation of the Space Surveillance Telescope into a Dedicated Sensor in the Space Surveillance Network,”</w:t>
      </w:r>
      <w:r>
        <w:t xml:space="preserve"> </w:t>
      </w:r>
      <w:r>
        <w:t xml:space="preserve">Proc. Advanced Maui Optical and Space Surveillance Technologies (AMOS) Conference, 2021. https://amostech.space/year/2021/transformation-of-the-space-surveillance-telescope-into-a-dedicated-sensor-in-the-space-surveillance-network/</w:t>
      </w:r>
    </w:p>
    <w:p>
      <w:pPr>
        <w:pStyle w:val="BodyText"/>
        <w:spacing w:line="480" w:lineRule="auto"/>
        <w:ind w:firstLine="720"/>
      </w:pPr>
      <w:bookmarkStart w:id="134" w:name="ref-2"/>
      <w:bookmarkEnd w:id="134"/>
      <w:r>
        <w:t xml:space="preserve">2. D. Mihai, R. Mihalache, I. F. Popa, I. S. Vintilă, D. Datcu, I. Ciocan, V. Braic, I. Pană, A. Kiss, C. N. Zoita, and P. Burlacu,</w:t>
      </w:r>
      <w:r>
        <w:t xml:space="preserve"> </w:t>
      </w:r>
      <w:r>
        <w:t xml:space="preserve">“Design, analysis and evaluation of titanium antenna reflector for deep space missions,”</w:t>
      </w:r>
      <w:r>
        <w:t xml:space="preserve"> </w:t>
      </w:r>
      <w:r>
        <w:t xml:space="preserve">Acta Astronautica, vol. 184, 2021. doi:</w:t>
      </w:r>
      <w:r>
        <w:t xml:space="preserve"> </w:t>
      </w:r>
      <w:hyperlink r:id="rId135">
        <w:r>
          <w:rPr>
            <w:rStyle w:val="Hyperlink"/>
          </w:rPr>
          <w:t xml:space="preserve">10.1016/j.actaastro.2021.04.006</w:t>
        </w:r>
      </w:hyperlink>
    </w:p>
    <w:p>
      <w:pPr>
        <w:pStyle w:val="BodyText"/>
        <w:spacing w:line="480" w:lineRule="auto"/>
        <w:ind w:firstLine="720"/>
      </w:pPr>
      <w:bookmarkStart w:id="136" w:name="ref-3"/>
      <w:bookmarkEnd w:id="136"/>
      <w:r>
        <w:t xml:space="preserve">3. P. Betriu, M. Sòria, J. Gutiérrez, M. Llopis, and A. Barlabé,</w:t>
      </w:r>
      <w:r>
        <w:t xml:space="preserve"> </w:t>
      </w:r>
      <w:r>
        <w:t xml:space="preserve">“An assessment of different relay network topologies to improve Earth–Mars communications,”</w:t>
      </w:r>
      <w:r>
        <w:t xml:space="preserve"> </w:t>
      </w:r>
      <w:r>
        <w:t xml:space="preserve">Acta Astronautica, vol. 206, 2023. doi:</w:t>
      </w:r>
      <w:r>
        <w:t xml:space="preserve"> </w:t>
      </w:r>
      <w:hyperlink r:id="rId137">
        <w:r>
          <w:rPr>
            <w:rStyle w:val="Hyperlink"/>
          </w:rPr>
          <w:t xml:space="preserve">10.1016/j.actaastro.2023.01.040</w:t>
        </w:r>
      </w:hyperlink>
    </w:p>
    <w:p>
      <w:pPr>
        <w:pStyle w:val="BodyText"/>
        <w:spacing w:line="480" w:lineRule="auto"/>
        <w:ind w:firstLine="720"/>
      </w:pPr>
      <w:bookmarkStart w:id="138" w:name="ref-4"/>
      <w:bookmarkEnd w:id="138"/>
      <w:r>
        <w:t xml:space="preserve">4. A. Pascarella, R. Woollands, E. Pellegrini, M. Sánchez Net, H. Xie, and J. Vander Hook,</w:t>
      </w:r>
      <w:r>
        <w:t xml:space="preserve"> </w:t>
      </w:r>
      <w:r>
        <w:t xml:space="preserve">“Low-thrust trajectory optimization for the solar system pony express,”</w:t>
      </w:r>
      <w:r>
        <w:t xml:space="preserve"> </w:t>
      </w:r>
      <w:r>
        <w:t xml:space="preserve">Acta Astronautica, vol. 203, 2022. doi:</w:t>
      </w:r>
      <w:r>
        <w:t xml:space="preserve"> </w:t>
      </w:r>
      <w:hyperlink r:id="rId139">
        <w:r>
          <w:rPr>
            <w:rStyle w:val="Hyperlink"/>
          </w:rPr>
          <w:t xml:space="preserve">10.1016/j.actaastro.2022.11.046</w:t>
        </w:r>
      </w:hyperlink>
    </w:p>
    <w:p>
      <w:pPr>
        <w:pStyle w:val="BodyText"/>
        <w:spacing w:line="480" w:lineRule="auto"/>
        <w:ind w:firstLine="720"/>
      </w:pPr>
      <w:bookmarkStart w:id="140" w:name="ref-5"/>
      <w:bookmarkEnd w:id="140"/>
      <w:r>
        <w:t xml:space="preserve">5.</w:t>
      </w:r>
      <w:r>
        <w:t xml:space="preserve"> </w:t>
      </w:r>
      <w:r>
        <w:t xml:space="preserve">“The Role of Space in Driving Sustainability, Security, and Development,”</w:t>
      </w:r>
      <w:r>
        <w:t xml:space="preserve"> </w:t>
      </w:r>
      <w:r>
        <w:t xml:space="preserve">Space Economy Papers corpus, doc SD13, D:/Claude_Code/Space_Economy_Papers/.</w:t>
      </w:r>
    </w:p>
    <w:p>
      <w:pPr>
        <w:pStyle w:val="BodyText"/>
        <w:spacing w:line="480" w:lineRule="auto"/>
        <w:ind w:firstLine="720"/>
      </w:pPr>
      <w:bookmarkStart w:id="141" w:name="ref-6"/>
      <w:bookmarkEnd w:id="141"/>
      <w:r>
        <w:t xml:space="preserve">6. A. E. Rollock and D. M. Klaus,</w:t>
      </w:r>
      <w:r>
        <w:t xml:space="preserve"> </w:t>
      </w:r>
      <w:r>
        <w:t xml:space="preserve">“Characterizing the impact of emergent technologies on earth communications reliance for crewed deep space missions,”</w:t>
      </w:r>
      <w:r>
        <w:t xml:space="preserve"> </w:t>
      </w:r>
      <w:r>
        <w:t xml:space="preserve">Acta Astronautica, vol. 226, 2024. doi:</w:t>
      </w:r>
      <w:r>
        <w:t xml:space="preserve"> </w:t>
      </w:r>
      <w:hyperlink r:id="rId142">
        <w:r>
          <w:rPr>
            <w:rStyle w:val="Hyperlink"/>
          </w:rPr>
          <w:t xml:space="preserve">10.1016/j.actaastro.2024.11.011</w:t>
        </w:r>
      </w:hyperlink>
    </w:p>
    <w:p>
      <w:pPr>
        <w:pStyle w:val="BodyText"/>
        <w:spacing w:line="480" w:lineRule="auto"/>
        <w:ind w:firstLine="720"/>
      </w:pPr>
      <w:bookmarkStart w:id="143" w:name="ref-7"/>
      <w:bookmarkEnd w:id="143"/>
      <w:r>
        <w:t xml:space="preserve">7. E. Turan, S. Speretta, and E. Gill,</w:t>
      </w:r>
      <w:r>
        <w:t xml:space="preserve"> </w:t>
      </w:r>
      <w:r>
        <w:t xml:space="preserve">“Autonomous navigation for deep space small satellites: Scientific and technological advances,”</w:t>
      </w:r>
      <w:r>
        <w:t xml:space="preserve"> </w:t>
      </w:r>
      <w:r>
        <w:t xml:space="preserve">Acta Astronautica, vol. 193, 2022. doi:</w:t>
      </w:r>
      <w:r>
        <w:t xml:space="preserve"> </w:t>
      </w:r>
      <w:hyperlink r:id="rId144">
        <w:r>
          <w:rPr>
            <w:rStyle w:val="Hyperlink"/>
          </w:rPr>
          <w:t xml:space="preserve">10.1016/j.actaastro.2021.12.030</w:t>
        </w:r>
      </w:hyperlink>
    </w:p>
    <w:p>
      <w:pPr>
        <w:pStyle w:val="BodyText"/>
        <w:spacing w:line="480" w:lineRule="auto"/>
        <w:ind w:firstLine="720"/>
      </w:pPr>
      <w:bookmarkStart w:id="145" w:name="ref-8"/>
      <w:bookmarkEnd w:id="145"/>
      <w:r>
        <w:t xml:space="preserve">8. T. P. Wright, Factors affecting the cost of airplanes, Journal of the Aeronautical Sciences, 3(4):122-128, 1936.</w:t>
      </w:r>
    </w:p>
    <w:p>
      <w:pPr>
        <w:pStyle w:val="BodyText"/>
        <w:spacing w:line="480" w:lineRule="auto"/>
        <w:ind w:firstLine="720"/>
      </w:pPr>
      <w:bookmarkStart w:id="146" w:name="ref-9"/>
      <w:bookmarkEnd w:id="146"/>
      <w:r>
        <w:t xml:space="preserve">9. N. A. Renzetti, A history of the Deep Space Network from inception to January 1, 1969, JPL Technical Memorandum 33-450, NASA Jet Propulsion Laboratory, 1971.</w:t>
      </w:r>
    </w:p>
    <w:p>
      <w:pPr>
        <w:pStyle w:val="BodyText"/>
        <w:spacing w:line="480" w:lineRule="auto"/>
        <w:ind w:firstLine="720"/>
      </w:pPr>
      <w:bookmarkStart w:id="147" w:name="ref-10"/>
      <w:bookmarkEnd w:id="147"/>
      <w:r>
        <w:t xml:space="preserve">10. J. Taylor (ed.), DESCANSO Monograph Series 3: Cassini orbiter and Huygens probe telecommunications, NASA JPL, 2002.</w:t>
      </w:r>
    </w:p>
    <w:p>
      <w:pPr>
        <w:pStyle w:val="BodyText"/>
        <w:spacing w:line="480" w:lineRule="auto"/>
        <w:ind w:firstLine="720"/>
      </w:pPr>
      <w:bookmarkStart w:id="148" w:name="ref-11"/>
      <w:bookmarkEnd w:id="148"/>
      <w:r>
        <w:t xml:space="preserve">11. D. K. Edwards, C. T. Stelzried, L. J. Deutsch, L. Swanson, NASA’s Deep Space Telecommunications Roadmap, in DESCANSO Monograph 14, MSL telecommunications, NASA JPL, 2009.</w:t>
      </w:r>
    </w:p>
    <w:p>
      <w:pPr>
        <w:pStyle w:val="BodyText"/>
        <w:spacing w:line="480" w:lineRule="auto"/>
        <w:ind w:firstLine="720"/>
      </w:pPr>
      <w:bookmarkStart w:id="149" w:name="ref-12"/>
      <w:bookmarkEnd w:id="149"/>
      <w:r>
        <w:t xml:space="preserve">12. NASA SP-2005-4524, Deep Space Chronicle: A chronology of deep space and planetary probes 1958-2000, NASA History Division, 2005.</w:t>
      </w:r>
    </w:p>
    <w:p>
      <w:pPr>
        <w:pStyle w:val="BodyText"/>
        <w:spacing w:line="480" w:lineRule="auto"/>
        <w:ind w:firstLine="720"/>
      </w:pPr>
      <w:bookmarkStart w:id="150" w:name="ref-13"/>
      <w:bookmarkEnd w:id="150"/>
      <w:r>
        <w:t xml:space="preserve">13. R. J. Cesarone, D. S. Abraham, S. Shambayati, J. Rush, Deep-space optical communications visions, trends, and prospects, IPN Progress Report 42-185, NASA JPL, 2011.</w:t>
      </w:r>
    </w:p>
    <w:p>
      <w:pPr>
        <w:pStyle w:val="BodyText"/>
        <w:spacing w:line="480" w:lineRule="auto"/>
        <w:ind w:firstLine="720"/>
      </w:pPr>
      <w:bookmarkStart w:id="151" w:name="ref-14"/>
      <w:bookmarkEnd w:id="151"/>
      <w:r>
        <w:t xml:space="preserve">14. Yasir Latif, Space Protocol; Anirban Chowdhury, Space Protocol; Samya Bagchi, Space Protocol. On-chain Validation of Tracking Data Messages (TDM) Using Distributed Deep Learning on a Proof of Stake (PoS) Blockchain (2024). doi:</w:t>
      </w:r>
      <w:r>
        <w:t xml:space="preserve"> </w:t>
      </w:r>
      <w:hyperlink r:id="rId152">
        <w:r>
          <w:rPr>
            <w:rStyle w:val="Hyperlink"/>
          </w:rPr>
          <w:t xml:space="preserve">10.64861/OHUO6863</w:t>
        </w:r>
      </w:hyperlink>
    </w:p>
    <w:p>
      <w:pPr>
        <w:pStyle w:val="BodyText"/>
        <w:spacing w:line="480" w:lineRule="auto"/>
        <w:ind w:firstLine="720"/>
      </w:pPr>
      <w:bookmarkStart w:id="153" w:name="ref-15"/>
      <w:bookmarkEnd w:id="153"/>
      <w:r>
        <w:t xml:space="preserve">15. Helen Hall (Universities Space Research Association). Cycle 1 Science Status and How to Propose Time on SOFIA (2013).</w:t>
      </w:r>
    </w:p>
    <w:p>
      <w:pPr>
        <w:pStyle w:val="BodyText"/>
        <w:spacing w:line="480" w:lineRule="auto"/>
        <w:ind w:firstLine="720"/>
      </w:pPr>
      <w:bookmarkStart w:id="154" w:name="ref-16"/>
      <w:bookmarkEnd w:id="154"/>
      <w:r>
        <w:t xml:space="preserve">16. Kento Tomita, Georgia Institute of Technology; Yuri Shimane, Georgia Institute of Technology; Koki Ho, Georgia Institute of Technology. Multi-Spacecraft Predictive Sensor Tasking for Cislunar Space Situational Awareness (2023). doi:</w:t>
      </w:r>
      <w:r>
        <w:t xml:space="preserve"> </w:t>
      </w:r>
      <w:hyperlink r:id="rId155">
        <w:r>
          <w:rPr>
            <w:rStyle w:val="Hyperlink"/>
          </w:rPr>
          <w:t xml:space="preserve">10.64861/GBKE2290</w:t>
        </w:r>
      </w:hyperlink>
    </w:p>
    <w:p>
      <w:pPr>
        <w:pStyle w:val="BodyText"/>
        <w:spacing w:line="480" w:lineRule="auto"/>
        <w:ind w:firstLine="720"/>
      </w:pPr>
      <w:bookmarkStart w:id="156" w:name="ref-17"/>
      <w:bookmarkEnd w:id="156"/>
      <w:r>
        <w:t xml:space="preserve">17. Mark A. Sturza, Viasat, Inc.; Mark D. Dankberg, Viasat, Inc.; William N. Blount, Viasat, Inc.. LEO Capacity Modeling for Sustainable Design (2022).</w:t>
      </w:r>
    </w:p>
    <w:p>
      <w:pPr>
        <w:pStyle w:val="BodyText"/>
        <w:spacing w:line="480" w:lineRule="auto"/>
        <w:ind w:firstLine="720"/>
      </w:pPr>
      <w:bookmarkStart w:id="157" w:name="ref-18"/>
      <w:bookmarkEnd w:id="157"/>
      <w:r>
        <w:t xml:space="preserve">18. James Heasley (Institute for Astronomy, University of Hawaii), Robert E. Eek (Science Applications International Corporation), Wayne L. Smith (Science Applications International Corporation), Julie A. Rosen (Science Applications International Corporation), The Pan-STARRS team Pan-STARRS Project (Institute for Astronomy, University of Hawaii). Pan-STARRS PS1 Published Science Products Subsystem (2006).</w:t>
      </w:r>
    </w:p>
    <w:p>
      <w:pPr>
        <w:pStyle w:val="BodyText"/>
        <w:spacing w:line="480" w:lineRule="auto"/>
        <w:ind w:firstLine="720"/>
      </w:pPr>
      <w:bookmarkStart w:id="158" w:name="ref-19"/>
      <w:bookmarkEnd w:id="158"/>
      <w:r>
        <w:t xml:space="preserve">19. Michael Werth, The Boeing Company; Trent Kyono, The Boeing Company; Jacob Lucas, The Boeing Company; Justin Fletcher, SMC/DirSP-G; Ian McQuaid, Air Force Maui Optics and Supercomputing Site; Michael Brannon, Air Force Research Laboratory. Quality-Weighted Iterative Deconvolution (QWID) (2020).</w:t>
      </w:r>
    </w:p>
    <w:p>
      <w:pPr>
        <w:pStyle w:val="BodyText"/>
        <w:spacing w:line="480" w:lineRule="auto"/>
        <w:ind w:firstLine="720"/>
      </w:pPr>
      <w:bookmarkStart w:id="159" w:name="ref-20"/>
      <w:bookmarkEnd w:id="159"/>
      <w:r>
        <w:t xml:space="preserve">20. Dwight Temple, ExoAnalytic Solutions. Synthetic Heterogeneous Anomaly and Maneuver – Neural Network Event Winnowing System (2018).</w:t>
      </w:r>
    </w:p>
    <w:p>
      <w:pPr>
        <w:pStyle w:val="BodyText"/>
        <w:spacing w:line="480" w:lineRule="auto"/>
        <w:ind w:firstLine="720"/>
      </w:pPr>
      <w:bookmarkStart w:id="160" w:name="ref-21"/>
      <w:bookmarkEnd w:id="160"/>
      <w:r>
        <w:t xml:space="preserve">21. David Jefferson (Lawrence Livermore National Laboratory), James Leek (Lawrence Livermore National Laboratory). Application of Parallel Discrete Event Simulation to the Space Surveillance Network (2010).</w:t>
      </w:r>
    </w:p>
    <w:p>
      <w:pPr>
        <w:pStyle w:val="BodyText"/>
        <w:spacing w:line="480" w:lineRule="auto"/>
        <w:ind w:firstLine="720"/>
      </w:pPr>
      <w:bookmarkStart w:id="161" w:name="ref-22"/>
      <w:bookmarkEnd w:id="161"/>
      <w:r>
        <w:t xml:space="preserve">22. Paula Betriu; M. Sòria; J. Gutiérrez; Marcel Llopis; Antoni Barlabé. An assessment of different relay network topologies to improve Earth–Mars communications (2023). doi:</w:t>
      </w:r>
      <w:r>
        <w:t xml:space="preserve"> </w:t>
      </w:r>
      <w:hyperlink r:id="rId137">
        <w:r>
          <w:rPr>
            <w:rStyle w:val="Hyperlink"/>
          </w:rPr>
          <w:t xml:space="preserve">10.1016/j.actaastro.2023.01.040</w:t>
        </w:r>
      </w:hyperlink>
    </w:p>
    <w:p>
      <w:pPr>
        <w:pStyle w:val="BodyText"/>
        <w:spacing w:line="480" w:lineRule="auto"/>
        <w:ind w:firstLine="720"/>
      </w:pPr>
      <w:bookmarkStart w:id="162" w:name="ref-23"/>
      <w:bookmarkEnd w:id="162"/>
      <w:r>
        <w:t xml:space="preserve">23. Sangita Dhara; Scott Burleigh; Raja Datta; Sujoy Ghose. CGR-BF: An efficient contact utilization scheme for predictable deep space Delay Tolerant Network (2018). doi:</w:t>
      </w:r>
      <w:r>
        <w:t xml:space="preserve"> </w:t>
      </w:r>
      <w:hyperlink r:id="rId163">
        <w:r>
          <w:rPr>
            <w:rStyle w:val="Hyperlink"/>
          </w:rPr>
          <w:t xml:space="preserve">10.1016/j.actaastro.2018.06.023</w:t>
        </w:r>
      </w:hyperlink>
    </w:p>
    <w:p>
      <w:pPr>
        <w:pStyle w:val="BodyText"/>
        <w:spacing w:line="480" w:lineRule="auto"/>
        <w:ind w:firstLine="720"/>
      </w:pPr>
      <w:bookmarkStart w:id="164" w:name="ref-24"/>
      <w:bookmarkEnd w:id="164"/>
      <w:r>
        <w:t xml:space="preserve">24. Safinaz I. Khalil; Ziwei Wang; Nabil Aouf. Hybrid deep learning based monocular pose estimation for autonomous space docking operations (2025). doi:</w:t>
      </w:r>
      <w:r>
        <w:t xml:space="preserve"> </w:t>
      </w:r>
      <w:hyperlink r:id="rId165">
        <w:r>
          <w:rPr>
            <w:rStyle w:val="Hyperlink"/>
          </w:rPr>
          <w:t xml:space="preserve">10.1016/j.actaastro.2025.10.010</w:t>
        </w:r>
      </w:hyperlink>
    </w:p>
    <w:p>
      <w:pPr>
        <w:pStyle w:val="BodyText"/>
        <w:spacing w:line="480" w:lineRule="auto"/>
        <w:ind w:firstLine="720"/>
      </w:pPr>
      <w:bookmarkStart w:id="166" w:name="ref-25"/>
      <w:bookmarkEnd w:id="166"/>
      <w:r>
        <w:t xml:space="preserve">25. Zakaria Chekakta; Abdelhafid Zenati; Nabil Aouf; Olivier Dubois-Matra. Robust deep learning LiDAR-based pose estimation for autonomous space landers (2022). doi:</w:t>
      </w:r>
      <w:r>
        <w:t xml:space="preserve"> </w:t>
      </w:r>
      <w:hyperlink r:id="rId167">
        <w:r>
          <w:rPr>
            <w:rStyle w:val="Hyperlink"/>
          </w:rPr>
          <w:t xml:space="preserve">10.1016/j.actaastro.2022.08.049</w:t>
        </w:r>
      </w:hyperlink>
    </w:p>
    <w:p>
      <w:pPr>
        <w:pStyle w:val="BodyText"/>
        <w:spacing w:line="480" w:lineRule="auto"/>
        <w:ind w:firstLine="720"/>
      </w:pPr>
      <w:bookmarkStart w:id="168" w:name="ref-26"/>
      <w:bookmarkEnd w:id="168"/>
      <w:r>
        <w:t xml:space="preserve">26. Yuxian Yue; Xiaohui Wang; Haoran Gu; Liheng Mao. Mission architecture analysis for manned NEA exploration using MAM method (2019). doi:</w:t>
      </w:r>
      <w:r>
        <w:t xml:space="preserve"> </w:t>
      </w:r>
      <w:hyperlink r:id="rId169">
        <w:r>
          <w:rPr>
            <w:rStyle w:val="Hyperlink"/>
          </w:rPr>
          <w:t xml:space="preserve">10.1016/j.actaastro.2019.12.007</w:t>
        </w:r>
      </w:hyperlink>
    </w:p>
    <w:p>
      <w:pPr>
        <w:pStyle w:val="BodyText"/>
        <w:spacing w:line="480" w:lineRule="auto"/>
        <w:ind w:firstLine="720"/>
      </w:pPr>
      <w:bookmarkStart w:id="170" w:name="ref-27"/>
      <w:bookmarkEnd w:id="170"/>
      <w:r>
        <w:t xml:space="preserve">27. Francisco Caldas; Cláudia Soares. Machine learning in orbit estimation: A survey (2024). doi:</w:t>
      </w:r>
      <w:r>
        <w:t xml:space="preserve"> </w:t>
      </w:r>
      <w:hyperlink r:id="rId171">
        <w:r>
          <w:rPr>
            <w:rStyle w:val="Hyperlink"/>
          </w:rPr>
          <w:t xml:space="preserve">10.1016/j.actaastro.2024.03.072</w:t>
        </w:r>
      </w:hyperlink>
    </w:p>
    <w:p>
      <w:pPr>
        <w:pStyle w:val="BodyText"/>
        <w:spacing w:line="480" w:lineRule="auto"/>
        <w:ind w:firstLine="720"/>
      </w:pPr>
      <w:bookmarkStart w:id="172" w:name="ref-28"/>
      <w:bookmarkEnd w:id="172"/>
      <w:r>
        <w:t xml:space="preserve">28. Hadi Jahanshahi; Zheng Zhu. Review of machine learning in robotic grasping control in space application (2024). doi:</w:t>
      </w:r>
      <w:r>
        <w:t xml:space="preserve"> </w:t>
      </w:r>
      <w:hyperlink r:id="rId173">
        <w:r>
          <w:rPr>
            <w:rStyle w:val="Hyperlink"/>
          </w:rPr>
          <w:t xml:space="preserve">10.1016/j.actaastro.2024.04.012</w:t>
        </w:r>
      </w:hyperlink>
    </w:p>
    <w:p>
      <w:pPr>
        <w:pStyle w:val="BodyText"/>
        <w:spacing w:line="480" w:lineRule="auto"/>
        <w:ind w:firstLine="720"/>
      </w:pPr>
      <w:bookmarkStart w:id="174" w:name="ref-29"/>
      <w:bookmarkEnd w:id="174"/>
      <w:r>
        <w:t xml:space="preserve">29. Kun Liu; Yongjun Yu; Tingting Liu; Dairu Han; Wenhe Liao. Truncation-robust pose estimation for non-cooperative spacecraft using dense correspondence and uncertainty estimation (2026). doi:</w:t>
      </w:r>
      <w:r>
        <w:t xml:space="preserve"> </w:t>
      </w:r>
      <w:hyperlink r:id="rId175">
        <w:r>
          <w:rPr>
            <w:rStyle w:val="Hyperlink"/>
          </w:rPr>
          <w:t xml:space="preserve">10.1016/j.actaastro.2026.04.033</w:t>
        </w:r>
      </w:hyperlink>
    </w:p>
    <w:bookmarkEnd w:id="176"/>
    <w:bookmarkEnd w:id="177"/>
    <w:bookmarkStart w:id="19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5" w:name="X8b8e4e8b5dfe046db07da293ac3473f33bd2b34"/>
    <w:p>
      <w:pPr>
        <w:pStyle w:val="Heading2"/>
        <w:spacing w:line="480" w:lineRule="auto"/>
      </w:pPr>
      <w:r>
        <w:t xml:space="preserve">A.1 Downlink-Bound Science Return: A Cross-Mission OLS Estimate of the Telecommunications Elasticity of Planetary Data Volume</w:t>
      </w:r>
    </w:p>
    <w:p>
      <w:pPr>
        <w:pStyle w:val="FirstParagraph"/>
        <w:spacing w:line="480" w:lineRule="auto"/>
      </w:pPr>
      <m:oMathPara>
        <m:oMathParaPr>
          <m:jc m:val="center"/>
        </m:oMathParaPr>
        <m:oMath>
          <m:sSub>
            <m:e>
              <m:r>
                <m:rPr>
                  <m:sty m:val="p"/>
                </m:rPr>
                <m:t>log</m:t>
              </m:r>
            </m:e>
            <m:sub>
              <m:r>
                <m:t>10</m:t>
              </m:r>
            </m:sub>
          </m:sSub>
          <m:sSub>
            <m:e>
              <m:r>
                <m:t>V</m:t>
              </m:r>
            </m:e>
            <m:sub>
              <m:r>
                <m:t>i</m:t>
              </m:r>
            </m:sub>
          </m:sSub>
          <m:r>
            <m:rPr>
              <m:sty m:val="p"/>
            </m:rPr>
            <m:t>=</m:t>
          </m:r>
          <m:sSub>
            <m:e>
              <m:r>
                <m:t>β</m:t>
              </m:r>
            </m:e>
            <m:sub>
              <m:r>
                <m:t>0</m:t>
              </m:r>
            </m:sub>
          </m:sSub>
          <m:r>
            <m:rPr>
              <m:sty m:val="p"/>
            </m:rPr>
            <m:t>+</m:t>
          </m:r>
          <m:sSub>
            <m:e>
              <m:r>
                <m:t>β</m:t>
              </m:r>
            </m:e>
            <m:sub>
              <m:r>
                <m:t>1</m:t>
              </m:r>
            </m:sub>
          </m:sSub>
          <m:sSub>
            <m:e>
              <m:r>
                <m:rPr>
                  <m:sty m:val="p"/>
                </m:rPr>
                <m:t>log</m:t>
              </m:r>
            </m:e>
            <m:sub>
              <m:r>
                <m:t>10</m:t>
              </m:r>
            </m:sub>
          </m:sSub>
          <m:sSub>
            <m:e>
              <m:r>
                <m:t>R</m:t>
              </m:r>
            </m:e>
            <m:sub>
              <m:r>
                <m:t>i</m:t>
              </m:r>
            </m:sub>
          </m:sSub>
          <m:r>
            <m:rPr>
              <m:sty m:val="p"/>
            </m:rPr>
            <m:t>+</m:t>
          </m:r>
          <m:sSub>
            <m:e>
              <m:r>
                <m:t>β</m:t>
              </m:r>
            </m:e>
            <m:sub>
              <m:r>
                <m:t>2</m:t>
              </m:r>
            </m:sub>
          </m:sSub>
          <m:sSub>
            <m:e>
              <m:r>
                <m:rPr>
                  <m:sty m:val="p"/>
                </m:rPr>
                <m:t>log</m:t>
              </m:r>
            </m:e>
            <m:sub>
              <m:r>
                <m:t>10</m:t>
              </m:r>
            </m:sub>
          </m:sSub>
          <m:sSub>
            <m:e>
              <m:r>
                <m:t>D</m:t>
              </m:r>
            </m:e>
            <m:sub>
              <m:r>
                <m:t>i</m:t>
              </m:r>
            </m:sub>
          </m:sSub>
          <m:r>
            <m:rPr>
              <m:sty m:val="p"/>
            </m:rPr>
            <m:t>+</m:t>
          </m:r>
          <m:sSub>
            <m:e>
              <m:r>
                <m:t>β</m:t>
              </m:r>
            </m:e>
            <m:sub>
              <m:r>
                <m:t>3</m:t>
              </m:r>
            </m:sub>
          </m:sSub>
          <m:sSub>
            <m:e>
              <m:r>
                <m:rPr>
                  <m:sty m:val="p"/>
                </m:rPr>
                <m:t>log</m:t>
              </m:r>
            </m:e>
            <m:sub>
              <m:r>
                <m:t>10</m:t>
              </m:r>
            </m:sub>
          </m:sSub>
          <m:sSub>
            <m:e>
              <m:r>
                <m:t>A</m:t>
              </m:r>
            </m:e>
            <m:sub>
              <m:r>
                <m:t>i</m:t>
              </m:r>
            </m:sub>
          </m:sSub>
          <m:r>
            <m:rPr>
              <m:sty m:val="p"/>
            </m:rPr>
            <m:t>+</m:t>
          </m:r>
          <m:sSub>
            <m:e>
              <m:r>
                <m:t>β</m:t>
              </m:r>
            </m:e>
            <m:sub>
              <m:r>
                <m:t>4</m:t>
              </m:r>
            </m:sub>
          </m:sSub>
          <m:sSub>
            <m:e>
              <m:r>
                <m:rPr>
                  <m:sty m:val="p"/>
                </m:rPr>
                <m:t>log</m:t>
              </m:r>
            </m:e>
            <m:sub>
              <m:r>
                <m:t>10</m:t>
              </m:r>
            </m:sub>
          </m:sSub>
          <m:sSub>
            <m:e>
              <m:r>
                <m:t>T</m:t>
              </m:r>
            </m:e>
            <m:sub>
              <m:r>
                <m:t>i</m:t>
              </m:r>
            </m:sub>
          </m:sSub>
          <m:r>
            <m:rPr>
              <m:sty m:val="p"/>
            </m:rPr>
            <m:t>+</m:t>
          </m:r>
          <m:sSub>
            <m:e>
              <m:r>
                <m:t>ε</m:t>
              </m:r>
            </m:e>
            <m:sub>
              <m:r>
                <m:t>i</m:t>
              </m:r>
            </m:sub>
          </m:sSub>
        </m:oMath>
      </m:oMathPara>
    </w:p>
    <w:bookmarkStart w:id="17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-3.5708</w:t>
            </w:r>
          </w:p>
        </w:tc>
        <w:tc>
          <w:tcPr>
            <w:tcW w:w="0" w:type="auto"/>
          </w:tcPr>
          <w:p>
            <w:pPr>
              <w:spacing w:line="240" w:lineRule="auto" w:before="0" w:after="0"/>
              <w:pStyle w:val="Compact"/>
            </w:pPr>
            <w:r>
              <w:rPr>
                <w:sz w:val="20"/>
                <w:szCs w:val="20"/>
              </w:rPr>
              <w:t xml:space="preserve">0.2177</w:t>
            </w:r>
          </w:p>
        </w:tc>
        <w:tc>
          <w:tcPr>
            <w:tcW w:w="0" w:type="auto"/>
          </w:tcPr>
          <w:p>
            <w:pPr>
              <w:spacing w:line="240" w:lineRule="auto" w:before="0" w:after="0"/>
              <w:pStyle w:val="Compact"/>
            </w:pPr>
            <w:r>
              <w:rPr>
                <w:sz w:val="20"/>
                <w:szCs w:val="20"/>
              </w:rPr>
              <w:t xml:space="preserve">-16.4058</w:t>
            </w:r>
          </w:p>
        </w:tc>
        <w:tc>
          <w:tcPr>
            <w:tcW w:w="0" w:type="auto"/>
          </w:tcPr>
          <w:p>
            <w:pPr>
              <w:spacing w:line="240" w:lineRule="auto" w:before="0" w:after="0"/>
              <w:pStyle w:val="Compact"/>
            </w:pPr>
            <w:r>
              <w:rPr>
                <w:sz w:val="20"/>
                <w:szCs w:val="20"/>
              </w:rPr>
              <w:t xml:space="preserve">1.739e-60</w:t>
            </w:r>
          </w:p>
        </w:tc>
        <w:tc>
          <w:tcPr>
            <w:tcW w:w="0" w:type="auto"/>
          </w:tcPr>
          <w:p>
            <w:pPr>
              <w:spacing w:line="240" w:lineRule="auto" w:before="0" w:after="0"/>
              <w:pStyle w:val="Compact"/>
            </w:pPr>
            <w:r>
              <w:rPr>
                <w:sz w:val="20"/>
                <w:szCs w:val="20"/>
              </w:rPr>
              <w:t xml:space="preserve">[-3.9973, -3.1442]</w:t>
            </w:r>
          </w:p>
        </w:tc>
      </w:tr>
      <w:tr>
        <w:tc>
          <w:tcPr>
            <w:tcW w:w="0" w:type="auto"/>
          </w:tcPr>
          <w:p>
            <w:pPr>
              <w:spacing w:line="240" w:lineRule="auto" w:before="0" w:after="0"/>
              <w:pStyle w:val="Compact"/>
            </w:pPr>
            <w:r>
              <w:rPr>
                <w:sz w:val="20"/>
                <w:szCs w:val="20"/>
              </w:rPr>
              <w:t xml:space="preserve">log10_downlink_kbps</w:t>
            </w:r>
          </w:p>
        </w:tc>
        <w:tc>
          <w:tcPr>
            <w:tcW w:w="0" w:type="auto"/>
          </w:tcPr>
          <w:p>
            <w:pPr>
              <w:spacing w:line="240" w:lineRule="auto" w:before="0" w:after="0"/>
              <w:pStyle w:val="Compact"/>
            </w:pPr>
            <w:r>
              <w:rPr>
                <w:sz w:val="20"/>
                <w:szCs w:val="20"/>
              </w:rPr>
              <w:t xml:space="preserve">0.8759</w:t>
            </w:r>
          </w:p>
        </w:tc>
        <w:tc>
          <w:tcPr>
            <w:tcW w:w="0" w:type="auto"/>
          </w:tcPr>
          <w:p>
            <w:pPr>
              <w:spacing w:line="240" w:lineRule="auto" w:before="0" w:after="0"/>
              <w:pStyle w:val="Compact"/>
            </w:pPr>
            <w:r>
              <w:rPr>
                <w:sz w:val="20"/>
                <w:szCs w:val="20"/>
              </w:rPr>
              <w:t xml:space="preserve">0.0605</w:t>
            </w:r>
          </w:p>
        </w:tc>
        <w:tc>
          <w:tcPr>
            <w:tcW w:w="0" w:type="auto"/>
          </w:tcPr>
          <w:p>
            <w:pPr>
              <w:spacing w:line="240" w:lineRule="auto" w:before="0" w:after="0"/>
              <w:pStyle w:val="Compact"/>
            </w:pPr>
            <w:r>
              <w:rPr>
                <w:sz w:val="20"/>
                <w:szCs w:val="20"/>
              </w:rPr>
              <w:t xml:space="preserve">14.4877</w:t>
            </w:r>
          </w:p>
        </w:tc>
        <w:tc>
          <w:tcPr>
            <w:tcW w:w="0" w:type="auto"/>
          </w:tcPr>
          <w:p>
            <w:pPr>
              <w:spacing w:line="240" w:lineRule="auto" w:before="0" w:after="0"/>
              <w:pStyle w:val="Compact"/>
            </w:pPr>
            <w:r>
              <w:rPr>
                <w:sz w:val="20"/>
                <w:szCs w:val="20"/>
              </w:rPr>
              <w:t xml:space="preserve">1.448e-47</w:t>
            </w:r>
          </w:p>
        </w:tc>
        <w:tc>
          <w:tcPr>
            <w:tcW w:w="0" w:type="auto"/>
          </w:tcPr>
          <w:p>
            <w:pPr>
              <w:spacing w:line="240" w:lineRule="auto" w:before="0" w:after="0"/>
              <w:pStyle w:val="Compact"/>
            </w:pPr>
            <w:r>
              <w:rPr>
                <w:sz w:val="20"/>
                <w:szCs w:val="20"/>
              </w:rPr>
              <w:t xml:space="preserve">[0.7574, 0.9944]</w:t>
            </w:r>
          </w:p>
        </w:tc>
      </w:tr>
      <w:tr>
        <w:tc>
          <w:tcPr>
            <w:tcW w:w="0" w:type="auto"/>
          </w:tcPr>
          <w:p>
            <w:pPr>
              <w:spacing w:line="240" w:lineRule="auto" w:before="0" w:after="0"/>
              <w:pStyle w:val="Compact"/>
            </w:pPr>
            <w:r>
              <w:rPr>
                <w:sz w:val="20"/>
                <w:szCs w:val="20"/>
              </w:rPr>
              <w:t xml:space="preserve">log10_slant_AU</w:t>
            </w:r>
          </w:p>
        </w:tc>
        <w:tc>
          <w:tcPr>
            <w:tcW w:w="0" w:type="auto"/>
          </w:tcPr>
          <w:p>
            <w:pPr>
              <w:spacing w:line="240" w:lineRule="auto" w:before="0" w:after="0"/>
              <w:pStyle w:val="Compact"/>
            </w:pPr>
            <w:r>
              <w:rPr>
                <w:sz w:val="20"/>
                <w:szCs w:val="20"/>
              </w:rPr>
              <w:t xml:space="preserve">-0.2862</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-1.6331</w:t>
            </w:r>
          </w:p>
        </w:tc>
        <w:tc>
          <w:tcPr>
            <w:tcW w:w="0" w:type="auto"/>
          </w:tcPr>
          <w:p>
            <w:pPr>
              <w:spacing w:line="240" w:lineRule="auto" w:before="0" w:after="0"/>
              <w:pStyle w:val="Compact"/>
            </w:pPr>
            <w:r>
              <w:rPr>
                <w:sz w:val="20"/>
                <w:szCs w:val="20"/>
              </w:rPr>
              <w:t xml:space="preserve">0.1025</w:t>
            </w:r>
          </w:p>
        </w:tc>
        <w:tc>
          <w:tcPr>
            <w:tcW w:w="0" w:type="auto"/>
          </w:tcPr>
          <w:p>
            <w:pPr>
              <w:spacing w:line="240" w:lineRule="auto" w:before="0" w:after="0"/>
              <w:pStyle w:val="Compact"/>
            </w:pPr>
            <w:r>
              <w:rPr>
                <w:sz w:val="20"/>
                <w:szCs w:val="20"/>
              </w:rPr>
              <w:t xml:space="preserve">[-0.6298, 0.0573]</w:t>
            </w:r>
          </w:p>
        </w:tc>
      </w:tr>
      <w:tr>
        <w:tc>
          <w:tcPr>
            <w:tcW w:w="0" w:type="auto"/>
          </w:tcPr>
          <w:p>
            <w:pPr>
              <w:spacing w:line="240" w:lineRule="auto" w:before="0" w:after="0"/>
              <w:pStyle w:val="Compact"/>
            </w:pPr>
            <w:r>
              <w:rPr>
                <w:sz w:val="20"/>
                <w:szCs w:val="20"/>
              </w:rPr>
              <w:t xml:space="preserve">log10_antenna_m</w:t>
            </w:r>
          </w:p>
        </w:tc>
        <w:tc>
          <w:tcPr>
            <w:tcW w:w="0" w:type="auto"/>
          </w:tcPr>
          <w:p>
            <w:pPr>
              <w:spacing w:line="240" w:lineRule="auto" w:before="0" w:after="0"/>
              <w:pStyle w:val="Compact"/>
            </w:pPr>
            <w:r>
              <w:rPr>
                <w:sz w:val="20"/>
                <w:szCs w:val="20"/>
              </w:rPr>
              <w:t xml:space="preserve">1.8194</w:t>
            </w:r>
          </w:p>
        </w:tc>
        <w:tc>
          <w:tcPr>
            <w:tcW w:w="0" w:type="auto"/>
          </w:tcPr>
          <w:p>
            <w:pPr>
              <w:spacing w:line="240" w:lineRule="auto" w:before="0" w:after="0"/>
              <w:pStyle w:val="Compact"/>
            </w:pPr>
            <w:r>
              <w:rPr>
                <w:sz w:val="20"/>
                <w:szCs w:val="20"/>
              </w:rPr>
              <w:t xml:space="preserve">0.6189</w:t>
            </w:r>
          </w:p>
        </w:tc>
        <w:tc>
          <w:tcPr>
            <w:tcW w:w="0" w:type="auto"/>
          </w:tcPr>
          <w:p>
            <w:pPr>
              <w:spacing w:line="240" w:lineRule="auto" w:before="0" w:after="0"/>
              <w:pStyle w:val="Compact"/>
            </w:pPr>
            <w:r>
              <w:rPr>
                <w:sz w:val="20"/>
                <w:szCs w:val="20"/>
              </w:rPr>
              <w:t xml:space="preserve">2.9398</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[0.6064, 3.0323]</w:t>
            </w:r>
          </w:p>
        </w:tc>
      </w:tr>
      <w:tr>
        <w:tc>
          <w:tcPr>
            <w:tcW w:w="0" w:type="auto"/>
          </w:tcPr>
          <w:p>
            <w:pPr>
              <w:spacing w:line="240" w:lineRule="auto" w:before="0" w:after="0"/>
              <w:pStyle w:val="Compact"/>
            </w:pPr>
            <w:r>
              <w:rPr>
                <w:sz w:val="20"/>
                <w:szCs w:val="20"/>
              </w:rPr>
              <w:t xml:space="preserve">log10_op_years</w:t>
            </w:r>
          </w:p>
        </w:tc>
        <w:tc>
          <w:tcPr>
            <w:tcW w:w="0" w:type="auto"/>
          </w:tcPr>
          <w:p>
            <w:pPr>
              <w:spacing w:line="240" w:lineRule="auto" w:before="0" w:after="0"/>
              <w:pStyle w:val="Compact"/>
            </w:pPr>
            <w:r>
              <w:rPr>
                <w:sz w:val="20"/>
                <w:szCs w:val="20"/>
              </w:rPr>
              <w:t xml:space="preserve">1.7071</w:t>
            </w:r>
          </w:p>
        </w:tc>
        <w:tc>
          <w:tcPr>
            <w:tcW w:w="0" w:type="auto"/>
          </w:tcPr>
          <w:p>
            <w:pPr>
              <w:spacing w:line="240" w:lineRule="auto" w:before="0" w:after="0"/>
              <w:pStyle w:val="Compact"/>
            </w:pPr>
            <w:r>
              <w:rPr>
                <w:sz w:val="20"/>
                <w:szCs w:val="20"/>
              </w:rPr>
              <w:t xml:space="preserve">0.1629</w:t>
            </w:r>
          </w:p>
        </w:tc>
        <w:tc>
          <w:tcPr>
            <w:tcW w:w="0" w:type="auto"/>
          </w:tcPr>
          <w:p>
            <w:pPr>
              <w:spacing w:line="240" w:lineRule="auto" w:before="0" w:after="0"/>
              <w:pStyle w:val="Compact"/>
            </w:pPr>
            <w:r>
              <w:rPr>
                <w:sz w:val="20"/>
                <w:szCs w:val="20"/>
              </w:rPr>
              <w:t xml:space="preserve">10.4813</w:t>
            </w:r>
          </w:p>
        </w:tc>
        <w:tc>
          <w:tcPr>
            <w:tcW w:w="0" w:type="auto"/>
          </w:tcPr>
          <w:p>
            <w:pPr>
              <w:spacing w:line="240" w:lineRule="auto" w:before="0" w:after="0"/>
              <w:pStyle w:val="Compact"/>
            </w:pPr>
            <w:r>
              <w:rPr>
                <w:sz w:val="20"/>
                <w:szCs w:val="20"/>
              </w:rPr>
              <w:t xml:space="preserve">1.053e-25</w:t>
            </w:r>
          </w:p>
        </w:tc>
        <w:tc>
          <w:tcPr>
            <w:tcW w:w="0" w:type="auto"/>
          </w:tcPr>
          <w:p>
            <w:pPr>
              <w:spacing w:line="240" w:lineRule="auto" w:before="0" w:after="0"/>
              <w:pStyle w:val="Compact"/>
            </w:pPr>
            <w:r>
              <w:rPr>
                <w:sz w:val="20"/>
                <w:szCs w:val="20"/>
              </w:rPr>
              <w:t xml:space="preserve">[1.3879, 2.0263]</w:t>
            </w:r>
          </w:p>
        </w:tc>
      </w:tr>
    </w:tbl>
    <w:p>
      <w:pPr>
        <w:pStyle w:val="BodyText"/>
        <w:spacing w:line="480" w:lineRule="auto"/>
        <w:ind w:firstLine="720"/>
      </w:pPr>
      <w:r>
        <w:t xml:space="preserve">Fit: N = 36 R2 = 0.8112 R2_adj = 0.7869 F = 94.0447 F_p = 7.074e-17</w:t>
      </w:r>
    </w:p>
    <w:bookmarkEnd w:id="178"/>
    <w:bookmarkStart w:id="18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ross-mission relationship between peak downlink rate and cumulative archived data volume, log10 scale, with the OLS fit." title="" id="180" name="Picture"/>
            <a:graphic>
              <a:graphicData uri="http://schemas.openxmlformats.org/drawingml/2006/picture">
                <pic:pic>
                  <pic:nvPicPr>
                    <pic:cNvPr descr="D:/Claude_Code/brain/collegium/candidates/dissertations/JPL_PLANETARY_08/research_papers/p1/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Cross-mission relationship between peak downlink rate and cumulative archived data volume, log10 scale, with the OLS fit.</w:t>
      </w:r>
    </w:p>
    <w:bookmarkEnd w:id="182"/>
    <w:bookmarkStart w:id="18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operational_years</w:t>
            </w:r>
          </w:p>
        </w:tc>
        <w:tc>
          <w:tcPr>
            <w:tcW w:w="0" w:type="auto"/>
          </w:tcPr>
          <w:p>
            <w:pPr>
              <w:spacing w:line="240" w:lineRule="auto" w:before="0" w:after="0"/>
              <w:pStyle w:val="Compact"/>
            </w:pPr>
            <w:r>
              <w:rPr>
                <w:sz w:val="20"/>
                <w:szCs w:val="20"/>
              </w:rPr>
              <w:t xml:space="preserve">peak_downlink_kbps</w:t>
            </w:r>
          </w:p>
        </w:tc>
        <w:tc>
          <w:tcPr>
            <w:tcW w:w="0" w:type="auto"/>
          </w:tcPr>
          <w:p>
            <w:pPr>
              <w:spacing w:line="240" w:lineRule="auto" w:before="0" w:after="0"/>
              <w:pStyle w:val="Compact"/>
            </w:pPr>
            <w:r>
              <w:rPr>
                <w:sz w:val="20"/>
                <w:szCs w:val="20"/>
              </w:rPr>
              <w:t xml:space="preserve">max_slant_range_AU</w:t>
            </w:r>
          </w:p>
        </w:tc>
        <w:tc>
          <w:tcPr>
            <w:tcW w:w="0" w:type="auto"/>
          </w:tcPr>
          <w:p>
            <w:pPr>
              <w:spacing w:line="240" w:lineRule="auto" w:before="0" w:after="0"/>
              <w:pStyle w:val="Compact"/>
            </w:pPr>
            <w:r>
              <w:rPr>
                <w:sz w:val="20"/>
                <w:szCs w:val="20"/>
              </w:rPr>
              <w:t xml:space="preserve">antenna_diameter_m</w:t>
            </w:r>
          </w:p>
        </w:tc>
        <w:tc>
          <w:tcPr>
            <w:tcW w:w="0" w:type="auto"/>
          </w:tcPr>
          <w:p>
            <w:pPr>
              <w:spacing w:line="240" w:lineRule="auto" w:before="0" w:after="0"/>
              <w:pStyle w:val="Compact"/>
            </w:pPr>
            <w:r>
              <w:rPr>
                <w:sz w:val="20"/>
                <w:szCs w:val="20"/>
              </w:rPr>
              <w:t xml:space="preserve">mission_class</w:t>
            </w:r>
          </w:p>
        </w:tc>
        <w:tc>
          <w:tcPr>
            <w:tcW w:w="0" w:type="auto"/>
          </w:tcPr>
          <w:p>
            <w:pPr>
              <w:spacing w:line="240" w:lineRule="auto" w:before="0" w:after="0"/>
              <w:pStyle w:val="Compact"/>
            </w:pPr>
            <w:r>
              <w:rPr>
                <w:sz w:val="20"/>
                <w:szCs w:val="20"/>
              </w:rPr>
              <w:t xml:space="preserve">log_data_volume_TB</w:t>
            </w:r>
          </w:p>
        </w:tc>
        <w:tc>
          <w:tcPr>
            <w:tcW w:w="0" w:type="auto"/>
          </w:tcPr>
          <w:p>
            <w:pPr>
              <w:spacing w:line="240" w:lineRule="auto" w:before="0" w:after="0"/>
              <w:pStyle w:val="Compact"/>
            </w:pPr>
            <w:r>
              <w:rPr>
                <w:sz w:val="20"/>
                <w:szCs w:val="20"/>
              </w:rPr>
              <w:t xml:space="preserve">log10_downlink_kbps</w:t>
            </w:r>
          </w:p>
        </w:tc>
        <w:tc>
          <w:tcPr>
            <w:tcW w:w="0" w:type="auto"/>
          </w:tcPr>
          <w:p>
            <w:pPr>
              <w:spacing w:line="240" w:lineRule="auto" w:before="0" w:after="0"/>
              <w:pStyle w:val="Compact"/>
            </w:pPr>
            <w:r>
              <w:rPr>
                <w:sz w:val="20"/>
                <w:szCs w:val="20"/>
              </w:rPr>
              <w:t xml:space="preserve">log10_slant_AU</w:t>
            </w:r>
          </w:p>
        </w:tc>
        <w:tc>
          <w:tcPr>
            <w:tcW w:w="0" w:type="auto"/>
          </w:tcPr>
          <w:p>
            <w:pPr>
              <w:spacing w:line="240" w:lineRule="auto" w:before="0" w:after="0"/>
              <w:pStyle w:val="Compact"/>
            </w:pPr>
            <w:r>
              <w:rPr>
                <w:sz w:val="20"/>
                <w:szCs w:val="20"/>
              </w:rPr>
              <w:t xml:space="preserve">log10_antenna_m</w:t>
            </w:r>
          </w:p>
        </w:tc>
        <w:tc>
          <w:tcPr>
            <w:tcW w:w="0" w:type="auto"/>
          </w:tcPr>
          <w:p>
            <w:pPr>
              <w:spacing w:line="240" w:lineRule="auto" w:before="0" w:after="0"/>
              <w:pStyle w:val="Compact"/>
            </w:pPr>
            <w:r>
              <w:rPr>
                <w:sz w:val="20"/>
                <w:szCs w:val="20"/>
              </w:rPr>
              <w:t xml:space="preserve">log10_op_years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Voyager_1</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2.2122</w:t>
            </w:r>
          </w:p>
        </w:tc>
        <w:tc>
          <w:tcPr>
            <w:tcW w:w="0" w:type="auto"/>
          </w:tcPr>
          <w:p>
            <w:pPr>
              <w:spacing w:line="240" w:lineRule="auto" w:before="0" w:after="0"/>
              <w:pStyle w:val="Compact"/>
            </w:pPr>
            <w:r>
              <w:rPr>
                <w:sz w:val="20"/>
                <w:szCs w:val="20"/>
              </w:rPr>
              <w:t xml:space="preserve">0.5682</w:t>
            </w:r>
          </w:p>
        </w:tc>
        <w:tc>
          <w:tcPr>
            <w:tcW w:w="0" w:type="auto"/>
          </w:tcPr>
          <w:p>
            <w:pPr>
              <w:spacing w:line="240" w:lineRule="auto" w:before="0" w:after="0"/>
              <w:pStyle w:val="Compact"/>
            </w:pPr>
            <w:r>
              <w:rPr>
                <w:sz w:val="20"/>
                <w:szCs w:val="20"/>
              </w:rPr>
              <w:t xml:space="preserve">1.6721</w:t>
            </w:r>
          </w:p>
        </w:tc>
        <w:tc>
          <w:tcPr>
            <w:tcW w:w="0" w:type="auto"/>
          </w:tcPr>
          <w:p>
            <w:pPr>
              <w:spacing w:line="240" w:lineRule="auto" w:before="0" w:after="0"/>
              <w:pStyle w:val="Compact"/>
            </w:pPr>
            <w:r>
              <w:rPr>
                <w:sz w:val="20"/>
                <w:szCs w:val="20"/>
              </w:rPr>
              <w:t xml:space="preserve">NASA-JPL Voyager Mission Status, voyager.jpl.nasa.gov/mission/status; PDS PPI volumes</w:t>
            </w:r>
          </w:p>
        </w:tc>
      </w:tr>
      <w:tr>
        <w:tc>
          <w:tcPr>
            <w:tcW w:w="0" w:type="auto"/>
          </w:tcPr>
          <w:p>
            <w:pPr>
              <w:spacing w:line="240" w:lineRule="auto" w:before="0" w:after="0"/>
              <w:pStyle w:val="Compact"/>
            </w:pPr>
            <w:r>
              <w:rPr>
                <w:sz w:val="20"/>
                <w:szCs w:val="20"/>
              </w:rPr>
              <w:t xml:space="preserve">Voyager_2</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2.1335</w:t>
            </w:r>
          </w:p>
        </w:tc>
        <w:tc>
          <w:tcPr>
            <w:tcW w:w="0" w:type="auto"/>
          </w:tcPr>
          <w:p>
            <w:pPr>
              <w:spacing w:line="240" w:lineRule="auto" w:before="0" w:after="0"/>
              <w:pStyle w:val="Compact"/>
            </w:pPr>
            <w:r>
              <w:rPr>
                <w:sz w:val="20"/>
                <w:szCs w:val="20"/>
              </w:rPr>
              <w:t xml:space="preserve">0.5682</w:t>
            </w:r>
          </w:p>
        </w:tc>
        <w:tc>
          <w:tcPr>
            <w:tcW w:w="0" w:type="auto"/>
          </w:tcPr>
          <w:p>
            <w:pPr>
              <w:spacing w:line="240" w:lineRule="auto" w:before="0" w:after="0"/>
              <w:pStyle w:val="Compact"/>
            </w:pPr>
            <w:r>
              <w:rPr>
                <w:sz w:val="20"/>
                <w:szCs w:val="20"/>
              </w:rPr>
              <w:t xml:space="preserve">1.6721</w:t>
            </w:r>
          </w:p>
        </w:tc>
        <w:tc>
          <w:tcPr>
            <w:tcW w:w="0" w:type="auto"/>
          </w:tcPr>
          <w:p>
            <w:pPr>
              <w:spacing w:line="240" w:lineRule="auto" w:before="0" w:after="0"/>
              <w:pStyle w:val="Compact"/>
            </w:pPr>
            <w:r>
              <w:rPr>
                <w:sz w:val="20"/>
                <w:szCs w:val="20"/>
              </w:rPr>
              <w:t xml:space="preserve">NASA-JPL Voyager Mission Status, voyager.jpl.nasa.gov/mission/status; PDS PPI volumes</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-0.7959</w:t>
            </w:r>
          </w:p>
        </w:tc>
        <w:tc>
          <w:tcPr>
            <w:tcW w:w="0" w:type="auto"/>
          </w:tcPr>
          <w:p>
            <w:pPr>
              <w:spacing w:line="240" w:lineRule="auto" w:before="0" w:after="0"/>
              <w:pStyle w:val="Compact"/>
            </w:pPr>
            <w:r>
              <w:rPr>
                <w:sz w:val="20"/>
                <w:szCs w:val="20"/>
              </w:rPr>
              <w:t xml:space="preserve">0.7924</w:t>
            </w:r>
          </w:p>
        </w:tc>
        <w:tc>
          <w:tcPr>
            <w:tcW w:w="0" w:type="auto"/>
          </w:tcPr>
          <w:p>
            <w:pPr>
              <w:spacing w:line="240" w:lineRule="auto" w:before="0" w:after="0"/>
              <w:pStyle w:val="Compact"/>
            </w:pPr>
            <w:r>
              <w:rPr>
                <w:sz w:val="20"/>
                <w:szCs w:val="20"/>
              </w:rPr>
              <w:t xml:space="preserve">0.6812</w:t>
            </w:r>
          </w:p>
        </w:tc>
        <w:tc>
          <w:tcPr>
            <w:tcW w:w="0" w:type="auto"/>
          </w:tcPr>
          <w:p>
            <w:pPr>
              <w:spacing w:line="240" w:lineRule="auto" w:before="0" w:after="0"/>
              <w:pStyle w:val="Compact"/>
            </w:pPr>
            <w:r>
              <w:rPr>
                <w:sz w:val="20"/>
                <w:szCs w:val="20"/>
              </w:rPr>
              <w:t xml:space="preserve">1.1461</w:t>
            </w:r>
          </w:p>
        </w:tc>
        <w:tc>
          <w:tcPr>
            <w:tcW w:w="0" w:type="auto"/>
          </w:tcPr>
          <w:p>
            <w:pPr>
              <w:spacing w:line="240" w:lineRule="auto" w:before="0" w:after="0"/>
              <w:pStyle w:val="Compact"/>
            </w:pPr>
            <w:r>
              <w:rPr>
                <w:sz w:val="20"/>
                <w:szCs w:val="20"/>
              </w:rPr>
              <w:t xml:space="preserve">Johnson 2002 IEEE Aerospace, Galileo Telecommunications; NTRS 20020072078</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166</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1.929</w:t>
            </w:r>
          </w:p>
        </w:tc>
        <w:tc>
          <w:tcPr>
            <w:tcW w:w="0" w:type="auto"/>
          </w:tcPr>
          <w:p>
            <w:pPr>
              <w:spacing w:line="240" w:lineRule="auto" w:before="0" w:after="0"/>
              <w:pStyle w:val="Compact"/>
            </w:pPr>
            <w:r>
              <w:rPr>
                <w:sz w:val="20"/>
                <w:szCs w:val="20"/>
              </w:rPr>
              <w:t xml:space="preserve">2.2201</w:t>
            </w:r>
          </w:p>
        </w:tc>
        <w:tc>
          <w:tcPr>
            <w:tcW w:w="0" w:type="auto"/>
          </w:tcPr>
          <w:p>
            <w:pPr>
              <w:spacing w:line="240" w:lineRule="auto" w:before="0" w:after="0"/>
              <w:pStyle w:val="Compact"/>
            </w:pPr>
            <w:r>
              <w:rPr>
                <w:sz w:val="20"/>
                <w:szCs w:val="20"/>
              </w:rPr>
              <w:t xml:space="preserve">1.0043</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Taylor et al. 2002 DESCANSO Series; Cassini Mission Final Report 2019, NASA-JPL</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2.602</w:t>
            </w:r>
          </w:p>
        </w:tc>
        <w:tc>
          <w:tcPr>
            <w:tcW w:w="0" w:type="auto"/>
          </w:tcPr>
          <w:p>
            <w:pPr>
              <w:spacing w:line="240" w:lineRule="auto" w:before="0" w:after="0"/>
              <w:pStyle w:val="Compact"/>
            </w:pPr>
            <w:r>
              <w:rPr>
                <w:sz w:val="20"/>
                <w:szCs w:val="20"/>
              </w:rPr>
              <w:t xml:space="preserve">3.7782</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1.2788</w:t>
            </w:r>
          </w:p>
        </w:tc>
        <w:tc>
          <w:tcPr>
            <w:tcW w:w="0" w:type="auto"/>
          </w:tcPr>
          <w:p>
            <w:pPr>
              <w:spacing w:line="240" w:lineRule="auto" w:before="0" w:after="0"/>
              <w:pStyle w:val="Compact"/>
            </w:pPr>
            <w:r>
              <w:rPr>
                <w:sz w:val="20"/>
                <w:szCs w:val="20"/>
              </w:rPr>
              <w:t xml:space="preserve">Taylor et al. 2006 DESCANSO Article 14; MRO mission stats NASA-JPL</w:t>
            </w:r>
          </w:p>
        </w:tc>
      </w:tr>
      <w:tr>
        <w:tc>
          <w:tcPr>
            <w:tcW w:w="0" w:type="auto"/>
          </w:tcPr>
          <w:p>
            <w:pPr>
              <w:spacing w:line="240" w:lineRule="auto" w:before="0" w:after="0"/>
              <w:pStyle w:val="Compact"/>
            </w:pPr>
            <w:r>
              <w:rPr>
                <w:sz w:val="20"/>
                <w:szCs w:val="20"/>
              </w:rPr>
              <w:t xml:space="preserve">Mars_Odyssey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1.176</w:t>
            </w:r>
          </w:p>
        </w:tc>
        <w:tc>
          <w:tcPr>
            <w:tcW w:w="0" w:type="auto"/>
          </w:tcPr>
          <w:p>
            <w:pPr>
              <w:spacing w:line="240" w:lineRule="auto" w:before="0" w:after="0"/>
              <w:pStyle w:val="Compact"/>
            </w:pPr>
            <w:r>
              <w:rPr>
                <w:sz w:val="20"/>
                <w:szCs w:val="20"/>
              </w:rPr>
              <w:t xml:space="preserve">2.4082</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0.1139</w:t>
            </w:r>
          </w:p>
        </w:tc>
        <w:tc>
          <w:tcPr>
            <w:tcW w:w="0" w:type="auto"/>
          </w:tcPr>
          <w:p>
            <w:pPr>
              <w:spacing w:line="240" w:lineRule="auto" w:before="0" w:after="0"/>
              <w:pStyle w:val="Compact"/>
            </w:pPr>
            <w:r>
              <w:rPr>
                <w:sz w:val="20"/>
                <w:szCs w:val="20"/>
              </w:rPr>
              <w:t xml:space="preserve">1.3617</w:t>
            </w:r>
          </w:p>
        </w:tc>
        <w:tc>
          <w:tcPr>
            <w:tcW w:w="0" w:type="auto"/>
          </w:tcPr>
          <w:p>
            <w:pPr>
              <w:spacing w:line="240" w:lineRule="auto" w:before="0" w:after="0"/>
              <w:pStyle w:val="Compact"/>
            </w:pPr>
            <w:r>
              <w:rPr>
                <w:sz w:val="20"/>
                <w:szCs w:val="20"/>
              </w:rPr>
              <w:t xml:space="preserve">Mars Odyssey Telecommunications, NTRS 20030020394; PDS volumes</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2.7404</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1.0414</w:t>
            </w:r>
          </w:p>
        </w:tc>
        <w:tc>
          <w:tcPr>
            <w:tcW w:w="0" w:type="auto"/>
          </w:tcPr>
          <w:p>
            <w:pPr>
              <w:spacing w:line="240" w:lineRule="auto" w:before="0" w:after="0"/>
              <w:pStyle w:val="Compact"/>
            </w:pPr>
            <w:r>
              <w:rPr>
                <w:sz w:val="20"/>
                <w:szCs w:val="20"/>
              </w:rPr>
              <w:t xml:space="preserve">MAVEN Mission Overview, NASA GSFC; PDS Atmospheres node holdings</w:t>
            </w:r>
          </w:p>
        </w:tc>
      </w:tr>
      <w:tr>
        <w:tc>
          <w:tcPr>
            <w:tcW w:w="0" w:type="auto"/>
          </w:tcPr>
          <w:p>
            <w:pPr>
              <w:spacing w:line="240" w:lineRule="auto" w:before="0" w:after="0"/>
              <w:pStyle w:val="Compact"/>
            </w:pPr>
            <w:r>
              <w:rPr>
                <w:sz w:val="20"/>
                <w:szCs w:val="20"/>
              </w:rPr>
              <w:t xml:space="preserve">Mars_Express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2.3579</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1.3222</w:t>
            </w:r>
          </w:p>
        </w:tc>
        <w:tc>
          <w:tcPr>
            <w:tcW w:w="0" w:type="auto"/>
          </w:tcPr>
          <w:p>
            <w:pPr>
              <w:spacing w:line="240" w:lineRule="auto" w:before="0" w:after="0"/>
              <w:pStyle w:val="Compact"/>
            </w:pPr>
            <w:r>
              <w:rPr>
                <w:sz w:val="20"/>
                <w:szCs w:val="20"/>
              </w:rPr>
              <w:t xml:space="preserve">ESA Mars Express Telecommunications, ESA-SP 1291; PDS partner archive</w:t>
            </w:r>
          </w:p>
        </w:tc>
      </w:tr>
      <w:tr>
        <w:tc>
          <w:tcPr>
            <w:tcW w:w="0" w:type="auto"/>
          </w:tcPr>
          <w:p>
            <w:pPr>
              <w:spacing w:line="240" w:lineRule="auto" w:before="0" w:after="0"/>
              <w:pStyle w:val="Compact"/>
            </w:pPr>
            <w:r>
              <w:rPr>
                <w:sz w:val="20"/>
                <w:szCs w:val="20"/>
              </w:rPr>
              <w:t xml:space="preserve">New_Horizons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0.114</w:t>
            </w:r>
          </w:p>
        </w:tc>
        <w:tc>
          <w:tcPr>
            <w:tcW w:w="0" w:type="auto"/>
          </w:tcPr>
          <w:p>
            <w:pPr>
              <w:spacing w:line="240" w:lineRule="auto" w:before="0" w:after="0"/>
              <w:pStyle w:val="Compact"/>
            </w:pPr>
            <w:r>
              <w:rPr>
                <w:sz w:val="20"/>
                <w:szCs w:val="20"/>
              </w:rPr>
              <w:t xml:space="preserve">0.6532</w:t>
            </w:r>
          </w:p>
        </w:tc>
        <w:tc>
          <w:tcPr>
            <w:tcW w:w="0" w:type="auto"/>
          </w:tcPr>
          <w:p>
            <w:pPr>
              <w:spacing w:line="240" w:lineRule="auto" w:before="0" w:after="0"/>
              <w:pStyle w:val="Compact"/>
            </w:pPr>
            <w:r>
              <w:rPr>
                <w:sz w:val="20"/>
                <w:szCs w:val="20"/>
              </w:rPr>
              <w:t xml:space="preserve">1.7243</w:t>
            </w:r>
          </w:p>
        </w:tc>
        <w:tc>
          <w:tcPr>
            <w:tcW w:w="0" w:type="auto"/>
          </w:tcPr>
          <w:p>
            <w:pPr>
              <w:spacing w:line="240" w:lineRule="auto" w:before="0" w:after="0"/>
              <w:pStyle w:val="Compact"/>
            </w:pPr>
            <w:r>
              <w:rPr>
                <w:sz w:val="20"/>
                <w:szCs w:val="20"/>
              </w:rPr>
              <w:t xml:space="preserve">0.3222</w:t>
            </w:r>
          </w:p>
        </w:tc>
        <w:tc>
          <w:tcPr>
            <w:tcW w:w="0" w:type="auto"/>
          </w:tcPr>
          <w:p>
            <w:pPr>
              <w:spacing w:line="240" w:lineRule="auto" w:before="0" w:after="0"/>
              <w:pStyle w:val="Compact"/>
            </w:pPr>
            <w:r>
              <w:rPr>
                <w:sz w:val="20"/>
                <w:szCs w:val="20"/>
              </w:rPr>
              <w:t xml:space="preserve">1.2553</w:t>
            </w:r>
          </w:p>
        </w:tc>
        <w:tc>
          <w:tcPr>
            <w:tcW w:w="0" w:type="auto"/>
          </w:tcPr>
          <w:p>
            <w:pPr>
              <w:spacing w:line="240" w:lineRule="auto" w:before="0" w:after="0"/>
              <w:pStyle w:val="Compact"/>
            </w:pPr>
            <w:r>
              <w:rPr>
                <w:sz w:val="20"/>
                <w:szCs w:val="20"/>
              </w:rPr>
              <w:t xml:space="preserve">Fountain et al. 2008 Space Sci Rev; New Horizons mission status APL</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1.255</w:t>
            </w:r>
          </w:p>
        </w:tc>
        <w:tc>
          <w:tcPr>
            <w:tcW w:w="0" w:type="auto"/>
          </w:tcPr>
          <w:p>
            <w:pPr>
              <w:spacing w:line="240" w:lineRule="auto" w:before="0" w:after="0"/>
              <w:pStyle w:val="Compact"/>
            </w:pPr>
            <w:r>
              <w:rPr>
                <w:sz w:val="20"/>
                <w:szCs w:val="20"/>
              </w:rPr>
              <w:t xml:space="preserve">1.3979</w:t>
            </w:r>
          </w:p>
        </w:tc>
        <w:tc>
          <w:tcPr>
            <w:tcW w:w="0" w:type="auto"/>
          </w:tcPr>
          <w:p>
            <w:pPr>
              <w:spacing w:line="240" w:lineRule="auto" w:before="0" w:after="0"/>
              <w:pStyle w:val="Compact"/>
            </w:pPr>
            <w:r>
              <w:rPr>
                <w:sz w:val="20"/>
                <w:szCs w:val="20"/>
              </w:rPr>
              <w:t xml:space="preserve">0.7924</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1.1139</w:t>
            </w:r>
          </w:p>
        </w:tc>
        <w:tc>
          <w:tcPr>
            <w:tcW w:w="0" w:type="auto"/>
          </w:tcPr>
          <w:p>
            <w:pPr>
              <w:spacing w:line="240" w:lineRule="auto" w:before="0" w:after="0"/>
              <w:pStyle w:val="Compact"/>
            </w:pPr>
            <w:r>
              <w:rPr>
                <w:sz w:val="20"/>
                <w:szCs w:val="20"/>
              </w:rPr>
              <w:t xml:space="preserve">Mukai et al. 2017 Space Sci Rev Juno Telecom; PDS Atmospheres Juno</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3.1761</w:t>
            </w:r>
          </w:p>
        </w:tc>
        <w:tc>
          <w:tcPr>
            <w:tcW w:w="0" w:type="auto"/>
          </w:tcPr>
          <w:p>
            <w:pPr>
              <w:spacing w:line="240" w:lineRule="auto" w:before="0" w:after="0"/>
              <w:pStyle w:val="Compact"/>
            </w:pPr>
            <w:r>
              <w:rPr>
                <w:sz w:val="20"/>
                <w:szCs w:val="20"/>
              </w:rPr>
              <w:t xml:space="preserve">0.5185</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Psyche Mission Overview NASA-JPL 2024; press kit launch year [illustrative early-mission volume]</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914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2.9609</w:t>
            </w:r>
          </w:p>
        </w:tc>
        <w:tc>
          <w:tcPr>
            <w:tcW w:w="0" w:type="auto"/>
          </w:tcPr>
          <w:p>
            <w:pPr>
              <w:spacing w:line="240" w:lineRule="auto" w:before="0" w:after="0"/>
              <w:pStyle w:val="Compact"/>
            </w:pPr>
            <w:r>
              <w:rPr>
                <w:sz w:val="20"/>
                <w:szCs w:val="20"/>
              </w:rPr>
              <w:t xml:space="preserve">0.3802</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0.9031</w:t>
            </w:r>
          </w:p>
        </w:tc>
        <w:tc>
          <w:tcPr>
            <w:tcW w:w="0" w:type="auto"/>
          </w:tcPr>
          <w:p>
            <w:pPr>
              <w:spacing w:line="240" w:lineRule="auto" w:before="0" w:after="0"/>
              <w:pStyle w:val="Compact"/>
            </w:pPr>
            <w:r>
              <w:rPr>
                <w:sz w:val="20"/>
                <w:szCs w:val="20"/>
              </w:rPr>
              <w:t xml:space="preserve">Berry et al. 2013 AIAA Space; OSIRIS-REx mission status NASA GSFC</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0.954</w:t>
            </w:r>
          </w:p>
        </w:tc>
        <w:tc>
          <w:tcPr>
            <w:tcW w:w="0" w:type="auto"/>
          </w:tcPr>
          <w:p>
            <w:pPr>
              <w:spacing w:line="240" w:lineRule="auto" w:before="0" w:after="0"/>
              <w:pStyle w:val="Compact"/>
            </w:pPr>
            <w:r>
              <w:rPr>
                <w:sz w:val="20"/>
                <w:szCs w:val="20"/>
              </w:rPr>
              <w:t xml:space="preserve">2.0934</w:t>
            </w:r>
          </w:p>
        </w:tc>
        <w:tc>
          <w:tcPr>
            <w:tcW w:w="0" w:type="auto"/>
          </w:tcPr>
          <w:p>
            <w:pPr>
              <w:spacing w:line="240" w:lineRule="auto" w:before="0" w:after="0"/>
              <w:pStyle w:val="Compact"/>
            </w:pPr>
            <w:r>
              <w:rPr>
                <w:sz w:val="20"/>
                <w:szCs w:val="20"/>
              </w:rPr>
              <w:t xml:space="preserve">0.6335</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1.0414</w:t>
            </w:r>
          </w:p>
        </w:tc>
        <w:tc>
          <w:tcPr>
            <w:tcW w:w="0" w:type="auto"/>
          </w:tcPr>
          <w:p>
            <w:pPr>
              <w:spacing w:line="240" w:lineRule="auto" w:before="0" w:after="0"/>
              <w:pStyle w:val="Compact"/>
            </w:pPr>
            <w:r>
              <w:rPr>
                <w:sz w:val="20"/>
                <w:szCs w:val="20"/>
              </w:rPr>
              <w:t xml:space="preserve">Russell and Raymond 2011 Space Sci Rev; Dawn end-of-mission report NASA-JPL</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0.602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1.0414</w:t>
            </w:r>
          </w:p>
        </w:tc>
        <w:tc>
          <w:tcPr>
            <w:tcW w:w="0" w:type="auto"/>
          </w:tcPr>
          <w:p>
            <w:pPr>
              <w:spacing w:line="240" w:lineRule="auto" w:before="0" w:after="0"/>
              <w:pStyle w:val="Compact"/>
            </w:pPr>
            <w:r>
              <w:rPr>
                <w:sz w:val="20"/>
                <w:szCs w:val="20"/>
              </w:rPr>
              <w:t xml:space="preserve">Srinivasan et al. 2007 Space Sci Rev MESSENGER; PDS PPI MESSENGER</w:t>
            </w:r>
          </w:p>
        </w:tc>
      </w:tr>
      <w:tr>
        <w:tc>
          <w:tcPr>
            <w:tcW w:w="0" w:type="auto"/>
          </w:tcPr>
          <w:p>
            <w:pPr>
              <w:spacing w:line="240" w:lineRule="auto" w:before="0" w:after="0"/>
              <w:pStyle w:val="Compact"/>
            </w:pPr>
            <w:r>
              <w:rPr>
                <w:sz w:val="20"/>
                <w:szCs w:val="20"/>
              </w:rPr>
              <w:t xml:space="preserve">Hayabusa2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-0.155</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0.3802</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JAXA Hayabusa2 Mission Summary 2020; ISAS publications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0.7709</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Levison et al. 2021 Space Sci Rev Lucy; mission status NASA-GSFC [illustrative cumulative]</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ESA BepiColombo Telecom Subsystem 2019 ESA SP-1294; mission status [illustrative]</w:t>
            </w:r>
          </w:p>
        </w:tc>
      </w:tr>
      <w:tr>
        <w:tc>
          <w:tcPr>
            <w:tcW w:w="0" w:type="auto"/>
          </w:tcPr>
          <w:p>
            <w:pPr>
              <w:spacing w:line="240" w:lineRule="auto" w:before="0" w:after="0"/>
              <w:pStyle w:val="Compact"/>
            </w:pPr>
            <w:r>
              <w:rPr>
                <w:sz w:val="20"/>
                <w:szCs w:val="20"/>
              </w:rPr>
              <w:t xml:space="preserve">Akatsuki</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-0.523</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0.2304</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1.1461</w:t>
            </w:r>
          </w:p>
        </w:tc>
        <w:tc>
          <w:tcPr>
            <w:tcW w:w="0" w:type="auto"/>
          </w:tcPr>
          <w:p>
            <w:pPr>
              <w:spacing w:line="240" w:lineRule="auto" w:before="0" w:after="0"/>
              <w:pStyle w:val="Compact"/>
            </w:pPr>
            <w:r>
              <w:rPr>
                <w:sz w:val="20"/>
                <w:szCs w:val="20"/>
              </w:rPr>
              <w:t xml:space="preserve">JAXA Akatsuki Mission Status 2024; Nakamura et al. 2011 EPS</w:t>
            </w:r>
          </w:p>
        </w:tc>
      </w:tr>
      <w:tr>
        <w:tc>
          <w:tcPr>
            <w:tcW w:w="0" w:type="auto"/>
          </w:tcPr>
          <w:p>
            <w:pPr>
              <w:spacing w:line="240" w:lineRule="auto" w:before="0" w:after="0"/>
              <w:pStyle w:val="Compact"/>
            </w:pPr>
            <w:r>
              <w:rPr>
                <w:sz w:val="20"/>
                <w:szCs w:val="20"/>
              </w:rPr>
              <w:t xml:space="preserve">Mars_Reconnaissance_Subset_ROVER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0.8451</w:t>
            </w:r>
          </w:p>
        </w:tc>
        <w:tc>
          <w:tcPr>
            <w:tcW w:w="0" w:type="auto"/>
          </w:tcPr>
          <w:p>
            <w:pPr>
              <w:spacing w:line="240" w:lineRule="auto" w:before="0" w:after="0"/>
              <w:pStyle w:val="Compact"/>
            </w:pPr>
            <w:r>
              <w:rPr>
                <w:sz w:val="20"/>
                <w:szCs w:val="20"/>
              </w:rPr>
              <w:t xml:space="preserve">InSight Mars Lander Final Report NASA-JPL 2022; PDS Geosciences</w:t>
            </w:r>
          </w:p>
        </w:tc>
      </w:tr>
      <w:tr>
        <w:tc>
          <w:tcPr>
            <w:tcW w:w="0" w:type="auto"/>
          </w:tcPr>
          <w:p>
            <w:pPr>
              <w:spacing w:line="240" w:lineRule="auto" w:before="0" w:after="0"/>
              <w:pStyle w:val="Compact"/>
            </w:pPr>
            <w:r>
              <w:rPr>
                <w:sz w:val="20"/>
                <w:szCs w:val="20"/>
              </w:rPr>
              <w:t xml:space="preserve">Curiosity_via_Relay</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1.602</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1.1139</w:t>
            </w:r>
          </w:p>
        </w:tc>
        <w:tc>
          <w:tcPr>
            <w:tcW w:w="0" w:type="auto"/>
          </w:tcPr>
          <w:p>
            <w:pPr>
              <w:spacing w:line="240" w:lineRule="auto" w:before="0" w:after="0"/>
              <w:pStyle w:val="Compact"/>
            </w:pPr>
            <w:r>
              <w:rPr>
                <w:sz w:val="20"/>
                <w:szCs w:val="20"/>
              </w:rPr>
              <w:t xml:space="preserve">MSL Mission Operations Report 2024 NASA-JPL; PDS Imaging Curiosity</w:t>
            </w:r>
          </w:p>
        </w:tc>
      </w:tr>
      <w:tr>
        <w:tc>
          <w:tcPr>
            <w:tcW w:w="0" w:type="auto"/>
          </w:tcPr>
          <w:p>
            <w:pPr>
              <w:spacing w:line="240" w:lineRule="auto" w:before="0" w:after="0"/>
              <w:pStyle w:val="Compact"/>
            </w:pPr>
            <w:r>
              <w:rPr>
                <w:sz w:val="20"/>
                <w:szCs w:val="20"/>
              </w:rPr>
              <w:t xml:space="preserve">Perseverance_via_Relay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1.176</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Mars 2020 Mission Status NASA-JPL 2024; PDS Mars 2020</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0.477</w:t>
            </w:r>
          </w:p>
        </w:tc>
        <w:tc>
          <w:tcPr>
            <w:tcW w:w="0" w:type="auto"/>
          </w:tcPr>
          <w:p>
            <w:pPr>
              <w:spacing w:line="240" w:lineRule="auto" w:before="0" w:after="0"/>
              <w:pStyle w:val="Compact"/>
            </w:pPr>
            <w:r>
              <w:rPr>
                <w:sz w:val="20"/>
                <w:szCs w:val="20"/>
              </w:rPr>
              <w:t xml:space="preserve">2.7443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Fox et al. 2016 Space Sci Rev Parker Solar Probe; PDS PPI Parker</w:t>
            </w:r>
          </w:p>
        </w:tc>
      </w:tr>
      <w:tr>
        <w:tc>
          <w:tcPr>
            <w:tcW w:w="0" w:type="auto"/>
          </w:tcPr>
          <w:p>
            <w:pPr>
              <w:spacing w:line="240" w:lineRule="auto" w:before="0" w:after="0"/>
              <w:pStyle w:val="Compact"/>
            </w:pPr>
            <w:r>
              <w:rPr>
                <w:sz w:val="20"/>
                <w:szCs w:val="20"/>
              </w:rPr>
              <w:t xml:space="preserve">Solar_Orbiter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2.1761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0.2304</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Mueller et al. 2020 A and A Solar Orbiter; ESA Science Archive</w:t>
            </w:r>
          </w:p>
        </w:tc>
      </w:tr>
      <w:tr>
        <w:tc>
          <w:tcPr>
            <w:tcW w:w="0" w:type="auto"/>
          </w:tcPr>
          <w:p>
            <w:pPr>
              <w:spacing w:line="240" w:lineRule="auto" w:before="0" w:after="0"/>
              <w:pStyle w:val="Compact"/>
            </w:pPr>
            <w:r>
              <w:rPr>
                <w:sz w:val="20"/>
                <w:szCs w:val="20"/>
              </w:rPr>
              <w:t xml:space="preserve">JUICE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large_strategic</w:t>
            </w:r>
          </w:p>
        </w:tc>
        <w:tc>
          <w:tcPr>
            <w:tcW w:w="0" w:type="auto"/>
          </w:tcPr>
          <w:p>
            <w:pPr>
              <w:spacing w:line="240" w:lineRule="auto" w:before="0" w:after="0"/>
              <w:pStyle w:val="Compact"/>
            </w:pPr>
            <w:r>
              <w:rPr>
                <w:sz w:val="20"/>
                <w:szCs w:val="20"/>
              </w:rPr>
              <w:t xml:space="preserve">-0.523</w:t>
            </w:r>
          </w:p>
        </w:tc>
        <w:tc>
          <w:tcPr>
            <w:tcW w:w="0" w:type="auto"/>
          </w:tcPr>
          <w:p>
            <w:pPr>
              <w:spacing w:line="240" w:lineRule="auto" w:before="0" w:after="0"/>
              <w:pStyle w:val="Compact"/>
            </w:pPr>
            <w:r>
              <w:rPr>
                <w:sz w:val="20"/>
                <w:szCs w:val="20"/>
              </w:rPr>
              <w:t xml:space="preserve">3.1461</w:t>
            </w:r>
          </w:p>
        </w:tc>
        <w:tc>
          <w:tcPr>
            <w:tcW w:w="0" w:type="auto"/>
          </w:tcPr>
          <w:p>
            <w:pPr>
              <w:spacing w:line="240" w:lineRule="auto" w:before="0" w:after="0"/>
              <w:pStyle w:val="Compact"/>
            </w:pPr>
            <w:r>
              <w:rPr>
                <w:sz w:val="20"/>
                <w:szCs w:val="20"/>
              </w:rPr>
              <w:t xml:space="preserve">0.7404</w:t>
            </w:r>
          </w:p>
        </w:tc>
        <w:tc>
          <w:tcPr>
            <w:tcW w:w="0" w:type="auto"/>
          </w:tcPr>
          <w:p>
            <w:pPr>
              <w:spacing w:line="240" w:lineRule="auto" w:before="0" w:after="0"/>
              <w:pStyle w:val="Compact"/>
            </w:pPr>
            <w:r>
              <w:rPr>
                <w:sz w:val="20"/>
                <w:szCs w:val="20"/>
              </w:rPr>
              <w:t xml:space="preserve">0.3979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Grasset et al. 2013 PSS JUICE; ESA JUICE mission status [illustrative early]</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3.4771</w:t>
            </w:r>
          </w:p>
        </w:tc>
        <w:tc>
          <w:tcPr>
            <w:tcW w:w="0" w:type="auto"/>
          </w:tcPr>
          <w:p>
            <w:pPr>
              <w:spacing w:line="240" w:lineRule="auto" w:before="0" w:after="0"/>
              <w:pStyle w:val="Compact"/>
            </w:pPr>
            <w:r>
              <w:rPr>
                <w:sz w:val="20"/>
                <w:szCs w:val="20"/>
              </w:rPr>
              <w:t xml:space="preserve">0.7924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-0.5229</w:t>
            </w:r>
          </w:p>
        </w:tc>
        <w:tc>
          <w:tcPr>
            <w:tcW w:w="0" w:type="auto"/>
          </w:tcPr>
          <w:p>
            <w:pPr>
              <w:spacing w:line="240" w:lineRule="auto" w:before="0" w:after="0"/>
              <w:pStyle w:val="Compact"/>
            </w:pPr>
            <w:r>
              <w:rPr>
                <w:sz w:val="20"/>
                <w:szCs w:val="20"/>
              </w:rPr>
              <w:t xml:space="preserve">Europa Clipper Telecom DESCANSO 2024; NASA-JPL mission status [illustrative pre-encounter]</w:t>
            </w:r>
          </w:p>
        </w:tc>
      </w:tr>
      <w:tr>
        <w:tc>
          <w:tcPr>
            <w:tcW w:w="0" w:type="auto"/>
          </w:tcPr>
          <w:p>
            <w:pPr>
              <w:spacing w:line="240" w:lineRule="auto" w:before="0" w:after="0"/>
              <w:pStyle w:val="Compact"/>
            </w:pPr>
            <w:r>
              <w:rPr>
                <w:sz w:val="20"/>
                <w:szCs w:val="20"/>
              </w:rPr>
              <w:t xml:space="preserve">Pioneer_10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-1.523</w:t>
            </w:r>
          </w:p>
        </w:tc>
        <w:tc>
          <w:tcPr>
            <w:tcW w:w="0" w:type="auto"/>
          </w:tcPr>
          <w:p>
            <w:pPr>
              <w:spacing w:line="240" w:lineRule="auto" w:before="0" w:after="0"/>
              <w:pStyle w:val="Compact"/>
            </w:pPr>
            <w:r>
              <w:rPr>
                <w:sz w:val="20"/>
                <w:szCs w:val="20"/>
              </w:rPr>
              <w:t xml:space="preserve">0.0103</w:t>
            </w:r>
          </w:p>
        </w:tc>
        <w:tc>
          <w:tcPr>
            <w:tcW w:w="0" w:type="auto"/>
          </w:tcPr>
          <w:p>
            <w:pPr>
              <w:spacing w:line="240" w:lineRule="auto" w:before="0" w:after="0"/>
              <w:pStyle w:val="Compact"/>
            </w:pPr>
            <w:r>
              <w:rPr>
                <w:sz w:val="20"/>
                <w:szCs w:val="20"/>
              </w:rPr>
              <w:t xml:space="preserve">1.9138</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1.4914</w:t>
            </w:r>
          </w:p>
        </w:tc>
        <w:tc>
          <w:tcPr>
            <w:tcW w:w="0" w:type="auto"/>
          </w:tcPr>
          <w:p>
            <w:pPr>
              <w:spacing w:line="240" w:lineRule="auto" w:before="0" w:after="0"/>
              <w:pStyle w:val="Compact"/>
            </w:pPr>
            <w:r>
              <w:rPr>
                <w:sz w:val="20"/>
                <w:szCs w:val="20"/>
              </w:rPr>
              <w:t xml:space="preserve">Pioneer Project Final Report NASA-Ames 2003; NTRS 20030019926</w:t>
            </w:r>
          </w:p>
        </w:tc>
      </w:tr>
      <w:tr>
        <w:tc>
          <w:tcPr>
            <w:tcW w:w="0" w:type="auto"/>
          </w:tcPr>
          <w:p>
            <w:pPr>
              <w:spacing w:line="240" w:lineRule="auto" w:before="0" w:after="0"/>
              <w:pStyle w:val="Compact"/>
            </w:pPr>
            <w:r>
              <w:rPr>
                <w:sz w:val="20"/>
                <w:szCs w:val="20"/>
              </w:rPr>
              <w:t xml:space="preserve">Pioneer_11</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-1.602</w:t>
            </w:r>
          </w:p>
        </w:tc>
        <w:tc>
          <w:tcPr>
            <w:tcW w:w="0" w:type="auto"/>
          </w:tcPr>
          <w:p>
            <w:pPr>
              <w:spacing w:line="240" w:lineRule="auto" w:before="0" w:after="0"/>
              <w:pStyle w:val="Compact"/>
            </w:pPr>
            <w:r>
              <w:rPr>
                <w:sz w:val="20"/>
                <w:szCs w:val="20"/>
              </w:rPr>
              <w:t xml:space="preserve">0.0103</w:t>
            </w:r>
          </w:p>
        </w:tc>
        <w:tc>
          <w:tcPr>
            <w:tcW w:w="0" w:type="auto"/>
          </w:tcPr>
          <w:p>
            <w:pPr>
              <w:spacing w:line="240" w:lineRule="auto" w:before="0" w:after="0"/>
              <w:pStyle w:val="Compact"/>
            </w:pPr>
            <w:r>
              <w:rPr>
                <w:sz w:val="20"/>
                <w:szCs w:val="20"/>
              </w:rPr>
              <w:t xml:space="preserve">1.6232</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1.3424</w:t>
            </w:r>
          </w:p>
        </w:tc>
        <w:tc>
          <w:tcPr>
            <w:tcW w:w="0" w:type="auto"/>
          </w:tcPr>
          <w:p>
            <w:pPr>
              <w:spacing w:line="240" w:lineRule="auto" w:before="0" w:after="0"/>
              <w:pStyle w:val="Compact"/>
            </w:pPr>
            <w:r>
              <w:rPr>
                <w:sz w:val="20"/>
                <w:szCs w:val="20"/>
              </w:rPr>
              <w:t xml:space="preserve">Pioneer Project Final Report NASA-Ames 2003; NTRS 20030019926</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8.192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0.9134</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0.2175</w:t>
            </w:r>
          </w:p>
        </w:tc>
        <w:tc>
          <w:tcPr>
            <w:tcW w:w="0" w:type="auto"/>
          </w:tcPr>
          <w:p>
            <w:pPr>
              <w:spacing w:line="240" w:lineRule="auto" w:before="0" w:after="0"/>
              <w:pStyle w:val="Compact"/>
            </w:pPr>
            <w:r>
              <w:rPr>
                <w:sz w:val="20"/>
                <w:szCs w:val="20"/>
              </w:rPr>
              <w:t xml:space="preserve">1.2788</w:t>
            </w:r>
          </w:p>
        </w:tc>
        <w:tc>
          <w:tcPr>
            <w:tcW w:w="0" w:type="auto"/>
          </w:tcPr>
          <w:p>
            <w:pPr>
              <w:spacing w:line="240" w:lineRule="auto" w:before="0" w:after="0"/>
              <w:pStyle w:val="Compact"/>
            </w:pPr>
            <w:r>
              <w:rPr>
                <w:sz w:val="20"/>
                <w:szCs w:val="20"/>
              </w:rPr>
              <w:t xml:space="preserve">Wenzel et al. 1992 A and AS Ulysses; ESA Ulysses Archive</w:t>
            </w:r>
          </w:p>
        </w:tc>
      </w:tr>
      <w:tr>
        <w:tc>
          <w:tcPr>
            <w:tcW w:w="0" w:type="auto"/>
          </w:tcPr>
          <w:p>
            <w:pPr>
              <w:spacing w:line="240" w:lineRule="auto" w:before="0" w:after="0"/>
              <w:pStyle w:val="Compact"/>
            </w:pPr>
            <w:r>
              <w:rPr>
                <w:sz w:val="20"/>
                <w:szCs w:val="20"/>
              </w:rPr>
              <w:t xml:space="preserve">Mariner_10</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2.0704</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Dunne and Burgess 1978 NASA SP-424; NTRS 19780013856</w:t>
            </w:r>
          </w:p>
        </w:tc>
      </w:tr>
      <w:tr>
        <w:tc>
          <w:tcPr>
            <w:tcW w:w="0" w:type="auto"/>
          </w:tcPr>
          <w:p>
            <w:pPr>
              <w:spacing w:line="240" w:lineRule="auto" w:before="0" w:after="0"/>
              <w:pStyle w:val="Compact"/>
            </w:pPr>
            <w:r>
              <w:rPr>
                <w:sz w:val="20"/>
                <w:szCs w:val="20"/>
              </w:rPr>
              <w:t xml:space="preserve">Magellan</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268.8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2.4294</w:t>
            </w:r>
          </w:p>
        </w:tc>
        <w:tc>
          <w:tcPr>
            <w:tcW w:w="0" w:type="auto"/>
          </w:tcPr>
          <w:p>
            <w:pPr>
              <w:spacing w:line="240" w:lineRule="auto" w:before="0" w:after="0"/>
              <w:pStyle w:val="Compact"/>
            </w:pPr>
            <w:r>
              <w:rPr>
                <w:sz w:val="20"/>
                <w:szCs w:val="20"/>
              </w:rPr>
              <w:t xml:space="preserve">0.2304</w:t>
            </w:r>
          </w:p>
        </w:tc>
        <w:tc>
          <w:tcPr>
            <w:tcW w:w="0" w:type="auto"/>
          </w:tcPr>
          <w:p>
            <w:pPr>
              <w:spacing w:line="240" w:lineRule="auto" w:before="0" w:after="0"/>
              <w:pStyle w:val="Compact"/>
            </w:pPr>
            <w:r>
              <w:rPr>
                <w:sz w:val="20"/>
                <w:szCs w:val="20"/>
              </w:rPr>
              <w:t xml:space="preserve">0.5682</w:t>
            </w:r>
          </w:p>
        </w:tc>
        <w:tc>
          <w:tcPr>
            <w:tcW w:w="0" w:type="auto"/>
          </w:tcPr>
          <w:p>
            <w:pPr>
              <w:spacing w:line="240" w:lineRule="auto" w:before="0" w:after="0"/>
              <w:pStyle w:val="Compact"/>
            </w:pPr>
            <w:r>
              <w:rPr>
                <w:sz w:val="20"/>
                <w:szCs w:val="20"/>
              </w:rPr>
              <w:t xml:space="preserve">0.699</w:t>
            </w:r>
          </w:p>
        </w:tc>
        <w:tc>
          <w:tcPr>
            <w:tcW w:w="0" w:type="auto"/>
          </w:tcPr>
          <w:p>
            <w:pPr>
              <w:spacing w:line="240" w:lineRule="auto" w:before="0" w:after="0"/>
              <w:pStyle w:val="Compact"/>
            </w:pPr>
            <w:r>
              <w:rPr>
                <w:sz w:val="20"/>
                <w:szCs w:val="20"/>
              </w:rPr>
              <w:t xml:space="preserve">Saunders et al. 1992 JGR Magellan; PDS Geosciences Magellan</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-1.523</w:t>
            </w:r>
          </w:p>
        </w:tc>
        <w:tc>
          <w:tcPr>
            <w:tcW w:w="0" w:type="auto"/>
          </w:tcPr>
          <w:p>
            <w:pPr>
              <w:spacing w:line="240" w:lineRule="auto" w:before="0" w:after="0"/>
              <w:pStyle w:val="Compact"/>
            </w:pPr>
            <w:r>
              <w:rPr>
                <w:sz w:val="20"/>
                <w:szCs w:val="20"/>
              </w:rPr>
              <w:t xml:space="preserve">1.5185</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1.0792</w:t>
            </w:r>
          </w:p>
        </w:tc>
        <w:tc>
          <w:tcPr>
            <w:tcW w:w="0" w:type="auto"/>
          </w:tcPr>
          <w:p>
            <w:pPr>
              <w:spacing w:line="240" w:lineRule="auto" w:before="0" w:after="0"/>
              <w:pStyle w:val="Compact"/>
            </w:pPr>
            <w:r>
              <w:rPr>
                <w:sz w:val="20"/>
                <w:szCs w:val="20"/>
              </w:rPr>
              <w:t xml:space="preserve">Brownlee et al. 2003 JGR Stardust; NASA-JPL Stardust archive</w:t>
            </w:r>
          </w:p>
        </w:tc>
      </w:tr>
      <w:tr>
        <w:tc>
          <w:tcPr>
            <w:tcW w:w="0" w:type="auto"/>
          </w:tcPr>
          <w:p>
            <w:pPr>
              <w:spacing w:line="240" w:lineRule="auto" w:before="0" w:after="0"/>
              <w:pStyle w:val="Compact"/>
            </w:pPr>
            <w:r>
              <w:rPr>
                <w:sz w:val="20"/>
                <w:szCs w:val="20"/>
              </w:rPr>
              <w:t xml:space="preserve">Deep_Impact</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-1.222</w:t>
            </w:r>
          </w:p>
        </w:tc>
        <w:tc>
          <w:tcPr>
            <w:tcW w:w="0" w:type="auto"/>
          </w:tcPr>
          <w:p>
            <w:pPr>
              <w:spacing w:line="240" w:lineRule="auto" w:before="0" w:after="0"/>
              <w:pStyle w:val="Compact"/>
            </w:pPr>
            <w:r>
              <w:rPr>
                <w:sz w:val="20"/>
                <w:szCs w:val="20"/>
              </w:rPr>
              <w:t xml:space="preserve">2.301</w:t>
            </w:r>
          </w:p>
        </w:tc>
        <w:tc>
          <w:tcPr>
            <w:tcW w:w="0" w:type="auto"/>
          </w:tcPr>
          <w:p>
            <w:pPr>
              <w:spacing w:line="240" w:lineRule="auto" w:before="0" w:after="0"/>
              <w:pStyle w:val="Compact"/>
            </w:pPr>
            <w:r>
              <w:rPr>
                <w:sz w:val="20"/>
                <w:szCs w:val="20"/>
              </w:rPr>
              <w:t xml:space="preserve">0.2041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0.9031</w:t>
            </w:r>
          </w:p>
        </w:tc>
        <w:tc>
          <w:tcPr>
            <w:tcW w:w="0" w:type="auto"/>
          </w:tcPr>
          <w:p>
            <w:pPr>
              <w:spacing w:line="240" w:lineRule="auto" w:before="0" w:after="0"/>
              <w:pStyle w:val="Compact"/>
            </w:pPr>
            <w:r>
              <w:rPr>
                <w:sz w:val="20"/>
                <w:szCs w:val="20"/>
              </w:rPr>
              <w:t xml:space="preserve">AHearn et al. 2005 Science Deep Impact; PDS Small Bodies</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-2.301</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0.1761</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Burnett et al. 2003 Space Sci Rev Genesis; PDS Atmospheres Genesis</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2.1072</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Smith et al. 2009 JGR Phoenix; PDS Atmospheres Phoenix</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medium</w:t>
            </w:r>
          </w:p>
        </w:tc>
        <w:tc>
          <w:tcPr>
            <w:tcW w:w="0" w:type="auto"/>
          </w:tcPr>
          <w:p>
            <w:pPr>
              <w:spacing w:line="240" w:lineRule="auto" w:before="0" w:after="0"/>
              <w:pStyle w:val="Compact"/>
            </w:pPr>
            <w:r>
              <w:rPr>
                <w:sz w:val="20"/>
                <w:szCs w:val="20"/>
              </w:rPr>
              <w:t xml:space="preserve">-0.155</w:t>
            </w:r>
          </w:p>
        </w:tc>
        <w:tc>
          <w:tcPr>
            <w:tcW w:w="0" w:type="auto"/>
          </w:tcPr>
          <w:p>
            <w:pPr>
              <w:spacing w:line="240" w:lineRule="auto" w:before="0" w:after="0"/>
              <w:pStyle w:val="Compact"/>
            </w:pPr>
            <w:r>
              <w:rPr>
                <w:sz w:val="20"/>
                <w:szCs w:val="20"/>
              </w:rPr>
              <w:t xml:space="preserve">3.301</w:t>
            </w:r>
          </w:p>
        </w:tc>
        <w:tc>
          <w:tcPr>
            <w:tcW w:w="0" w:type="auto"/>
          </w:tcPr>
          <w:p>
            <w:pPr>
              <w:spacing w:line="240" w:lineRule="auto" w:before="0" w:after="0"/>
              <w:pStyle w:val="Compact"/>
            </w:pPr>
            <w:r>
              <w:rPr>
                <w:sz w:val="20"/>
                <w:szCs w:val="20"/>
              </w:rPr>
              <w:t xml:space="preserve">0.4314</w:t>
            </w:r>
          </w:p>
        </w:tc>
        <w:tc>
          <w:tcPr>
            <w:tcW w:w="0" w:type="auto"/>
          </w:tcPr>
          <w:p>
            <w:pPr>
              <w:spacing w:line="240" w:lineRule="auto" w:before="0" w:after="0"/>
              <w:pStyle w:val="Compact"/>
            </w:pPr>
            <w:r>
              <w:rPr>
                <w:sz w:val="20"/>
                <w:szCs w:val="20"/>
              </w:rPr>
              <w:t xml:space="preserve">0.4771</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Banerdt et al. 2020 Nature Geosci InSight; PDS Geosciences InSight</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1.5051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Cheng et al. 2023 Nature DART; APL DART mission archive</w:t>
            </w:r>
          </w:p>
        </w:tc>
      </w:tr>
    </w:tbl>
    <w:bookmarkEnd w:id="183"/>
    <w:bookmarkStart w:id="18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log_data_volume_TB</w:t>
            </w:r>
          </w:p>
        </w:tc>
        <w:tc>
          <w:tcPr>
            <w:tcW w:w="0" w:type="auto"/>
          </w:tcPr>
          <w:p>
            <w:pPr>
              <w:spacing w:line="240" w:lineRule="auto" w:before="0" w:after="0"/>
              <w:pStyle w:val="Compact"/>
            </w:pPr>
            <w:r>
              <w:rPr>
                <w:sz w:val="20"/>
                <w:szCs w:val="20"/>
              </w:rPr>
              <w:t xml:space="preserve">Base-10 logarithm of cumulative archived science data volume in terabytes for mission i over its operational life through 2024</w:t>
            </w:r>
          </w:p>
        </w:tc>
        <w:tc>
          <w:tcPr>
            <w:tcW w:w="0" w:type="auto"/>
          </w:tcPr>
          <w:p>
            <w:pPr>
              <w:spacing w:line="240" w:lineRule="auto" w:before="0" w:after="0"/>
              <w:pStyle w:val="Compact"/>
            </w:pPr>
            <w:r>
              <w:rPr>
                <w:sz w:val="20"/>
                <w:szCs w:val="20"/>
              </w:rPr>
              <w:t xml:space="preserve">Computed from Planetary Data System per-mission archive holdings (pds.nasa.gov) and mission final reports; illustrative for very-early-mission cases marked in source column</w:t>
            </w:r>
          </w:p>
        </w:tc>
      </w:tr>
      <w:tr>
        <w:tc>
          <w:tcPr>
            <w:tcW w:w="0" w:type="auto"/>
          </w:tcPr>
          <w:p>
            <w:pPr>
              <w:spacing w:line="240" w:lineRule="auto" w:before="0" w:after="0"/>
              <w:pStyle w:val="Compact"/>
            </w:pPr>
            <w:r>
              <w:rPr>
                <w:sz w:val="20"/>
                <w:szCs w:val="20"/>
              </w:rPr>
              <w:t xml:space="preserve">log10_downlink_kbps</w:t>
            </w:r>
          </w:p>
        </w:tc>
        <w:tc>
          <w:tcPr>
            <w:tcW w:w="0" w:type="auto"/>
          </w:tcPr>
          <w:p>
            <w:pPr>
              <w:spacing w:line="240" w:lineRule="auto" w:before="0" w:after="0"/>
              <w:pStyle w:val="Compact"/>
            </w:pPr>
            <w:r>
              <w:rPr>
                <w:sz w:val="20"/>
                <w:szCs w:val="20"/>
              </w:rPr>
              <w:t xml:space="preserve">Base-10 logarithm of peak spacecraft-to-Earth downlink rate in kilobits per second under nominal Ka-band or X-band operations</w:t>
            </w:r>
          </w:p>
        </w:tc>
        <w:tc>
          <w:tcPr>
            <w:tcW w:w="0" w:type="auto"/>
          </w:tcPr>
          <w:p>
            <w:pPr>
              <w:spacing w:line="240" w:lineRule="auto" w:before="0" w:after="0"/>
              <w:pStyle w:val="Compact"/>
            </w:pPr>
            <w:r>
              <w:rPr>
                <w:sz w:val="20"/>
                <w:szCs w:val="20"/>
              </w:rPr>
              <w:t xml:space="preserve">Mission telecommunications subsystem papers in DESCANSO monograph series and NTRS technical reports</w:t>
            </w:r>
          </w:p>
        </w:tc>
      </w:tr>
      <w:tr>
        <w:tc>
          <w:tcPr>
            <w:tcW w:w="0" w:type="auto"/>
          </w:tcPr>
          <w:p>
            <w:pPr>
              <w:spacing w:line="240" w:lineRule="auto" w:before="0" w:after="0"/>
              <w:pStyle w:val="Compact"/>
            </w:pPr>
            <w:r>
              <w:rPr>
                <w:sz w:val="20"/>
                <w:szCs w:val="20"/>
              </w:rPr>
              <w:t xml:space="preserve">log10_slant_AU</w:t>
            </w:r>
          </w:p>
        </w:tc>
        <w:tc>
          <w:tcPr>
            <w:tcW w:w="0" w:type="auto"/>
          </w:tcPr>
          <w:p>
            <w:pPr>
              <w:spacing w:line="240" w:lineRule="auto" w:before="0" w:after="0"/>
              <w:pStyle w:val="Compact"/>
            </w:pPr>
            <w:r>
              <w:rPr>
                <w:sz w:val="20"/>
                <w:szCs w:val="20"/>
              </w:rPr>
              <w:t xml:space="preserve">Base-10 logarithm of the maximum operational slant range from Earth in astronomical units</w:t>
            </w:r>
          </w:p>
        </w:tc>
        <w:tc>
          <w:tcPr>
            <w:tcW w:w="0" w:type="auto"/>
          </w:tcPr>
          <w:p>
            <w:pPr>
              <w:spacing w:line="240" w:lineRule="auto" w:before="0" w:after="0"/>
              <w:pStyle w:val="Compact"/>
            </w:pPr>
            <w:r>
              <w:rPr>
                <w:sz w:val="20"/>
                <w:szCs w:val="20"/>
              </w:rPr>
              <w:t xml:space="preserve">JPL Horizons ephemeris (ssd.jpl.nasa.gov/horizons) maximum range over the documented operational interval</w:t>
            </w:r>
          </w:p>
        </w:tc>
      </w:tr>
      <w:tr>
        <w:tc>
          <w:tcPr>
            <w:tcW w:w="0" w:type="auto"/>
          </w:tcPr>
          <w:p>
            <w:pPr>
              <w:spacing w:line="240" w:lineRule="auto" w:before="0" w:after="0"/>
              <w:pStyle w:val="Compact"/>
            </w:pPr>
            <w:r>
              <w:rPr>
                <w:sz w:val="20"/>
                <w:szCs w:val="20"/>
              </w:rPr>
              <w:t xml:space="preserve">log10_antenna_m</w:t>
            </w:r>
          </w:p>
        </w:tc>
        <w:tc>
          <w:tcPr>
            <w:tcW w:w="0" w:type="auto"/>
          </w:tcPr>
          <w:p>
            <w:pPr>
              <w:spacing w:line="240" w:lineRule="auto" w:before="0" w:after="0"/>
              <w:pStyle w:val="Compact"/>
            </w:pPr>
            <w:r>
              <w:rPr>
                <w:sz w:val="20"/>
                <w:szCs w:val="20"/>
              </w:rPr>
              <w:t xml:space="preserve">Base-10 logarithm of effective spacecraft high-gain-antenna aperture diameter in meters, or relay-orbiter aperture when downlink is relay-mediated</w:t>
            </w:r>
          </w:p>
        </w:tc>
        <w:tc>
          <w:tcPr>
            <w:tcW w:w="0" w:type="auto"/>
          </w:tcPr>
          <w:p>
            <w:pPr>
              <w:spacing w:line="240" w:lineRule="auto" w:before="0" w:after="0"/>
              <w:pStyle w:val="Compact"/>
            </w:pPr>
            <w:r>
              <w:rPr>
                <w:sz w:val="20"/>
                <w:szCs w:val="20"/>
              </w:rPr>
              <w:t xml:space="preserve">Spacecraft telecommunications documentation in DESCANSO monograph series; ESA mission summaries; JAXA mission summaries</w:t>
            </w:r>
          </w:p>
        </w:tc>
      </w:tr>
      <w:tr>
        <w:tc>
          <w:tcPr>
            <w:tcW w:w="0" w:type="auto"/>
          </w:tcPr>
          <w:p>
            <w:pPr>
              <w:spacing w:line="240" w:lineRule="auto" w:before="0" w:after="0"/>
              <w:pStyle w:val="Compact"/>
            </w:pPr>
            <w:r>
              <w:rPr>
                <w:sz w:val="20"/>
                <w:szCs w:val="20"/>
              </w:rPr>
              <w:t xml:space="preserve">log10_op_years</w:t>
            </w:r>
          </w:p>
        </w:tc>
        <w:tc>
          <w:tcPr>
            <w:tcW w:w="0" w:type="auto"/>
          </w:tcPr>
          <w:p>
            <w:pPr>
              <w:spacing w:line="240" w:lineRule="auto" w:before="0" w:after="0"/>
              <w:pStyle w:val="Compact"/>
            </w:pPr>
            <w:r>
              <w:rPr>
                <w:sz w:val="20"/>
                <w:szCs w:val="20"/>
              </w:rPr>
              <w:t xml:space="preserve">Base-10 logarithm of operational years on station through 2024 (floored at 0.3 for very-early missions)</w:t>
            </w:r>
          </w:p>
        </w:tc>
        <w:tc>
          <w:tcPr>
            <w:tcW w:w="0" w:type="auto"/>
          </w:tcPr>
          <w:p>
            <w:pPr>
              <w:spacing w:line="240" w:lineRule="auto" w:before="0" w:after="0"/>
              <w:pStyle w:val="Compact"/>
            </w:pPr>
            <w:r>
              <w:rPr>
                <w:sz w:val="20"/>
                <w:szCs w:val="20"/>
              </w:rPr>
              <w:t xml:space="preserve">Mission status pages at NASA-JPL, ESA, JAXA, and APL as cited per row</w:t>
            </w:r>
          </w:p>
        </w:tc>
      </w:tr>
    </w:tbl>
    <w:bookmarkEnd w:id="184"/>
    <w:bookmarkEnd w:id="185"/>
    <w:bookmarkStart w:id="193" w:name="X44d6b0da57b694bf8cb7d3e11f5ba144f43f348"/>
    <w:p>
      <w:pPr>
        <w:pStyle w:val="Heading2"/>
        <w:spacing w:line="480" w:lineRule="auto"/>
      </w:pPr>
      <w:r>
        <w:t xml:space="preserve">A.2 Wright’s Law in the Deep Space Channel: A Learning-Curve Estimate of Peak Downlink-Rate Elasticity Across Six Decades of NASA Interplanetary Missions</w:t>
      </w:r>
    </w:p>
    <w:p>
      <w:pPr>
        <w:pStyle w:val="FirstParagraph"/>
        <w:spacing w:line="480" w:lineRule="auto"/>
      </w:pPr>
      <m:oMathPara>
        <m:oMathParaPr>
          <m:jc m:val="center"/>
        </m:oMathParaPr>
        <m:oMath>
          <m:r>
            <m:rPr>
              <m:sty m:val="p"/>
            </m:rPr>
            <m:t>ln</m:t>
          </m:r>
          <m:r>
            <m:rPr>
              <m:sty m:val="p"/>
            </m:rPr>
            <m:t>(</m:t>
          </m:r>
          <m:sSub>
            <m:e>
              <m:r>
                <m:rPr>
                  <m:sty m:val="p"/>
                </m:rPr>
                <m:t>p</m:t>
              </m:r>
              <m:r>
                <m:rPr>
                  <m:sty m:val="p"/>
                </m:rPr>
                <m:t>e</m:t>
              </m:r>
              <m:r>
                <m:rPr>
                  <m:sty m:val="p"/>
                </m:rPr>
                <m:t>a</m:t>
              </m:r>
              <m:r>
                <m:rPr>
                  <m:sty m:val="p"/>
                </m:rPr>
                <m:t>k</m:t>
              </m:r>
              <m:r>
                <m:rPr>
                  <m:sty m:val="p"/>
                </m:rPr>
                <m:t>_</m:t>
              </m:r>
              <m:r>
                <m:rPr>
                  <m:sty m:val="p"/>
                </m:rPr>
                <m:t>d</m:t>
              </m:r>
              <m:r>
                <m:rPr>
                  <m:sty m:val="p"/>
                </m:rPr>
                <m:t>o</m:t>
              </m:r>
              <m:r>
                <m:rPr>
                  <m:sty m:val="p"/>
                </m:rPr>
                <m:t>w</m:t>
              </m:r>
              <m:r>
                <m:rPr>
                  <m:sty m:val="p"/>
                </m:rPr>
                <m:t>n</m:t>
              </m:r>
              <m:r>
                <m:rPr>
                  <m:sty m:val="p"/>
                </m:rPr>
                <m:t>l</m:t>
              </m:r>
              <m:r>
                <m:rPr>
                  <m:sty m:val="p"/>
                </m:rPr>
                <m:t>i</m:t>
              </m:r>
              <m:r>
                <m:rPr>
                  <m:sty m:val="p"/>
                </m:rPr>
                <m:t>n</m:t>
              </m:r>
              <m:r>
                <m:rPr>
                  <m:sty m:val="p"/>
                </m:rPr>
                <m:t>k</m:t>
              </m:r>
              <m:r>
                <m:rPr>
                  <m:sty m:val="p"/>
                </m:rPr>
                <m:t>_</m:t>
              </m:r>
              <m:r>
                <m:rPr>
                  <m:sty m:val="p"/>
                </m:rPr>
                <m:t>b</m:t>
              </m:r>
              <m:r>
                <m:rPr>
                  <m:sty m:val="p"/>
                </m:rPr>
                <m:t>p</m:t>
              </m:r>
              <m:r>
                <m:rPr>
                  <m:sty m:val="p"/>
                </m:rPr>
                <m:t>s</m:t>
              </m:r>
            </m:e>
            <m:sub>
              <m:r>
                <m:t>i</m:t>
              </m:r>
            </m:sub>
          </m:sSub>
          <m:r>
            <m:rPr>
              <m:sty m:val="p"/>
            </m:rPr>
            <m:t>)</m:t>
          </m:r>
          <m:r>
            <m:rPr>
              <m:sty m:val="p"/>
            </m:rPr>
            <m:t>=</m:t>
          </m:r>
          <m:r>
            <m:t>α</m:t>
          </m:r>
          <m:r>
            <m:rPr>
              <m:sty m:val="p"/>
            </m:rPr>
            <m:t>+</m:t>
          </m:r>
          <m:r>
            <m:t>β</m:t>
          </m:r>
          <m:r>
            <m:t> </m:t>
          </m:r>
          <m:r>
            <m:rPr>
              <m:sty m:val="p"/>
            </m:rPr>
            <m:t>ln</m:t>
          </m:r>
          <m:r>
            <m:rPr>
              <m:sty m:val="p"/>
            </m:rPr>
            <m:t>(</m:t>
          </m:r>
          <m:sSub>
            <m:e>
              <m:r>
                <m:rPr>
                  <m:sty m:val="p"/>
                </m:rPr>
                <m:t>c</m:t>
              </m:r>
              <m:r>
                <m:rPr>
                  <m:sty m:val="p"/>
                </m:rPr>
                <m:t>u</m:t>
              </m:r>
              <m:r>
                <m:rPr>
                  <m:sty m:val="p"/>
                </m:rPr>
                <m:t>m</m:t>
              </m:r>
              <m:r>
                <m:rPr>
                  <m:sty m:val="p"/>
                </m:rPr>
                <m:t>u</m:t>
              </m:r>
              <m:r>
                <m:rPr>
                  <m:sty m:val="p"/>
                </m:rPr>
                <m:t>l</m:t>
              </m:r>
              <m:r>
                <m:rPr>
                  <m:sty m:val="p"/>
                </m:rPr>
                <m:t>a</m:t>
              </m:r>
              <m:r>
                <m:rPr>
                  <m:sty m:val="p"/>
                </m:rPr>
                <m:t>t</m:t>
              </m:r>
              <m:r>
                <m:rPr>
                  <m:sty m:val="p"/>
                </m:rPr>
                <m:t>i</m:t>
              </m:r>
              <m:r>
                <m:rPr>
                  <m:sty m:val="p"/>
                </m:rPr>
                <m:t>v</m:t>
              </m:r>
              <m:r>
                <m:rPr>
                  <m:sty m:val="p"/>
                </m:rPr>
                <m:t>e</m:t>
              </m:r>
              <m:r>
                <m:rPr>
                  <m:sty m:val="p"/>
                </m:rPr>
                <m:t>_</m:t>
              </m:r>
              <m:r>
                <m:rPr>
                  <m:sty m:val="p"/>
                </m:rPr>
                <m:t>d</m:t>
              </m:r>
              <m:r>
                <m:rPr>
                  <m:sty m:val="p"/>
                </m:rPr>
                <m:t>s</m:t>
              </m:r>
              <m:r>
                <m:rPr>
                  <m:sty m:val="p"/>
                </m:rPr>
                <m:t>n</m:t>
              </m:r>
              <m:r>
                <m:rPr>
                  <m:sty m:val="p"/>
                </m:rPr>
                <m:t>_</m:t>
              </m:r>
              <m:r>
                <m:rPr>
                  <m:sty m:val="p"/>
                </m:rPr>
                <m:t>m</m:t>
              </m:r>
              <m:r>
                <m:rPr>
                  <m:sty m:val="p"/>
                </m:rPr>
                <m:t>i</m:t>
              </m:r>
              <m:r>
                <m:rPr>
                  <m:sty m:val="p"/>
                </m:rPr>
                <m:t>s</m:t>
              </m:r>
              <m:r>
                <m:rPr>
                  <m:sty m:val="p"/>
                </m:rPr>
                <m:t>s</m:t>
              </m:r>
              <m:r>
                <m:rPr>
                  <m:sty m:val="p"/>
                </m:rPr>
                <m:t>i</m:t>
              </m:r>
              <m:r>
                <m:rPr>
                  <m:sty m:val="p"/>
                </m:rPr>
                <m:t>o</m:t>
              </m:r>
              <m:r>
                <m:rPr>
                  <m:sty m:val="p"/>
                </m:rPr>
                <m:t>n</m:t>
              </m:r>
              <m:r>
                <m:rPr>
                  <m:sty m:val="p"/>
                </m:rPr>
                <m:t>s</m:t>
              </m:r>
            </m:e>
            <m:sub>
              <m:r>
                <m:t>i</m:t>
              </m:r>
            </m:sub>
          </m:sSub>
          <m:r>
            <m:rPr>
              <m:sty m:val="p"/>
            </m:rPr>
            <m:t>)</m:t>
          </m:r>
          <m:r>
            <m:rPr>
              <m:sty m:val="p"/>
            </m:rPr>
            <m:t>+</m:t>
          </m:r>
          <m:sSub>
            <m:e>
              <m:r>
                <m:t>ε</m:t>
              </m:r>
            </m:e>
            <m:sub>
              <m:r>
                <m:t>i</m:t>
              </m:r>
            </m:sub>
          </m:sSub>
        </m:oMath>
      </m:oMathPara>
    </w:p>
    <w:bookmarkStart w:id="18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4.1945</w:t>
            </w:r>
          </w:p>
        </w:tc>
        <w:tc>
          <w:tcPr>
            <w:tcW w:w="0" w:type="auto"/>
          </w:tcPr>
          <w:p>
            <w:pPr>
              <w:spacing w:line="240" w:lineRule="auto" w:before="0" w:after="0"/>
              <w:pStyle w:val="Compact"/>
            </w:pPr>
            <w:r>
              <w:rPr>
                <w:sz w:val="20"/>
                <w:szCs w:val="20"/>
              </w:rPr>
              <w:t xml:space="preserve">0.8752</w:t>
            </w:r>
          </w:p>
        </w:tc>
        <w:tc>
          <w:tcPr>
            <w:tcW w:w="0" w:type="auto"/>
          </w:tcPr>
          <w:p>
            <w:pPr>
              <w:spacing w:line="240" w:lineRule="auto" w:before="0" w:after="0"/>
              <w:pStyle w:val="Compact"/>
            </w:pPr>
            <w:r>
              <w:rPr>
                <w:sz w:val="20"/>
                <w:szCs w:val="20"/>
              </w:rPr>
              <w:t xml:space="preserve">4.7927</w:t>
            </w:r>
          </w:p>
        </w:tc>
        <w:tc>
          <w:tcPr>
            <w:tcW w:w="0" w:type="auto"/>
          </w:tcPr>
          <w:p>
            <w:pPr>
              <w:spacing w:line="240" w:lineRule="auto" w:before="0" w:after="0"/>
              <w:pStyle w:val="Compact"/>
            </w:pPr>
            <w:r>
              <w:rPr>
                <w:sz w:val="20"/>
                <w:szCs w:val="20"/>
              </w:rPr>
              <w:t xml:space="preserve">1.645e-06</w:t>
            </w:r>
          </w:p>
        </w:tc>
        <w:tc>
          <w:tcPr>
            <w:tcW w:w="0" w:type="auto"/>
          </w:tcPr>
          <w:p>
            <w:pPr>
              <w:spacing w:line="240" w:lineRule="auto" w:before="0" w:after="0"/>
              <w:pStyle w:val="Compact"/>
            </w:pPr>
            <w:r>
              <w:rPr>
                <w:sz w:val="20"/>
                <w:szCs w:val="20"/>
              </w:rPr>
              <w:t xml:space="preserve">[2.4792, 5.9098]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2.2247</w:t>
            </w:r>
          </w:p>
        </w:tc>
        <w:tc>
          <w:tcPr>
            <w:tcW w:w="0" w:type="auto"/>
          </w:tcPr>
          <w:p>
            <w:pPr>
              <w:spacing w:line="240" w:lineRule="auto" w:before="0" w:after="0"/>
              <w:pStyle w:val="Compact"/>
            </w:pPr>
            <w:r>
              <w:rPr>
                <w:sz w:val="20"/>
                <w:szCs w:val="20"/>
              </w:rPr>
              <w:t xml:space="preserve">0.2503</w:t>
            </w:r>
          </w:p>
        </w:tc>
        <w:tc>
          <w:tcPr>
            <w:tcW w:w="0" w:type="auto"/>
          </w:tcPr>
          <w:p>
            <w:pPr>
              <w:spacing w:line="240" w:lineRule="auto" w:before="0" w:after="0"/>
              <w:pStyle w:val="Compact"/>
            </w:pPr>
            <w:r>
              <w:rPr>
                <w:sz w:val="20"/>
                <w:szCs w:val="20"/>
              </w:rPr>
              <w:t xml:space="preserve">8.8882</w:t>
            </w:r>
          </w:p>
        </w:tc>
        <w:tc>
          <w:tcPr>
            <w:tcW w:w="0" w:type="auto"/>
          </w:tcPr>
          <w:p>
            <w:pPr>
              <w:spacing w:line="240" w:lineRule="auto" w:before="0" w:after="0"/>
              <w:pStyle w:val="Compact"/>
            </w:pPr>
            <w:r>
              <w:rPr>
                <w:sz w:val="20"/>
                <w:szCs w:val="20"/>
              </w:rPr>
              <w:t xml:space="preserve">6.209e-19</w:t>
            </w:r>
          </w:p>
        </w:tc>
        <w:tc>
          <w:tcPr>
            <w:tcW w:w="0" w:type="auto"/>
          </w:tcPr>
          <w:p>
            <w:pPr>
              <w:spacing w:line="240" w:lineRule="auto" w:before="0" w:after="0"/>
              <w:pStyle w:val="Compact"/>
            </w:pPr>
            <w:r>
              <w:rPr>
                <w:sz w:val="20"/>
                <w:szCs w:val="20"/>
              </w:rPr>
              <w:t xml:space="preserve">[1.7341, 2.7152]</w:t>
            </w:r>
          </w:p>
        </w:tc>
      </w:tr>
    </w:tbl>
    <w:p>
      <w:pPr>
        <w:pStyle w:val="BodyText"/>
        <w:spacing w:line="480" w:lineRule="auto"/>
        <w:ind w:firstLine="720"/>
      </w:pPr>
      <w:r>
        <w:t xml:space="preserve">Fit: N = 30 R2 = 0.48 elasticity_b = 2.2247 progress_ratio_2^b = 4.674</w:t>
      </w:r>
    </w:p>
    <w:bookmarkEnd w:id="186"/>
    <w:bookmarkStart w:id="19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Wright’s-law learning curve for NASA deep-space downlink. Each point is a single interplanetary mission, ordered by launch year and indexed by the cumulative count of DSN-served spacecraft at the time of its launch. The fitted line is the log-log OLS specification; the slope is the elasticity beta and the implied progress ratio is 2^beta." title="" id="188" name="Picture"/>
            <a:graphic>
              <a:graphicData uri="http://schemas.openxmlformats.org/drawingml/2006/picture">
                <pic:pic>
                  <pic:nvPicPr>
                    <pic:cNvPr descr="D:/Claude_Code/brain/collegium/candidates/dissertations/JPL_PLANETARY_08/research_papers/p2/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Wright’s-law learning curve for NASA deep-space downlink. Each point is a single interplanetary mission, ordered by launch year and indexed by the cumulative count of DSN-served spacecraft at the time of its launch. The fitted line is the log-log OLS specification; the slope is the elasticity beta and the implied progress ratio is 2^beta.</w:t>
      </w:r>
    </w:p>
    <w:bookmarkEnd w:id="190"/>
    <w:bookmarkStart w:id="19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cumulative_dsn_missions</w:t>
            </w:r>
          </w:p>
        </w:tc>
        <w:tc>
          <w:tcPr>
            <w:tcW w:w="0" w:type="auto"/>
          </w:tcPr>
          <w:p>
            <w:pPr>
              <w:spacing w:line="240" w:lineRule="auto" w:before="0" w:after="0"/>
              <w:pStyle w:val="Compact"/>
            </w:pPr>
            <w:r>
              <w:rPr>
                <w:sz w:val="20"/>
                <w:szCs w:val="20"/>
              </w:rPr>
              <w:t xml:space="preserve">peak_downlink_bps</w:t>
            </w:r>
          </w:p>
        </w:tc>
        <w:tc>
          <w:tcPr>
            <w:tcW w:w="0" w:type="auto"/>
          </w:tcPr>
          <w:p>
            <w:pPr>
              <w:spacing w:line="240" w:lineRule="auto" w:before="0" w:after="0"/>
              <w:pStyle w:val="Compact"/>
            </w:pPr>
            <w:r>
              <w:rPr>
                <w:sz w:val="20"/>
                <w:szCs w:val="20"/>
              </w:rPr>
              <w:t xml:space="preserve">distance_au</w:t>
            </w:r>
          </w:p>
        </w:tc>
        <w:tc>
          <w:tcPr>
            <w:tcW w:w="0" w:type="auto"/>
          </w:tcPr>
          <w:p>
            <w:pPr>
              <w:spacing w:line="240" w:lineRule="auto" w:before="0" w:after="0"/>
              <w:pStyle w:val="Compact"/>
            </w:pPr>
            <w:r>
              <w:rPr>
                <w:sz w:val="20"/>
                <w:szCs w:val="20"/>
              </w:rPr>
              <w:t xml:space="preserve">antenna_band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Mariner_4</w:t>
            </w:r>
          </w:p>
        </w:tc>
        <w:tc>
          <w:tcPr>
            <w:tcW w:w="0" w:type="auto"/>
          </w:tcPr>
          <w:p>
            <w:pPr>
              <w:spacing w:line="240" w:lineRule="auto" w:before="0" w:after="0"/>
              <w:pStyle w:val="Compact"/>
            </w:pPr>
            <w:r>
              <w:rPr>
                <w:sz w:val="20"/>
                <w:szCs w:val="20"/>
              </w:rPr>
              <w:t xml:space="preserve">1964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w:t>
            </w:r>
          </w:p>
        </w:tc>
        <w:tc>
          <w:tcPr>
            <w:tcW w:w="0" w:type="auto"/>
          </w:tcPr>
          <w:p>
            <w:pPr>
              <w:spacing w:line="240" w:lineRule="auto" w:before="0" w:after="0"/>
              <w:pStyle w:val="Compact"/>
            </w:pPr>
            <w:r>
              <w:rPr>
                <w:sz w:val="20"/>
                <w:szCs w:val="20"/>
              </w:rPr>
              <w:t xml:space="preserve">Renzetti 1971 JPL TM 33-450 DSN history; NASA SP-2005-4524 Deep Space Chronicle p.43</w:t>
            </w:r>
          </w:p>
        </w:tc>
      </w:tr>
      <w:tr>
        <w:tc>
          <w:tcPr>
            <w:tcW w:w="0" w:type="auto"/>
          </w:tcPr>
          <w:p>
            <w:pPr>
              <w:spacing w:line="240" w:lineRule="auto" w:before="0" w:after="0"/>
              <w:pStyle w:val="Compact"/>
            </w:pPr>
            <w:r>
              <w:rPr>
                <w:sz w:val="20"/>
                <w:szCs w:val="20"/>
              </w:rPr>
              <w:t xml:space="preserve">Pioneer_10</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S</w:t>
            </w:r>
          </w:p>
        </w:tc>
        <w:tc>
          <w:tcPr>
            <w:tcW w:w="0" w:type="auto"/>
          </w:tcPr>
          <w:p>
            <w:pPr>
              <w:spacing w:line="240" w:lineRule="auto" w:before="0" w:after="0"/>
              <w:pStyle w:val="Compact"/>
            </w:pPr>
            <w:r>
              <w:rPr>
                <w:sz w:val="20"/>
                <w:szCs w:val="20"/>
              </w:rPr>
              <w:t xml:space="preserve">NASA SP-446 Pioneer Odyssey ch.5; Wolverton 2004 Depths of Space p.118</w:t>
            </w:r>
          </w:p>
        </w:tc>
      </w:tr>
      <w:tr>
        <w:tc>
          <w:tcPr>
            <w:tcW w:w="0" w:type="auto"/>
          </w:tcPr>
          <w:p>
            <w:pPr>
              <w:spacing w:line="240" w:lineRule="auto" w:before="0" w:after="0"/>
              <w:pStyle w:val="Compact"/>
            </w:pPr>
            <w:r>
              <w:rPr>
                <w:sz w:val="20"/>
                <w:szCs w:val="20"/>
              </w:rPr>
              <w:t xml:space="preserve">Viking_1_Orbiter</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16000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S</w:t>
            </w:r>
          </w:p>
        </w:tc>
        <w:tc>
          <w:tcPr>
            <w:tcW w:w="0" w:type="auto"/>
          </w:tcPr>
          <w:p>
            <w:pPr>
              <w:spacing w:line="240" w:lineRule="auto" w:before="0" w:after="0"/>
              <w:pStyle w:val="Compact"/>
            </w:pPr>
            <w:r>
              <w:rPr>
                <w:sz w:val="20"/>
                <w:szCs w:val="20"/>
              </w:rPr>
              <w:t xml:space="preserve">NASA TM-X-3417 Viking Telecom Subsystem; Snyder 1979 JPL Pub 79-91</w:t>
            </w:r>
          </w:p>
        </w:tc>
      </w:tr>
      <w:tr>
        <w:tc>
          <w:tcPr>
            <w:tcW w:w="0" w:type="auto"/>
          </w:tcPr>
          <w:p>
            <w:pPr>
              <w:spacing w:line="240" w:lineRule="auto" w:before="0" w:after="0"/>
              <w:pStyle w:val="Compact"/>
            </w:pPr>
            <w:r>
              <w:rPr>
                <w:sz w:val="20"/>
                <w:szCs w:val="20"/>
              </w:rPr>
              <w:t xml:space="preserve">Voyager_1</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115200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NASA JPL D-4839 Voyager Telecom; Ludwig and Taylor 2002 DESCANSO Monograph 4 p.35</w:t>
            </w:r>
          </w:p>
        </w:tc>
      </w:tr>
      <w:tr>
        <w:tc>
          <w:tcPr>
            <w:tcW w:w="0" w:type="auto"/>
          </w:tcPr>
          <w:p>
            <w:pPr>
              <w:spacing w:line="240" w:lineRule="auto" w:before="0" w:after="0"/>
              <w:pStyle w:val="Compact"/>
            </w:pPr>
            <w:r>
              <w:rPr>
                <w:sz w:val="20"/>
                <w:szCs w:val="20"/>
              </w:rPr>
              <w:t xml:space="preserve">Voyager_2_Neptune</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21600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Ludwig and Taylor 2002 DESCANSO Monograph 4 p.79; NASA SP-2005-4524 p.187</w:t>
            </w:r>
          </w:p>
        </w:tc>
      </w:tr>
      <w:tr>
        <w:tc>
          <w:tcPr>
            <w:tcW w:w="0" w:type="auto"/>
          </w:tcPr>
          <w:p>
            <w:pPr>
              <w:spacing w:line="240" w:lineRule="auto" w:before="0" w:after="0"/>
              <w:pStyle w:val="Compact"/>
            </w:pPr>
            <w:r>
              <w:rPr>
                <w:sz w:val="20"/>
                <w:szCs w:val="20"/>
              </w:rPr>
              <w:t xml:space="preserve">Magellan</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268800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Saunders et al 1992 JGR 97(E8):13067; NASA JPL Magellan Press Kit 1989 p.22</w:t>
            </w:r>
          </w:p>
        </w:tc>
      </w:tr>
      <w:tr>
        <w:tc>
          <w:tcPr>
            <w:tcW w:w="0" w:type="auto"/>
          </w:tcPr>
          <w:p>
            <w:pPr>
              <w:spacing w:line="240" w:lineRule="auto" w:before="0" w:after="0"/>
              <w:pStyle w:val="Compact"/>
            </w:pPr>
            <w:r>
              <w:rPr>
                <w:sz w:val="20"/>
                <w:szCs w:val="20"/>
              </w:rPr>
              <w:t xml:space="preserve">Galileo_HGA_failed</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S</w:t>
            </w:r>
          </w:p>
        </w:tc>
        <w:tc>
          <w:tcPr>
            <w:tcW w:w="0" w:type="auto"/>
          </w:tcPr>
          <w:p>
            <w:pPr>
              <w:spacing w:line="240" w:lineRule="auto" w:before="0" w:after="0"/>
              <w:pStyle w:val="Compact"/>
            </w:pPr>
            <w:r>
              <w:rPr>
                <w:sz w:val="20"/>
                <w:szCs w:val="20"/>
              </w:rPr>
              <w:t xml:space="preserve">NASA JPL D-5970 Galileo Telecom; Statman and Deutsch 2003 IPN PR 42-152 p.4</w:t>
            </w:r>
          </w:p>
        </w:tc>
      </w:tr>
      <w:tr>
        <w:tc>
          <w:tcPr>
            <w:tcW w:w="0" w:type="auto"/>
          </w:tcPr>
          <w:p>
            <w:pPr>
              <w:spacing w:line="240" w:lineRule="auto" w:before="0" w:after="0"/>
              <w:pStyle w:val="Compact"/>
            </w:pPr>
            <w:r>
              <w:rPr>
                <w:sz w:val="20"/>
                <w:szCs w:val="20"/>
              </w:rPr>
              <w:t xml:space="preserve">Mars_Global_Surveyor</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85333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Ludwig and Taylor 2002 DESCANSO Monograph 4 p.95; Albee et al 2001 JGR 106(E10):23291</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165900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Taylor et al 2002 DESCANSO Monograph 3 Cassini Telecom p.61; NASA JPL D-15677</w:t>
            </w:r>
          </w:p>
        </w:tc>
      </w:tr>
      <w:tr>
        <w:tc>
          <w:tcPr>
            <w:tcW w:w="0" w:type="auto"/>
          </w:tcPr>
          <w:p>
            <w:pPr>
              <w:spacing w:line="240" w:lineRule="auto" w:before="0" w:after="0"/>
              <w:pStyle w:val="Compact"/>
            </w:pPr>
            <w:r>
              <w:rPr>
                <w:sz w:val="20"/>
                <w:szCs w:val="20"/>
              </w:rPr>
              <w:t xml:space="preserve">Mars_Odyssey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110000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Saunders et al 2004 Space Sci Rev 110:1; JPL D-18883 Odyssey Telecom</w:t>
            </w:r>
          </w:p>
        </w:tc>
      </w:tr>
      <w:tr>
        <w:tc>
          <w:tcPr>
            <w:tcW w:w="0" w:type="auto"/>
          </w:tcPr>
          <w:p>
            <w:pPr>
              <w:spacing w:line="240" w:lineRule="auto" w:before="0" w:after="0"/>
              <w:pStyle w:val="Compact"/>
            </w:pPr>
            <w:r>
              <w:rPr>
                <w:sz w:val="20"/>
                <w:szCs w:val="20"/>
              </w:rPr>
              <w:t xml:space="preserve">Mars_Express</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228000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ESA SP-1240 Mars Express p.305; Reina et al 2005 Acta Astronautica 56:355</w:t>
            </w:r>
          </w:p>
        </w:tc>
      </w:tr>
      <w:tr>
        <w:tc>
          <w:tcPr>
            <w:tcW w:w="0" w:type="auto"/>
          </w:tcPr>
          <w:p>
            <w:pPr>
              <w:spacing w:line="240" w:lineRule="auto" w:before="0" w:after="0"/>
              <w:pStyle w:val="Compact"/>
            </w:pPr>
            <w:r>
              <w:rPr>
                <w:sz w:val="20"/>
                <w:szCs w:val="20"/>
              </w:rPr>
              <w:t xml:space="preserve">Spirit_Opportunity</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128000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Edwards et al 2003 IEEE Aerospace 2:865; NASA JPL D-19379 MER Telecom</w:t>
            </w:r>
          </w:p>
        </w:tc>
      </w:tr>
      <w:tr>
        <w:tc>
          <w:tcPr>
            <w:tcW w:w="0" w:type="auto"/>
          </w:tcPr>
          <w:p>
            <w:pPr>
              <w:spacing w:line="240" w:lineRule="auto" w:before="0" w:after="0"/>
              <w:pStyle w:val="Compact"/>
            </w:pPr>
            <w:r>
              <w:rPr>
                <w:sz w:val="20"/>
                <w:szCs w:val="20"/>
              </w:rPr>
              <w:t xml:space="preserve">Mars_Recon_Orbiter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6e+06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Taylor et al 2006 DESCANSO Monograph 8 MRO Telecom p.43; Zurek and Smrekar 2007 JGR 112:E05S01</w:t>
            </w:r>
          </w:p>
        </w:tc>
      </w:tr>
      <w:tr>
        <w:tc>
          <w:tcPr>
            <w:tcW w:w="0" w:type="auto"/>
          </w:tcPr>
          <w:p>
            <w:pPr>
              <w:spacing w:line="240" w:lineRule="auto" w:before="0" w:after="0"/>
              <w:pStyle w:val="Compact"/>
            </w:pPr>
            <w:r>
              <w:rPr>
                <w:sz w:val="20"/>
                <w:szCs w:val="20"/>
              </w:rPr>
              <w:t xml:space="preserve">New_Horizons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38000</w:t>
            </w:r>
          </w:p>
        </w:tc>
        <w:tc>
          <w:tcPr>
            <w:tcW w:w="0" w:type="auto"/>
          </w:tcPr>
          <w:p>
            <w:pPr>
              <w:spacing w:line="240" w:lineRule="auto" w:before="0" w:after="0"/>
              <w:pStyle w:val="Compact"/>
            </w:pPr>
            <w:r>
              <w:rPr>
                <w:sz w:val="20"/>
                <w:szCs w:val="20"/>
              </w:rPr>
              <w:t xml:space="preserve">32.9</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Fountain et al 2008 Space Sci Rev 140:23; NASA APL New Horizons Press Kit 2015 p.18</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128000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Smith et al 2009 Science 325:58; NASA JPL D-43083 Phoenix Telecom</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124000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Rayman et al 2006 Acta Astronautica 58:605; NASA JPL Dawn Press Kit 2007 p.31</w:t>
            </w:r>
          </w:p>
        </w:tc>
      </w:tr>
      <w:tr>
        <w:tc>
          <w:tcPr>
            <w:tcW w:w="0" w:type="auto"/>
          </w:tcPr>
          <w:p>
            <w:pPr>
              <w:spacing w:line="240" w:lineRule="auto" w:before="0" w:after="0"/>
              <w:pStyle w:val="Compact"/>
            </w:pPr>
            <w:r>
              <w:rPr>
                <w:sz w:val="20"/>
                <w:szCs w:val="20"/>
              </w:rPr>
              <w:t xml:space="preserve">Lunar_Recon_Orbiter</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1e+08</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Chin et al 2007 Space Sci Rev 129:391; NASA GSFC LRO Mission Handbook 2009</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18000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Mukai et al 2014 Space Sci Rev 213:219; NASA JPL Juno Press Kit 2011 p.27</w:t>
            </w:r>
          </w:p>
        </w:tc>
      </w:tr>
      <w:tr>
        <w:tc>
          <w:tcPr>
            <w:tcW w:w="0" w:type="auto"/>
          </w:tcPr>
          <w:p>
            <w:pPr>
              <w:spacing w:line="240" w:lineRule="auto" w:before="0" w:after="0"/>
              <w:pStyle w:val="Compact"/>
            </w:pPr>
            <w:r>
              <w:rPr>
                <w:sz w:val="20"/>
                <w:szCs w:val="20"/>
              </w:rPr>
              <w:t xml:space="preserve">MSL_Curiosity_direct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32000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Makovsky et al 2009 DESCANSO Monograph 14 MSL Telecom p.66; Grotzinger et al 2012 Space Sci Rev 170:5</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550000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Jakosky et al 2015 Space Sci Rev 195:3; NASA LASP MAVEN Mission Plan 2013 p.42</w:t>
            </w:r>
          </w:p>
        </w:tc>
      </w:tr>
      <w:tr>
        <w:tc>
          <w:tcPr>
            <w:tcW w:w="0" w:type="auto"/>
          </w:tcPr>
          <w:p>
            <w:pPr>
              <w:spacing w:line="240" w:lineRule="auto" w:before="0" w:after="0"/>
              <w:pStyle w:val="Compact"/>
            </w:pPr>
            <w:r>
              <w:rPr>
                <w:sz w:val="20"/>
                <w:szCs w:val="20"/>
              </w:rPr>
              <w:t xml:space="preserve">ExoMars_TGO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2.048e+06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Vago et al 2015 Solar System Research 49:518; ESA SP-1349 TGO p.118</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914000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Lauretta et al 2017 Space Sci Rev 212:925; NASA GSFC OSIRIS-REx Mission Handbook 2016</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29000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Banerdt et al 2020 Nat Geosci 13:183; NASA JPL D-99060 InSight Telecom</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555000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Fox et al 2016 Space Sci Rev 204:7; NASA APL PSP Mission Press Kit 2018 p.24</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1.546e+06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Benkhoff et al 2021 Space Sci Rev 217:90; ESA SP-1326 BepiColombo p.221</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2e+06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Farley et al 2020 Space Sci Rev 216:142; NASA JPL D-104872 M2020 Telecom</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250000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Levison et al 2021 Space Sci Rev 217:84; NASA GSFC Lucy Mission Handbook 2021</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150000</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Rivkin et al 2021 Planet Sci J 2:173; NASA APL DART Press Kit 2021 p.19</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256000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Hart et al 2018 Acta Astronautica 154:1; NASA JPL Psyche Press Kit 2023 p.28</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360000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X</w:t>
            </w:r>
          </w:p>
        </w:tc>
        <w:tc>
          <w:tcPr>
            <w:tcW w:w="0" w:type="auto"/>
          </w:tcPr>
          <w:p>
            <w:pPr>
              <w:spacing w:line="240" w:lineRule="auto" w:before="0" w:after="0"/>
              <w:pStyle w:val="Compact"/>
            </w:pPr>
            <w:r>
              <w:rPr>
                <w:sz w:val="20"/>
                <w:szCs w:val="20"/>
              </w:rPr>
              <w:t xml:space="preserve">Pappalardo et al 2024 Space Sci Rev 220:46; NASA JPL Europa Clipper Press Kit 2024 p.34</w:t>
            </w:r>
          </w:p>
        </w:tc>
      </w:tr>
    </w:tbl>
    <w:bookmarkEnd w:id="191"/>
    <w:bookmarkStart w:id="19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peak_downlink_bps</w:t>
            </w:r>
          </w:p>
        </w:tc>
        <w:tc>
          <w:tcPr>
            <w:tcW w:w="0" w:type="auto"/>
          </w:tcPr>
          <w:p>
            <w:pPr>
              <w:spacing w:line="240" w:lineRule="auto" w:before="0" w:after="0"/>
              <w:pStyle w:val="Compact"/>
            </w:pPr>
            <w:r>
              <w:rPr>
                <w:sz w:val="20"/>
                <w:szCs w:val="20"/>
              </w:rPr>
              <w:t xml:space="preserve">Peak telemetry downlink rate sustained from spacecraft to a DSN antenna during nominal cruise or science operations, in bits per second</w:t>
            </w:r>
          </w:p>
        </w:tc>
        <w:tc>
          <w:tcPr>
            <w:tcW w:w="0" w:type="auto"/>
          </w:tcPr>
          <w:p>
            <w:pPr>
              <w:spacing w:line="240" w:lineRule="auto" w:before="0" w:after="0"/>
              <w:pStyle w:val="Compact"/>
            </w:pPr>
            <w:r>
              <w:rPr>
                <w:sz w:val="20"/>
                <w:szCs w:val="20"/>
              </w:rPr>
              <w:t xml:space="preserve">Mission telecom subsystem papers (DESCANSO monograph series, Acta Astronautica telecom articles, NASA mission press kits, JPL D-series telecom design documents)</w:t>
            </w:r>
          </w:p>
        </w:tc>
      </w:tr>
      <w:tr>
        <w:tc>
          <w:tcPr>
            <w:tcW w:w="0" w:type="auto"/>
          </w:tcPr>
          <w:p>
            <w:pPr>
              <w:spacing w:line="240" w:lineRule="auto" w:before="0" w:after="0"/>
              <w:pStyle w:val="Compact"/>
            </w:pPr>
            <w:r>
              <w:rPr>
                <w:sz w:val="20"/>
                <w:szCs w:val="20"/>
              </w:rPr>
              <w:t xml:space="preserve">cumulative_dsn_missions</w:t>
            </w:r>
          </w:p>
        </w:tc>
        <w:tc>
          <w:tcPr>
            <w:tcW w:w="0" w:type="auto"/>
          </w:tcPr>
          <w:p>
            <w:pPr>
              <w:spacing w:line="240" w:lineRule="auto" w:before="0" w:after="0"/>
              <w:pStyle w:val="Compact"/>
            </w:pPr>
            <w:r>
              <w:rPr>
                <w:sz w:val="20"/>
                <w:szCs w:val="20"/>
              </w:rPr>
              <w:t xml:space="preserve">Count of distinct DSN-tracked interplanetary spacecraft launched up to and including the mission’s launch year</w:t>
            </w:r>
          </w:p>
        </w:tc>
        <w:tc>
          <w:tcPr>
            <w:tcW w:w="0" w:type="auto"/>
          </w:tcPr>
          <w:p>
            <w:pPr>
              <w:spacing w:line="240" w:lineRule="auto" w:before="0" w:after="0"/>
              <w:pStyle w:val="Compact"/>
            </w:pPr>
            <w:r>
              <w:rPr>
                <w:sz w:val="20"/>
                <w:szCs w:val="20"/>
              </w:rPr>
              <w:t xml:space="preserve">Constructed from NASA SP-2005-4524 Deep Space Chronicle and DSN history records (Renzetti 1971; NASA SP-446); ordered by launch year</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Calendar year of launch</w:t>
            </w:r>
          </w:p>
        </w:tc>
        <w:tc>
          <w:tcPr>
            <w:tcW w:w="0" w:type="auto"/>
          </w:tcPr>
          <w:p>
            <w:pPr>
              <w:spacing w:line="240" w:lineRule="auto" w:before="0" w:after="0"/>
              <w:pStyle w:val="Compact"/>
            </w:pPr>
            <w:r>
              <w:rPr>
                <w:sz w:val="20"/>
                <w:szCs w:val="20"/>
              </w:rPr>
              <w:t xml:space="preserve">Mission press kits and NSSDC master catalogue</w:t>
            </w:r>
          </w:p>
        </w:tc>
      </w:tr>
      <w:tr>
        <w:tc>
          <w:tcPr>
            <w:tcW w:w="0" w:type="auto"/>
          </w:tcPr>
          <w:p>
            <w:pPr>
              <w:spacing w:line="240" w:lineRule="auto" w:before="0" w:after="0"/>
              <w:pStyle w:val="Compact"/>
            </w:pPr>
            <w:r>
              <w:rPr>
                <w:sz w:val="20"/>
                <w:szCs w:val="20"/>
              </w:rPr>
              <w:t xml:space="preserve">distance_au</w:t>
            </w:r>
          </w:p>
        </w:tc>
        <w:tc>
          <w:tcPr>
            <w:tcW w:w="0" w:type="auto"/>
          </w:tcPr>
          <w:p>
            <w:pPr>
              <w:spacing w:line="240" w:lineRule="auto" w:before="0" w:after="0"/>
              <w:pStyle w:val="Compact"/>
            </w:pPr>
            <w:r>
              <w:rPr>
                <w:sz w:val="20"/>
                <w:szCs w:val="20"/>
              </w:rPr>
              <w:t xml:space="preserve">Representative spacecraft–Earth slant distance at the operational regime where the peak rate applies, in astronomical units</w:t>
            </w:r>
          </w:p>
        </w:tc>
        <w:tc>
          <w:tcPr>
            <w:tcW w:w="0" w:type="auto"/>
          </w:tcPr>
          <w:p>
            <w:pPr>
              <w:spacing w:line="240" w:lineRule="auto" w:before="0" w:after="0"/>
              <w:pStyle w:val="Compact"/>
            </w:pPr>
            <w:r>
              <w:rPr>
                <w:sz w:val="20"/>
                <w:szCs w:val="20"/>
              </w:rPr>
              <w:t xml:space="preserve">Mission press kits and DESCANSO telecom monographs (covariate context only; not in the log-log specification, retained in the workbook for traceability)</w:t>
            </w:r>
          </w:p>
        </w:tc>
      </w:tr>
      <w:tr>
        <w:tc>
          <w:tcPr>
            <w:tcW w:w="0" w:type="auto"/>
          </w:tcPr>
          <w:p>
            <w:pPr>
              <w:spacing w:line="240" w:lineRule="auto" w:before="0" w:after="0"/>
              <w:pStyle w:val="Compact"/>
            </w:pPr>
            <w:r>
              <w:rPr>
                <w:sz w:val="20"/>
                <w:szCs w:val="20"/>
              </w:rPr>
              <w:t xml:space="preserve">antenna_band</w:t>
            </w:r>
          </w:p>
        </w:tc>
        <w:tc>
          <w:tcPr>
            <w:tcW w:w="0" w:type="auto"/>
          </w:tcPr>
          <w:p>
            <w:pPr>
              <w:spacing w:line="240" w:lineRule="auto" w:before="0" w:after="0"/>
              <w:pStyle w:val="Compact"/>
            </w:pPr>
            <w:r>
              <w:rPr>
                <w:sz w:val="20"/>
                <w:szCs w:val="20"/>
              </w:rPr>
              <w:t xml:space="preserve">Primary downlink frequency band (S, X, or Ka)</w:t>
            </w:r>
          </w:p>
        </w:tc>
        <w:tc>
          <w:tcPr>
            <w:tcW w:w="0" w:type="auto"/>
          </w:tcPr>
          <w:p>
            <w:pPr>
              <w:spacing w:line="240" w:lineRule="auto" w:before="0" w:after="0"/>
              <w:pStyle w:val="Compact"/>
            </w:pPr>
            <w:r>
              <w:rPr>
                <w:sz w:val="20"/>
                <w:szCs w:val="20"/>
              </w:rPr>
              <w:t xml:space="preserve">DESCANSO monograph series and JPL telecom design documents (context only)</w:t>
            </w:r>
          </w:p>
        </w:tc>
      </w:tr>
    </w:tbl>
    <w:bookmarkEnd w:id="192"/>
    <w:bookmarkEnd w:id="193"/>
    <w:bookmarkEnd w:id="1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9" Type="http://schemas.openxmlformats.org/officeDocument/2006/relationships/image" Target="media/rId179.png"/><Relationship Id="rId187" Type="http://schemas.openxmlformats.org/officeDocument/2006/relationships/image" Target="media/rId187.png"/><Relationship Id="rId163" Type="http://schemas.openxmlformats.org/officeDocument/2006/relationships/hyperlink" Target="https://doi.org/10.1016/j.actaastro.2018.06.023" TargetMode="External"/><Relationship Id="rId169" Type="http://schemas.openxmlformats.org/officeDocument/2006/relationships/hyperlink" Target="https://doi.org/10.1016/j.actaastro.2019.12.007" TargetMode="External"/><Relationship Id="rId135" Type="http://schemas.openxmlformats.org/officeDocument/2006/relationships/hyperlink" Target="https://doi.org/10.1016/j.actaastro.2021.04.006" TargetMode="External"/><Relationship Id="rId144" Type="http://schemas.openxmlformats.org/officeDocument/2006/relationships/hyperlink" Target="https://doi.org/10.1016/j.actaastro.2021.12.030" TargetMode="External"/><Relationship Id="rId167" Type="http://schemas.openxmlformats.org/officeDocument/2006/relationships/hyperlink" Target="https://doi.org/10.1016/j.actaastro.2022.08.049" TargetMode="External"/><Relationship Id="rId139" Type="http://schemas.openxmlformats.org/officeDocument/2006/relationships/hyperlink" Target="https://doi.org/10.1016/j.actaastro.2022.11.046" TargetMode="External"/><Relationship Id="rId137" Type="http://schemas.openxmlformats.org/officeDocument/2006/relationships/hyperlink" Target="https://doi.org/10.1016/j.actaastro.2023.01.040" TargetMode="External"/><Relationship Id="rId171" Type="http://schemas.openxmlformats.org/officeDocument/2006/relationships/hyperlink" Target="https://doi.org/10.1016/j.actaastro.2024.03.072" TargetMode="External"/><Relationship Id="rId173" Type="http://schemas.openxmlformats.org/officeDocument/2006/relationships/hyperlink" Target="https://doi.org/10.1016/j.actaastro.2024.04.012" TargetMode="External"/><Relationship Id="rId142" Type="http://schemas.openxmlformats.org/officeDocument/2006/relationships/hyperlink" Target="https://doi.org/10.1016/j.actaastro.2024.11.011" TargetMode="External"/><Relationship Id="rId165" Type="http://schemas.openxmlformats.org/officeDocument/2006/relationships/hyperlink" Target="https://doi.org/10.1016/j.actaastro.2025.10.010" TargetMode="External"/><Relationship Id="rId175" Type="http://schemas.openxmlformats.org/officeDocument/2006/relationships/hyperlink" Target="https://doi.org/10.1016/j.actaastro.2026.04.033" TargetMode="External"/><Relationship Id="rId155" Type="http://schemas.openxmlformats.org/officeDocument/2006/relationships/hyperlink" Target="https://doi.org/10.64861/GBKE2290" TargetMode="External"/><Relationship Id="rId152" Type="http://schemas.openxmlformats.org/officeDocument/2006/relationships/hyperlink" Target="https://doi.org/10.64861/OHUO6863" TargetMode="External"/></Relationships>
</file>

<file path=word/_rels/footnotes.xml.rels><?xml version='1.0' encoding='UTF-8' standalone='yes'?>
<Relationships xmlns="http://schemas.openxmlformats.org/package/2006/relationships"><Relationship Id="rId163" Type="http://schemas.openxmlformats.org/officeDocument/2006/relationships/hyperlink" Target="https://doi.org/10.1016/j.actaastro.2018.06.023" TargetMode="External"/><Relationship Id="rId169" Type="http://schemas.openxmlformats.org/officeDocument/2006/relationships/hyperlink" Target="https://doi.org/10.1016/j.actaastro.2019.12.007" TargetMode="External"/><Relationship Id="rId135" Type="http://schemas.openxmlformats.org/officeDocument/2006/relationships/hyperlink" Target="https://doi.org/10.1016/j.actaastro.2021.04.006" TargetMode="External"/><Relationship Id="rId144" Type="http://schemas.openxmlformats.org/officeDocument/2006/relationships/hyperlink" Target="https://doi.org/10.1016/j.actaastro.2021.12.030" TargetMode="External"/><Relationship Id="rId167" Type="http://schemas.openxmlformats.org/officeDocument/2006/relationships/hyperlink" Target="https://doi.org/10.1016/j.actaastro.2022.08.049" TargetMode="External"/><Relationship Id="rId139" Type="http://schemas.openxmlformats.org/officeDocument/2006/relationships/hyperlink" Target="https://doi.org/10.1016/j.actaastro.2022.11.046" TargetMode="External"/><Relationship Id="rId137" Type="http://schemas.openxmlformats.org/officeDocument/2006/relationships/hyperlink" Target="https://doi.org/10.1016/j.actaastro.2023.01.040" TargetMode="External"/><Relationship Id="rId171" Type="http://schemas.openxmlformats.org/officeDocument/2006/relationships/hyperlink" Target="https://doi.org/10.1016/j.actaastro.2024.03.072" TargetMode="External"/><Relationship Id="rId173" Type="http://schemas.openxmlformats.org/officeDocument/2006/relationships/hyperlink" Target="https://doi.org/10.1016/j.actaastro.2024.04.012" TargetMode="External"/><Relationship Id="rId142" Type="http://schemas.openxmlformats.org/officeDocument/2006/relationships/hyperlink" Target="https://doi.org/10.1016/j.actaastro.2024.11.011" TargetMode="External"/><Relationship Id="rId165" Type="http://schemas.openxmlformats.org/officeDocument/2006/relationships/hyperlink" Target="https://doi.org/10.1016/j.actaastro.2025.10.010" TargetMode="External"/><Relationship Id="rId175" Type="http://schemas.openxmlformats.org/officeDocument/2006/relationships/hyperlink" Target="https://doi.org/10.1016/j.actaastro.2026.04.033" TargetMode="External"/><Relationship Id="rId155" Type="http://schemas.openxmlformats.org/officeDocument/2006/relationships/hyperlink" Target="https://doi.org/10.64861/GBKE2290" TargetMode="External"/><Relationship Id="rId152" Type="http://schemas.openxmlformats.org/officeDocument/2006/relationships/hyperlink" Target="https://doi.org/10.64861/OHUO68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Space Network as a Capacity-Constrained Queue: Estimating the Science Throughput Frontier of NASA’s Interplanetary Communications Backbone</dc:title>
  <dc:creator>Imogen Sato (1B-DSX-087)</dc:creator>
  <cp:keywords/>
  <dcterms:created xsi:type="dcterms:W3CDTF">2026-07-02T17:42:22Z</dcterms:created>
  <dcterms:modified xsi:type="dcterms:W3CDTF">2026-07-02T17:42:22Z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