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0" w:name="X6e3851ddcf9aec2bfef4f64273f33e230576c0a"/>
    <w:p>
      <w:pPr>
        <w:pStyle w:val="Heading1"/>
      </w:pPr>
      <w:r>
        <w:t xml:space="preserve">Heritage and the Odds of a Soft Landing: A Logit Model of Planetary EDL Success Across Mars, the Moon, and Venus</w:t>
      </w:r>
    </w:p>
    <w:bookmarkStart w:id="61" w:name="introduction"/>
    <w:p>
      <w:pPr>
        <w:pStyle w:val="Heading2"/>
      </w:pPr>
      <w:r>
        <w:t xml:space="preserve">1. Introduction</w:t>
      </w:r>
    </w:p>
    <w:p>
      <w:pPr>
        <w:pStyle w:val="FirstParagraph"/>
      </w:pPr>
      <w:r>
        <w:t xml:space="preserve">Entry, descent, and landing is the unforgiving few minutes of a planetary mission. A spacecraft that has crossed hundreds of millions of kilometers must shed nearly all of its velocity through an atmosphere it cannot fully rehearse against, and the sequence either delivers a working surface element or it does not. The historical ledger of these attempts is openly documented, mission by mission, across three bodies that have absorbed the great majority of robotic landing tries: Mars, the Moon, and Venus. That ledger invites a direct empirical question. When an operating agency arrives at a landing attempt already carrying a prior soft-landing success, does the probability that this attempt also succeeds rise, after accounting for how heavy the lander is and how many times the agency has simply tried before?</w:t>
      </w:r>
    </w:p>
    <w:p>
      <w:pPr>
        <w:pStyle w:val="BodyText"/>
      </w:pPr>
      <w:r>
        <w:t xml:space="preserve">The question matters for program planning because heritage is expensive to acquire and is often invoked as a justification for cost. If institutional heritage measurably shifts the odds of success, that shifts how a sponsor should weigh a heritage-rich bid against a first-of-class one. This paper estimates that shift with a logistic regression on the full cross-body record of robotic surface-landing attempts, treating the binary outcome, success or loss, as the thing to be explained. The companion paper in this dissertation models the same domain with a proportional-hazards survival framework on the Mars subset and on per-subsystem heritage; the present paper deliberately takes the complementary view, a single binary outcome model across all three bodies with heritage measured at the institutional level.</w:t>
      </w:r>
    </w:p>
    <w:bookmarkEnd w:id="61"/>
    <w:bookmarkStart w:id="62" w:name="theory-and-hypotheses"/>
    <w:p>
      <w:pPr>
        <w:pStyle w:val="Heading2"/>
      </w:pPr>
      <w:r>
        <w:t xml:space="preserve">2. Theory and Hypotheses</w:t>
      </w:r>
    </w:p>
    <w:p>
      <w:pPr>
        <w:pStyle w:val="FirstParagraph"/>
      </w:pPr>
      <w:r>
        <w:t xml:space="preserve">The mechanism linking heritage to landing success is organizational learning realized in hardware and procedure. An agency that has landed before has done more than fly a working vehicle once. It has built and validated test infrastructure, calibrated atmospheric and aerodynamic models against real flight data, retained the engineers who debugged the last descent, and codified the review discipline that catches the failure modes the literature keeps rediscovering. This is the same technology-maturation logic that recurs across the space economy, where capability accrues through repeated experiment and operational use rather than through single demonstrations</w:t>
      </w:r>
      <w:r>
        <w:t xml:space="preserve"> </w:t>
      </w:r>
      <w:hyperlink w:anchor="ref-1">
        <m:oMathPara>
          <m:oMathParaPr>
            <m:jc m:val="center"/>
          </m:oMathParaPr>
          <m:oMath>
            <m:r>
              <m:t>1</m:t>
            </m:r>
          </m:oMath>
        </m:oMathPara>
      </w:hyperlink>
      <w:r>
        <w:t xml:space="preserve">. Heritage, in this reading, is not a property of a single airframe but a property of the institution that flies it.</w:t>
      </w:r>
    </w:p>
    <w:p>
      <w:pPr>
        <w:pStyle w:val="FirstParagraph"/>
      </w:pPr>
      <w:r>
        <w:t xml:space="preserve">The cautionary half of the theory is equally documented. Heritage protects only the parts of the system that are genuinely reused under genuinely similar conditions. The ExoMars 2016 Schiaparelli loss is the canonical illustration: an entry system carrying real European decelerator heritage still crashed because a saturated inertial measurement interacted with descent guidance logic that had no comparable flight pedigree, triggering early parachute release and premature retro-rocket shutdown</w:t>
      </w:r>
      <w:r>
        <w:t xml:space="preserve"> </w:t>
      </w:r>
      <w:hyperlink w:anchor="ref-2">
        <m:oMathPara>
          <m:oMathParaPr>
            <m:jc m:val="center"/>
          </m:oMathParaPr>
          <m:oMath>
            <m:r>
              <m:t>2</m:t>
            </m:r>
          </m:oMath>
        </m:oMathPara>
      </w:hyperlink>
      <w:r>
        <w:t xml:space="preserve">. Heritage at the agency level can therefore coexist with a first-of-class failure at the subsystem level. That tension is what makes the institutional measure worth testing on its own: it asks whether the broad organizational capital of a landing-experienced agency raises success odds even when specific subsystems are still new.</w:t>
      </w:r>
    </w:p>
    <w:p>
      <w:pPr>
        <w:pStyle w:val="FirstParagraph"/>
      </w:pPr>
      <w:r>
        <w:t xml:space="preserve">A confound must be held fixed. Landed mass scales EDL difficulty, because a heavier surface element demands a larger decelerator and a more capable terminal system, and mass also tends to grow as agencies attempt more ambitious missions</w:t>
      </w:r>
      <w:r>
        <w:t xml:space="preserve"> </w:t>
      </w:r>
      <w:hyperlink w:anchor="ref-2">
        <m:oMathPara>
          <m:oMathParaPr>
            <m:jc m:val="center"/>
          </m:oMathParaPr>
          <m:oMath>
            <m:r>
              <m:t>2</m:t>
            </m:r>
          </m:oMath>
        </m:oMathPara>
      </w:hyperlink>
      <w:r>
        <w:t xml:space="preserve">. If heavier landers are also flown by more experienced agencies, an uncontrolled heritage effect could simply be reading mass. Raw attempt count is a second control: an agency can accumulate many tries without ever converting them into a success, so separating realized heritage from raw experience isolates whether it is success, not mere repetition, that carries forward.</w:t>
      </w:r>
    </w:p>
    <w:p>
      <w:pPr>
        <w:pStyle w:val="FirstParagraph"/>
      </w:pPr>
      <w:r>
        <w:t xml:space="preserve">H1 holds that, conditional on landed mass and raw attempt count, prior institutional soft-landing heritage raises the probability of EDL success. H0 holds that the coefficient on institutional heritage is zero.</w:t>
      </w:r>
    </w:p>
    <w:bookmarkEnd w:id="62"/>
    <w:bookmarkStart w:id="63" w:name="data"/>
    <w:p>
      <w:pPr>
        <w:pStyle w:val="Heading2"/>
      </w:pPr>
      <w:r>
        <w:t xml:space="preserve">3. Data</w:t>
      </w:r>
    </w:p>
    <w:p>
      <w:pPr>
        <w:pStyle w:val="FirstParagraph"/>
      </w:pPr>
      <w:r>
        <w:t xml:space="preserve">The unit of observation is a single robotic planetary surface-landing attempt. The dataset compiles thirty-seven such attempts spanning 1965 to 2024 across Mars, the Moon, and Venus, drawn from NASA’s National Space Science Data Center records, the consolidated encyclopedic landing summaries for each body, mission press kits, and the peer-reviewed Schiaparelli reconstruction</w:t>
      </w:r>
      <w:r>
        <w:t xml:space="preserve"> </w:t>
      </w:r>
      <w:hyperlink w:anchor="ref-2">
        <m:oMathPara>
          <m:oMathParaPr>
            <m:jc m:val="center"/>
          </m:oMathParaPr>
          <m:oMath>
            <m:r>
              <m:t>2</m:t>
            </m:r>
          </m:oMath>
        </m:oMathPara>
      </w:hyperlink>
      <w:r>
        <w:t xml:space="preserve">. Each row records the mission, body, operating agency, year, the count of the agency’s prior surface-landing attempts on any body, a binary indicator for whether the agency held any prior soft-landing success, the documented landed or descent-module mass in kilograms, and the binary EDL outcome. The outcome is coded one when the sequence delivered a surviving surface configuration that returned data and zero when the vehicle was lost during or immediately after descent. Three partial cases that reached the surface or the atmosphere but never returned functional surface data, the Mars 3 lander, Beagle 2, and Venera 4, are coded as losses, consistent with the operational definition of a delivered landing.</w:t>
      </w:r>
    </w:p>
    <w:p>
      <w:pPr>
        <w:pStyle w:val="FirstParagraph"/>
      </w:pPr>
      <w:r>
        <w:t xml:space="preserve">Each row carries an explicit source in its final column. Two Vega descent masses are marked as illustrative where a precise landed figure was not cleanly separable from the cruise stage; these two entries are well under fifteen percent of the sample and do not affect the heritage indicator or the outcome coding. The overall success rate in the sample is 0.622. The raw cross-tabulation already hints at the result: among the nineteen attempts flown by an agency with prior soft-landing heritage, sixteen succeeded, a rate of 0.842, while among the eighteen first-of-class agency attempts only seven succeeded, a rate of 0.389.</w:t>
      </w:r>
    </w:p>
    <w:bookmarkEnd w:id="63"/>
    <w:bookmarkStart w:id="64" w:name="method"/>
    <w:p>
      <w:pPr>
        <w:pStyle w:val="Heading2"/>
      </w:pPr>
      <w:r>
        <w:t xml:space="preserve">4. Method</w:t>
      </w:r>
    </w:p>
    <w:p>
      <w:pPr>
        <w:pStyle w:val="FirstParagraph"/>
      </w:pPr>
      <w:r>
        <w:t xml:space="preserve">The outcome is binary, so the model is a logistic regression. The probability of EDL success is modeled as the logistic transform of a linear index in three covariates: the institutional heritage indicator, the count of prior agency attempts, and landed mass in kilograms. The coefficient of interest is the one on institutional heritage; under H1 it is positive. Coefficients are reported on the log-odds scale with their exponentiated odds-ratio counterparts, standard errors, z statistics, and p values. Model fit is summarized by the count of observations, the log-likelihood, and McFadden’s pseudo R-squared. With thirty-seven observations and three covariates the design is parsimonious by necessity; the interpretation that follows is calibrated to that sample size and treats the estimates as describing the documented historical population rather than as a forecast.</w:t>
      </w:r>
    </w:p>
    <w:bookmarkEnd w:id="64"/>
    <w:bookmarkStart w:id="65" w:name="findings"/>
    <w:p>
      <w:pPr>
        <w:pStyle w:val="Heading2"/>
      </w:pPr>
      <w:r>
        <w:t xml:space="preserve">5. Findings</w:t>
      </w:r>
    </w:p>
    <w:p>
      <w:pPr>
        <w:pStyle w:val="FirstParagraph"/>
      </w:pPr>
      <w:r>
        <w:t xml:space="preserve">The model estimates cleanly on all thirty-seven observations, with a McFadden pseudo R-squared of 0.21 and a log-likelihood of -19.36. The central result supports H1. The coefficient on institutional heritage is positive and large, 2.97 on the log-odds scale, with a standard error of 1.21, a z statistic of 2.46, and a p value of 0.014. Exponentiating, an agency carrying a prior soft-landing success faces odds of EDL success roughly nineteen times those of a first-of-class agency, holding raw attempt count and landed mass fixed. The estimate is statistically distinguishable from zero at conventional levels, so the null of no heritage effect is rejected.</w:t>
      </w:r>
    </w:p>
    <w:p>
      <w:pPr>
        <w:pStyle w:val="BodyText"/>
      </w:pPr>
      <w:r>
        <w:t xml:space="preserve">The two control covariates are not statistically significant. Raw prior-attempt count carries a coefficient of -0.19 with a standard error of 0.19, a z of -1.00, and a p value of 0.32; its sign is negative but it cannot be distinguished from zero. The reading is that mere repetition, absent a prior success, does not by itself raise success odds, and may even track the harder problems that experienced-but-unsuccessful programs keep attempting. Landed mass carries a coefficient of -0.0005 with a standard error of 0.0009 and a p value of 0.54, again indistinguishable from zero across the observed mass range. The heritage effect therefore does not appear to be a disguised mass effect; the difficulty that mass imposes is not what the heritage indicator is capturing. The descriptive split reported in Section 3, a success rate of 0.842 under heritage against 0.389 without it, is the same signal the logit formalizes once the controls are in place.</w:t>
      </w:r>
    </w:p>
    <w:bookmarkEnd w:id="65"/>
    <w:bookmarkStart w:id="66" w:name="discussion"/>
    <w:p>
      <w:pPr>
        <w:pStyle w:val="Heading2"/>
      </w:pPr>
      <w:r>
        <w:t xml:space="preserve">6. Discussion</w:t>
      </w:r>
    </w:p>
    <w:p>
      <w:pPr>
        <w:pStyle w:val="FirstParagraph"/>
      </w:pPr>
      <w:r>
        <w:t xml:space="preserve">The estimate says that realized institutional heritage, not raw experience and not lander size, is the covariate that moves the odds of a planetary soft landing in the documented record. That finding has a practical edge for program assessment. A heritage-rich proposal is not merely asserting comfort; in this sample it is associated with success odds an order of magnitude higher than a comparable first-of-class effort, which is a quantity a sponsor can weigh against the premium that heritage commands. It also reframes what counts as risky. The riskiest configuration in the data is the capable-but-inexperienced agency attempting an ambitious first landing, where attempt count may be high yet realized heritage is absent.</w:t>
      </w:r>
    </w:p>
    <w:p>
      <w:pPr>
        <w:pStyle w:val="BodyText"/>
      </w:pPr>
      <w:r>
        <w:t xml:space="preserve">Three limits bound the claim. First, the sample is the entire documented population of thirty-seven attempts, which is small; the heritage coefficient is precise enough to clear significance but its magnitude carries wide uncertainty, and the odds ratio should be read as an order of magnitude rather than a point forecast. Second, the institutional indicator is deliberately coarse and, as the Schiaparelli case shows, agency heritage can mask a first-of-class subsystem that fails; the companion proportional-hazards paper in this dissertation addresses exactly that subsystem-level resolution, and the two results are complementary rather than redundant. Third, pooling Mars, the Moon, and Venus buys statistical power at the cost of treating physically distinct EDL regimes as exchangeable; a thicker atmosphere, a vacuum descent, and a crushing one impose different failure modes, and a larger future dataset should test for body-specific heritage effects. Within those limits, the historical ledger returns a consistent answer: agencies that have landed before land again at substantially better odds.</w:t>
      </w:r>
    </w:p>
    <w:bookmarkEnd w:id="66"/>
    <w:bookmarkStart w:id="70" w:name="references"/>
    <w:p>
      <w:pPr>
        <w:pStyle w:val="Heading2"/>
      </w:pPr>
      <w:r>
        <w:t xml:space="preserve">References</w:t>
      </w:r>
    </w:p>
    <w:p>
      <w:pPr>
        <w:pStyle w:val="FirstParagraph"/>
      </w:pPr>
      <w:bookmarkStart w:id="67" w:name="ref-1"/>
      <w:bookmarkEnd w:id="67"/>
      <w:r>
        <w:t xml:space="preserve">1. Office of Commercial and Economic Analysis (OCEA),</w:t>
      </w:r>
      <w:r>
        <w:t xml:space="preserve"> </w:t>
      </w:r>
      <w:r>
        <w:t xml:space="preserve">“Forecasting the Space Economy: technology maturation and infrastructure development,”</w:t>
      </w:r>
      <w:r>
        <w:t xml:space="preserve"> </w:t>
      </w:r>
      <w:r>
        <w:t xml:space="preserve">space economy analytic source corpus (SD08).</w:t>
      </w:r>
    </w:p>
    <w:p>
      <w:pPr>
        <w:pStyle w:val="BodyText"/>
      </w:pPr>
      <w:bookmarkStart w:id="68" w:name="ref-2"/>
      <w:bookmarkEnd w:id="68"/>
      <w:r>
        <w:t xml:space="preserve">2. D. Bonetti, G. De Zaiacomo, G. Blanco, I. Pontijas Fuentes, S. Portigliotti, O. Bayle, and L. Lorenzoni,</w:t>
      </w:r>
      <w:r>
        <w:t xml:space="preserve"> </w:t>
      </w:r>
      <w:r>
        <w:t xml:space="preserve">“ExoMars 2016: Schiaparelli coasting, entry and descent post flight mission analysis,”</w:t>
      </w:r>
      <w:r>
        <w:t xml:space="preserve"> </w:t>
      </w:r>
      <w:r>
        <w:t xml:space="preserve">Acta Astronautica, vol. 149, pp. 93-105, 2018, doi:</w:t>
      </w:r>
      <w:r>
        <w:t xml:space="preserve"> </w:t>
      </w:r>
      <w:hyperlink r:id="rId69">
        <w:r>
          <w:rPr>
            <w:rStyle w:val="Hyperlink"/>
          </w:rPr>
          <w:t xml:space="preserve">10.1016/j.actaastro.2018.05.029</w:t>
        </w:r>
      </w:hyperlink>
    </w:p>
    <w:bookmarkEnd w:id="70"/>
    <w:bookmarkStart w:id="71"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success</m:t>
              </m:r>
            </m:e>
            <m:sub>
              <m:r>
                <m:t>i</m:t>
              </m:r>
            </m:sub>
          </m:sSub>
          <m:r>
            <m:rPr>
              <m:sty m:val="p"/>
            </m:rPr>
            <m:t>=</m:t>
          </m:r>
          <m:r>
            <m:t>1</m:t>
          </m:r>
          <m:r>
            <m:rPr>
              <m:sty m:val="p"/>
            </m:rPr>
            <m:t>∣</m:t>
          </m:r>
          <m:sSub>
            <m:e>
              <m: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t> </m:t>
              </m:r>
              <m:sSub>
                <m:e>
                  <m:r>
                    <m:rPr>
                      <m:sty m:val="p"/>
                    </m:rPr>
                    <m:t>a</m:t>
                  </m:r>
                  <m:r>
                    <m:rPr>
                      <m:sty m:val="p"/>
                    </m:rPr>
                    <m:t>g</m:t>
                  </m:r>
                  <m:r>
                    <m:rPr>
                      <m:sty m:val="p"/>
                    </m:rPr>
                    <m:t>e</m:t>
                  </m:r>
                  <m:r>
                    <m:rPr>
                      <m:sty m:val="p"/>
                    </m:rPr>
                    <m:t>n</m:t>
                  </m:r>
                  <m:r>
                    <m:rPr>
                      <m:sty m:val="p"/>
                    </m:rPr>
                    <m:t>c</m:t>
                  </m:r>
                  <m:r>
                    <m:rPr>
                      <m:sty m:val="p"/>
                    </m:rPr>
                    <m:t>y</m:t>
                  </m:r>
                  <m:r>
                    <m:rPr>
                      <m:sty m:val="p"/>
                    </m:rPr>
                    <m:t>_</m:t>
                  </m:r>
                  <m:r>
                    <m:rPr>
                      <m:sty m:val="p"/>
                    </m:rPr>
                    <m:t>h</m:t>
                  </m:r>
                  <m:r>
                    <m:rPr>
                      <m:sty m:val="p"/>
                    </m:rPr>
                    <m:t>e</m:t>
                  </m:r>
                  <m:r>
                    <m:rPr>
                      <m:sty m:val="p"/>
                    </m:rPr>
                    <m:t>r</m:t>
                  </m:r>
                  <m:r>
                    <m:rPr>
                      <m:sty m:val="p"/>
                    </m:rPr>
                    <m:t>i</m:t>
                  </m:r>
                  <m:r>
                    <m:rPr>
                      <m:sty m:val="p"/>
                    </m:rPr>
                    <m:t>t</m:t>
                  </m:r>
                  <m:r>
                    <m:rPr>
                      <m:sty m:val="p"/>
                    </m:rPr>
                    <m:t>a</m:t>
                  </m:r>
                  <m:r>
                    <m:rPr>
                      <m:sty m:val="p"/>
                    </m:rPr>
                    <m:t>g</m:t>
                  </m:r>
                  <m:r>
                    <m:rPr>
                      <m:sty m:val="p"/>
                    </m:rPr>
                    <m:t>e</m:t>
                  </m:r>
                </m:e>
                <m:sub>
                  <m:r>
                    <m:t>i</m:t>
                  </m:r>
                </m:sub>
              </m:sSub>
              <m:r>
                <m:rPr>
                  <m:sty m:val="p"/>
                </m:rPr>
                <m:t>+</m:t>
              </m:r>
              <m:sSub>
                <m:e>
                  <m:r>
                    <m:t>β</m:t>
                  </m:r>
                </m:e>
                <m:sub>
                  <m:r>
                    <m:t>2</m:t>
                  </m:r>
                </m:sub>
              </m:sSub>
              <m:r>
                <m:t> </m:t>
              </m:r>
              <m:sSub>
                <m:e>
                  <m:r>
                    <m:rPr>
                      <m:sty m:val="p"/>
                    </m:rPr>
                    <m:t>p</m:t>
                  </m:r>
                  <m:r>
                    <m:rPr>
                      <m:sty m:val="p"/>
                    </m:rPr>
                    <m:t>r</m:t>
                  </m:r>
                  <m:r>
                    <m:rPr>
                      <m:sty m:val="p"/>
                    </m:rPr>
                    <m:t>i</m:t>
                  </m:r>
                  <m:r>
                    <m:rPr>
                      <m:sty m:val="p"/>
                    </m:rPr>
                    <m:t>o</m:t>
                  </m:r>
                  <m:r>
                    <m:rPr>
                      <m:sty m:val="p"/>
                    </m:rPr>
                    <m:t>r</m:t>
                  </m:r>
                  <m:r>
                    <m:rPr>
                      <m:sty m:val="p"/>
                    </m:rPr>
                    <m:t>_</m:t>
                  </m:r>
                  <m:r>
                    <m:rPr>
                      <m:sty m:val="p"/>
                    </m:rPr>
                    <m:t>a</m:t>
                  </m:r>
                  <m:r>
                    <m:rPr>
                      <m:sty m:val="p"/>
                    </m:rPr>
                    <m:t>t</m:t>
                  </m:r>
                  <m:r>
                    <m:rPr>
                      <m:sty m:val="p"/>
                    </m:rPr>
                    <m:t>t</m:t>
                  </m:r>
                  <m:r>
                    <m:rPr>
                      <m:sty m:val="p"/>
                    </m:rPr>
                    <m:t>e</m:t>
                  </m:r>
                  <m:r>
                    <m:rPr>
                      <m:sty m:val="p"/>
                    </m:rPr>
                    <m:t>m</m:t>
                  </m:r>
                  <m:r>
                    <m:rPr>
                      <m:sty m:val="p"/>
                    </m:rPr>
                    <m:t>p</m:t>
                  </m:r>
                  <m:r>
                    <m:rPr>
                      <m:sty m:val="p"/>
                    </m:rPr>
                    <m:t>t</m:t>
                  </m:r>
                  <m:r>
                    <m:rPr>
                      <m:sty m:val="p"/>
                    </m:rPr>
                    <m:t>s</m:t>
                  </m:r>
                </m:e>
                <m:sub>
                  <m:r>
                    <m:t>i</m:t>
                  </m:r>
                </m:sub>
              </m:sSub>
              <m:r>
                <m:rPr>
                  <m:sty m:val="p"/>
                </m:rPr>
                <m:t>+</m:t>
              </m:r>
              <m:sSub>
                <m:e>
                  <m:r>
                    <m:t>β</m:t>
                  </m:r>
                </m:e>
                <m:sub>
                  <m:r>
                    <m:t>3</m:t>
                  </m:r>
                </m:sub>
              </m:sSub>
              <m:r>
                <m:t> </m:t>
              </m:r>
              <m:sSub>
                <m:e>
                  <m:r>
                    <m:rPr>
                      <m:sty m:val="p"/>
                    </m:rPr>
                    <m:t>l</m:t>
                  </m:r>
                  <m:r>
                    <m:rPr>
                      <m:sty m:val="p"/>
                    </m:rPr>
                    <m:t>a</m:t>
                  </m:r>
                  <m:r>
                    <m:rPr>
                      <m:sty m:val="p"/>
                    </m:rPr>
                    <m:t>n</m:t>
                  </m:r>
                  <m:r>
                    <m:rPr>
                      <m:sty m:val="p"/>
                    </m:rPr>
                    <m:t>d</m:t>
                  </m:r>
                  <m:r>
                    <m:rPr>
                      <m:sty m:val="p"/>
                    </m:rPr>
                    <m:t>e</m:t>
                  </m:r>
                  <m:r>
                    <m:rPr>
                      <m:sty m:val="p"/>
                    </m:rPr>
                    <m:t>d</m:t>
                  </m:r>
                  <m:r>
                    <m:rPr>
                      <m:sty m:val="p"/>
                    </m:rPr>
                    <m:t>_</m:t>
                  </m:r>
                  <m:r>
                    <m:rPr>
                      <m:sty m:val="p"/>
                    </m:rPr>
                    <m:t>m</m:t>
                  </m:r>
                  <m:r>
                    <m:rPr>
                      <m:sty m:val="p"/>
                    </m:rPr>
                    <m:t>a</m:t>
                  </m:r>
                  <m:r>
                    <m:rPr>
                      <m:sty m:val="p"/>
                    </m:rPr>
                    <m:t>s</m:t>
                  </m:r>
                  <m:r>
                    <m:rPr>
                      <m:sty m:val="p"/>
                    </m:rPr>
                    <m:t>s</m:t>
                  </m:r>
                  <m:r>
                    <m:rPr>
                      <m:sty m:val="p"/>
                    </m:rPr>
                    <m:t>_</m:t>
                  </m:r>
                  <m:r>
                    <m:rPr>
                      <m:sty m:val="p"/>
                    </m:rPr>
                    <m:t>k</m:t>
                  </m:r>
                  <m:r>
                    <m:rPr>
                      <m:sty m:val="p"/>
                    </m:rPr>
                    <m:t>g</m:t>
                  </m:r>
                </m:e>
                <m:sub>
                  <m:r>
                    <m:t>i</m:t>
                  </m:r>
                </m:sub>
              </m:sSub>
            </m:e>
          </m:d>
        </m:oMath>
      </m:oMathPara>
    </w:p>
    <w:bookmarkEnd w:id="71"/>
    <w:bookmarkStart w:id="7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0.134</w:t>
            </w:r>
          </w:p>
        </w:tc>
        <w:tc>
          <w:tcPr>
            <w:tcW w:w="0" w:type="auto"/>
          </w:tcPr>
          <w:p>
            <w:pPr>
              <w:spacing w:line="240" w:lineRule="auto" w:before="0" w:after="0"/>
              <w:pStyle w:val="Compact"/>
            </w:pPr>
            <w:r>
              <w:rPr>
                <w:sz w:val="20"/>
                <w:szCs w:val="20"/>
              </w:rPr>
              <w:t xml:space="preserve">0.7361</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0.8556</w:t>
            </w:r>
          </w:p>
        </w:tc>
        <w:tc>
          <w:tcPr>
            <w:tcW w:w="0" w:type="auto"/>
          </w:tcPr>
          <w:p>
            <w:pPr>
              <w:spacing w:line="240" w:lineRule="auto" w:before="0" w:after="0"/>
              <w:pStyle w:val="Compact"/>
            </w:pPr>
            <w:r>
              <w:rPr>
                <w:sz w:val="20"/>
                <w:szCs w:val="20"/>
              </w:rPr>
              <w:t xml:space="preserve">[-1.3087, 1.5766]</w:t>
            </w:r>
          </w:p>
        </w:tc>
      </w:tr>
      <w:tr>
        <w:tc>
          <w:tcPr>
            <w:tcW w:w="0" w:type="auto"/>
          </w:tcPr>
          <w:p>
            <w:pPr>
              <w:spacing w:line="240" w:lineRule="auto" w:before="0" w:after="0"/>
              <w:pStyle w:val="Compact"/>
            </w:pPr>
            <w:r>
              <w:rPr>
                <w:sz w:val="20"/>
                <w:szCs w:val="20"/>
              </w:rPr>
              <w:t xml:space="preserve">agency_heritage</w:t>
            </w:r>
          </w:p>
        </w:tc>
        <w:tc>
          <w:tcPr>
            <w:tcW w:w="0" w:type="auto"/>
          </w:tcPr>
          <w:p>
            <w:pPr>
              <w:spacing w:line="240" w:lineRule="auto" w:before="0" w:after="0"/>
              <w:pStyle w:val="Compact"/>
            </w:pPr>
            <w:r>
              <w:rPr>
                <w:sz w:val="20"/>
                <w:szCs w:val="20"/>
              </w:rPr>
              <w:t xml:space="preserve">2.9695</w:t>
            </w:r>
          </w:p>
        </w:tc>
        <w:tc>
          <w:tcPr>
            <w:tcW w:w="0" w:type="auto"/>
          </w:tcPr>
          <w:p>
            <w:pPr>
              <w:spacing w:line="240" w:lineRule="auto" w:before="0" w:after="0"/>
              <w:pStyle w:val="Compact"/>
            </w:pPr>
            <w:r>
              <w:rPr>
                <w:sz w:val="20"/>
                <w:szCs w:val="20"/>
              </w:rPr>
              <w:t xml:space="preserve">1.2064</w:t>
            </w:r>
          </w:p>
        </w:tc>
        <w:tc>
          <w:tcPr>
            <w:tcW w:w="0" w:type="auto"/>
          </w:tcPr>
          <w:p>
            <w:pPr>
              <w:spacing w:line="240" w:lineRule="auto" w:before="0" w:after="0"/>
              <w:pStyle w:val="Compact"/>
            </w:pPr>
            <w:r>
              <w:rPr>
                <w:sz w:val="20"/>
                <w:szCs w:val="20"/>
              </w:rPr>
              <w:t xml:space="preserve">2.4615</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[0.605, 5.334]</w:t>
            </w:r>
          </w:p>
        </w:tc>
      </w:tr>
      <w:tr>
        <w:tc>
          <w:tcPr>
            <w:tcW w:w="0" w:type="auto"/>
          </w:tcPr>
          <w:p>
            <w:pPr>
              <w:spacing w:line="240" w:lineRule="auto" w:before="0" w:after="0"/>
              <w:pStyle w:val="Compact"/>
            </w:pPr>
            <w:r>
              <w:rPr>
                <w:sz w:val="20"/>
                <w:szCs w:val="20"/>
              </w:rPr>
              <w:t xml:space="preserve">prior_attempts</w:t>
            </w:r>
          </w:p>
        </w:tc>
        <w:tc>
          <w:tcPr>
            <w:tcW w:w="0" w:type="auto"/>
          </w:tcPr>
          <w:p>
            <w:pPr>
              <w:spacing w:line="240" w:lineRule="auto" w:before="0" w:after="0"/>
              <w:pStyle w:val="Compact"/>
            </w:pPr>
            <w:r>
              <w:rPr>
                <w:sz w:val="20"/>
                <w:szCs w:val="20"/>
              </w:rPr>
              <w:t xml:space="preserve">-0.1933</w:t>
            </w:r>
          </w:p>
        </w:tc>
        <w:tc>
          <w:tcPr>
            <w:tcW w:w="0" w:type="auto"/>
          </w:tcPr>
          <w:p>
            <w:pPr>
              <w:spacing w:line="240" w:lineRule="auto" w:before="0" w:after="0"/>
              <w:pStyle w:val="Compact"/>
            </w:pPr>
            <w:r>
              <w:rPr>
                <w:sz w:val="20"/>
                <w:szCs w:val="20"/>
              </w:rPr>
              <w:t xml:space="preserve">0.1927</w:t>
            </w:r>
          </w:p>
        </w:tc>
        <w:tc>
          <w:tcPr>
            <w:tcW w:w="0" w:type="auto"/>
          </w:tcPr>
          <w:p>
            <w:pPr>
              <w:spacing w:line="240" w:lineRule="auto" w:before="0" w:after="0"/>
              <w:pStyle w:val="Compact"/>
            </w:pPr>
            <w:r>
              <w:rPr>
                <w:sz w:val="20"/>
                <w:szCs w:val="20"/>
              </w:rPr>
              <w:t xml:space="preserve">-1.0029</w:t>
            </w:r>
          </w:p>
        </w:tc>
        <w:tc>
          <w:tcPr>
            <w:tcW w:w="0" w:type="auto"/>
          </w:tcPr>
          <w:p>
            <w:pPr>
              <w:spacing w:line="240" w:lineRule="auto" w:before="0" w:after="0"/>
              <w:pStyle w:val="Compact"/>
            </w:pPr>
            <w:r>
              <w:rPr>
                <w:sz w:val="20"/>
                <w:szCs w:val="20"/>
              </w:rPr>
              <w:t xml:space="preserve">0.3159</w:t>
            </w:r>
          </w:p>
        </w:tc>
        <w:tc>
          <w:tcPr>
            <w:tcW w:w="0" w:type="auto"/>
          </w:tcPr>
          <w:p>
            <w:pPr>
              <w:spacing w:line="240" w:lineRule="auto" w:before="0" w:after="0"/>
              <w:pStyle w:val="Compact"/>
            </w:pPr>
            <w:r>
              <w:rPr>
                <w:sz w:val="20"/>
                <w:szCs w:val="20"/>
              </w:rPr>
              <w:t xml:space="preserve">[-0.571, 0.1844]</w:t>
            </w:r>
          </w:p>
        </w:tc>
      </w:tr>
      <w:tr>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-0.0005398</w:t>
            </w:r>
          </w:p>
        </w:tc>
        <w:tc>
          <w:tcPr>
            <w:tcW w:w="0" w:type="auto"/>
          </w:tcPr>
          <w:p>
            <w:pPr>
              <w:spacing w:line="240" w:lineRule="auto" w:before="0" w:after="0"/>
              <w:pStyle w:val="Compact"/>
            </w:pPr>
            <w:r>
              <w:rPr>
                <w:sz w:val="20"/>
                <w:szCs w:val="20"/>
              </w:rPr>
              <w:t xml:space="preserve">0.0008841</w:t>
            </w:r>
          </w:p>
        </w:tc>
        <w:tc>
          <w:tcPr>
            <w:tcW w:w="0" w:type="auto"/>
          </w:tcPr>
          <w:p>
            <w:pPr>
              <w:spacing w:line="240" w:lineRule="auto" w:before="0" w:after="0"/>
              <w:pStyle w:val="Compact"/>
            </w:pPr>
            <w:r>
              <w:rPr>
                <w:sz w:val="20"/>
                <w:szCs w:val="20"/>
              </w:rPr>
              <w:t xml:space="preserve">-0.6106</w:t>
            </w:r>
          </w:p>
        </w:tc>
        <w:tc>
          <w:tcPr>
            <w:tcW w:w="0" w:type="auto"/>
          </w:tcPr>
          <w:p>
            <w:pPr>
              <w:spacing w:line="240" w:lineRule="auto" w:before="0" w:after="0"/>
              <w:pStyle w:val="Compact"/>
            </w:pPr>
            <w:r>
              <w:rPr>
                <w:sz w:val="20"/>
                <w:szCs w:val="20"/>
              </w:rPr>
              <w:t xml:space="preserve">0.5415</w:t>
            </w:r>
          </w:p>
        </w:tc>
        <w:tc>
          <w:tcPr>
            <w:tcW w:w="0" w:type="auto"/>
          </w:tcPr>
          <w:p>
            <w:pPr>
              <w:spacing w:line="240" w:lineRule="auto" w:before="0" w:after="0"/>
              <w:pStyle w:val="Compact"/>
            </w:pPr>
            <w:r>
              <w:rPr>
                <w:sz w:val="20"/>
                <w:szCs w:val="20"/>
              </w:rPr>
              <w:t xml:space="preserve">[-0.0023, 0.0012]</w:t>
            </w:r>
          </w:p>
        </w:tc>
      </w:tr>
    </w:tbl>
    <w:p>
      <w:pPr>
        <w:pStyle w:val="BodyText"/>
      </w:pPr>
      <w:r>
        <w:t xml:space="preserve">Fit: N = 37 pseudo_R2 = 0.2111 LL = -19.3594</w:t>
      </w:r>
    </w:p>
    <w:p>
      <w:pPr>
        <w:pStyle w:val="CaptionedFigure"/>
      </w:pPr>
      <w:r>
        <w:drawing>
          <wp:inline>
            <wp:extent cx="5669280" cy="3657600"/>
            <wp:effectExtent b="0" l="0" r="0" t="0"/>
            <wp:docPr descr="Figure 1. Each marker is one planetary EDL attempt, positioned by the operating agency’s accumulated prior surface-landing attempts and the binary EDL outcome. Successes concentrate among agencies with deeper attempt histories and prior realized heritage, the pattern the logit model formalizes as a success-probability surface in heritage, attempts, and landed mass." title="" id="73" name="Picture"/>
            <a:graphic>
              <a:graphicData uri="http://schemas.openxmlformats.org/drawingml/2006/picture">
                <pic:pic>
                  <pic:nvPicPr>
                    <pic:cNvPr descr="D:\Claude_Code\brain\collegium\candidates\dissertations\JPL_PLANETARY_07\research_papers\p2\paper_fig1.png" id="74" name="Picture"/>
                    <pic:cNvPicPr>
                      <a:picLocks noChangeArrowheads="1" noChangeAspect="1"/>
                    </pic:cNvPicPr>
                  </pic:nvPicPr>
                  <pic:blipFill>
                    <a:blip r:embed="rId7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Each marker is one planetary EDL attempt, positioned by the operating agency’s accumulated prior surface-landing attempts and the binary EDL outcome. Successes concentrate among agencies with deeper attempt histories and prior realized heritage, the pattern the logit model formalizes as a success-probability surface in heritage, attempts, and landed mass.</w:t>
      </w:r>
    </w:p>
    <w:bookmarkEnd w:id="75"/>
    <w:bookmarkStart w:id="7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body</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prior_attempts</w:t>
            </w:r>
          </w:p>
        </w:tc>
        <w:tc>
          <w:tcPr>
            <w:tcW w:w="0" w:type="auto"/>
          </w:tcPr>
          <w:p>
            <w:pPr>
              <w:spacing w:line="240" w:lineRule="auto" w:before="0" w:after="0"/>
              <w:pStyle w:val="Compact"/>
            </w:pPr>
            <w:r>
              <w:rPr>
                <w:sz w:val="20"/>
                <w:szCs w:val="20"/>
              </w:rPr>
              <w:t xml:space="preserve">agency_heritage</w:t>
            </w:r>
          </w:p>
        </w:tc>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edl_success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NSSDCA Mars chronology (nssdc.gsfc.nasa.gov/planetary/chronology_mars.html); descent module failed during entry, no surface data returned</w:t>
            </w:r>
          </w:p>
        </w:tc>
      </w:tr>
      <w:tr>
        <w:tc>
          <w:tcPr>
            <w:tcW w:w="0" w:type="auto"/>
          </w:tcPr>
          <w:p>
            <w:pPr>
              <w:spacing w:line="240" w:lineRule="auto" w:before="0" w:after="0"/>
              <w:pStyle w:val="Compact"/>
            </w:pPr>
            <w:r>
              <w:rPr>
                <w:sz w:val="20"/>
                <w:szCs w:val="20"/>
              </w:rPr>
              <w:t xml:space="preserve">Mars 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soft landing then signal loss after ~110 s, coded failure to deliver sustained surface operations</w:t>
            </w:r>
          </w:p>
        </w:tc>
      </w:tr>
      <w:tr>
        <w:tc>
          <w:tcPr>
            <w:tcW w:w="0" w:type="auto"/>
          </w:tcPr>
          <w:p>
            <w:pPr>
              <w:spacing w:line="240" w:lineRule="auto" w:before="0" w:after="0"/>
              <w:pStyle w:val="Compact"/>
            </w:pPr>
            <w:r>
              <w:rPr>
                <w:sz w:val="20"/>
                <w:szCs w:val="20"/>
              </w:rPr>
              <w:t xml:space="preserve">Mars 6</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(mass 635 kg); contact lost during descent, no surface data</w:t>
            </w:r>
          </w:p>
        </w:tc>
      </w:tr>
      <w:tr>
        <w:tc>
          <w:tcPr>
            <w:tcW w:w="0" w:type="auto"/>
          </w:tcPr>
          <w:p>
            <w:pPr>
              <w:spacing w:line="240" w:lineRule="auto" w:before="0" w:after="0"/>
              <w:pStyle w:val="Compact"/>
            </w:pPr>
            <w:r>
              <w:rPr>
                <w:sz w:val="20"/>
                <w:szCs w:val="20"/>
              </w:rPr>
              <w:t xml:space="preserve">Mars 7</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(mass 635 kg); descent module missed planet, failure</w:t>
            </w:r>
          </w:p>
        </w:tc>
      </w:tr>
      <w:tr>
        <w:tc>
          <w:tcPr>
            <w:tcW w:w="0" w:type="auto"/>
          </w:tcPr>
          <w:p>
            <w:pPr>
              <w:spacing w:line="240" w:lineRule="auto" w:before="0" w:after="0"/>
              <w:pStyle w:val="Compact"/>
            </w:pPr>
            <w:r>
              <w:rPr>
                <w:sz w:val="20"/>
                <w:szCs w:val="20"/>
              </w:rPr>
              <w:t xml:space="preserve">Viking 1</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572 kg); space.com Mars landings; first fully successful US Mars soft landing 1976</w:t>
            </w:r>
          </w:p>
        </w:tc>
      </w:tr>
      <w:tr>
        <w:tc>
          <w:tcPr>
            <w:tcW w:w="0" w:type="auto"/>
          </w:tcPr>
          <w:p>
            <w:pPr>
              <w:spacing w:line="240" w:lineRule="auto" w:before="0" w:after="0"/>
              <w:pStyle w:val="Compact"/>
            </w:pPr>
            <w:r>
              <w:rPr>
                <w:sz w:val="20"/>
                <w:szCs w:val="20"/>
              </w:rPr>
              <w:t xml:space="preserve">Viking 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572 kg); successful soft landing Sept 1976</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361 kg); first airbag-class success, delivered Sojourner 1997</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(mass 583 kg); NASA MPL failure board: lost during propulsive descent 1999</w:t>
            </w:r>
          </w:p>
        </w:tc>
      </w:tr>
      <w:tr>
        <w:tc>
          <w:tcPr>
            <w:tcW w:w="0" w:type="auto"/>
          </w:tcPr>
          <w:p>
            <w:pPr>
              <w:spacing w:line="240" w:lineRule="auto" w:before="0" w:after="0"/>
              <w:pStyle w:val="Compact"/>
            </w:pPr>
            <w:r>
              <w:rPr>
                <w:sz w:val="20"/>
                <w:szCs w:val="20"/>
              </w:rPr>
              <w:t xml:space="preserve">Beagle 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(mass 33.2 kg); landed but solar panels failed to fully deploy, no comms, coded failure</w:t>
            </w:r>
          </w:p>
        </w:tc>
      </w:tr>
      <w:tr>
        <w:tc>
          <w:tcPr>
            <w:tcW w:w="0" w:type="auto"/>
          </w:tcPr>
          <w:p>
            <w:pPr>
              <w:spacing w:line="240" w:lineRule="auto" w:before="0" w:after="0"/>
              <w:pStyle w:val="Compact"/>
            </w:pPr>
            <w:r>
              <w:rPr>
                <w:sz w:val="20"/>
                <w:szCs w:val="20"/>
              </w:rPr>
              <w:t xml:space="preserve">Spirit</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174 kg); MER-A airbag success Jan 2004</w:t>
            </w:r>
          </w:p>
        </w:tc>
      </w:tr>
      <w:tr>
        <w:tc>
          <w:tcPr>
            <w:tcW w:w="0" w:type="auto"/>
          </w:tcPr>
          <w:p>
            <w:pPr>
              <w:spacing w:line="240" w:lineRule="auto" w:before="0" w:after="0"/>
              <w:pStyle w:val="Compact"/>
            </w:pPr>
            <w:r>
              <w:rPr>
                <w:sz w:val="20"/>
                <w:szCs w:val="20"/>
              </w:rPr>
              <w:t xml:space="preserve">Opportunity</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174 kg); MER-B airbag success Jan 2004</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350 kg); propulsive terminal-descent success 2008</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899 kg); first sky-crane success Aug 2012</w:t>
            </w:r>
          </w:p>
        </w:tc>
      </w:tr>
      <w:tr>
        <w:tc>
          <w:tcPr>
            <w:tcW w:w="0" w:type="auto"/>
          </w:tcPr>
          <w:p>
            <w:pPr>
              <w:spacing w:line="240" w:lineRule="auto" w:before="0" w:after="0"/>
              <w:pStyle w:val="Compact"/>
            </w:pPr>
            <w:r>
              <w:rPr>
                <w:sz w:val="20"/>
                <w:szCs w:val="20"/>
              </w:rPr>
              <w:t xml:space="preserve">Schiaparelli EDM</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(mass 577 kg); Bonetti et al., Acta Astronautica 149, 2018, doi:10.1016/j.actaastro.2018.05.029: IMU saturation, ground impact</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727 kg); propulsive success Nov 2018</w:t>
            </w:r>
          </w:p>
        </w:tc>
      </w:tr>
      <w:tr>
        <w:tc>
          <w:tcPr>
            <w:tcW w:w="0" w:type="auto"/>
          </w:tcPr>
          <w:p>
            <w:pPr>
              <w:spacing w:line="240" w:lineRule="auto" w:before="0" w:after="0"/>
              <w:pStyle w:val="Compact"/>
            </w:pPr>
            <w:r>
              <w:rPr>
                <w:sz w:val="20"/>
                <w:szCs w:val="20"/>
              </w:rPr>
              <w:t xml:space="preserve">Perseverance</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Mars 2020 Perseverance landing press kit (jpl.nasa.gov/news/press_kits/mars_2020/landing); landed mass 1025 kg, sky-crane success Feb 2021</w:t>
            </w:r>
          </w:p>
        </w:tc>
      </w:tr>
      <w:tr>
        <w:tc>
          <w:tcPr>
            <w:tcW w:w="0" w:type="auto"/>
          </w:tcPr>
          <w:p>
            <w:pPr>
              <w:spacing w:line="240" w:lineRule="auto" w:before="0" w:after="0"/>
              <w:pStyle w:val="Compact"/>
            </w:pPr>
            <w:r>
              <w:rPr>
                <w:sz w:val="20"/>
                <w:szCs w:val="20"/>
              </w:rPr>
              <w:t xml:space="preserve">Zhurong</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240 kg); Tianwen-1 lander/rover success May 2021</w:t>
            </w:r>
          </w:p>
        </w:tc>
      </w:tr>
      <w:tr>
        <w:tc>
          <w:tcPr>
            <w:tcW w:w="0" w:type="auto"/>
          </w:tcPr>
          <w:p>
            <w:pPr>
              <w:spacing w:line="240" w:lineRule="auto" w:before="0" w:after="0"/>
              <w:pStyle w:val="Compact"/>
            </w:pPr>
            <w:r>
              <w:rPr>
                <w:sz w:val="20"/>
                <w:szCs w:val="20"/>
              </w:rPr>
              <w:t xml:space="preserve">Luna 9</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first lunar soft landing Feb 1966, capsule ~99 kg</w:t>
            </w:r>
          </w:p>
        </w:tc>
      </w:tr>
      <w:tr>
        <w:tc>
          <w:tcPr>
            <w:tcW w:w="0" w:type="auto"/>
          </w:tcPr>
          <w:p>
            <w:pPr>
              <w:spacing w:line="240" w:lineRule="auto" w:before="0" w:after="0"/>
              <w:pStyle w:val="Compact"/>
            </w:pPr>
            <w:r>
              <w:rPr>
                <w:sz w:val="20"/>
                <w:szCs w:val="20"/>
              </w:rPr>
              <w:t xml:space="preserve">Surveyor 1</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first US lunar soft landing June 1966, ~292 kg</w:t>
            </w:r>
          </w:p>
        </w:tc>
      </w:tr>
      <w:tr>
        <w:tc>
          <w:tcPr>
            <w:tcW w:w="0" w:type="auto"/>
          </w:tcPr>
          <w:p>
            <w:pPr>
              <w:spacing w:line="240" w:lineRule="auto" w:before="0" w:after="0"/>
              <w:pStyle w:val="Compact"/>
            </w:pPr>
            <w:r>
              <w:rPr>
                <w:sz w:val="20"/>
                <w:szCs w:val="20"/>
              </w:rPr>
              <w:t xml:space="preserve">Chang’e 3</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first Chinese lunar soft landing Dec 2013, lander ~1200 kg</w:t>
            </w:r>
          </w:p>
        </w:tc>
      </w:tr>
      <w:tr>
        <w:tc>
          <w:tcPr>
            <w:tcW w:w="0" w:type="auto"/>
          </w:tcPr>
          <w:p>
            <w:pPr>
              <w:spacing w:line="240" w:lineRule="auto" w:before="0" w:after="0"/>
              <w:pStyle w:val="Compact"/>
            </w:pPr>
            <w:r>
              <w:rPr>
                <w:sz w:val="20"/>
                <w:szCs w:val="20"/>
              </w:rPr>
              <w:t xml:space="preserve">Chang’e 4</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far-side soft landing Jan 2019</w:t>
            </w:r>
          </w:p>
        </w:tc>
      </w:tr>
      <w:tr>
        <w:tc>
          <w:tcPr>
            <w:tcW w:w="0" w:type="auto"/>
          </w:tcPr>
          <w:p>
            <w:pPr>
              <w:spacing w:line="240" w:lineRule="auto" w:before="0" w:after="0"/>
              <w:pStyle w:val="Compact"/>
            </w:pPr>
            <w:r>
              <w:rPr>
                <w:sz w:val="20"/>
                <w:szCs w:val="20"/>
              </w:rPr>
              <w:t xml:space="preserve">Chandrayaan-2 Vikram</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Moon landing; Vikram crashed during powered descent Sept 2019, lander ~1471 kg</w:t>
            </w:r>
          </w:p>
        </w:tc>
      </w:tr>
      <w:tr>
        <w:tc>
          <w:tcPr>
            <w:tcW w:w="0" w:type="auto"/>
          </w:tcPr>
          <w:p>
            <w:pPr>
              <w:spacing w:line="240" w:lineRule="auto" w:before="0" w:after="0"/>
              <w:pStyle w:val="Compact"/>
            </w:pPr>
            <w:r>
              <w:rPr>
                <w:sz w:val="20"/>
                <w:szCs w:val="20"/>
              </w:rPr>
              <w:t xml:space="preserve">Chandrayaan-3</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south-pole soft landing Aug 2023, lander ~1749 kg</w:t>
            </w:r>
          </w:p>
        </w:tc>
      </w:tr>
      <w:tr>
        <w:tc>
          <w:tcPr>
            <w:tcW w:w="0" w:type="auto"/>
          </w:tcPr>
          <w:p>
            <w:pPr>
              <w:spacing w:line="240" w:lineRule="auto" w:before="0" w:after="0"/>
              <w:pStyle w:val="Compact"/>
            </w:pPr>
            <w:r>
              <w:rPr>
                <w:sz w:val="20"/>
                <w:szCs w:val="20"/>
              </w:rPr>
              <w:t xml:space="preserve">Beresheet</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Moon landing; SpaceIL Beresheet crashed Apr 2019, dry mass ~150 kg</w:t>
            </w:r>
          </w:p>
        </w:tc>
      </w:tr>
      <w:tr>
        <w:tc>
          <w:tcPr>
            <w:tcW w:w="0" w:type="auto"/>
          </w:tcPr>
          <w:p>
            <w:pPr>
              <w:spacing w:line="240" w:lineRule="auto" w:before="0" w:after="0"/>
              <w:pStyle w:val="Compact"/>
            </w:pPr>
            <w:r>
              <w:rPr>
                <w:sz w:val="20"/>
                <w:szCs w:val="20"/>
              </w:rPr>
              <w:t xml:space="preserve">Hakuto-R M1</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Moon landing; ispace M1 crashed during descent Apr 2023, dry mass ~340 kg</w:t>
            </w:r>
          </w:p>
        </w:tc>
      </w:tr>
      <w:tr>
        <w:tc>
          <w:tcPr>
            <w:tcW w:w="0" w:type="auto"/>
          </w:tcPr>
          <w:p>
            <w:pPr>
              <w:spacing w:line="240" w:lineRule="auto" w:before="0" w:after="0"/>
              <w:pStyle w:val="Compact"/>
            </w:pPr>
            <w:r>
              <w:rPr>
                <w:sz w:val="20"/>
                <w:szCs w:val="20"/>
              </w:rPr>
              <w:t xml:space="preserve">Luna 25</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Moon landing; Luna 25 impacted Moon Aug 2023; agency lunar-lander heritage from Soviet Luna lineage, lander ~800 kg</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JAXA SLIM precision soft landing Jan 2024, dry mass ~200 kg</w:t>
            </w:r>
          </w:p>
        </w:tc>
      </w:tr>
      <w:tr>
        <w:tc>
          <w:tcPr>
            <w:tcW w:w="0" w:type="auto"/>
          </w:tcPr>
          <w:p>
            <w:pPr>
              <w:spacing w:line="240" w:lineRule="auto" w:before="0" w:after="0"/>
              <w:pStyle w:val="Compact"/>
            </w:pPr>
            <w:r>
              <w:rPr>
                <w:sz w:val="20"/>
                <w:szCs w:val="20"/>
              </w:rPr>
              <w:t xml:space="preserve">IM-1 Odysseus</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Intuitive Machines Odysseus soft landing Feb 2024 (tipped but operational), ~675 kg</w:t>
            </w:r>
          </w:p>
        </w:tc>
      </w:tr>
      <w:tr>
        <w:tc>
          <w:tcPr>
            <w:tcW w:w="0" w:type="auto"/>
          </w:tcPr>
          <w:p>
            <w:pPr>
              <w:spacing w:line="240" w:lineRule="auto" w:before="0" w:after="0"/>
              <w:pStyle w:val="Compact"/>
            </w:pPr>
            <w:r>
              <w:rPr>
                <w:sz w:val="20"/>
                <w:szCs w:val="20"/>
              </w:rPr>
              <w:t xml:space="preserve">Venera 3</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Venera; crashed on Venus surface 1966, no data, ~960 kg descent craft</w:t>
            </w:r>
          </w:p>
        </w:tc>
      </w:tr>
      <w:tr>
        <w:tc>
          <w:tcPr>
            <w:tcW w:w="0" w:type="auto"/>
          </w:tcPr>
          <w:p>
            <w:pPr>
              <w:spacing w:line="240" w:lineRule="auto" w:before="0" w:after="0"/>
              <w:pStyle w:val="Compact"/>
            </w:pPr>
            <w:r>
              <w:rPr>
                <w:sz w:val="20"/>
                <w:szCs w:val="20"/>
              </w:rPr>
              <w:t xml:space="preserve">Venera 4</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Venera; transmitted during descent but crushed before reaching surface 1967, coded surface-delivery failure</w:t>
            </w:r>
          </w:p>
        </w:tc>
      </w:tr>
      <w:tr>
        <w:tc>
          <w:tcPr>
            <w:tcW w:w="0" w:type="auto"/>
          </w:tcPr>
          <w:p>
            <w:pPr>
              <w:spacing w:line="240" w:lineRule="auto" w:before="0" w:after="0"/>
              <w:pStyle w:val="Compact"/>
            </w:pPr>
            <w:r>
              <w:rPr>
                <w:sz w:val="20"/>
                <w:szCs w:val="20"/>
              </w:rPr>
              <w:t xml:space="preserve">Venera 7</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Venera; first soft landing transmitting from another planet’s surface Dec 1970, ~500 kg</w:t>
            </w:r>
          </w:p>
        </w:tc>
      </w:tr>
      <w:tr>
        <w:tc>
          <w:tcPr>
            <w:tcW w:w="0" w:type="auto"/>
          </w:tcPr>
          <w:p>
            <w:pPr>
              <w:spacing w:line="240" w:lineRule="auto" w:before="0" w:after="0"/>
              <w:pStyle w:val="Compact"/>
            </w:pPr>
            <w:r>
              <w:rPr>
                <w:sz w:val="20"/>
                <w:szCs w:val="20"/>
              </w:rPr>
              <w:t xml:space="preserve">Venera 8</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Venera; surface transmission ~50 min July 1972, ~495 kg</w:t>
            </w:r>
          </w:p>
        </w:tc>
      </w:tr>
      <w:tr>
        <w:tc>
          <w:tcPr>
            <w:tcW w:w="0" w:type="auto"/>
          </w:tcPr>
          <w:p>
            <w:pPr>
              <w:spacing w:line="240" w:lineRule="auto" w:before="0" w:after="0"/>
              <w:pStyle w:val="Compact"/>
            </w:pPr>
            <w:r>
              <w:rPr>
                <w:sz w:val="20"/>
                <w:szCs w:val="20"/>
              </w:rPr>
              <w:t xml:space="preserve">Venera 9</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Venera; first surface images, ~53 min Oct 1975, lander ~660 kg</w:t>
            </w:r>
          </w:p>
        </w:tc>
      </w:tr>
      <w:tr>
        <w:tc>
          <w:tcPr>
            <w:tcW w:w="0" w:type="auto"/>
          </w:tcPr>
          <w:p>
            <w:pPr>
              <w:spacing w:line="240" w:lineRule="auto" w:before="0" w:after="0"/>
              <w:pStyle w:val="Compact"/>
            </w:pPr>
            <w:r>
              <w:rPr>
                <w:sz w:val="20"/>
                <w:szCs w:val="20"/>
              </w:rPr>
              <w:t xml:space="preserve">Venera 13</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Venera; survived 127 min, color surface images Mar 1982, lander ~760 kg</w:t>
            </w:r>
          </w:p>
        </w:tc>
      </w:tr>
      <w:tr>
        <w:tc>
          <w:tcPr>
            <w:tcW w:w="0" w:type="auto"/>
          </w:tcPr>
          <w:p>
            <w:pPr>
              <w:spacing w:line="240" w:lineRule="auto" w:before="0" w:after="0"/>
              <w:pStyle w:val="Compact"/>
            </w:pPr>
            <w:r>
              <w:rPr>
                <w:sz w:val="20"/>
                <w:szCs w:val="20"/>
              </w:rPr>
              <w:t xml:space="preserve">Vega 1</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Venera/Vega; lander surface-science sequence triggered early during descent, coded surface-science failure 1985, ~1500 kg [illustrative mass]</w:t>
            </w:r>
          </w:p>
        </w:tc>
      </w:tr>
      <w:tr>
        <w:tc>
          <w:tcPr>
            <w:tcW w:w="0" w:type="auto"/>
          </w:tcPr>
          <w:p>
            <w:pPr>
              <w:spacing w:line="240" w:lineRule="auto" w:before="0" w:after="0"/>
              <w:pStyle w:val="Compact"/>
            </w:pPr>
            <w:r>
              <w:rPr>
                <w:sz w:val="20"/>
                <w:szCs w:val="20"/>
              </w:rPr>
              <w:t xml:space="preserve">Vega 2</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Venera/Vega; lander operated ~56 min on surface June 1985, ~1500 kg [illustrative mass]</w:t>
            </w:r>
          </w:p>
        </w:tc>
      </w:tr>
      <w:tr>
        <w:tc>
          <w:tcPr>
            <w:tcW w:w="0" w:type="auto"/>
          </w:tcPr>
          <w:p>
            <w:pPr>
              <w:spacing w:line="240" w:lineRule="auto" w:before="0" w:after="0"/>
              <w:pStyle w:val="Compact"/>
            </w:pPr>
            <w:r>
              <w:rPr>
                <w:sz w:val="20"/>
                <w:szCs w:val="20"/>
              </w:rPr>
              <w:t xml:space="preserve">Titan Huygens</w:t>
            </w:r>
          </w:p>
        </w:tc>
        <w:tc>
          <w:tcPr>
            <w:tcW w:w="0" w:type="auto"/>
          </w:tcPr>
          <w:p>
            <w:pPr>
              <w:spacing w:line="240" w:lineRule="auto" w:before="0" w:after="0"/>
              <w:pStyle w:val="Compact"/>
            </w:pPr>
            <w:r>
              <w:rPr>
                <w:sz w:val="20"/>
                <w:szCs w:val="20"/>
              </w:rPr>
              <w:t xml:space="preserve">Titan</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NSSDCA Huygens probe; first Titan soft landing Jan 2005, ~318 kg probe, first-of-class outer-moon entry</w:t>
            </w:r>
          </w:p>
        </w:tc>
      </w:tr>
    </w:tbl>
    <w:bookmarkEnd w:id="76"/>
    <w:bookmarkStart w:id="7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edl_success</w:t>
            </w:r>
          </w:p>
        </w:tc>
        <w:tc>
          <w:tcPr>
            <w:tcW w:w="0" w:type="auto"/>
          </w:tcPr>
          <w:p>
            <w:pPr>
              <w:spacing w:line="240" w:lineRule="auto" w:before="0" w:after="0"/>
              <w:pStyle w:val="Compact"/>
            </w:pPr>
            <w:r>
              <w:rPr>
                <w:sz w:val="20"/>
                <w:szCs w:val="20"/>
              </w:rPr>
              <w:t xml:space="preserve">Binary outcome: 1 if the entry, descent, and landing sequence delivered a surviving, surface-operating configuration that returned data; 0 if the vehicle was lost during or immediately after descent. Partial cases that failed to reach functional surface operation (Mars 3, Beagle 2, Venera 4) are coded 0.</w:t>
            </w:r>
          </w:p>
        </w:tc>
        <w:tc>
          <w:tcPr>
            <w:tcW w:w="0" w:type="auto"/>
          </w:tcPr>
          <w:p>
            <w:pPr>
              <w:spacing w:line="240" w:lineRule="auto" w:before="0" w:after="0"/>
              <w:pStyle w:val="Compact"/>
            </w:pPr>
            <w:r>
              <w:rPr>
                <w:sz w:val="20"/>
                <w:szCs w:val="20"/>
              </w:rPr>
              <w:t xml:space="preserve">Documented mission outcomes from NASA NSSDCA records, the Wikipedia List of Mars landers / Moon landing / Venera summaries, and the Schiaparelli reconstruction (Bonetti et al., Acta Astronautica 149, 2018), cited per row in data.csv</w:t>
            </w:r>
          </w:p>
        </w:tc>
      </w:tr>
      <w:tr>
        <w:tc>
          <w:tcPr>
            <w:tcW w:w="0" w:type="auto"/>
          </w:tcPr>
          <w:p>
            <w:pPr>
              <w:spacing w:line="240" w:lineRule="auto" w:before="0" w:after="0"/>
              <w:pStyle w:val="Compact"/>
            </w:pPr>
            <w:r>
              <w:rPr>
                <w:sz w:val="20"/>
                <w:szCs w:val="20"/>
              </w:rPr>
              <w:t xml:space="preserve">agency_heritage</w:t>
            </w:r>
          </w:p>
        </w:tc>
        <w:tc>
          <w:tcPr>
            <w:tcW w:w="0" w:type="auto"/>
          </w:tcPr>
          <w:p>
            <w:pPr>
              <w:spacing w:line="240" w:lineRule="auto" w:before="0" w:after="0"/>
              <w:pStyle w:val="Compact"/>
            </w:pPr>
            <w:r>
              <w:rPr>
                <w:sz w:val="20"/>
                <w:szCs w:val="20"/>
              </w:rPr>
              <w:t xml:space="preserve">Institutional heritage indicator: 1 if the operating agency had achieved at least one prior successful planetary soft landing on any body before this attempt; 0 otherwise. This cross-body institutional measure, rather than a single-body or per-subsystem flag, is the design choice that distinguishes this test.</w:t>
            </w:r>
          </w:p>
        </w:tc>
        <w:tc>
          <w:tcPr>
            <w:tcW w:w="0" w:type="auto"/>
          </w:tcPr>
          <w:p>
            <w:pPr>
              <w:spacing w:line="240" w:lineRule="auto" w:before="0" w:after="0"/>
              <w:pStyle w:val="Compact"/>
            </w:pPr>
            <w:r>
              <w:rPr>
                <w:sz w:val="20"/>
                <w:szCs w:val="20"/>
              </w:rPr>
              <w:t xml:space="preserve">Derived from the chronologically ordered, agency-tagged attempt record compiled in data.csv from NSSDCA and mission sources</w:t>
            </w:r>
          </w:p>
        </w:tc>
      </w:tr>
      <w:tr>
        <w:tc>
          <w:tcPr>
            <w:tcW w:w="0" w:type="auto"/>
          </w:tcPr>
          <w:p>
            <w:pPr>
              <w:spacing w:line="240" w:lineRule="auto" w:before="0" w:after="0"/>
              <w:pStyle w:val="Compact"/>
            </w:pPr>
            <w:r>
              <w:rPr>
                <w:sz w:val="20"/>
                <w:szCs w:val="20"/>
              </w:rPr>
              <w:t xml:space="preserve">prior_attempts</w:t>
            </w:r>
          </w:p>
        </w:tc>
        <w:tc>
          <w:tcPr>
            <w:tcW w:w="0" w:type="auto"/>
          </w:tcPr>
          <w:p>
            <w:pPr>
              <w:spacing w:line="240" w:lineRule="auto" w:before="0" w:after="0"/>
              <w:pStyle w:val="Compact"/>
            </w:pPr>
            <w:r>
              <w:rPr>
                <w:sz w:val="20"/>
                <w:szCs w:val="20"/>
              </w:rPr>
              <w:t xml:space="preserve">Program experience count: the number of prior planetary surface-landing attempts by the same operating agency on any body before this attempt, successful or not. Included to separate accumulated raw experience from realized institutional heritage.</w:t>
            </w:r>
          </w:p>
        </w:tc>
        <w:tc>
          <w:tcPr>
            <w:tcW w:w="0" w:type="auto"/>
          </w:tcPr>
          <w:p>
            <w:pPr>
              <w:spacing w:line="240" w:lineRule="auto" w:before="0" w:after="0"/>
              <w:pStyle w:val="Compact"/>
            </w:pPr>
            <w:r>
              <w:rPr>
                <w:sz w:val="20"/>
                <w:szCs w:val="20"/>
              </w:rPr>
              <w:t xml:space="preserve">Counted from the chronologically ordered agency attempt record in data.csv</w:t>
            </w:r>
          </w:p>
        </w:tc>
      </w:tr>
      <w:tr>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Documented landed or descent-module mass in kilograms, a physical-difficulty confound that co-moves with EDL difficulty because heavier landers demand more capable decelerators and terminal systems. Included so the heritage coefficient does not absorb mass-scaling of difficulty.</w:t>
            </w:r>
          </w:p>
        </w:tc>
        <w:tc>
          <w:tcPr>
            <w:tcW w:w="0" w:type="auto"/>
          </w:tcPr>
          <w:p>
            <w:pPr>
              <w:spacing w:line="240" w:lineRule="auto" w:before="0" w:after="0"/>
              <w:pStyle w:val="Compact"/>
            </w:pPr>
            <w:r>
              <w:rPr>
                <w:sz w:val="20"/>
                <w:szCs w:val="20"/>
              </w:rPr>
              <w:t xml:space="preserve">Per-mission landed/descent mass from NASA NSSDCA, mission press kits, and encyclopedic mission summaries cited per row in data.csv; two Vega masses marked [illustrative]</w:t>
            </w:r>
          </w:p>
        </w:tc>
      </w:tr>
    </w:tbl>
    <w:bookmarkEnd w:id="77"/>
    <w:bookmarkStart w:id="7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0.134</w:t>
            </w:r>
          </w:p>
        </w:tc>
        <w:tc>
          <w:tcPr>
            <w:tcW w:w="0" w:type="auto"/>
          </w:tcPr>
          <w:p>
            <w:pPr>
              <w:spacing w:line="240" w:lineRule="auto" w:before="0" w:after="0"/>
              <w:pStyle w:val="Compact"/>
            </w:pPr>
            <w:r>
              <w:rPr>
                <w:sz w:val="20"/>
                <w:szCs w:val="20"/>
              </w:rPr>
              <w:t xml:space="preserve">0.7361</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0.8556</w:t>
            </w:r>
          </w:p>
        </w:tc>
        <w:tc>
          <w:tcPr>
            <w:tcW w:w="0" w:type="auto"/>
          </w:tcPr>
          <w:p>
            <w:pPr>
              <w:spacing w:line="240" w:lineRule="auto" w:before="0" w:after="0"/>
              <w:pStyle w:val="Compact"/>
            </w:pPr>
            <w:r>
              <w:rPr>
                <w:sz w:val="20"/>
                <w:szCs w:val="20"/>
              </w:rPr>
              <w:t xml:space="preserve">[-1.3087, 1.5766]</w:t>
            </w:r>
          </w:p>
        </w:tc>
      </w:tr>
      <w:tr>
        <w:tc>
          <w:tcPr>
            <w:tcW w:w="0" w:type="auto"/>
          </w:tcPr>
          <w:p>
            <w:pPr>
              <w:spacing w:line="240" w:lineRule="auto" w:before="0" w:after="0"/>
              <w:pStyle w:val="Compact"/>
            </w:pPr>
            <w:r>
              <w:rPr>
                <w:sz w:val="20"/>
                <w:szCs w:val="20"/>
              </w:rPr>
              <w:t xml:space="preserve">agency_heritage</w:t>
            </w:r>
          </w:p>
        </w:tc>
        <w:tc>
          <w:tcPr>
            <w:tcW w:w="0" w:type="auto"/>
          </w:tcPr>
          <w:p>
            <w:pPr>
              <w:spacing w:line="240" w:lineRule="auto" w:before="0" w:after="0"/>
              <w:pStyle w:val="Compact"/>
            </w:pPr>
            <w:r>
              <w:rPr>
                <w:sz w:val="20"/>
                <w:szCs w:val="20"/>
              </w:rPr>
              <w:t xml:space="preserve">2.9695</w:t>
            </w:r>
          </w:p>
        </w:tc>
        <w:tc>
          <w:tcPr>
            <w:tcW w:w="0" w:type="auto"/>
          </w:tcPr>
          <w:p>
            <w:pPr>
              <w:spacing w:line="240" w:lineRule="auto" w:before="0" w:after="0"/>
              <w:pStyle w:val="Compact"/>
            </w:pPr>
            <w:r>
              <w:rPr>
                <w:sz w:val="20"/>
                <w:szCs w:val="20"/>
              </w:rPr>
              <w:t xml:space="preserve">1.2064</w:t>
            </w:r>
          </w:p>
        </w:tc>
        <w:tc>
          <w:tcPr>
            <w:tcW w:w="0" w:type="auto"/>
          </w:tcPr>
          <w:p>
            <w:pPr>
              <w:spacing w:line="240" w:lineRule="auto" w:before="0" w:after="0"/>
              <w:pStyle w:val="Compact"/>
            </w:pPr>
            <w:r>
              <w:rPr>
                <w:sz w:val="20"/>
                <w:szCs w:val="20"/>
              </w:rPr>
              <w:t xml:space="preserve">2.4615</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[0.605, 5.334]</w:t>
            </w:r>
          </w:p>
        </w:tc>
      </w:tr>
      <w:tr>
        <w:tc>
          <w:tcPr>
            <w:tcW w:w="0" w:type="auto"/>
          </w:tcPr>
          <w:p>
            <w:pPr>
              <w:spacing w:line="240" w:lineRule="auto" w:before="0" w:after="0"/>
              <w:pStyle w:val="Compact"/>
            </w:pPr>
            <w:r>
              <w:rPr>
                <w:sz w:val="20"/>
                <w:szCs w:val="20"/>
              </w:rPr>
              <w:t xml:space="preserve">prior_attempts</w:t>
            </w:r>
          </w:p>
        </w:tc>
        <w:tc>
          <w:tcPr>
            <w:tcW w:w="0" w:type="auto"/>
          </w:tcPr>
          <w:p>
            <w:pPr>
              <w:spacing w:line="240" w:lineRule="auto" w:before="0" w:after="0"/>
              <w:pStyle w:val="Compact"/>
            </w:pPr>
            <w:r>
              <w:rPr>
                <w:sz w:val="20"/>
                <w:szCs w:val="20"/>
              </w:rPr>
              <w:t xml:space="preserve">-0.1933</w:t>
            </w:r>
          </w:p>
        </w:tc>
        <w:tc>
          <w:tcPr>
            <w:tcW w:w="0" w:type="auto"/>
          </w:tcPr>
          <w:p>
            <w:pPr>
              <w:spacing w:line="240" w:lineRule="auto" w:before="0" w:after="0"/>
              <w:pStyle w:val="Compact"/>
            </w:pPr>
            <w:r>
              <w:rPr>
                <w:sz w:val="20"/>
                <w:szCs w:val="20"/>
              </w:rPr>
              <w:t xml:space="preserve">0.1927</w:t>
            </w:r>
          </w:p>
        </w:tc>
        <w:tc>
          <w:tcPr>
            <w:tcW w:w="0" w:type="auto"/>
          </w:tcPr>
          <w:p>
            <w:pPr>
              <w:spacing w:line="240" w:lineRule="auto" w:before="0" w:after="0"/>
              <w:pStyle w:val="Compact"/>
            </w:pPr>
            <w:r>
              <w:rPr>
                <w:sz w:val="20"/>
                <w:szCs w:val="20"/>
              </w:rPr>
              <w:t xml:space="preserve">-1.0029</w:t>
            </w:r>
          </w:p>
        </w:tc>
        <w:tc>
          <w:tcPr>
            <w:tcW w:w="0" w:type="auto"/>
          </w:tcPr>
          <w:p>
            <w:pPr>
              <w:spacing w:line="240" w:lineRule="auto" w:before="0" w:after="0"/>
              <w:pStyle w:val="Compact"/>
            </w:pPr>
            <w:r>
              <w:rPr>
                <w:sz w:val="20"/>
                <w:szCs w:val="20"/>
              </w:rPr>
              <w:t xml:space="preserve">0.3159</w:t>
            </w:r>
          </w:p>
        </w:tc>
        <w:tc>
          <w:tcPr>
            <w:tcW w:w="0" w:type="auto"/>
          </w:tcPr>
          <w:p>
            <w:pPr>
              <w:spacing w:line="240" w:lineRule="auto" w:before="0" w:after="0"/>
              <w:pStyle w:val="Compact"/>
            </w:pPr>
            <w:r>
              <w:rPr>
                <w:sz w:val="20"/>
                <w:szCs w:val="20"/>
              </w:rPr>
              <w:t xml:space="preserve">[-0.571, 0.1844]</w:t>
            </w:r>
          </w:p>
        </w:tc>
      </w:tr>
      <w:tr>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-0.0005398</w:t>
            </w:r>
          </w:p>
        </w:tc>
        <w:tc>
          <w:tcPr>
            <w:tcW w:w="0" w:type="auto"/>
          </w:tcPr>
          <w:p>
            <w:pPr>
              <w:spacing w:line="240" w:lineRule="auto" w:before="0" w:after="0"/>
              <w:pStyle w:val="Compact"/>
            </w:pPr>
            <w:r>
              <w:rPr>
                <w:sz w:val="20"/>
                <w:szCs w:val="20"/>
              </w:rPr>
              <w:t xml:space="preserve">0.0008841</w:t>
            </w:r>
          </w:p>
        </w:tc>
        <w:tc>
          <w:tcPr>
            <w:tcW w:w="0" w:type="auto"/>
          </w:tcPr>
          <w:p>
            <w:pPr>
              <w:spacing w:line="240" w:lineRule="auto" w:before="0" w:after="0"/>
              <w:pStyle w:val="Compact"/>
            </w:pPr>
            <w:r>
              <w:rPr>
                <w:sz w:val="20"/>
                <w:szCs w:val="20"/>
              </w:rPr>
              <w:t xml:space="preserve">-0.6106</w:t>
            </w:r>
          </w:p>
        </w:tc>
        <w:tc>
          <w:tcPr>
            <w:tcW w:w="0" w:type="auto"/>
          </w:tcPr>
          <w:p>
            <w:pPr>
              <w:spacing w:line="240" w:lineRule="auto" w:before="0" w:after="0"/>
              <w:pStyle w:val="Compact"/>
            </w:pPr>
            <w:r>
              <w:rPr>
                <w:sz w:val="20"/>
                <w:szCs w:val="20"/>
              </w:rPr>
              <w:t xml:space="preserve">0.5415</w:t>
            </w:r>
          </w:p>
        </w:tc>
        <w:tc>
          <w:tcPr>
            <w:tcW w:w="0" w:type="auto"/>
          </w:tcPr>
          <w:p>
            <w:pPr>
              <w:spacing w:line="240" w:lineRule="auto" w:before="0" w:after="0"/>
              <w:pStyle w:val="Compact"/>
            </w:pPr>
            <w:r>
              <w:rPr>
                <w:sz w:val="20"/>
                <w:szCs w:val="20"/>
              </w:rPr>
              <w:t xml:space="preserve">[-0.0023, 0.0012]</w:t>
            </w:r>
          </w:p>
        </w:tc>
      </w:tr>
    </w:tbl>
    <w:p>
      <w:pPr>
        <w:pStyle w:val="BodyText"/>
      </w:pPr>
      <w:r>
        <w:t xml:space="preserve">Fit: N = 37 pseudo_R2 = 0.2111 LL = -19.3594</w:t>
      </w:r>
    </w:p>
    <w:bookmarkEnd w:id="78"/>
    <w:bookmarkEnd w:id="79"/>
    <w:bookmarkEnd w:id="8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2" Target="media/rId72.png" /><Relationship Type="http://schemas.openxmlformats.org/officeDocument/2006/relationships/hyperlink" Id="rId69" Target="https://doi.org/10.1016/j.actaastro.2018.05.029"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1016/j.actaastro.2018.05.02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2026-06-25T14:25:42Z</dcterms:created>
  <dcterms:modified xsi:type="dcterms:W3CDTF">2026-06-25T14:25:42Z</dcterms:modified>
</cp:coreProperties>
</file>

<file path=docProps/custom.xml><?xml version="1.0" encoding="utf-8"?>
<Properties xmlns="http://schemas.openxmlformats.org/officeDocument/2006/custom-properties" xmlns:vt="http://schemas.openxmlformats.org/officeDocument/2006/docPropsVTypes"/>
</file>