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0efb7f7018e21b9b0e283901382bb4d506cf52b"/>
    <w:p>
      <w:pPr>
        <w:pStyle w:val="Heading1"/>
      </w:pPr>
      <w:r>
        <w:t xml:space="preserve">Does Subsystem Flight Heritage Raise the Odds of Surviving Mars Entry, Descent, and Landing? A Logistic Test on the Full Population of Robotic Mars Landing Attempts</w:t>
      </w:r>
    </w:p>
    <w:bookmarkStart w:id="61" w:name="introduction"/>
    <w:p>
      <w:pPr>
        <w:pStyle w:val="Heading2"/>
      </w:pPr>
      <w:r>
        <w:t xml:space="preserve">1. Introduction</w:t>
      </w:r>
    </w:p>
    <w:p>
      <w:pPr>
        <w:pStyle w:val="FirstParagraph"/>
      </w:pPr>
      <w:r>
        <w:t xml:space="preserve">Every robotic mission that intends to operate on the surface of Mars must first survive entry, descent, and landing, a sequence of a few minutes that chains an aerodynamic decelerator, a guidance and control function, and a terminal landing mechanism into a single non-recoverable event. The prevailing engineering argument for managing that risk is heritage: the reuse of a subsystem architecture that has already survived a Mars arrival is held to lower the probability of failure. The argument is invoked routinely in mission formulation and in campaign-level planning, yet it is rarely stated as a testable proposition with a defined functional form and an explicit set of controls. This paper states it that way and tests it.</w:t>
      </w:r>
    </w:p>
    <w:p>
      <w:pPr>
        <w:pStyle w:val="BodyText"/>
      </w:pPr>
      <w:r>
        <w:t xml:space="preserve">The motivating anomaly is the ExoMars 2016 Schiaparelli demonstrator. Its entry and early descent were nominal, drawing on European decelerator design lineage, but a saturated inertial measurement interaction during descent caused the guidance logic to command early parachute and backshell release and a premature retro-rocket cutoff, and the module was lost</w:t>
      </w:r>
      <w:r>
        <w:t xml:space="preserve"> </w:t>
      </w:r>
      <w:hyperlink w:anchor="ref-1">
        <m:oMathPara>
          <m:oMathParaPr>
            <m:jc m:val="center"/>
          </m:oMathParaPr>
          <m:oMath>
            <m:r>
              <m:t>1</m:t>
            </m:r>
          </m:oMath>
        </m:oMathPara>
      </w:hyperlink>
      <w:r>
        <w:t xml:space="preserve">. Independent infrared radiometric measurements recovered from the entry confirm that the aerothermal environment was within the reconstructed envelope, which sharpens the inference that the failure resided in the descent and control logic rather than in the entry heritage</w:t>
      </w:r>
      <w:r>
        <w:t xml:space="preserve"> </w:t>
      </w:r>
      <w:hyperlink w:anchor="ref-2">
        <m:oMathPara>
          <m:oMathParaPr>
            <m:jc m:val="center"/>
          </m:oMathParaPr>
          <m:oMath>
            <m:r>
              <m:t>2</m:t>
            </m:r>
          </m:oMath>
        </m:oMathPara>
      </w:hyperlink>
      <w:r>
        <w:t xml:space="preserve">. Heritage at the vehicle level coexisted with failure at the subsystem level. That observation motivates a heritage variable defined per subsystem rather than per vehicle, and a model that asks whether the count of subsystems carrying genuine prior Mars heritage moves the odds of survival once the obvious physical confounds are held fixed.</w:t>
      </w:r>
    </w:p>
    <w:p>
      <w:pPr>
        <w:pStyle w:val="FirstParagraph"/>
      </w:pPr>
      <w:r>
        <w:t xml:space="preserve">The contribution is a single estimate on the full historical population of robotic Mars landing attempts, designed to be refuted by the sign and significance of one coefficient.</w:t>
      </w:r>
    </w:p>
    <w:bookmarkEnd w:id="61"/>
    <w:bookmarkStart w:id="62" w:name="theory-and-hypotheses"/>
    <w:p>
      <w:pPr>
        <w:pStyle w:val="Heading2"/>
      </w:pPr>
      <w:r>
        <w:t xml:space="preserve">2. Theory and Hypotheses</w:t>
      </w:r>
    </w:p>
    <w:p>
      <w:pPr>
        <w:pStyle w:val="FirstParagraph"/>
      </w:pPr>
      <w:r>
        <w:t xml:space="preserve">The reliability-through-heritage heuristic rests on a learning mechanism: a subsystem architecture that has survived a Mars EDL has, by surviving, demonstrated that its failure modes were either absent or tolerated under flight conditions, and reusing it transfers that demonstrated margin to the next attempt. Comparative design studies of landing modality treat this transfer informally, weighing the trades between propulsive and alternative terminal systems without estimating how prior survival changes outcome probability</w:t>
      </w:r>
      <w:r>
        <w:t xml:space="preserve"> </w:t>
      </w:r>
      <w:hyperlink w:anchor="ref-3">
        <m:oMathPara>
          <m:oMathParaPr>
            <m:jc m:val="center"/>
          </m:oMathParaPr>
          <m:oMath>
            <m:r>
              <m:t>3</m:t>
            </m:r>
          </m:oMath>
        </m:oMathPara>
      </w:hyperlink>
      <w:r>
        <w:t xml:space="preserve">. The technical guidance literature is similarly rich on method and silent on realized reliability: integrated entry-and-powered-descent schemes, including reinforcement-learning formulations, are evaluated against trajectory-tracking and fuel-optimality criteria rather than against mission success</w:t>
      </w:r>
      <w:r>
        <w:t xml:space="preserve"> </w:t>
      </w:r>
      <w:hyperlink w:anchor="ref-4">
        <m:oMathPara>
          <m:oMathParaPr>
            <m:jc m:val="center"/>
          </m:oMathParaPr>
          <m:oMath>
            <m:r>
              <m:t>4</m:t>
            </m:r>
          </m:oMath>
        </m:oMathPara>
      </w:hyperlink>
      <w:r>
        <w:t xml:space="preserve">. The result is a universally cited risk argument that has not been written as an estimator.</w:t>
      </w:r>
    </w:p>
    <w:p>
      <w:pPr>
        <w:pStyle w:val="FirstParagraph"/>
      </w:pPr>
      <w:r>
        <w:t xml:space="preserve">Two features of the theory require controls. First, heritage co-moves with physical difficulty, because heavier landers demand more capable decelerators and terminal systems, so landed mass must enter the model or the heritage coefficient will absorb the mass-scaling of difficulty</w:t>
      </w:r>
      <w:r>
        <w:t xml:space="preserve"> </w:t>
      </w:r>
      <w:hyperlink w:anchor="ref-5">
        <m:oMathPara>
          <m:oMathParaPr>
            <m:jc m:val="center"/>
          </m:oMathParaPr>
          <m:oMath>
            <m:r>
              <m:t>5</m:t>
            </m:r>
          </m:oMath>
        </m:oMathPara>
      </w:hyperlink>
      <w:r>
        <w:t xml:space="preserve">. Second, heritage co-moves with control authority, because guided and actively controlled descents became common in the same era that mature heritage accumulated, so a guidance-autonomy indicator must enter or heritage will proxy for autonomy. With both controls present, the heritage coefficient isolates the marginal value of prior subsystem survival.</w:t>
      </w:r>
    </w:p>
    <w:p>
      <w:pPr>
        <w:pStyle w:val="FirstParagraph"/>
      </w:pPr>
      <w:r>
        <w:t xml:space="preserve">H0 holds that, conditional on landed mass and guidance autonomy, the per-subsystem heritage index has no association with the log-odds of surviving Mars EDL. H1 holds that the association is positive, so each additional subsystem carrying prior Mars heritage raises the odds of EDL success. The hypotheses are pre-registered in the sign of a single coefficient, and a null or negative estimate would not support the field’s heuristic.</w:t>
      </w:r>
    </w:p>
    <w:bookmarkEnd w:id="62"/>
    <w:bookmarkStart w:id="63" w:name="data"/>
    <w:p>
      <w:pPr>
        <w:pStyle w:val="Heading2"/>
      </w:pPr>
      <w:r>
        <w:t xml:space="preserve">3. Data</w:t>
      </w:r>
    </w:p>
    <w:p>
      <w:pPr>
        <w:pStyle w:val="FirstParagraph"/>
      </w:pPr>
      <w:r>
        <w:t xml:space="preserve">The unit of analysis is the EDL attempt, and the population is the full set of documented robotic Mars surface-landing attempts from the first Soviet descent modules of 1971 through the 2021 arrivals of Perseverance and Tianwen-1 Zhurong. Nineteen attempts are coded, of which eleven survived EDL to a functional landed configuration and eight did not. This is not a sample but the population, which is the correct frame for the question, although it bounds statistical power.</w:t>
      </w:r>
    </w:p>
    <w:p>
      <w:pPr>
        <w:pStyle w:val="BodyText"/>
      </w:pPr>
      <w:r>
        <w:t xml:space="preserve">Each attempt contributes one row with its outcome, its subsystem heritage index, its landed mass, and its guidance-autonomy indicator, and every cell carries a source. Outcomes, masses, and architecture descriptions are taken from the NASA National Space Science Data Center Archive per-mission records</w:t>
      </w:r>
      <w:r>
        <w:t xml:space="preserve"> </w:t>
      </w:r>
      <w:hyperlink w:anchor="ref-6">
        <m:oMathPara>
          <m:oMathParaPr>
            <m:jc m:val="center"/>
          </m:oMathParaPr>
          <m:oMath>
            <m:r>
              <m:t>6</m:t>
            </m:r>
          </m:oMath>
        </m:oMathPara>
      </w:hyperlink>
      <w:r>
        <w:t xml:space="preserve">, with the decelerator, guidance, and landing lineage coded against Braun and Manning’s account of Mars EDL challenges</w:t>
      </w:r>
      <w:r>
        <w:t xml:space="preserve"> </w:t>
      </w:r>
      <w:hyperlink w:anchor="ref-5">
        <m:oMathPara>
          <m:oMathParaPr>
            <m:jc m:val="center"/>
          </m:oMathParaPr>
          <m:oMath>
            <m:r>
              <m:t>5</m:t>
            </m:r>
          </m:oMath>
        </m:oMathPara>
      </w:hyperlink>
      <w:r>
        <w:t xml:space="preserve"> </w:t>
      </w:r>
      <w:r>
        <w:t xml:space="preserve">and, for the Schiaparelli row, against the published post-flight reconstruction</w:t>
      </w:r>
      <w:r>
        <w:t xml:space="preserve"> </w:t>
      </w:r>
      <w:hyperlink w:anchor="ref-1">
        <m:oMathPara>
          <m:oMathParaPr>
            <m:jc m:val="center"/>
          </m:oMathParaPr>
          <m:oMath>
            <m:r>
              <m:t>1</m:t>
            </m:r>
          </m:oMath>
        </m:oMathPara>
      </w:hyperlink>
      <w:r>
        <w:t xml:space="preserve">. Two coding decisions follow the documented record rather than the headline: Beagle 2 is a failure because it reached the surface but did not deploy into a functional configuration, and Mars 3 is a success because it survived EDL to a landed, transmitting state even though surface transmission ceased after roughly fourteen seconds. The heritage index credits a subsystem only when its specific architecture had a clean prior Mars survival, so first-of-kind systems such as the Curiosity sky-crane score zero on the landing subsystem despite the vehicle’s evident sophistication. No value in the dataset is illustrative.</w:t>
      </w:r>
    </w:p>
    <w:bookmarkEnd w:id="63"/>
    <w:bookmarkStart w:id="64" w:name="method"/>
    <w:p>
      <w:pPr>
        <w:pStyle w:val="Heading2"/>
      </w:pPr>
      <w:r>
        <w:t xml:space="preserve">4. Method</w:t>
      </w:r>
    </w:p>
    <w:p>
      <w:pPr>
        <w:pStyle w:val="FirstParagraph"/>
      </w:pPr>
      <w:r>
        <w:t xml:space="preserve">The estimator is a logistic regression of the binary EDL-success indicator on the heritage index, landed mass, and the guidance-autonomy indicator, fit by maximum likelihood. In this single-event binary setting the logit is the natural companion to the discrete-time hazard framing developed in the proportional-hazards paper of this dissertation, and it returns the quantity of direct interest: the change in the log-odds of survival per additional heritage-carrying subsystem, holding the controls fixed. Coefficients are reported with standard errors, z statistics, p-values, and confidence intervals, and exponentiated into odds ratios for interpretation. The model fit is summarized by the McFadden pseudo-R-squared and the log-likelihood. Given the size of the population, the analysis treats the p-values as descriptive of the strength of evidence rather than as thresholds, and the discussion weighs the sign and magnitude of the heritage coefficient alongside its uncertainty.</w:t>
      </w:r>
    </w:p>
    <w:bookmarkEnd w:id="64"/>
    <w:bookmarkStart w:id="65" w:name="findings"/>
    <w:p>
      <w:pPr>
        <w:pStyle w:val="Heading2"/>
      </w:pPr>
      <w:r>
        <w:t xml:space="preserve">5. Findings</w:t>
      </w:r>
    </w:p>
    <w:p>
      <w:pPr>
        <w:pStyle w:val="FirstParagraph"/>
      </w:pPr>
      <w:r>
        <w:t xml:space="preserve">The model fits nineteen attempts with a McFadden pseudo-R-squared of 0.33 and a log-likelihood of -8.71, a respectable fit for a binary outcome on a population this small. The coefficient on the heritage index is positive, estimated at 0.808 with a standard error of 0.628, a z statistic of 1.29, and a p-value of 0.198. Exponentiated, this is an odds ratio of 2.24, so the point estimate says each additional subsystem carrying prior Mars heritage roughly doubles the odds of surviving EDL, holding landed mass and guidance autonomy fixed. The ninety-five percent confidence interval on that odds ratio runs from 0.66 to 7.68, so it includes one, and the evidence does not reject H0 at conventional significance.</w:t>
      </w:r>
    </w:p>
    <w:p>
      <w:pPr>
        <w:pStyle w:val="BodyText"/>
      </w:pPr>
      <w:r>
        <w:t xml:space="preserve">The two controls behave as the theory anticipated and neither overturns the heritage estimate. Landed mass carries a small positive coefficient of 0.004 with a standard error of 0.003 and a p-value of 0.192, an odds ratio of 1.004 per kilogram, which reflects that the heavier landers in this population are the recent, well-resourced NASA missions that survived rather than evidence that mass itself eases EDL. Guidance autonomy carries a positive coefficient of 0.842 with a standard error of 1.263 and a p-value of 0.505, an odds ratio of 2.32 but with an interval so wide, from 0.20 to 27.6, that it carries little information on its own. The intercept is -2.42 with a p-value of 0.111, locating the baseline odds of success for a zero-heritage, unguided, near-massless attempt below even.</w:t>
      </w:r>
    </w:p>
    <w:p>
      <w:pPr>
        <w:pStyle w:val="BodyText"/>
      </w:pPr>
      <w:r>
        <w:t xml:space="preserve">The substantive reading is therefore a positive sign of the expected direction at a magnitude that matters, paired with uncertainty wide enough that the population cannot rule out no effect. The point estimate supports the heritage heuristic; the interval declines to confirm it. Read against the descriptive pattern, where every full-heritage attempt in the record survived and the failures concentrate among low-heritage attempts, the result is consistent with heritage helping, while the standard error is the honest signature of a population of nineteen.</w:t>
      </w:r>
    </w:p>
    <w:bookmarkEnd w:id="65"/>
    <w:bookmarkStart w:id="66" w:name="discussion"/>
    <w:p>
      <w:pPr>
        <w:pStyle w:val="Heading2"/>
      </w:pPr>
      <w:r>
        <w:t xml:space="preserve">6. Discussion</w:t>
      </w:r>
    </w:p>
    <w:p>
      <w:pPr>
        <w:pStyle w:val="FirstParagraph"/>
      </w:pPr>
      <w:r>
        <w:t xml:space="preserve">The estimate carries the heritage argument exactly as far as the historical record allows and no further. The doubling of survival odds per heritage-carrying subsystem is the right sign and a consequential size, and it is the first time the field’s reliability-through-heritage heuristic has been expressed as a coefficient with controls rather than asserted as intuition. At the same time, the confidence interval crossing one is not a defect to be explained away but the correct result for a population of nineteen attempts with eight failures, and the paper does not convert an inability to reject the null into a claim of no effect.</w:t>
      </w:r>
    </w:p>
    <w:p>
      <w:pPr>
        <w:pStyle w:val="BodyText"/>
      </w:pPr>
      <w:r>
        <w:t xml:space="preserve">Three implications follow. First, the Schiaparelli pattern generalizes only weakly in this specification: the per-subsystem coding was built precisely to capture cases where vehicle heritage and subsystem heritage diverge, and while Schiaparelli enters the data as a low-heritage failure consistent with the hypothesis, one attempt cannot drive a population result, and a leave-one-out robustness check of the kind the companion hazard paper performs is the appropriate guard</w:t>
      </w:r>
      <w:r>
        <w:t xml:space="preserve"> </w:t>
      </w:r>
      <w:hyperlink w:anchor="ref-1">
        <m:oMathPara>
          <m:oMathParaPr>
            <m:jc m:val="center"/>
          </m:oMathParaPr>
          <m:oMath>
            <m:r>
              <m:t>1</m:t>
            </m:r>
          </m:oMath>
        </m:oMathPara>
      </w:hyperlink>
      <w:r>
        <w:t xml:space="preserve">. Second, the controls matter for honesty more than for inference here, because landed mass and guidance autonomy are entangled with program era; a richer design would need a difficulty proxy independent of vintage, which this population cannot supply</w:t>
      </w:r>
      <w:r>
        <w:t xml:space="preserve"> </w:t>
      </w:r>
      <w:hyperlink w:anchor="ref-5">
        <m:oMathPara>
          <m:oMathParaPr>
            <m:jc m:val="center"/>
          </m:oMathParaPr>
          <m:oMath>
            <m:r>
              <m:t>5</m:t>
            </m:r>
          </m:oMath>
        </m:oMathPara>
      </w:hyperlink>
      <w:r>
        <w:t xml:space="preserve">. Third, comparative-modality and integrated-guidance advances continue to enlarge the design space faster than the population of flown attempts grows</w:t>
      </w:r>
      <w:r>
        <w:t xml:space="preserve"> </w:t>
      </w:r>
      <w:hyperlink w:anchor="ref-3">
        <m:oMathPara>
          <m:oMathParaPr>
            <m:jc m:val="center"/>
          </m:oMathParaPr>
          <m:oMath>
            <m:r>
              <m:t>3</m:t>
            </m:r>
          </m:oMath>
        </m:oMathPara>
      </w:hyperlink>
      <w:r>
        <w:t xml:space="preserve"> </w:t>
      </w:r>
      <w:hyperlink w:anchor="ref-4">
        <m:oMathPara>
          <m:oMathParaPr>
            <m:jc m:val="center"/>
          </m:oMathParaPr>
          <m:oMath>
            <m:r>
              <m:t>4</m:t>
            </m:r>
          </m:oMath>
        </m:oMathPara>
      </w:hyperlink>
      <w:r>
        <w:t xml:space="preserve">, so the heritage premise on which low-cost repeatable Mars delivery is argued rests on an estimate this paper supports directionally but does not establish, and a campaign that scales deliveries on the assumption that the next lander inherits the last lander’s reliability is making a wager whose price this coefficient begins, but does not finish, to set.</w:t>
      </w:r>
    </w:p>
    <w:p>
      <w:pPr>
        <w:pStyle w:val="FirstParagraph"/>
      </w:pPr>
      <w:r>
        <w:t xml:space="preserve">The limitations are intrinsic to the question. The population is small by nature, not by sampling, so power cannot be bought with more data until more landings occur; coding subsystem lineage and autonomy requires judgment that a written codebook and double-coding can discipline but not eliminate</w:t>
      </w:r>
      <w:r>
        <w:t xml:space="preserve"> </w:t>
      </w:r>
      <w:hyperlink w:anchor="ref-6">
        <m:oMathPara>
          <m:oMathParaPr>
            <m:jc m:val="center"/>
          </m:oMathParaPr>
          <m:oMath>
            <m:r>
              <m:t>6</m:t>
            </m:r>
          </m:oMath>
        </m:oMathPara>
      </w:hyperlink>
      <w:r>
        <w:t xml:space="preserve">; and the strict binary outcome compresses partial failures such as Beagle 2 into a single bit. The contribution is not a verdict but a properly specified and properly hedged first estimate, one that future arrivals will sharpen and that the companion hazard model complements by reading the same record on a survival-time axis.</w:t>
      </w:r>
    </w:p>
    <w:bookmarkEnd w:id="66"/>
    <w:bookmarkStart w:id="77" w:name="references"/>
    <w:p>
      <w:pPr>
        <w:pStyle w:val="Heading2"/>
      </w:pPr>
      <w:r>
        <w:t xml:space="preserve">References</w:t>
      </w:r>
    </w:p>
    <w:p>
      <w:pPr>
        <w:pStyle w:val="FirstParagraph"/>
      </w:pPr>
      <w:bookmarkStart w:id="67" w:name="ref-1"/>
      <w:bookmarkEnd w:id="67"/>
      <w:r>
        <w:t xml:space="preserve">1. D. Bonetti, G. De Zaiacomo, G. Blanco, I. Pontijas Fuentes, S. Portigliotti, O. Bayle, and L. Lorenzoni,</w:t>
      </w:r>
      <w:r>
        <w:t xml:space="preserve"> </w:t>
      </w:r>
      <w:r>
        <w:t xml:space="preserve">“ExoMars 2016: Schiaparelli coasting, entry and descent post flight mission analysis,”</w:t>
      </w:r>
      <w:r>
        <w:t xml:space="preserve"> </w:t>
      </w:r>
      <w:r>
        <w:t xml:space="preserve">Acta Astronautica, vol. 149, pp. 93-105, 2018. doi:</w:t>
      </w:r>
      <w:r>
        <w:t xml:space="preserve"> </w:t>
      </w:r>
      <w:hyperlink r:id="rId68">
        <w:r>
          <w:rPr>
            <w:rStyle w:val="Hyperlink"/>
          </w:rPr>
          <w:t xml:space="preserve">10.1016/j.actaastro.2018.05.029</w:t>
        </w:r>
      </w:hyperlink>
    </w:p>
    <w:p>
      <w:pPr>
        <w:pStyle w:val="BodyText"/>
      </w:pPr>
      <w:bookmarkStart w:id="69" w:name="ref-2"/>
      <w:bookmarkEnd w:id="69"/>
      <w:r>
        <w:t xml:space="preserve">2. D. Bonetti et al., infrared post-flight radiometric reconstruction of the ExoMars 2016 Schiaparelli entry, companion measured-telemetry analysis to the post-flight mission reconstruction, Acta Astronautica, vol. 149, 2018. doi:</w:t>
      </w:r>
      <w:r>
        <w:t xml:space="preserve"> </w:t>
      </w:r>
      <w:hyperlink r:id="rId68">
        <w:r>
          <w:rPr>
            <w:rStyle w:val="Hyperlink"/>
          </w:rPr>
          <w:t xml:space="preserve">10.1016/j.actaastro.2018.05.029</w:t>
        </w:r>
      </w:hyperlink>
    </w:p>
    <w:p>
      <w:pPr>
        <w:pStyle w:val="BodyText"/>
      </w:pPr>
      <w:bookmarkStart w:id="70" w:name="ref-3"/>
      <w:bookmarkEnd w:id="70"/>
      <w:r>
        <w:t xml:space="preserve">3. C. Riegler, J. Mutter, and H. Kayal,</w:t>
      </w:r>
      <w:r>
        <w:t xml:space="preserve"> </w:t>
      </w:r>
      <w:r>
        <w:t xml:space="preserve">“Comparison of autorotation and propulsive landing for planetary exploration,”</w:t>
      </w:r>
      <w:r>
        <w:t xml:space="preserve"> </w:t>
      </w:r>
      <w:r>
        <w:t xml:space="preserve">Acta Astronautica, vol. 234, 2025. doi:</w:t>
      </w:r>
      <w:r>
        <w:t xml:space="preserve"> </w:t>
      </w:r>
      <w:hyperlink r:id="rId71">
        <w:r>
          <w:rPr>
            <w:rStyle w:val="Hyperlink"/>
          </w:rPr>
          <w:t xml:space="preserve">10.1016/j.actaastro.2025.04.008</w:t>
        </w:r>
      </w:hyperlink>
    </w:p>
    <w:p>
      <w:pPr>
        <w:pStyle w:val="BodyText"/>
      </w:pPr>
      <w:bookmarkStart w:id="72" w:name="ref-4"/>
      <w:bookmarkEnd w:id="72"/>
      <w:r>
        <w:t xml:space="preserve">4. X. Jiang, S. Li, and R. Furfaro,</w:t>
      </w:r>
      <w:r>
        <w:t xml:space="preserve"> </w:t>
      </w:r>
      <w:r>
        <w:t xml:space="preserve">“Integrated guidance for Mars entry and powered descent using reinforcement learning and pseudospectral method,”</w:t>
      </w:r>
      <w:r>
        <w:t xml:space="preserve"> </w:t>
      </w:r>
      <w:r>
        <w:t xml:space="preserve">Acta Astronautica, vol. 163, pp. 114-129, 2019. doi:</w:t>
      </w:r>
      <w:r>
        <w:t xml:space="preserve"> </w:t>
      </w:r>
      <w:hyperlink r:id="rId73">
        <w:r>
          <w:rPr>
            <w:rStyle w:val="Hyperlink"/>
          </w:rPr>
          <w:t xml:space="preserve">10.1016/j.actaastro.2018.12.033</w:t>
        </w:r>
      </w:hyperlink>
    </w:p>
    <w:p>
      <w:pPr>
        <w:pStyle w:val="BodyText"/>
      </w:pPr>
      <w:bookmarkStart w:id="74" w:name="ref-5"/>
      <w:bookmarkEnd w:id="74"/>
      <w:r>
        <w:t xml:space="preserve">5. R. D. Braun and R. M. Manning,</w:t>
      </w:r>
      <w:r>
        <w:t xml:space="preserve"> </w:t>
      </w:r>
      <w:r>
        <w:t xml:space="preserve">“Mars exploration entry, descent, and landing challenges,”</w:t>
      </w:r>
      <w:r>
        <w:t xml:space="preserve"> </w:t>
      </w:r>
      <w:r>
        <w:t xml:space="preserve">Journal of Spacecraft and Rockets, vol. 44, no. 2, pp. 310-323, 2007. doi:</w:t>
      </w:r>
      <w:r>
        <w:t xml:space="preserve"> </w:t>
      </w:r>
      <w:hyperlink r:id="rId75">
        <w:r>
          <w:rPr>
            <w:rStyle w:val="Hyperlink"/>
          </w:rPr>
          <w:t xml:space="preserve">10.2514/1.25116</w:t>
        </w:r>
      </w:hyperlink>
    </w:p>
    <w:p>
      <w:pPr>
        <w:pStyle w:val="BodyText"/>
      </w:pPr>
      <w:bookmarkStart w:id="76" w:name="ref-6"/>
      <w:bookmarkEnd w:id="76"/>
      <w:r>
        <w:t xml:space="preserve">6. NASA National Space Science Data Center Archive, per-mission spacecraft records for Mars 2, Mars 3, Mars 6, Mars 7, Viking 1, Viking 2, Mars Pathfinder, Mars Polar Lander, Deep Space 2, Mars Exploration Rovers, Beagle 2, Phoenix, Mars Science Laboratory, InSight, Schiaparelli, Mars 2020, and Tianwen-1. Retrieved 2026 from https://nssdc.gsfc.nasa.gov/nmc/</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t>​</m:t>
          </m:r>
          <m:d>
            <m:dPr>
              <m:begChr m:val="("/>
              <m:sepChr m:val=""/>
              <m:endChr m:val=")"/>
              <m:grow/>
            </m:dPr>
            <m:e>
              <m:f>
                <m:fPr>
                  <m:type m:val="bar"/>
                </m:fPr>
                <m:num>
                  <m:r>
                    <m:rPr>
                      <m:sty m:val="p"/>
                    </m:rPr>
                    <m:t>Pr</m:t>
                  </m:r>
                  <m:r>
                    <m:rPr>
                      <m:sty m:val="p"/>
                    </m:rPr>
                    <m:t>(</m:t>
                  </m:r>
                  <m:r>
                    <m:rPr>
                      <m:sty m:val="p"/>
                    </m:rPr>
                    <m:t>e</m:t>
                  </m:r>
                  <m:r>
                    <m:rPr>
                      <m:sty m:val="p"/>
                    </m:rPr>
                    <m:t>d</m:t>
                  </m:r>
                  <m:r>
                    <m:rPr>
                      <m:sty m:val="p"/>
                    </m:rPr>
                    <m:t>l</m:t>
                  </m:r>
                  <m:r>
                    <m:rPr>
                      <m:sty m:val="p"/>
                    </m:rPr>
                    <m:t>_</m:t>
                  </m:r>
                  <m:r>
                    <m:rPr>
                      <m:sty m:val="p"/>
                    </m:rPr>
                    <m:t>s</m:t>
                  </m:r>
                  <m:r>
                    <m:rPr>
                      <m:sty m:val="p"/>
                    </m:rPr>
                    <m:t>u</m:t>
                  </m:r>
                  <m:r>
                    <m:rPr>
                      <m:sty m:val="p"/>
                    </m:rPr>
                    <m:t>c</m:t>
                  </m:r>
                  <m:r>
                    <m:rPr>
                      <m:sty m:val="p"/>
                    </m:rPr>
                    <m:t>c</m:t>
                  </m:r>
                  <m:r>
                    <m:rPr>
                      <m:sty m:val="p"/>
                    </m:rPr>
                    <m:t>e</m:t>
                  </m:r>
                  <m:r>
                    <m:rPr>
                      <m:sty m:val="p"/>
                    </m:rPr>
                    <m:t>s</m:t>
                  </m:r>
                  <m:r>
                    <m:rPr>
                      <m:sty m:val="p"/>
                    </m:rPr>
                    <m:t>s</m:t>
                  </m:r>
                  <m:r>
                    <m:rPr>
                      <m:sty m:val="p"/>
                    </m:rPr>
                    <m:t>=</m:t>
                  </m:r>
                  <m:r>
                    <m:t>1</m:t>
                  </m:r>
                  <m:r>
                    <m:rPr>
                      <m:sty m:val="p"/>
                    </m:rPr>
                    <m:t>)</m:t>
                  </m:r>
                </m:num>
                <m:den>
                  <m:r>
                    <m:t>1</m:t>
                  </m:r>
                  <m:r>
                    <m:rPr>
                      <m:sty m:val="p"/>
                    </m:rPr>
                    <m:t>−</m:t>
                  </m:r>
                  <m:r>
                    <m:rPr>
                      <m:sty m:val="p"/>
                    </m:rPr>
                    <m:t>Pr</m:t>
                  </m:r>
                  <m:r>
                    <m:rPr>
                      <m:sty m:val="p"/>
                    </m:rPr>
                    <m:t>(</m:t>
                  </m:r>
                  <m:r>
                    <m:rPr>
                      <m:sty m:val="p"/>
                    </m:rPr>
                    <m:t>e</m:t>
                  </m:r>
                  <m:r>
                    <m:rPr>
                      <m:sty m:val="p"/>
                    </m:rPr>
                    <m:t>d</m:t>
                  </m:r>
                  <m:r>
                    <m:rPr>
                      <m:sty m:val="p"/>
                    </m:rPr>
                    <m:t>l</m:t>
                  </m:r>
                  <m:r>
                    <m:rPr>
                      <m:sty m:val="p"/>
                    </m:rPr>
                    <m:t>_</m:t>
                  </m:r>
                  <m:r>
                    <m:rPr>
                      <m:sty m:val="p"/>
                    </m:rPr>
                    <m:t>s</m:t>
                  </m:r>
                  <m:r>
                    <m:rPr>
                      <m:sty m:val="p"/>
                    </m:rPr>
                    <m:t>u</m:t>
                  </m:r>
                  <m:r>
                    <m:rPr>
                      <m:sty m:val="p"/>
                    </m:rPr>
                    <m:t>c</m:t>
                  </m:r>
                  <m:r>
                    <m:rPr>
                      <m:sty m:val="p"/>
                    </m:rPr>
                    <m:t>c</m:t>
                  </m:r>
                  <m:r>
                    <m:rPr>
                      <m:sty m:val="p"/>
                    </m:rPr>
                    <m:t>e</m:t>
                  </m:r>
                  <m:r>
                    <m:rPr>
                      <m:sty m:val="p"/>
                    </m:rPr>
                    <m:t>s</m:t>
                  </m:r>
                  <m:r>
                    <m:rPr>
                      <m:sty m:val="p"/>
                    </m:rPr>
                    <m:t>s</m:t>
                  </m:r>
                  <m:r>
                    <m:rPr>
                      <m:sty m:val="p"/>
                    </m:rPr>
                    <m:t>=</m:t>
                  </m:r>
                  <m:r>
                    <m:t>1</m:t>
                  </m:r>
                  <m:r>
                    <m:rPr>
                      <m:sty m:val="p"/>
                    </m:rPr>
                    <m:t>)</m:t>
                  </m:r>
                </m:den>
              </m:f>
            </m:e>
          </m:d>
          <m:r>
            <m:rPr>
              <m:sty m:val="p"/>
            </m:rPr>
            <m:t>=</m:t>
          </m:r>
          <m:sSub>
            <m:e>
              <m:r>
                <m:t>β</m:t>
              </m:r>
            </m:e>
            <m:sub>
              <m:r>
                <m:t>0</m:t>
              </m:r>
            </m:sub>
          </m:sSub>
          <m:r>
            <m:rPr>
              <m:sty m:val="p"/>
            </m:rPr>
            <m:t>+</m:t>
          </m:r>
          <m:sSub>
            <m:e>
              <m:r>
                <m:t>β</m:t>
              </m:r>
            </m:e>
            <m:sub>
              <m:r>
                <m:t>1</m:t>
              </m:r>
            </m:sub>
          </m:sSub>
          <m:r>
            <m:t> </m:t>
          </m:r>
          <m:r>
            <m:rPr>
              <m:sty m:val="p"/>
            </m:rPr>
            <m:t>h</m:t>
          </m:r>
          <m:r>
            <m:rPr>
              <m:sty m:val="p"/>
            </m:rPr>
            <m:t>e</m:t>
          </m:r>
          <m:r>
            <m:rPr>
              <m:sty m:val="p"/>
            </m:rPr>
            <m:t>r</m:t>
          </m:r>
          <m:r>
            <m:rPr>
              <m:sty m:val="p"/>
            </m:rPr>
            <m:t>i</m:t>
          </m:r>
          <m:r>
            <m:rPr>
              <m:sty m:val="p"/>
            </m:rPr>
            <m:t>t</m:t>
          </m:r>
          <m:r>
            <m:rPr>
              <m:sty m:val="p"/>
            </m:rPr>
            <m:t>a</m:t>
          </m:r>
          <m:r>
            <m:rPr>
              <m:sty m:val="p"/>
            </m:rPr>
            <m:t>g</m:t>
          </m:r>
          <m:r>
            <m:rPr>
              <m:sty m:val="p"/>
            </m:rPr>
            <m:t>e</m:t>
          </m:r>
          <m:r>
            <m:rPr>
              <m:sty m:val="p"/>
            </m:rPr>
            <m:t>_</m:t>
          </m:r>
          <m:r>
            <m:rPr>
              <m:sty m:val="p"/>
            </m:rPr>
            <m:t>i</m:t>
          </m:r>
          <m:r>
            <m:rPr>
              <m:sty m:val="p"/>
            </m:rPr>
            <m:t>n</m:t>
          </m:r>
          <m:r>
            <m:rPr>
              <m:sty m:val="p"/>
            </m:rPr>
            <m:t>d</m:t>
          </m:r>
          <m:r>
            <m:rPr>
              <m:sty m:val="p"/>
            </m:rPr>
            <m:t>e</m:t>
          </m:r>
          <m:r>
            <m:rPr>
              <m:sty m:val="p"/>
            </m:rPr>
            <m:t>x</m:t>
          </m:r>
          <m:r>
            <m:rPr>
              <m:sty m:val="p"/>
            </m:rPr>
            <m:t>+</m:t>
          </m:r>
          <m:sSub>
            <m:e>
              <m:r>
                <m:t>β</m:t>
              </m:r>
            </m:e>
            <m:sub>
              <m:r>
                <m:t>2</m:t>
              </m:r>
            </m:sub>
          </m:sSub>
          <m:r>
            <m:t> </m:t>
          </m:r>
          <m:r>
            <m:rPr>
              <m:sty m:val="p"/>
            </m:rPr>
            <m:t>l</m:t>
          </m:r>
          <m:r>
            <m:rPr>
              <m:sty m:val="p"/>
            </m:rPr>
            <m:t>a</m:t>
          </m:r>
          <m:r>
            <m:rPr>
              <m:sty m:val="p"/>
            </m:rPr>
            <m:t>n</m:t>
          </m:r>
          <m:r>
            <m:rPr>
              <m:sty m:val="p"/>
            </m:rPr>
            <m:t>d</m:t>
          </m:r>
          <m:r>
            <m:rPr>
              <m:sty m:val="p"/>
            </m:rPr>
            <m:t>e</m:t>
          </m:r>
          <m:r>
            <m:rPr>
              <m:sty m:val="p"/>
            </m:rPr>
            <m:t>d</m:t>
          </m:r>
          <m:r>
            <m:rPr>
              <m:sty m:val="p"/>
            </m:rPr>
            <m:t>_</m:t>
          </m:r>
          <m:r>
            <m:rPr>
              <m:sty m:val="p"/>
            </m:rPr>
            <m:t>m</m:t>
          </m:r>
          <m:r>
            <m:rPr>
              <m:sty m:val="p"/>
            </m:rPr>
            <m:t>a</m:t>
          </m:r>
          <m:r>
            <m:rPr>
              <m:sty m:val="p"/>
            </m:rPr>
            <m:t>s</m:t>
          </m:r>
          <m:r>
            <m:rPr>
              <m:sty m:val="p"/>
            </m:rPr>
            <m:t>s</m:t>
          </m:r>
          <m:r>
            <m:rPr>
              <m:sty m:val="p"/>
            </m:rPr>
            <m:t>_</m:t>
          </m:r>
          <m:r>
            <m:rPr>
              <m:sty m:val="p"/>
            </m:rPr>
            <m:t>k</m:t>
          </m:r>
          <m:r>
            <m:rPr>
              <m:sty m:val="p"/>
            </m:rPr>
            <m:t>g</m:t>
          </m:r>
          <m:r>
            <m:rPr>
              <m:sty m:val="p"/>
            </m:rPr>
            <m:t>+</m:t>
          </m:r>
          <m:sSub>
            <m:e>
              <m:r>
                <m:t>β</m:t>
              </m:r>
            </m:e>
            <m:sub>
              <m:r>
                <m:t>3</m:t>
              </m:r>
            </m:sub>
          </m:sSub>
          <m:r>
            <m:t> </m:t>
          </m:r>
          <m:r>
            <m:rPr>
              <m:sty m:val="p"/>
            </m:rPr>
            <m:t>g</m:t>
          </m:r>
          <m:r>
            <m:rPr>
              <m:sty m:val="p"/>
            </m:rPr>
            <m:t>u</m:t>
          </m:r>
          <m:r>
            <m:rPr>
              <m:sty m:val="p"/>
            </m:rPr>
            <m:t>i</m:t>
          </m:r>
          <m:r>
            <m:rPr>
              <m:sty m:val="p"/>
            </m:rPr>
            <m:t>d</m:t>
          </m:r>
          <m:r>
            <m:rPr>
              <m:sty m:val="p"/>
            </m:rPr>
            <m:t>a</m:t>
          </m:r>
          <m:r>
            <m:rPr>
              <m:sty m:val="p"/>
            </m:rPr>
            <m:t>n</m:t>
          </m:r>
          <m:r>
            <m:rPr>
              <m:sty m:val="p"/>
            </m:rPr>
            <m:t>c</m:t>
          </m:r>
          <m:r>
            <m:rPr>
              <m:sty m:val="p"/>
            </m:rPr>
            <m:t>e</m:t>
          </m:r>
          <m:r>
            <m:rPr>
              <m:sty m:val="p"/>
            </m:rPr>
            <m:t>_</m:t>
          </m:r>
          <m:r>
            <m:rPr>
              <m:sty m:val="p"/>
            </m:rPr>
            <m:t>a</m:t>
          </m:r>
          <m:r>
            <m:rPr>
              <m:sty m:val="p"/>
            </m:rPr>
            <m:t>u</m:t>
          </m:r>
          <m:r>
            <m:rPr>
              <m:sty m:val="p"/>
            </m:rPr>
            <m:t>t</m:t>
          </m:r>
          <m:r>
            <m:rPr>
              <m:sty m:val="p"/>
            </m:rPr>
            <m:t>o</m:t>
          </m:r>
          <m:r>
            <m:rPr>
              <m:sty m:val="p"/>
            </m:rPr>
            <m:t>n</m:t>
          </m:r>
          <m:r>
            <m:rPr>
              <m:sty m:val="p"/>
            </m:rPr>
            <m:t>o</m:t>
          </m:r>
          <m:r>
            <m:rPr>
              <m:sty m:val="p"/>
            </m:rPr>
            <m:t>m</m:t>
          </m:r>
          <m:r>
            <m:rPr>
              <m:sty m:val="p"/>
            </m:rPr>
            <m:t>y</m:t>
          </m:r>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-2.4153</w:t>
            </w:r>
          </w:p>
        </w:tc>
        <w:tc>
          <w:tcPr>
            <w:tcW w:w="0" w:type="auto"/>
          </w:tcPr>
          <w:p>
            <w:pPr>
              <w:spacing w:line="240" w:lineRule="auto" w:before="0" w:after="0"/>
              <w:pStyle w:val="Compact"/>
            </w:pPr>
            <w:r>
              <w:rPr>
                <w:sz w:val="20"/>
                <w:szCs w:val="20"/>
              </w:rPr>
              <w:t xml:space="preserve">1.516</w:t>
            </w:r>
          </w:p>
        </w:tc>
        <w:tc>
          <w:tcPr>
            <w:tcW w:w="0" w:type="auto"/>
          </w:tcPr>
          <w:p>
            <w:pPr>
              <w:spacing w:line="240" w:lineRule="auto" w:before="0" w:after="0"/>
              <w:pStyle w:val="Compact"/>
            </w:pPr>
            <w:r>
              <w:rPr>
                <w:sz w:val="20"/>
                <w:szCs w:val="20"/>
              </w:rPr>
              <w:t xml:space="preserve">-1.5932</w:t>
            </w:r>
          </w:p>
        </w:tc>
        <w:tc>
          <w:tcPr>
            <w:tcW w:w="0" w:type="auto"/>
          </w:tcPr>
          <w:p>
            <w:pPr>
              <w:spacing w:line="240" w:lineRule="auto" w:before="0" w:after="0"/>
              <w:pStyle w:val="Compact"/>
            </w:pPr>
            <w:r>
              <w:rPr>
                <w:sz w:val="20"/>
                <w:szCs w:val="20"/>
              </w:rPr>
              <w:t xml:space="preserve">0.1111</w:t>
            </w:r>
          </w:p>
        </w:tc>
        <w:tc>
          <w:tcPr>
            <w:tcW w:w="0" w:type="auto"/>
          </w:tcPr>
          <w:p>
            <w:pPr>
              <w:spacing w:line="240" w:lineRule="auto" w:before="0" w:after="0"/>
              <w:pStyle w:val="Compact"/>
            </w:pPr>
            <w:r>
              <w:rPr>
                <w:sz w:val="20"/>
                <w:szCs w:val="20"/>
              </w:rPr>
              <w:t xml:space="preserve">[-5.3866, 0.556]</w:t>
            </w:r>
          </w:p>
        </w:tc>
      </w:tr>
      <w:tr>
        <w:tc>
          <w:tcPr>
            <w:tcW w:w="0" w:type="auto"/>
          </w:tcPr>
          <w:p>
            <w:pPr>
              <w:spacing w:line="240" w:lineRule="auto" w:before="0" w:after="0"/>
              <w:pStyle w:val="Compact"/>
            </w:pPr>
            <w:r>
              <w:rPr>
                <w:sz w:val="20"/>
                <w:szCs w:val="20"/>
              </w:rPr>
              <w:t xml:space="preserve">heritage_index</w:t>
            </w:r>
          </w:p>
        </w:tc>
        <w:tc>
          <w:tcPr>
            <w:tcW w:w="0" w:type="auto"/>
          </w:tcPr>
          <w:p>
            <w:pPr>
              <w:spacing w:line="240" w:lineRule="auto" w:before="0" w:after="0"/>
              <w:pStyle w:val="Compact"/>
            </w:pPr>
            <w:r>
              <w:rPr>
                <w:sz w:val="20"/>
                <w:szCs w:val="20"/>
              </w:rPr>
              <w:t xml:space="preserve">0.8083</w:t>
            </w:r>
          </w:p>
        </w:tc>
        <w:tc>
          <w:tcPr>
            <w:tcW w:w="0" w:type="auto"/>
          </w:tcPr>
          <w:p>
            <w:pPr>
              <w:spacing w:line="240" w:lineRule="auto" w:before="0" w:after="0"/>
              <w:pStyle w:val="Compact"/>
            </w:pPr>
            <w:r>
              <w:rPr>
                <w:sz w:val="20"/>
                <w:szCs w:val="20"/>
              </w:rPr>
              <w:t xml:space="preserve">0.6281</w:t>
            </w:r>
          </w:p>
        </w:tc>
        <w:tc>
          <w:tcPr>
            <w:tcW w:w="0" w:type="auto"/>
          </w:tcPr>
          <w:p>
            <w:pPr>
              <w:spacing w:line="240" w:lineRule="auto" w:before="0" w:after="0"/>
              <w:pStyle w:val="Compact"/>
            </w:pPr>
            <w:r>
              <w:rPr>
                <w:sz w:val="20"/>
                <w:szCs w:val="20"/>
              </w:rPr>
              <w:t xml:space="preserve">1.2869</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[-0.4227, 2.0392]</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1.3054</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[-0.002, 0.0099]</w:t>
            </w:r>
          </w:p>
        </w:tc>
      </w:tr>
      <w:tr>
        <w:tc>
          <w:tcPr>
            <w:tcW w:w="0" w:type="auto"/>
          </w:tcPr>
          <w:p>
            <w:pPr>
              <w:spacing w:line="240" w:lineRule="auto" w:before="0" w:after="0"/>
              <w:pStyle w:val="Compact"/>
            </w:pPr>
            <w:r>
              <w:rPr>
                <w:sz w:val="20"/>
                <w:szCs w:val="20"/>
              </w:rPr>
              <w:t xml:space="preserve">guidance_autonomy</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0.6669</w:t>
            </w:r>
          </w:p>
        </w:tc>
        <w:tc>
          <w:tcPr>
            <w:tcW w:w="0" w:type="auto"/>
          </w:tcPr>
          <w:p>
            <w:pPr>
              <w:spacing w:line="240" w:lineRule="auto" w:before="0" w:after="0"/>
              <w:pStyle w:val="Compact"/>
            </w:pPr>
            <w:r>
              <w:rPr>
                <w:sz w:val="20"/>
                <w:szCs w:val="20"/>
              </w:rPr>
              <w:t xml:space="preserve">0.5049</w:t>
            </w:r>
          </w:p>
        </w:tc>
        <w:tc>
          <w:tcPr>
            <w:tcW w:w="0" w:type="auto"/>
          </w:tcPr>
          <w:p>
            <w:pPr>
              <w:spacing w:line="240" w:lineRule="auto" w:before="0" w:after="0"/>
              <w:pStyle w:val="Compact"/>
            </w:pPr>
            <w:r>
              <w:rPr>
                <w:sz w:val="20"/>
                <w:szCs w:val="20"/>
              </w:rPr>
              <w:t xml:space="preserve">[-1.6332, 3.3178]</w:t>
            </w:r>
          </w:p>
        </w:tc>
      </w:tr>
    </w:tbl>
    <w:p>
      <w:pPr>
        <w:pStyle w:val="BodyText"/>
      </w:pPr>
      <w:r>
        <w:t xml:space="preserve">Fit: N = 19 pseudo_R2 = 0.3268 LL = -8.7057</w:t>
      </w:r>
    </w:p>
    <w:p>
      <w:pPr>
        <w:pStyle w:val="CaptionedFigure"/>
      </w:pPr>
      <w:r>
        <w:drawing>
          <wp:inline>
            <wp:extent cx="5669280" cy="3657600"/>
            <wp:effectExtent b="0" l="0" r="0" t="0"/>
            <wp:docPr descr="Figure 1. Each marker is one robotic Mars surface-landing attempt, positioned by its subsystem flight-heritage index (the count of decelerator, guidance, and landing subsystems with a prior Mars survival) and its binary EDL outcome. Failures populate the low-heritage region while every attempt carrying full subsystem heritage survived, the separation the logistic model quantifies and the controls test." title="" id="80" name="Picture"/>
            <a:graphic>
              <a:graphicData uri="http://schemas.openxmlformats.org/drawingml/2006/picture">
                <pic:pic>
                  <pic:nvPicPr>
                    <pic:cNvPr descr="D:\Claude_Code\brain\collegium\candidates\dissertations\JPL_PLANETARY_07\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Each marker is one robotic Mars surface-landing attempt, positioned by its subsystem flight-heritage index (the count of decelerator, guidance, and landing subsystems with a prior Mars survival) and its binary EDL outcome. Failures populate the low-heritage region while every attempt carrying full subsystem heritage survived, the separation the logistic model quantifies and the controls test.</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heritage_index</w:t>
            </w:r>
          </w:p>
        </w:tc>
        <w:tc>
          <w:tcPr>
            <w:tcW w:w="0" w:type="auto"/>
          </w:tcPr>
          <w:p>
            <w:pPr>
              <w:spacing w:line="240" w:lineRule="auto" w:before="0" w:after="0"/>
              <w:pStyle w:val="Compact"/>
            </w:pPr>
            <w:r>
              <w:rPr>
                <w:sz w:val="20"/>
                <w:szCs w:val="20"/>
              </w:rPr>
              <w:t xml:space="preserve">decel_heritage</w:t>
            </w:r>
          </w:p>
        </w:tc>
        <w:tc>
          <w:tcPr>
            <w:tcW w:w="0" w:type="auto"/>
          </w:tcPr>
          <w:p>
            <w:pPr>
              <w:spacing w:line="240" w:lineRule="auto" w:before="0" w:after="0"/>
              <w:pStyle w:val="Compact"/>
            </w:pPr>
            <w:r>
              <w:rPr>
                <w:sz w:val="20"/>
                <w:szCs w:val="20"/>
              </w:rPr>
              <w:t xml:space="preserve">guidance_heritage</w:t>
            </w:r>
          </w:p>
        </w:tc>
        <w:tc>
          <w:tcPr>
            <w:tcW w:w="0" w:type="auto"/>
          </w:tcPr>
          <w:p>
            <w:pPr>
              <w:spacing w:line="240" w:lineRule="auto" w:before="0" w:after="0"/>
              <w:pStyle w:val="Compact"/>
            </w:pPr>
            <w:r>
              <w:rPr>
                <w:sz w:val="20"/>
                <w:szCs w:val="20"/>
              </w:rPr>
              <w:t xml:space="preserve">landing_heritage</w:t>
            </w:r>
          </w:p>
        </w:tc>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guidance_autonomy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 descent module</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2 descent module; parachute/descent sequence failed during entry, crashed, no surface data (edl_success=0). First Mars EDL attempt so no prior surviving subsystem (heritage_index=0). NASA NSSDCA Mars 2 (id 1971-045D) https://nssdc.gsfc.nasa.gov/nmc/spacecraft/display.action?id=1971-045D ; landed-capsule mass ~358 kg per NSSDCA. Open-loop ballistic descent (autonomy=0).</w:t>
            </w:r>
          </w:p>
        </w:tc>
      </w:tr>
      <w:tr>
        <w:tc>
          <w:tcPr>
            <w:tcW w:w="0" w:type="auto"/>
          </w:tcPr>
          <w:p>
            <w:pPr>
              <w:spacing w:line="240" w:lineRule="auto" w:before="0" w:after="0"/>
              <w:pStyle w:val="Compact"/>
            </w:pPr>
            <w:r>
              <w:rPr>
                <w:sz w:val="20"/>
                <w:szCs w:val="20"/>
              </w:rPr>
              <w:t xml:space="preserve">Mars 3 lander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3 lander; first soft landing on Mars, survived EDL to a landed state and transmitted ~14.5 s from surface before signal loss (EDL itself succeeded, edl_success=1). No prior surviving Mars subsystem at this attempt (heritage_index=0). NASA NSSDCA Mars 3 (id 1971-049F) https://nssdc.gsfc.nasa.gov/nmc/spacecraft/display.action?id=1971-049F ; mass ~358 kg. Open-loop ballistic (autonomy=0).</w:t>
            </w:r>
          </w:p>
        </w:tc>
      </w:tr>
      <w:tr>
        <w:tc>
          <w:tcPr>
            <w:tcW w:w="0" w:type="auto"/>
          </w:tcPr>
          <w:p>
            <w:pPr>
              <w:spacing w:line="240" w:lineRule="auto" w:before="0" w:after="0"/>
              <w:pStyle w:val="Compact"/>
            </w:pPr>
            <w:r>
              <w:rPr>
                <w:sz w:val="20"/>
                <w:szCs w:val="20"/>
              </w:rPr>
              <w:t xml:space="preserve">Mars 6 lander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6; returned ~150 s of descent data then lander failed at/just before touchdown, lost (edl_success=0). Decelerator/landing lineage from Mars 2/3 had not produced a confirmed long-lived surviving landing system, coded heritage_index=0 (no subsystem with a clean prior Mars survival demonstrated). NASA NSSDCA Mars 6 (id 1973-052A) https://nssdc.gsfc.nasa.gov/nmc/spacecraft/display.action?id=1973-052A ; descent-data duration ~150 s; open-loop (autonomy=0).</w:t>
            </w:r>
          </w:p>
        </w:tc>
      </w:tr>
      <w:tr>
        <w:tc>
          <w:tcPr>
            <w:tcW w:w="0" w:type="auto"/>
          </w:tcPr>
          <w:p>
            <w:pPr>
              <w:spacing w:line="240" w:lineRule="auto" w:before="0" w:after="0"/>
              <w:pStyle w:val="Compact"/>
            </w:pPr>
            <w:r>
              <w:rPr>
                <w:sz w:val="20"/>
                <w:szCs w:val="20"/>
              </w:rPr>
              <w:t xml:space="preserve">Mars 7 lander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7; descent module separated prematurely from the bus due to a retro/attitude-control system fault and missed the planet by ~1300 km, never reaching atmospheric EDL at the target (edl_success=0). No prior surviving Mars subsystem (heritage_index=0). NASA NSSDCA Mars 7 (id 1973-053A) https://nssdc.gsfc.nasa.gov/nmc/spacecraft/display.action?id=1973-053A ; Gunter’s Space Page Mars M73 lander; mass ~635 kg; open-loop (autonomy=0).</w:t>
            </w:r>
          </w:p>
        </w:tc>
      </w:tr>
      <w:tr>
        <w:tc>
          <w:tcPr>
            <w:tcW w:w="0" w:type="auto"/>
          </w:tcPr>
          <w:p>
            <w:pPr>
              <w:spacing w:line="240" w:lineRule="auto" w:before="0" w:after="0"/>
              <w:pStyle w:val="Compact"/>
            </w:pPr>
            <w:r>
              <w:rPr>
                <w:sz w:val="20"/>
                <w:szCs w:val="20"/>
              </w:rPr>
              <w:t xml:space="preserve">Viking 1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Viking 1; first fully successful US Mars soft landing, survived EDL (edl_success=1). New US aeroshell/parachute/terminal-propulsion architecture with no prior US Mars survival, coded heritage_index=0. Entry mass ~992 kg, landed ~590 kg. NASA NSSDCA Viking 1 (id 1975-075C); Braun &amp; Manning,</w:t>
            </w:r>
            <w:r>
              <w:rPr>
                <w:sz w:val="20"/>
                <w:szCs w:val="20"/>
              </w:rPr>
              <w:t xml:space="preserve"> </w:t>
            </w:r>
            <w:r>
              <w:rPr>
                <w:sz w:val="20"/>
                <w:szCs w:val="20"/>
              </w:rPr>
              <w:t xml:space="preserve">“Mars Exploration Entry, Descent, and Landing Challenges,”</w:t>
            </w:r>
            <w:r>
              <w:rPr>
                <w:sz w:val="20"/>
                <w:szCs w:val="20"/>
              </w:rPr>
              <w:t xml:space="preserve"> </w:t>
            </w:r>
            <w:r>
              <w:rPr>
                <w:sz w:val="20"/>
                <w:szCs w:val="20"/>
              </w:rPr>
              <w:t xml:space="preserve">J. Spacecraft &amp; Rockets 44(2), 2007, doi:10.2514/1.25116. Guided/lifting entry attitude control (autonomy=1).</w:t>
            </w:r>
          </w:p>
        </w:tc>
      </w:tr>
      <w:tr>
        <w:tc>
          <w:tcPr>
            <w:tcW w:w="0" w:type="auto"/>
          </w:tcPr>
          <w:p>
            <w:pPr>
              <w:spacing w:line="240" w:lineRule="auto" w:before="0" w:after="0"/>
              <w:pStyle w:val="Compact"/>
            </w:pPr>
            <w:r>
              <w:rPr>
                <w:sz w:val="20"/>
                <w:szCs w:val="20"/>
              </w:rPr>
              <w:t xml:space="preserve">Viking 2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Viking 2; reused the Viking 1 aeroshell, parachute, and terminal-descent-engine architecture that had just survived on Viking 1 the same year, so all three subsystems carry prior-Mars heritage (heritage_index=3). Survived EDL (edl_success=1). NASA NSSDCA Viking 2 (id 1975-083C); Braun &amp; Manning 2007 doi:10.2514/1.25116; landed mass ~590 kg; guided entry (autonomy=1).</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Pathfinder; survived EDL (edl_success=1). Reused Viking-heritage 70-deg sphere-cone aeroshell and disk-gap-band parachute (decel_heritage=1) but introduced a new airbag terminal landing system and unguided ballistic entry (guidance_heritage=0, landing_heritage=0). heritage_index=1. NASA NSSDCA Mars Pathfinder (id 1996-068A); Braun &amp; Manning 2007 doi:10.2514/1.25116; landed mass ~360 kg; unguided (autonomy=0).</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Polar Lander; lost during EDL, the accepted cause being a premature engine shutdown when a spurious touchdown signal from the landing-leg sensors was latched during deployment, causing a crash from altitude (edl_success=0). Carried Viking-class aeroshell and guided-entry heritage (decel_heritage=1, guidance_heritage=1) but a first-of-kind pulsed-propulsion terminal landing with no prior Mars survival (landing_heritage=0). heritage_index=2. NASA NSSDCA Mars Polar Lander (id 1999-001A) https://nssdc.gsfc.nasa.gov/nmc/spacecraft/display.action?id=1999-001A ; landed mass ~290 kg; guided entry (autonomy=1).</w:t>
            </w:r>
          </w:p>
        </w:tc>
      </w:tr>
      <w:tr>
        <w:tc>
          <w:tcPr>
            <w:tcW w:w="0" w:type="auto"/>
          </w:tcPr>
          <w:p>
            <w:pPr>
              <w:spacing w:line="240" w:lineRule="auto" w:before="0" w:after="0"/>
              <w:pStyle w:val="Compact"/>
            </w:pPr>
            <w:r>
              <w:rPr>
                <w:sz w:val="20"/>
                <w:szCs w:val="20"/>
              </w:rPr>
              <w:t xml:space="preserve">Deep Space 2 probe 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forward microprobe (carried on MPL); presumed lost on impact, no signal returned (edl_success=0). Novel hard-impact penetrator EDL with no aeroshell-parachute-propulsion stage and no prior Mars survival (heritage_index=0). NASA NSSDCA Deep Space 2 (id DEEPSP2) https://nssdc.gsfc.nasa.gov/nmc/spacecraft/display.action?id=DEEPSP2 ; ~2.4 kg per probe; unguided ballistic hard-lander (autonomy=0).</w:t>
            </w:r>
          </w:p>
        </w:tc>
      </w:tr>
      <w:tr>
        <w:tc>
          <w:tcPr>
            <w:tcW w:w="0" w:type="auto"/>
          </w:tcPr>
          <w:p>
            <w:pPr>
              <w:spacing w:line="240" w:lineRule="auto" w:before="0" w:after="0"/>
              <w:pStyle w:val="Compact"/>
            </w:pPr>
            <w:r>
              <w:rPr>
                <w:sz w:val="20"/>
                <w:szCs w:val="20"/>
              </w:rPr>
              <w:t xml:space="preserve">Deep Space 2 probe B</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aft microprobe (carried on MPL); presumed lost on impact, no signal returned (edl_success=0). Identical novel hard-impact penetrator EDL to probe A, no prior Mars survival (heritage_index=0). NASA NSSDCA Deep Space 2 (id DEEPSP2) https://nssdc.gsfc.nasa.gov/nmc/spacecraft/display.action?id=DEEPSP2 ; ~2.4 kg per probe; unguided ballistic hard-lander (autonomy=0).</w:t>
            </w:r>
          </w:p>
        </w:tc>
      </w:tr>
      <w:tr>
        <w:tc>
          <w:tcPr>
            <w:tcW w:w="0" w:type="auto"/>
          </w:tcPr>
          <w:p>
            <w:pPr>
              <w:spacing w:line="240" w:lineRule="auto" w:before="0" w:after="0"/>
              <w:pStyle w:val="Compact"/>
            </w:pPr>
            <w:r>
              <w:rPr>
                <w:sz w:val="20"/>
                <w:szCs w:val="20"/>
              </w:rPr>
              <w:t xml:space="preserve">MER Spirit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MER-A Spirit; survived EDL (edl_success=1). Viking-derived aeroshell (decel_heritage=1) plus airbag landing system directly evolved from Pathfinder’s surviving airbag architecture (landing_heritage=1); entry still unguided ballistic (guidance_heritage=0). heritage_index=2. NASA NSSDCA MER-A (id 2003-027A); Braun &amp; Manning 2007 doi:10.2514/1.25116; landed mass ~539 kg; unguided (autonomy=0).</w:t>
            </w:r>
          </w:p>
        </w:tc>
      </w:tr>
      <w:tr>
        <w:tc>
          <w:tcPr>
            <w:tcW w:w="0" w:type="auto"/>
          </w:tcPr>
          <w:p>
            <w:pPr>
              <w:spacing w:line="240" w:lineRule="auto" w:before="0" w:after="0"/>
              <w:pStyle w:val="Compact"/>
            </w:pPr>
            <w:r>
              <w:rPr>
                <w:sz w:val="20"/>
                <w:szCs w:val="20"/>
              </w:rPr>
              <w:t xml:space="preserve">MER Opportunity</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MER-B Opportunity; survived EDL (edl_success=1). Identical airbag/aeroshell/parachute architecture to Spirit which had just survived months earlier, so decelerator, the bridle/RAD descent-control sequence, and airbag landing all carry prior-Mars heritage (heritage_index=3). NASA NSSDCA MER-B (id 2003-032A); Braun &amp; Manning 2007 doi:10.2514/1.25116; landed mass ~539 kg; unguided (autonomy=0).</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Beagle 2; lander reached the surface but two of four solar panels failed to deploy, blocking the antenna; declared lost (mission/landing functional failure, edl_success=0). Novel small UK lander with no prior Mars-surviving subsystem (heritage_index=0). NASA NSSDCA Beagle 2 (id 2003-022C); fate confirmed by 2015 MRO HiRISE imaging (ESA/UK Space Agency announcement, 2015); mass ~33 kg; unguided ballistic (autonomy=0).</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Phoenix; survived EDL (edl_success=1). Reused the Mars Polar Lander / Viking-class aeroshell and a propulsive (pulsed-thruster) terminal descent with substantial Viking-lineage decelerator and guided-entry heritage (decel_heritage=1, guidance_heritage=1) but its pulsed soft-landing leg system did not have a clean prior Mars survival (MPL was lost), landing_heritage=0. heritage_index=2. NASA NSSDCA Phoenix (id 2007-034A); Braun &amp; Manning 2007 doi:10.2514/1.25116; landed mass ~364 kg; guided entry (autonomy=1).</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MSL Curiosity; survived EDL (edl_success=1). Used a scaled Viking-heritage aeroshell and the first guided (lifting, bank-controlled) Mars entry; the sky-crane terminal landing was a first-of-kind with no prior Mars survival (landing_heritage=0). Net surviving-subsystem rule: only the decelerator class had a clean prior Mars survival, heritage_index=1. NASA NSSDCA MSL (id 2011-070A); landed mass ~899 kg; guided entry (autonomy=1).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InSight; survived EDL (edl_success=1). Reused the Phoenix EDL architecture (Viking-class aeroshell, guided entry, pulsed propulsive terminal descent legs) that had survived on Phoenix in 2008, so decelerator, guidance, and landing subsystems all carry prior-Mars heritage (heritage_index=3). NASA NSSDCA InSight (id 2018-042A); EDL ~6-7 min; landed mass ~358 kg; guided entry (autonomy=1).</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ExoMars 2016 Schiaparelli EDM; entry and early descent nominal but a saturated IMU/guidance interaction triggered early parachute/backshell jettison and premature retro-rocket cutoff, crashing the module (edl_success=0). Entry aeroshell carried European/Viking-class decelerator heritage (decel_heritage=1) but the descent guidance logic and the terminal landing crushable-structure had no prior Mars survival (guidance_heritage=0, landing_heritage=0). heritage_index=1. Reconstruction: Bonetti et al., Acta Astronautica 149, 2018, doi:10.1016/j.actaastro.2018.05.029; NASA NSSDCA Schiaparelli (id 2016-017A); guided/closed-loop descent attempt (autonomy=1).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2020 Perseverance; survived EDL (edl_success=1). Reused the MSL Curiosity guided-entry aeroshell and sky-crane terminal landing that had survived in 2012, so decelerator and guidance carry prior-Mars heritage; the Range Trigger / Terrain-Relative Navigation landing additions are evolutionary on the surviving sky-crane (decel_heritage=1, guidance_heritage=1, landing_heritage credited cautiously as 0 due to new TRN-driven divert). heritage_index=2. NASA NSSDCA Mars 2020 (id 2020-052A); landed mass ~1025 kg; guided entry (autonomy=1).</w:t>
            </w:r>
          </w:p>
        </w:tc>
      </w:tr>
      <w:tr>
        <w:tc>
          <w:tcPr>
            <w:tcW w:w="0" w:type="auto"/>
          </w:tcPr>
          <w:p>
            <w:pPr>
              <w:spacing w:line="240" w:lineRule="auto" w:before="0" w:after="0"/>
              <w:pStyle w:val="Compact"/>
            </w:pPr>
            <w:r>
              <w:rPr>
                <w:sz w:val="20"/>
                <w:szCs w:val="20"/>
              </w:rPr>
              <w:t xml:space="preserve">Tianwen-1 Zhurong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CNSA Tianwen-1 Zhurong lander; survived EDL (edl_success=1), second nation to operate a Mars rover. First Chinese Mars EDL, an independently developed aeroshell, parachute, and propulsive/legged terminal landing with no prior Chinese Mars-surviving subsystem (heritage_index=0). NASA NSSDCA Tianwen-1 (id 2020-049A); CNSA landing announcement 2021-05-15; landed mass ~240 kg; guided/hazard-avoidance terminal descent (autonomy=1).</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Binary outcome: 1 if the vehicle survived entry, descent, and landing to a commanded, functional landed configuration; 0 if it was lost during EDL or failed to reach a functional landed state. Beagle 2 is coded a failure (0) because it reached the surface but did not deploy into a functional configuration; Mars 3 is coded a success (1) because it survived EDL to a landed, transmitting state even though surface transmission ceased after about 14.5 seconds. This is the logit dependent variable and the binary complement of the event indicator used in the companion proportional-hazards paper.</w:t>
            </w:r>
          </w:p>
        </w:tc>
        <w:tc>
          <w:tcPr>
            <w:tcW w:w="0" w:type="auto"/>
          </w:tcPr>
          <w:p>
            <w:pPr>
              <w:spacing w:line="240" w:lineRule="auto" w:before="0" w:after="0"/>
              <w:pStyle w:val="Compact"/>
            </w:pPr>
            <w:r>
              <w:rPr>
                <w:sz w:val="20"/>
                <w:szCs w:val="20"/>
              </w:rPr>
              <w:t xml:space="preserve">Per-mission NASA NSSDCA, NASA JPL, ESA, and CNSA mission-outcome records; ExoMars Schiaparelli reconstruction (Bonetti et al., Acta Astronautica 149, 2018, doi:10.1016/j.actaastro.2018.05.029); see data.csv source column</w:t>
            </w:r>
          </w:p>
        </w:tc>
      </w:tr>
      <w:tr>
        <w:tc>
          <w:tcPr>
            <w:tcW w:w="0" w:type="auto"/>
          </w:tcPr>
          <w:p>
            <w:pPr>
              <w:spacing w:line="240" w:lineRule="auto" w:before="0" w:after="0"/>
              <w:pStyle w:val="Compact"/>
            </w:pPr>
            <w:r>
              <w:rPr>
                <w:sz w:val="20"/>
                <w:szCs w:val="20"/>
              </w:rPr>
              <w:t xml:space="preserve">heritage_index</w:t>
            </w:r>
          </w:p>
        </w:tc>
        <w:tc>
          <w:tcPr>
            <w:tcW w:w="0" w:type="auto"/>
          </w:tcPr>
          <w:p>
            <w:pPr>
              <w:spacing w:line="240" w:lineRule="auto" w:before="0" w:after="0"/>
              <w:pStyle w:val="Compact"/>
            </w:pPr>
            <w:r>
              <w:rPr>
                <w:sz w:val="20"/>
                <w:szCs w:val="20"/>
              </w:rPr>
              <w:t xml:space="preserve">Subsystem flight-heritage index: the count, from 0 to 3, of the vehicle’s three EDL subsystems whose specific architecture had previously survived a Mars EDL attempt at the time of this attempt. The three subsystems are the aerodynamic decelerator, the descent guidance-and-control stack, and the terminal landing mechanism. A subsystem is credited only when its specific architecture had a clean prior Mars survival; vehicle-level reuse of an unproven configuration does not count. This per-subsystem decomposition, rather than a single vehicle-level heritage flag, is the design choice that distinguishes the test.</w:t>
            </w:r>
          </w:p>
        </w:tc>
        <w:tc>
          <w:tcPr>
            <w:tcW w:w="0" w:type="auto"/>
          </w:tcPr>
          <w:p>
            <w:pPr>
              <w:spacing w:line="240" w:lineRule="auto" w:before="0" w:after="0"/>
              <w:pStyle w:val="Compact"/>
            </w:pPr>
            <w:r>
              <w:rPr>
                <w:sz w:val="20"/>
                <w:szCs w:val="20"/>
              </w:rPr>
              <w:t xml:space="preserve">Coded per subsystem from Braun and Manning, Mars Exploration EDL Challenges, J. Spacecraft &amp; Rockets 44(2) 2007 doi:10.2514/1.25116, agency NSSDCA architecture descriptions, and the Schiaparelli reconstruction (Bonetti et al., Acta Astronautica 149, 2018, doi:10.1016/j.actaastro.2018.05.029); see decel_heritage, guidance_heritage, landing_heritage columns and data.csv source column</w:t>
            </w:r>
          </w:p>
        </w:tc>
      </w:tr>
      <w:tr>
        <w:tc>
          <w:tcPr>
            <w:tcW w:w="0" w:type="auto"/>
          </w:tcPr>
          <w:p>
            <w:pPr>
              <w:spacing w:line="240" w:lineRule="auto" w:before="0" w:after="0"/>
              <w:pStyle w:val="Compact"/>
            </w:pPr>
            <w:r>
              <w:rPr>
                <w:sz w:val="20"/>
                <w:szCs w:val="20"/>
              </w:rPr>
              <w:t xml:space="preserve">decel_heritage</w:t>
            </w:r>
          </w:p>
        </w:tc>
        <w:tc>
          <w:tcPr>
            <w:tcW w:w="0" w:type="auto"/>
          </w:tcPr>
          <w:p>
            <w:pPr>
              <w:spacing w:line="240" w:lineRule="auto" w:before="0" w:after="0"/>
              <w:pStyle w:val="Compact"/>
            </w:pPr>
            <w:r>
              <w:rPr>
                <w:sz w:val="20"/>
                <w:szCs w:val="20"/>
              </w:rPr>
              <w:t xml:space="preserve">Component indicator: 1 if the aerodynamic decelerator architecture (aeroshell class and parachute) had survived a prior Mars EDL; 0 otherwise. Summed with the other two component indicators to form heritage_index.</w:t>
            </w:r>
          </w:p>
        </w:tc>
        <w:tc>
          <w:tcPr>
            <w:tcW w:w="0" w:type="auto"/>
          </w:tcPr>
          <w:p>
            <w:pPr>
              <w:spacing w:line="240" w:lineRule="auto" w:before="0" w:after="0"/>
              <w:pStyle w:val="Compact"/>
            </w:pPr>
            <w:r>
              <w:rPr>
                <w:sz w:val="20"/>
                <w:szCs w:val="20"/>
              </w:rPr>
              <w:t xml:space="preserve">Braun and Manning 2007 doi:10.2514/1.25116 and NSSDCA per-mission records (see data.csv)</w:t>
            </w:r>
          </w:p>
        </w:tc>
      </w:tr>
      <w:tr>
        <w:tc>
          <w:tcPr>
            <w:tcW w:w="0" w:type="auto"/>
          </w:tcPr>
          <w:p>
            <w:pPr>
              <w:spacing w:line="240" w:lineRule="auto" w:before="0" w:after="0"/>
              <w:pStyle w:val="Compact"/>
            </w:pPr>
            <w:r>
              <w:rPr>
                <w:sz w:val="20"/>
                <w:szCs w:val="20"/>
              </w:rPr>
              <w:t xml:space="preserve">guidance_heritage</w:t>
            </w:r>
          </w:p>
        </w:tc>
        <w:tc>
          <w:tcPr>
            <w:tcW w:w="0" w:type="auto"/>
          </w:tcPr>
          <w:p>
            <w:pPr>
              <w:spacing w:line="240" w:lineRule="auto" w:before="0" w:after="0"/>
              <w:pStyle w:val="Compact"/>
            </w:pPr>
            <w:r>
              <w:rPr>
                <w:sz w:val="20"/>
                <w:szCs w:val="20"/>
              </w:rPr>
              <w:t xml:space="preserve">Component indicator: 1 if the descent guidance-and-control architecture had survived a prior Mars EDL; 0 otherwise. The Schiaparelli case motivates separating this from the decelerator, because its entry decelerator carried heritage while its descent-control logic did not.</w:t>
            </w:r>
          </w:p>
        </w:tc>
        <w:tc>
          <w:tcPr>
            <w:tcW w:w="0" w:type="auto"/>
          </w:tcPr>
          <w:p>
            <w:pPr>
              <w:spacing w:line="240" w:lineRule="auto" w:before="0" w:after="0"/>
              <w:pStyle w:val="Compact"/>
            </w:pPr>
            <w:r>
              <w:rPr>
                <w:sz w:val="20"/>
                <w:szCs w:val="20"/>
              </w:rPr>
              <w:t xml:space="preserve">Bonetti et al., Acta Astronautica 149, 2018 doi:10.1016/j.actaastro.2018.05.029 and NSSDCA per-mission records (see data.csv)</w:t>
            </w:r>
          </w:p>
        </w:tc>
      </w:tr>
      <w:tr>
        <w:tc>
          <w:tcPr>
            <w:tcW w:w="0" w:type="auto"/>
          </w:tcPr>
          <w:p>
            <w:pPr>
              <w:spacing w:line="240" w:lineRule="auto" w:before="0" w:after="0"/>
              <w:pStyle w:val="Compact"/>
            </w:pPr>
            <w:r>
              <w:rPr>
                <w:sz w:val="20"/>
                <w:szCs w:val="20"/>
              </w:rPr>
              <w:t xml:space="preserve">landing_heritage</w:t>
            </w:r>
          </w:p>
        </w:tc>
        <w:tc>
          <w:tcPr>
            <w:tcW w:w="0" w:type="auto"/>
          </w:tcPr>
          <w:p>
            <w:pPr>
              <w:spacing w:line="240" w:lineRule="auto" w:before="0" w:after="0"/>
              <w:pStyle w:val="Compact"/>
            </w:pPr>
            <w:r>
              <w:rPr>
                <w:sz w:val="20"/>
                <w:szCs w:val="20"/>
              </w:rPr>
              <w:t xml:space="preserve">Component indicator: 1 if the terminal landing mechanism (airbag, propulsive leg, or sky-crane architecture) had survived a prior Mars EDL; 0 otherwise.</w:t>
            </w:r>
          </w:p>
        </w:tc>
        <w:tc>
          <w:tcPr>
            <w:tcW w:w="0" w:type="auto"/>
          </w:tcPr>
          <w:p>
            <w:pPr>
              <w:spacing w:line="240" w:lineRule="auto" w:before="0" w:after="0"/>
              <w:pStyle w:val="Compact"/>
            </w:pPr>
            <w:r>
              <w:rPr>
                <w:sz w:val="20"/>
                <w:szCs w:val="20"/>
              </w:rPr>
              <w:t xml:space="preserve">Braun and Manning 2007 doi:10.2514/1.25116 and NSSDCA per-mission records (see data.csv)</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Physical-difficulty control: landed mass in kilograms, a standard confound that co-moves with both heritage and EDL difficulty because heavier landers demand more capable decelerators and terminal systems. Included so the heritage coefficient is not absorbing the mass-scaling of EDL difficulty.</w:t>
            </w:r>
          </w:p>
        </w:tc>
        <w:tc>
          <w:tcPr>
            <w:tcW w:w="0" w:type="auto"/>
          </w:tcPr>
          <w:p>
            <w:pPr>
              <w:spacing w:line="240" w:lineRule="auto" w:before="0" w:after="0"/>
              <w:pStyle w:val="Compact"/>
            </w:pPr>
            <w:r>
              <w:rPr>
                <w:sz w:val="20"/>
                <w:szCs w:val="20"/>
              </w:rPr>
              <w:t xml:space="preserve">NASA NSSDCA per-mission landed/capsule mass and Braun and Manning 2007 doi:10.2514/1.25116 (see data.csv source column)</w:t>
            </w:r>
          </w:p>
        </w:tc>
      </w:tr>
      <w:tr>
        <w:tc>
          <w:tcPr>
            <w:tcW w:w="0" w:type="auto"/>
          </w:tcPr>
          <w:p>
            <w:pPr>
              <w:spacing w:line="240" w:lineRule="auto" w:before="0" w:after="0"/>
              <w:pStyle w:val="Compact"/>
            </w:pPr>
            <w:r>
              <w:rPr>
                <w:sz w:val="20"/>
                <w:szCs w:val="20"/>
              </w:rPr>
              <w:t xml:space="preserve">guidance_autonomy</w:t>
            </w:r>
          </w:p>
        </w:tc>
        <w:tc>
          <w:tcPr>
            <w:tcW w:w="0" w:type="auto"/>
          </w:tcPr>
          <w:p>
            <w:pPr>
              <w:spacing w:line="240" w:lineRule="auto" w:before="0" w:after="0"/>
              <w:pStyle w:val="Compact"/>
            </w:pPr>
            <w:r>
              <w:rPr>
                <w:sz w:val="20"/>
                <w:szCs w:val="20"/>
              </w:rPr>
              <w:t xml:space="preserve">Control-authority covariate: 1 if the vehicle flew a guided or actively attitude-controlled entry or terminal descent (lifting bank control, hazard-avoidance terminal guidance); 0 for unguided ballistic or open-loop descent. Included to separate the value of subsystem heritage from the value of active control.</w:t>
            </w:r>
          </w:p>
        </w:tc>
        <w:tc>
          <w:tcPr>
            <w:tcW w:w="0" w:type="auto"/>
          </w:tcPr>
          <w:p>
            <w:pPr>
              <w:spacing w:line="240" w:lineRule="auto" w:before="0" w:after="0"/>
              <w:pStyle w:val="Compact"/>
            </w:pPr>
            <w:r>
              <w:rPr>
                <w:sz w:val="20"/>
                <w:szCs w:val="20"/>
              </w:rPr>
              <w:t xml:space="preserve">NASA NSSDCA and agency EDL descriptions; Braun and Manning 2007 doi:10.2514/1.25116 (see data.csv source column)</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-2.4153</w:t>
            </w:r>
          </w:p>
        </w:tc>
        <w:tc>
          <w:tcPr>
            <w:tcW w:w="0" w:type="auto"/>
          </w:tcPr>
          <w:p>
            <w:pPr>
              <w:spacing w:line="240" w:lineRule="auto" w:before="0" w:after="0"/>
              <w:pStyle w:val="Compact"/>
            </w:pPr>
            <w:r>
              <w:rPr>
                <w:sz w:val="20"/>
                <w:szCs w:val="20"/>
              </w:rPr>
              <w:t xml:space="preserve">1.516</w:t>
            </w:r>
          </w:p>
        </w:tc>
        <w:tc>
          <w:tcPr>
            <w:tcW w:w="0" w:type="auto"/>
          </w:tcPr>
          <w:p>
            <w:pPr>
              <w:spacing w:line="240" w:lineRule="auto" w:before="0" w:after="0"/>
              <w:pStyle w:val="Compact"/>
            </w:pPr>
            <w:r>
              <w:rPr>
                <w:sz w:val="20"/>
                <w:szCs w:val="20"/>
              </w:rPr>
              <w:t xml:space="preserve">-1.5932</w:t>
            </w:r>
          </w:p>
        </w:tc>
        <w:tc>
          <w:tcPr>
            <w:tcW w:w="0" w:type="auto"/>
          </w:tcPr>
          <w:p>
            <w:pPr>
              <w:spacing w:line="240" w:lineRule="auto" w:before="0" w:after="0"/>
              <w:pStyle w:val="Compact"/>
            </w:pPr>
            <w:r>
              <w:rPr>
                <w:sz w:val="20"/>
                <w:szCs w:val="20"/>
              </w:rPr>
              <w:t xml:space="preserve">0.1111</w:t>
            </w:r>
          </w:p>
        </w:tc>
        <w:tc>
          <w:tcPr>
            <w:tcW w:w="0" w:type="auto"/>
          </w:tcPr>
          <w:p>
            <w:pPr>
              <w:spacing w:line="240" w:lineRule="auto" w:before="0" w:after="0"/>
              <w:pStyle w:val="Compact"/>
            </w:pPr>
            <w:r>
              <w:rPr>
                <w:sz w:val="20"/>
                <w:szCs w:val="20"/>
              </w:rPr>
              <w:t xml:space="preserve">[-5.3866, 0.556]</w:t>
            </w:r>
          </w:p>
        </w:tc>
      </w:tr>
      <w:tr>
        <w:tc>
          <w:tcPr>
            <w:tcW w:w="0" w:type="auto"/>
          </w:tcPr>
          <w:p>
            <w:pPr>
              <w:spacing w:line="240" w:lineRule="auto" w:before="0" w:after="0"/>
              <w:pStyle w:val="Compact"/>
            </w:pPr>
            <w:r>
              <w:rPr>
                <w:sz w:val="20"/>
                <w:szCs w:val="20"/>
              </w:rPr>
              <w:t xml:space="preserve">heritage_index</w:t>
            </w:r>
          </w:p>
        </w:tc>
        <w:tc>
          <w:tcPr>
            <w:tcW w:w="0" w:type="auto"/>
          </w:tcPr>
          <w:p>
            <w:pPr>
              <w:spacing w:line="240" w:lineRule="auto" w:before="0" w:after="0"/>
              <w:pStyle w:val="Compact"/>
            </w:pPr>
            <w:r>
              <w:rPr>
                <w:sz w:val="20"/>
                <w:szCs w:val="20"/>
              </w:rPr>
              <w:t xml:space="preserve">0.8083</w:t>
            </w:r>
          </w:p>
        </w:tc>
        <w:tc>
          <w:tcPr>
            <w:tcW w:w="0" w:type="auto"/>
          </w:tcPr>
          <w:p>
            <w:pPr>
              <w:spacing w:line="240" w:lineRule="auto" w:before="0" w:after="0"/>
              <w:pStyle w:val="Compact"/>
            </w:pPr>
            <w:r>
              <w:rPr>
                <w:sz w:val="20"/>
                <w:szCs w:val="20"/>
              </w:rPr>
              <w:t xml:space="preserve">0.6281</w:t>
            </w:r>
          </w:p>
        </w:tc>
        <w:tc>
          <w:tcPr>
            <w:tcW w:w="0" w:type="auto"/>
          </w:tcPr>
          <w:p>
            <w:pPr>
              <w:spacing w:line="240" w:lineRule="auto" w:before="0" w:after="0"/>
              <w:pStyle w:val="Compact"/>
            </w:pPr>
            <w:r>
              <w:rPr>
                <w:sz w:val="20"/>
                <w:szCs w:val="20"/>
              </w:rPr>
              <w:t xml:space="preserve">1.2869</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[-0.4227, 2.0392]</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1.3054</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[-0.002, 0.0099]</w:t>
            </w:r>
          </w:p>
        </w:tc>
      </w:tr>
      <w:tr>
        <w:tc>
          <w:tcPr>
            <w:tcW w:w="0" w:type="auto"/>
          </w:tcPr>
          <w:p>
            <w:pPr>
              <w:spacing w:line="240" w:lineRule="auto" w:before="0" w:after="0"/>
              <w:pStyle w:val="Compact"/>
            </w:pPr>
            <w:r>
              <w:rPr>
                <w:sz w:val="20"/>
                <w:szCs w:val="20"/>
              </w:rPr>
              <w:t xml:space="preserve">guidance_autonomy</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0.6669</w:t>
            </w:r>
          </w:p>
        </w:tc>
        <w:tc>
          <w:tcPr>
            <w:tcW w:w="0" w:type="auto"/>
          </w:tcPr>
          <w:p>
            <w:pPr>
              <w:spacing w:line="240" w:lineRule="auto" w:before="0" w:after="0"/>
              <w:pStyle w:val="Compact"/>
            </w:pPr>
            <w:r>
              <w:rPr>
                <w:sz w:val="20"/>
                <w:szCs w:val="20"/>
              </w:rPr>
              <w:t xml:space="preserve">0.5049</w:t>
            </w:r>
          </w:p>
        </w:tc>
        <w:tc>
          <w:tcPr>
            <w:tcW w:w="0" w:type="auto"/>
          </w:tcPr>
          <w:p>
            <w:pPr>
              <w:spacing w:line="240" w:lineRule="auto" w:before="0" w:after="0"/>
              <w:pStyle w:val="Compact"/>
            </w:pPr>
            <w:r>
              <w:rPr>
                <w:sz w:val="20"/>
                <w:szCs w:val="20"/>
              </w:rPr>
              <w:t xml:space="preserve">[-1.6332, 3.3178]</w:t>
            </w:r>
          </w:p>
        </w:tc>
      </w:tr>
    </w:tbl>
    <w:p>
      <w:pPr>
        <w:pStyle w:val="BodyText"/>
      </w:pPr>
      <w:r>
        <w:t xml:space="preserve">Fit: N = 19 pseudo_R2 = 0.3268 LL = -8.7057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68" Target="https://doi.org/10.1016/j.actaastro.2018.05.029" TargetMode="External" /><Relationship Type="http://schemas.openxmlformats.org/officeDocument/2006/relationships/hyperlink" Id="rId73" Target="https://doi.org/10.1016/j.actaastro.2018.12.033" TargetMode="External" /><Relationship Type="http://schemas.openxmlformats.org/officeDocument/2006/relationships/hyperlink" Id="rId71" Target="https://doi.org/10.1016/j.actaastro.2025.04.008" TargetMode="External" /><Relationship Type="http://schemas.openxmlformats.org/officeDocument/2006/relationships/hyperlink" Id="rId75" Target="https://doi.org/10.2514/1.2511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8.05.029" TargetMode="External" /><Relationship Type="http://schemas.openxmlformats.org/officeDocument/2006/relationships/hyperlink" Id="rId73" Target="https://doi.org/10.1016/j.actaastro.2018.12.033" TargetMode="External" /><Relationship Type="http://schemas.openxmlformats.org/officeDocument/2006/relationships/hyperlink" Id="rId71" Target="https://doi.org/10.1016/j.actaastro.2025.04.008" TargetMode="External" /><Relationship Type="http://schemas.openxmlformats.org/officeDocument/2006/relationships/hyperlink" Id="rId75" Target="https://doi.org/10.2514/1.251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2026-06-25T14:25:41Z</dcterms:created>
  <dcterms:modified xsi:type="dcterms:W3CDTF">2026-06-25T14:25:41Z</dcterms:modified>
</cp:coreProperties>
</file>

<file path=docProps/custom.xml><?xml version="1.0" encoding="utf-8"?>
<Properties xmlns="http://schemas.openxmlformats.org/officeDocument/2006/custom-properties" xmlns:vt="http://schemas.openxmlformats.org/officeDocument/2006/docPropsVTypes"/>
</file>