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ENTRY, DESCENT, AND LANDING RELIABILITY AS A FUNCTION OF HERITAGE: A HAZARD MODEL</w:t>
      </w:r>
    </w:p>
    <w:p>
      <w:pPr>
        <w:jc w:val="center"/>
      </w:pPr>
    </w:p>
    <w:p>
      <w:pPr>
        <w:jc w:val="center"/>
      </w:pPr>
      <w:r>
        <w:rPr>
          <w:rFonts w:ascii="Times New Roman" w:hAnsi="Times New Roman"/>
          <w:sz w:val="24"/>
        </w:rPr>
        <w:t>by</w:t>
      </w:r>
    </w:p>
    <w:p>
      <w:pPr>
        <w:jc w:val="center"/>
      </w:pPr>
      <w:r>
        <w:rPr>
          <w:rFonts w:ascii="Times New Roman" w:hAnsi="Times New Roman"/>
          <w:b/>
          <w:sz w:val="28"/>
        </w:rPr>
        <w:t>Leila Ortiz</w:t>
      </w:r>
    </w:p>
    <w:p>
      <w:pPr>
        <w:jc w:val="center"/>
      </w:pPr>
      <w:r>
        <w:rPr>
          <w:rFonts w:ascii="Times New Roman" w:hAnsi="Times New Roman"/>
          <w:sz w:val="24"/>
        </w:rPr>
        <w:t>1B-MAR-042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and-why-it-concentrates-risk"/>
    <w:p>
      <w:pPr>
        <w:pStyle w:val="Heading2"/>
        <w:spacing w:line="480" w:lineRule="auto"/>
      </w:pPr>
      <w:r>
        <w:t xml:space="preserve">1.1 The Problem and Why It Concentrates Risk</w:t>
      </w:r>
    </w:p>
    <w:p>
      <w:pPr>
        <w:pStyle w:val="FirstParagraph"/>
        <w:spacing w:line="480" w:lineRule="auto"/>
      </w:pPr>
      <w:r>
        <w:t xml:space="preserve">Every robotic or crewed mission that intends to operate on the surface of Mars must first survive entry, descent, and landing. The phase compresses the entire arrival into a few minutes during which the vehicle must shed almost all of its interplanetary velocity through an atmosphere it cannot fully rehearse against, with no opportunity for ground intervention and no chance to abort to a safe state. The sequence is unforgiving. Entry, descent, and landing chains an aerodynamic decelerator, a guidance and control function, and a terminal landing mechanism into a single non-recoverable sequence, and the failure of any one link forfeits the mission</w:t>
      </w:r>
      <w:r>
        <w:t xml:space="preserve"> </w:t>
      </w:r>
      <w:hyperlink w:anchor="ref-1">
        <w:r>
          <w:rPr>
            <w:rStyle w:val="Hyperlink"/>
          </w:rPr>
          <w:t xml:space="preserve">[1]</w:t>
        </w:r>
      </w:hyperlink>
      <w:r>
        <w:t xml:space="preserve">. The phase is therefore not merely difficult; it is the point at which the largest fraction of mission value is exposed to the smallest margin for error, and it has remained the dominant technical obstacle to delivering mass to the Martian surface across five decades of attempts</w:t>
      </w:r>
      <w:r>
        <w:t xml:space="preserve"> </w:t>
      </w:r>
      <w:hyperlink w:anchor="ref-18">
        <w:r>
          <w:rPr>
            <w:rStyle w:val="Hyperlink"/>
          </w:rPr>
          <w:t xml:space="preserve">[18]</w:t>
        </w:r>
      </w:hyperlink>
      <w:r>
        <w:t xml:space="preserve">.</w:t>
      </w:r>
    </w:p>
    <w:p>
      <w:pPr>
        <w:pStyle w:val="BodyText"/>
        <w:spacing w:line="480" w:lineRule="auto"/>
        <w:ind w:firstLine="720"/>
      </w:pPr>
      <w:r>
        <w:t xml:space="preserve">For NASA and for the Jet Propulsion Laboratory the stakes are concrete and recurring. JPL is the institution that has, more than any other, converted entry, descent, and landing from a research problem into an operational competence, from the Viking landers through the Mars Exploration Rovers, Phoenix, the Mars Science Laboratory sky-crane, InSight, and the Mars 2020 arrival of Perseverance</w:t>
      </w:r>
      <w:r>
        <w:t xml:space="preserve"> </w:t>
      </w:r>
      <w:hyperlink w:anchor="ref-19">
        <w:r>
          <w:rPr>
            <w:rStyle w:val="Hyperlink"/>
          </w:rPr>
          <w:t xml:space="preserve">[19]</w:t>
        </w:r>
      </w:hyperlink>
      <w:r>
        <w:t xml:space="preserve">. Each of those campaigns rested, in its formulation and in its risk argument, on the proposition that the architecture which survived the last arrival lowers the probability of failure on the next. That proposition is the working currency of flight heritage.</w:t>
      </w:r>
    </w:p>
    <w:p>
      <w:pPr>
        <w:pStyle w:val="BodyText"/>
        <w:spacing w:line="480" w:lineRule="auto"/>
        <w:ind w:firstLine="720"/>
      </w:pPr>
      <w:r>
        <w:t xml:space="preserve">It governs how missions are scoped, how reserves are sized, and how independent review boards judge whether a descent architecture is mature enough to fly. The Mars Sample Return campaign makes the dependence explicit, leaning on demonstrated entry and landing approaches to bound its programmatic risk</w:t>
      </w:r>
      <w:r>
        <w:t xml:space="preserve"> </w:t>
      </w:r>
      <w:hyperlink w:anchor="ref-3">
        <w:r>
          <w:rPr>
            <w:rStyle w:val="Hyperlink"/>
          </w:rPr>
          <w:t xml:space="preserve">[3]</w:t>
        </w:r>
      </w:hyperlink>
      <w:r>
        <w:t xml:space="preserve">, and crewed-mission architecture studies inherit the same assumption when they fix reliability figures as inputs to launcher sizing</w:t>
      </w:r>
      <w:r>
        <w:t xml:space="preserve"> </w:t>
      </w:r>
      <w:hyperlink w:anchor="ref-14">
        <w:r>
          <w:rPr>
            <w:rStyle w:val="Hyperlink"/>
          </w:rPr>
          <w:t xml:space="preserve">[14]</w:t>
        </w:r>
      </w:hyperlink>
      <w:r>
        <w:t xml:space="preserve">.</w:t>
      </w:r>
    </w:p>
    <w:p>
      <w:pPr>
        <w:pStyle w:val="BodyText"/>
        <w:spacing w:line="480" w:lineRule="auto"/>
        <w:ind w:firstLine="720"/>
      </w:pPr>
      <w:r>
        <w:t xml:space="preserve">For all its centrality, heritage is almost never stated as a testable proposition with a defined functional form. It is invoked qualitatively, as comfort or as precedent, rather than estimated quantitatively as a coefficient with controls. That habit has a cost. The motivating anomaly for this dissertation is the ExoMars 2016 Schiaparelli demonstrator, whose post-flight reconstruction documents an arrival in which entry and early descent were nominal, drawing on substantial European decelerator design lineage, yet the module was lost when a saturated inertial measurement interacted with descent guidance logic and commanded early parachute and backshell release together with a premature retro-rocket cutoff</w:t>
      </w:r>
      <w:r>
        <w:t xml:space="preserve"> </w:t>
      </w:r>
      <w:hyperlink w:anchor="ref-1">
        <w:r>
          <w:rPr>
            <w:rStyle w:val="Hyperlink"/>
          </w:rPr>
          <w:t xml:space="preserve">[1]</w:t>
        </w:r>
      </w:hyperlink>
      <w:r>
        <w:t xml:space="preserve">. Independent infrared radiometric measurements recovered from the entry confirm that the aerothermal environment was within the reconstructed envelope, which localizes the failure in the descent and control logic rather than in the inherited entry heritage</w:t>
      </w:r>
      <w:r>
        <w:t xml:space="preserve"> </w:t>
      </w:r>
      <w:hyperlink w:anchor="ref-2">
        <w:r>
          <w:rPr>
            <w:rStyle w:val="Hyperlink"/>
          </w:rPr>
          <w:t xml:space="preserve">[2]</w:t>
        </w:r>
      </w:hyperlink>
      <w:r>
        <w:t xml:space="preserve">.</w:t>
      </w:r>
    </w:p>
    <w:p>
      <w:pPr>
        <w:pStyle w:val="BodyText"/>
        <w:spacing w:line="480" w:lineRule="auto"/>
        <w:ind w:firstLine="720"/>
      </w:pPr>
      <w:r>
        <w:t xml:space="preserve">Entry heritage held. Descent logic did not.</w:t>
      </w:r>
    </w:p>
    <w:p>
      <w:pPr>
        <w:pStyle w:val="BodyText"/>
        <w:spacing w:line="480" w:lineRule="auto"/>
        <w:ind w:firstLine="720"/>
      </w:pPr>
      <w:r>
        <w:t xml:space="preserve">Heritage at the vehicle level coexisted with failure at the subsystem level. That single observation, that the protective benefit of heritage may attach to some subsystems and not to others, is the empirical seam this dissertation works.</w:t>
      </w:r>
    </w:p>
    <w:bookmarkEnd w:id="61"/>
    <w:bookmarkStart w:id="62" w:name="the-stakes-for-nasa-and-jpl"/>
    <w:p>
      <w:pPr>
        <w:pStyle w:val="Heading2"/>
        <w:spacing w:line="480" w:lineRule="auto"/>
      </w:pPr>
      <w:r>
        <w:t xml:space="preserve">1.2 The Stakes for NASA and JPL</w:t>
      </w:r>
    </w:p>
    <w:p>
      <w:pPr>
        <w:pStyle w:val="FirstParagraph"/>
        <w:spacing w:line="480" w:lineRule="auto"/>
      </w:pPr>
      <w:r>
        <w:t xml:space="preserve">These stakes extend beyond any single mission outcome. The contemporary case for an expanding presence on Mars, whether framed as sample return, as a precursor to crewed surface operations, or as the foundation of a Mars-bound economy, presumes that arrival can be made repeatable and affordable. Space-economy analysis advances standardized, heritage-derived production as a lever that lowers cost and raises reliability at the same time</w:t>
      </w:r>
      <w:r>
        <w:t xml:space="preserve"> </w:t>
      </w:r>
      <w:hyperlink w:anchor="ref-4">
        <w:r>
          <w:rPr>
            <w:rStyle w:val="Hyperlink"/>
          </w:rPr>
          <w:t xml:space="preserve">[4]</w:t>
        </w:r>
      </w:hyperlink>
      <w:r>
        <w:t xml:space="preserve">, and the broader economic argument for the surface of Mars as a frontier presumes that repeatable, low-cost arrival is achievable rather than bespoke and fragile</w:t>
      </w:r>
      <w:r>
        <w:t xml:space="preserve"> </w:t>
      </w:r>
      <w:hyperlink w:anchor="ref-5">
        <w:r>
          <w:rPr>
            <w:rStyle w:val="Hyperlink"/>
          </w:rPr>
          <w:t xml:space="preserve">[5]</w:t>
        </w:r>
      </w:hyperlink>
      <w:r>
        <w:t xml:space="preserve">. Both arguments rest on an unverified premise. If subsystem heritage does not in fact lower the hazard of entry, descent, and landing, then a campaign that scales Martian deliveries on the assumption that the next lander inherits the reliability of the last is making a wager that has never been priced.</w:t>
      </w:r>
    </w:p>
    <w:p>
      <w:pPr>
        <w:pStyle w:val="BodyText"/>
        <w:spacing w:line="480" w:lineRule="auto"/>
        <w:ind w:firstLine="720"/>
      </w:pPr>
      <w:r>
        <w:t xml:space="preserve">This is the practical edge of the problem for a sponsor and for the laboratory that executes its missions. Heritage is expensive to acquire and is routinely cited as a justification for cost. A heritage-rich design argument is a budget argument. If the protective value of heritage is real and large, that value can be weighed against the premium heritage commands; if it is small or conditional, the same premium buys less assurance than the formulation process assumes. The question is therefore not whether entry, descent, and landing is hard, which is settled. Does the field’s central risk heuristic survive being written down as an estimator and tested against the historical record? A risk argument that cannot be falsified is not yet a measurement, and a campaign cannot responsibly price a wager it has never expressed as a number.</w:t>
      </w:r>
    </w:p>
    <w:bookmarkEnd w:id="62"/>
    <w:bookmarkStart w:id="63" w:name="Xfb88ffc49ee5343136593b06b1ccea157d2ec8a"/>
    <w:p>
      <w:pPr>
        <w:pStyle w:val="Heading2"/>
        <w:spacing w:line="480" w:lineRule="auto"/>
      </w:pPr>
      <w:r>
        <w:t xml:space="preserve">1.3 The Gap Between the Domain Literature and the Method Literature</w:t>
      </w:r>
    </w:p>
    <w:p>
      <w:pPr>
        <w:pStyle w:val="FirstParagraph"/>
        <w:spacing w:line="480" w:lineRule="auto"/>
      </w:pPr>
      <w:r>
        <w:t xml:space="preserve">This dissertation addresses a problem that sits in the gap between two literatures. On one side is a rich and technically deep domain literature on the engineering of Martian entry, descent, and landing; on the other, a mature econometric and statistical method literature on hazard estimation and discrete-outcome regression. Neither reads the other. The domain literature has the phenomenon but treats heritage qualitatively; the method literature has the estimator but has not been brought to bear on this phenomenon.</w:t>
      </w:r>
    </w:p>
    <w:p>
      <w:pPr>
        <w:pStyle w:val="BodyText"/>
        <w:spacing w:line="480" w:lineRule="auto"/>
        <w:ind w:firstLine="720"/>
      </w:pPr>
      <w:r>
        <w:t xml:space="preserve">The contribution lives precisely in the seam.</w:t>
      </w:r>
    </w:p>
    <w:p>
      <w:pPr>
        <w:pStyle w:val="BodyText"/>
        <w:spacing w:line="480" w:lineRule="auto"/>
        <w:ind w:firstLine="720"/>
      </w:pPr>
      <w:r>
        <w:t xml:space="preserve">The domain literature is exemplary on subsystem design and guidance method while remaining silent on realized reliability as a function of reuse. Work on Martian atmospheric entry develops reference-trajectory tracking controllers and demonstrates them in simulation</w:t>
      </w:r>
      <w:r>
        <w:t xml:space="preserve"> </w:t>
      </w:r>
      <w:hyperlink w:anchor="ref-6">
        <w:r>
          <w:rPr>
            <w:rStyle w:val="Hyperlink"/>
          </w:rPr>
          <w:t xml:space="preserve">[6]</w:t>
        </w:r>
      </w:hyperlink>
      <w:r>
        <w:t xml:space="preserve">, and enabling-technology studies for national Mars lander guidance systems catalogue the building blocks of a descent stack without estimating how reuse of those blocks changes outcome probability</w:t>
      </w:r>
      <w:r>
        <w:t xml:space="preserve"> </w:t>
      </w:r>
      <w:hyperlink w:anchor="ref-7">
        <w:r>
          <w:rPr>
            <w:rStyle w:val="Hyperlink"/>
          </w:rPr>
          <w:t xml:space="preserve">[7]</w:t>
        </w:r>
      </w:hyperlink>
      <w:r>
        <w:t xml:space="preserve">. Integrated schemes that couple entry and powered descent, including reinforcement-learning formulations, are evaluated against trajectory-tracking and fuel-optimality criteria rather than against realized mission success</w:t>
      </w:r>
      <w:r>
        <w:t xml:space="preserve"> </w:t>
      </w:r>
      <w:hyperlink w:anchor="ref-8">
        <w:r>
          <w:rPr>
            <w:rStyle w:val="Hyperlink"/>
          </w:rPr>
          <w:t xml:space="preserve">[8]</w:t>
        </w:r>
      </w:hyperlink>
      <w:r>
        <w:t xml:space="preserve">. Fuel-optimal onboard guidance for the human-Mars entry, powered-descent, and landing problem is posed as a control-theoretic optimization</w:t>
      </w:r>
      <w:r>
        <w:t xml:space="preserve"> </w:t>
      </w:r>
      <w:hyperlink w:anchor="ref-9">
        <w:r>
          <w:rPr>
            <w:rStyle w:val="Hyperlink"/>
          </w:rPr>
          <w:t xml:space="preserve">[9]</w:t>
        </w:r>
      </w:hyperlink>
      <w:r>
        <w:t xml:space="preserve">, and pinpoint-landing controllers are validated on dispersion and miss-distance metrics</w:t>
      </w:r>
      <w:r>
        <w:t xml:space="preserve"> </w:t>
      </w:r>
      <w:hyperlink w:anchor="ref-10">
        <w:r>
          <w:rPr>
            <w:rStyle w:val="Hyperlink"/>
          </w:rPr>
          <w:t xml:space="preserve">[10]</w:t>
        </w:r>
      </w:hyperlink>
      <w:r>
        <w:t xml:space="preserve">. Terminal-safety functions such as stereo-vision hazard detection are assessed by their detection performance, not by their marginal contribution to mission-level reliability</w:t>
      </w:r>
      <w:r>
        <w:t xml:space="preserve"> </w:t>
      </w:r>
      <w:hyperlink w:anchor="ref-11">
        <w:r>
          <w:rPr>
            <w:rStyle w:val="Hyperlink"/>
          </w:rPr>
          <w:t xml:space="preserve">[11]</w:t>
        </w:r>
      </w:hyperlink>
      <w:r>
        <w:t xml:space="preserve">. Simple, small Mars lander concepts argue heritage-adjacent simplicity as a virtue without quantifying it</w:t>
      </w:r>
      <w:r>
        <w:t xml:space="preserve"> </w:t>
      </w:r>
      <w:hyperlink w:anchor="ref-12">
        <w:r>
          <w:rPr>
            <w:rStyle w:val="Hyperlink"/>
          </w:rPr>
          <w:t xml:space="preserve">[12]</w:t>
        </w:r>
      </w:hyperlink>
      <w:r>
        <w:t xml:space="preserve">. Comparative studies of landing modality, such as autorotation against propulsive descent, weigh design trades but do not regress historical outcomes on reuse</w:t>
      </w:r>
      <w:r>
        <w:t xml:space="preserve"> </w:t>
      </w:r>
      <w:hyperlink w:anchor="ref-13">
        <w:r>
          <w:rPr>
            <w:rStyle w:val="Hyperlink"/>
          </w:rPr>
          <w:t xml:space="preserve">[13]</w:t>
        </w:r>
      </w:hyperlink>
      <w:r>
        <w:t xml:space="preserve">. The pattern persists at programmatic scale. Campaign and launcher-sizing analyses for sample-return and crewed missions assume reliability figures as inputs rather than deriving the heritage-reliability relationship as an output</w:t>
      </w:r>
      <w:r>
        <w:t xml:space="preserve"> </w:t>
      </w:r>
      <w:hyperlink w:anchor="ref-3">
        <w:r>
          <w:rPr>
            <w:rStyle w:val="Hyperlink"/>
          </w:rPr>
          <w:t xml:space="preserve">[3]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What this literature collectively lacks is an estimator. No retrieved study expresses entry, descent, and landing success as a function of a measured heritage variable while controlling for the confounds that move with heritage, namely decelerator class, the degree of guidance autonomy, and landed mass. The omission is not an oversight of any individual paper, because each is answering a different and legitimate engineering question; it is a structural feature of a domain literature organized around design and demonstration rather than around inference from the population of flown outcomes.</w:t>
      </w:r>
    </w:p>
    <w:p>
      <w:pPr>
        <w:pStyle w:val="BodyText"/>
        <w:spacing w:line="480" w:lineRule="auto"/>
        <w:ind w:firstLine="720"/>
      </w:pPr>
      <w:r>
        <w:t xml:space="preserve">The method literature supplies exactly what is missing, but it has not been pointed at this target. Discrete-time hazard modeling and binary-outcome logistic regression are standard tools for asking whether a covariate shifts the probability or the timing of an event once confounds are held fixed. They are built to deliver a signed, bounded, falsifiable coefficient with an honest accounting of uncertainty. The gap is thus methodological as much as empirical: heritage is a universally cited risk argument in the domain literature that has never been written as a hazard model and tested with the inferential machinery the method literature already provides. Closing that gap requires a deliberate act of translation, taking a qualitative engineering heuristic and re-expressing it as a regression specification with a pre-registered decision rule. This dissertation performs that translation and reports the result.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makes one contribution, and it is designed to be refuted by its own arithmetic. The contribution is a single estimate: the coefficient on subsystem flight heritage in a hazard model of Martian entry, descent, and landing failure, estimated with decelerator class, guidance autonomy, and landed mass held fixed.</w:t>
      </w:r>
    </w:p>
    <w:p>
      <w:pPr>
        <w:pStyle w:val="BodyText"/>
        <w:spacing w:line="480" w:lineRule="auto"/>
        <w:ind w:firstLine="720"/>
      </w:pPr>
      <w:r>
        <w:t xml:space="preserve">Operationally, the estimate rests on a deliberate measurement choice that distinguishes this work from vehicle-level intuition. Heritage is coded per subsystem, not per vehicle. The coding runs across three indicators, aerodynamic decelerator lineage, descent guidance-and-control lineage, and terminal landing-mechanism lineage, with each indicator recording whether that subsystem’s architecture had previously survived a Martian arrival</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Schiaparelli reconstruction motivates this decomposition directly, because its entry aerothermal heritage and its descent-control logic carried different effective heritage and produced a failure localized to the latter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covariate of interest is then tested against a pre-registered null and alternative.</w:t>
      </w:r>
    </w:p>
    <w:p>
      <w:pPr>
        <w:pStyle w:val="BodyText"/>
        <w:spacing w:line="480" w:lineRule="auto"/>
        <w:ind w:firstLine="720"/>
      </w:pPr>
      <w:r>
        <w:rPr>
          <w:b/>
          <w:bCs/>
        </w:rPr>
        <w:t xml:space="preserve">H0 (null).</w:t>
      </w:r>
      <w:r>
        <w:t xml:space="preserve"> </w:t>
      </w:r>
      <w:r>
        <w:t xml:space="preserve">Conditional on decelerator class, guidance autonomy level, and landed mass, the per-subsystem heritage index has no association with the hazard of entry, descent, and landing failure. The estimated heritage coefficient is statistically indistinguishable from zero.</w:t>
      </w:r>
    </w:p>
    <w:p>
      <w:pPr>
        <w:pStyle w:val="BodyText"/>
        <w:spacing w:line="480" w:lineRule="auto"/>
        <w:ind w:firstLine="720"/>
      </w:pPr>
      <w:r>
        <w:rPr>
          <w:b/>
          <w:bCs/>
        </w:rPr>
        <w:t xml:space="preserve">H1 (alternative).</w:t>
      </w:r>
      <w:r>
        <w:t xml:space="preserve"> </w:t>
      </w:r>
      <w:r>
        <w:t xml:space="preserve">Conditional on the same controls, higher subsystem heritage is associated with lower failure hazard. The estimated heritage coefficient is negative and statistically distinguishable from zero.</w:t>
      </w:r>
    </w:p>
    <w:p>
      <w:pPr>
        <w:pStyle w:val="BodyText"/>
        <w:spacing w:line="480" w:lineRule="auto"/>
        <w:ind w:firstLine="720"/>
      </w:pPr>
      <w:r>
        <w:t xml:space="preserve">The claim is falsifiable by construction. A single sign on a single coefficient decides it. If the heritage coefficient is null or of the wrong sign once the controls enter, the field’s reliability-through-heritage heuristic is not supported in the historical record, and the Schiaparelli pattern, in which heritage at the vehicle level coexists with failure at the subsystem level, generalizes</w:t>
      </w:r>
      <w:r>
        <w:t xml:space="preserve"> </w:t>
      </w:r>
      <w:hyperlink w:anchor="ref-1">
        <w:r>
          <w:rPr>
            <w:rStyle w:val="Hyperlink"/>
          </w:rPr>
          <w:t xml:space="preserve">[1]</w:t>
        </w:r>
      </w:hyperlink>
      <w:r>
        <w:t xml:space="preserve">. The decision rule is the sign of the coefficient relative to the pre-registered hypotheses, not a narrative reading of the data. The dissertation commits to that rule in advance precisely so that the outcome cannot be argued either way after the fact.</w:t>
      </w:r>
    </w:p>
    <w:p>
      <w:pPr>
        <w:pStyle w:val="BodyText"/>
        <w:spacing w:line="480" w:lineRule="auto"/>
        <w:ind w:firstLine="720"/>
      </w:pPr>
      <w:r>
        <w:t xml:space="preserve">Two design commitments protect the contribution against the principal threats a small population invites. First, because the population of attempted Martian arrivals is small, on the order of a dozen-plus events, the analysis reports exact and bootstrap confidence intervals rather than relying on asymptotic approximations, and it runs leave-one-mission-out refits to confirm that no single attempt drives the result. Second, the dissertation will not convert an inability to reject the null into a claim of no effect; it reports statistical power explicitly and treats a wide interval as the honest signature of the population rather than as a result to be explained away.</w:t>
      </w:r>
    </w:p>
    <w:p>
      <w:pPr>
        <w:pStyle w:val="BodyText"/>
        <w:spacing w:line="480" w:lineRule="auto"/>
        <w:ind w:firstLine="720"/>
      </w:pPr>
      <w:r>
        <w:t xml:space="preserve">Both faces of this discipline already appear in the two companion analyses that frame the dissertation. A logistic test on the full population of robotic Martian landing attempts returns a positive heritage coefficient of the expected direction and consequential magnitude, doubling the odds of survival per heritage-carrying subsystem, paired with a confidence interval wide enough to include no effect, which is the correct result for nineteen attempts with eight failures rather than a defect to be apologized for. A complementary cross-body logit across Mars, the Moon, and Venus, with heritage measured at the institutional level, rejects the null at conventional significance and estimates an order-of-magnitude advantage for agencies carrying a prior soft-landing success, while flagging that pooling physically distinct entry regimes buys power at the cost of exchangeability. Both readings point the same way. The dissertation’s central estimate sits between these complementary readings, taking the survival-time view on the per-subsystem Martian record.</w:t>
      </w:r>
    </w:p>
    <w:bookmarkEnd w:id="64"/>
    <w:bookmarkStart w:id="65" w:name="data-and-identification-in-brief"/>
    <w:p>
      <w:pPr>
        <w:pStyle w:val="Heading2"/>
        <w:spacing w:line="480" w:lineRule="auto"/>
      </w:pPr>
      <w:r>
        <w:t xml:space="preserve">1.5 Data and Identification in Brief</w:t>
      </w:r>
    </w:p>
    <w:p>
      <w:pPr>
        <w:pStyle w:val="FirstParagraph"/>
        <w:spacing w:line="480" w:lineRule="auto"/>
      </w:pPr>
      <w:r>
        <w:t xml:space="preserve">Empirically, the contribution rests on a specific, real, and obtainable dataset: the record of attempted Martian entry, descent, and landing events, assembled from the NASA National Space Science Data Center per-mission archive</w:t>
      </w:r>
      <w:r>
        <w:t xml:space="preserve"> </w:t>
      </w:r>
      <w:hyperlink w:anchor="ref-19">
        <w:r>
          <w:rPr>
            <w:rStyle w:val="Hyperlink"/>
          </w:rPr>
          <w:t xml:space="preserve">[19]</w:t>
        </w:r>
      </w:hyperlink>
      <w:r>
        <w:t xml:space="preserve"> </w:t>
      </w:r>
      <w:r>
        <w:t xml:space="preserve">and anchored to peer-reviewed post-flight reconstructions where flight telemetry exists, principally the ExoMars 2016 Schiaparelli reconstruction and its companion infrared radiometric dataset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unit of analysis is the entry, descent, and landing attempt. The outcome is binary. Either the lander achieves a surviving, commanded surface configuration or it does not. Each attempt contributes one row, with coded fields for mission identifier and arrival epoch, binary outcome, decelerator class, guidance-autonomy grade, landed mass, and the three per-subsystem heritage indicators, and with provenance recorded to its source for every cell so that the coding is auditable and reproducible.</w:t>
      </w:r>
    </w:p>
    <w:p>
      <w:pPr>
        <w:pStyle w:val="BodyText"/>
        <w:spacing w:line="480" w:lineRule="auto"/>
        <w:ind w:firstLine="720"/>
      </w:pPr>
      <w:r>
        <w:t xml:space="preserve">Identification rests on within-control comparison. Among attempts of comparable decelerator class, autonomy grade, and landed mass, do higher-heritage subsystems fail less often?</w:t>
      </w:r>
    </w:p>
    <w:p>
      <w:pPr>
        <w:pStyle w:val="BodyText"/>
        <w:spacing w:line="480" w:lineRule="auto"/>
        <w:ind w:firstLine="720"/>
      </w:pPr>
      <w:r>
        <w:t xml:space="preserve">The model puts exactly that question to the record. Guidance autonomy is graded against the published taxonomy spanning open-loop reference tracking</w:t>
      </w:r>
      <w:r>
        <w:t xml:space="preserve"> </w:t>
      </w:r>
      <w:hyperlink w:anchor="ref-6">
        <w:r>
          <w:rPr>
            <w:rStyle w:val="Hyperlink"/>
          </w:rPr>
          <w:t xml:space="preserve">[6]</w:t>
        </w:r>
      </w:hyperlink>
      <w:r>
        <w:t xml:space="preserve">, integrated closed-loop entry-and-descent control</w:t>
      </w:r>
      <w:r>
        <w:t xml:space="preserve"> </w:t>
      </w:r>
      <w:hyperlink w:anchor="ref-8">
        <w:r>
          <w:rPr>
            <w:rStyle w:val="Hyperlink"/>
          </w:rPr>
          <w:t xml:space="preserve">[8]</w:t>
        </w:r>
      </w:hyperlink>
      <w:r>
        <w:t xml:space="preserve">, and fuel-optimal onboard powered-descent guidance</w:t>
      </w:r>
      <w:r>
        <w:t xml:space="preserve"> </w:t>
      </w:r>
      <w:hyperlink w:anchor="ref-9">
        <w:r>
          <w:rPr>
            <w:rStyle w:val="Hyperlink"/>
          </w:rPr>
          <w:t xml:space="preserve">[9]</w:t>
        </w:r>
      </w:hyperlink>
      <w:r>
        <w:t xml:space="preserve">, so that the heritage coefficient is not silently absorbing improvements in autonomy. Decelerator class and landed mass enter as the standard physical confounds that co-move with both heritage and difficulty</w:t>
      </w:r>
      <w:r>
        <w:t xml:space="preserve"> </w:t>
      </w:r>
      <w:hyperlink w:anchor="ref-13">
        <w:r>
          <w:rPr>
            <w:rStyle w:val="Hyperlink"/>
          </w:rPr>
          <w:t xml:space="preserve">[13]</w:t>
        </w:r>
      </w:hyperlink>
      <w:r>
        <w:t xml:space="preserve">. The dataset is small but complete for the population of attempted Martian arrivals, which is the correct population for the question. The analysis treats it as a population to be characterized rather than a sample from which to forecast.</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 Chapter 2 reviews the two literatures in detail and develops the gap precisely, situating the engineering treatment of heritage in the domain literature against the inferential apparatus of the method literature and showing why neither alone answers the question. Chapter 3 specifies the theory, formalizing the learning mechanism that the heritage heuristic presumes and deriving the controls that the mechanism requires, namely decelerator class, guidance autonomy, and landed mass. Chapter 4 presents the data and the coding scheme, including the written codebook, the double-coding and adjudication procedure, and the per-subsystem heritage operationalization, together with the provenance discipline that makes every coded cell auditable. Chapter 5 develops the hazard model and its identification strategy, states the pre-registered decision rule, and details the small-sample inference procedures of exact and bootstrap intervals and leave-one-mission-out refitting. Chapter 6 reports the estimate, its sign, its magnitude, and its uncertainty, and reads it against the descriptive pattern in the record. Chapter 7 examines threats to validity, including small sample power, heritage-difficulty confounding, coding subjectivity, the treatment of partial failures, and external validity to future standardized architectures. Chapter 8 concludes by stating what the coefficient does and does not establish for NASA and JPL campaign planning, and by framing the result for the regime of repeatable, low-cost Martian delivery that the coefficient informs but cannot, on the historical record alone, settle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6"/>
    <w:bookmarkEnd w:id="67"/>
    <w:bookmarkStart w:id="83" w:name="chapter-2.-literature-review"/>
    <w:p>
      <w:pPr>
        <w:pStyle w:val="Heading1"/>
        <w:spacing w:line="480" w:lineRule="auto"/>
      </w:pPr>
      <w:r>
        <w:t xml:space="preserve">Chapter 2. Literature Review</w:t>
      </w:r>
    </w:p>
    <w:bookmarkStart w:id="68" w:name="Xe8e42d1df99e316903cf997fdc5528d913d179d"/>
    <w:p>
      <w:pPr>
        <w:pStyle w:val="Heading2"/>
        <w:spacing w:line="480" w:lineRule="auto"/>
      </w:pPr>
      <w:r>
        <w:t xml:space="preserve">2.1 Orientation: Two Literatures That Do Not Speak to Each Other</w:t>
      </w:r>
    </w:p>
    <w:p>
      <w:pPr>
        <w:pStyle w:val="FirstParagraph"/>
        <w:spacing w:line="480" w:lineRule="auto"/>
      </w:pPr>
      <w:r>
        <w:t xml:space="preserve">This dissertation sits at the intersection of two scholarly traditions that have developed in near-total isolation from one another. Each is mature. Each ignores the other. The first is the technical literature on entry, descent, and landing (EDL), an engineering corpus that designs decelerators, derives guidance laws, validates terminal-safety functions, and reconstructs the post-flight behavior of vehicles that have arrived at planetary surfaces. The second is the cliometric and econometric methodology of treating discrete historical events as a population to be modeled, in which an outcome is regressed on a set of covariates and a single coefficient is asked to carry a falsifiable claim. The EDL literature possesses a deep substantive account of why arrival is hard and what subsystems must function for it to succeed. The econometric literature possesses the inferential machinery for converting a heritage heuristic into an estimable hazard.</w:t>
      </w:r>
    </w:p>
    <w:p>
      <w:pPr>
        <w:pStyle w:val="BodyText"/>
        <w:spacing w:line="480" w:lineRule="auto"/>
        <w:ind w:firstLine="720"/>
      </w:pPr>
      <w:r>
        <w:t xml:space="preserve">Neither has been brought to bear on the other. The technical literature invokes heritage constantly but qualitatively; it never writes heritage as a variable and never estimates its coefficient. The methodological literature offers the estimator but has not been pointed at the Mars EDL record. The contribution of this dissertation, and the burden of this chapter, is to demonstrate that this gap is real, that it is consequential, and that it is bridgeable with the obtainable record of Mars EDL attempts.</w:t>
      </w:r>
    </w:p>
    <w:p>
      <w:pPr>
        <w:pStyle w:val="BodyText"/>
        <w:spacing w:line="480" w:lineRule="auto"/>
        <w:ind w:firstLine="720"/>
      </w:pPr>
      <w:r>
        <w:t xml:space="preserve">The motivating case that exposes the gap is the ExoMars 2016 Schiaparelli demonstrator. Its post-flight reconstruction documents a descent that inherited substantial entry-phase design lineage and yet terminated early, when the guidance stack acted on a transient inertial-measurement saturation and commanded premature parachute and backshell release together with an early retro-rocket cutoff</w:t>
      </w:r>
      <w:r>
        <w:t xml:space="preserve"> </w:t>
      </w:r>
      <w:hyperlink w:anchor="ref-1">
        <w:r>
          <w:rPr>
            <w:rStyle w:val="Hyperlink"/>
          </w:rPr>
          <w:t xml:space="preserve">[1]</w:t>
        </w:r>
      </w:hyperlink>
      <w:r>
        <w:t xml:space="preserve">. The independent infrared radiometric reconstruction of the same entry confirms that the aerothermal environment was within the reconstructed envelope, which localizes the failure to the descent and control logic rather than to the entry heritage</w:t>
      </w:r>
      <w:r>
        <w:t xml:space="preserve"> </w:t>
      </w:r>
      <w:hyperlink w:anchor="ref-2">
        <w:r>
          <w:rPr>
            <w:rStyle w:val="Hyperlink"/>
          </w:rPr>
          <w:t xml:space="preserve">[2]</w:t>
        </w:r>
      </w:hyperlink>
      <w:r>
        <w:t xml:space="preserve">. The lesson is precise. It seeds the entire dissertation. Heritage at the vehicle level coexisted with failure at the subsystem level. A literature that treats heritage as a vehicle property cannot represent this case; a methodology that has never been applied to the EDL record cannot test whether it generalizes. This chapter reviews each literature in turn, then synthesizes them to identify the gap that the dissertation’s hazard model is designed to fill.</w:t>
      </w:r>
    </w:p>
    <w:bookmarkEnd w:id="68"/>
    <w:bookmarkStart w:id="75" w:name="X316626d8f332bec83ced457b5c501601aab9105"/>
    <w:p>
      <w:pPr>
        <w:pStyle w:val="Heading2"/>
        <w:spacing w:line="480" w:lineRule="auto"/>
      </w:pPr>
      <w:r>
        <w:t xml:space="preserve">2.2 The Domain Technical Literature on Mars EDL</w:t>
      </w:r>
    </w:p>
    <w:bookmarkStart w:id="69" w:name="the-phase-and-its-difficulty"/>
    <w:p>
      <w:pPr>
        <w:pStyle w:val="Heading3"/>
        <w:spacing w:line="480" w:lineRule="auto"/>
      </w:pPr>
      <w:r>
        <w:t xml:space="preserve">2.2.1 The Phase and Its Difficulty</w:t>
      </w:r>
    </w:p>
    <w:p>
      <w:pPr>
        <w:pStyle w:val="FirstParagraph"/>
        <w:spacing w:line="480" w:lineRule="auto"/>
      </w:pPr>
      <w:r>
        <w:t xml:space="preserve">Foundational framing for Mars EDL as a discipline comes from the survey of EDL challenges that establishes the phase as the concentration point of mission risk: a hypersonic arrival that must shed nearly all of its velocity through a thin and incompletely rehearsable atmosphere, chaining an aerodynamic decelerator, a guidance and control function, and a terminal landing mechanism into a single non-recoverable sequence</w:t>
      </w:r>
      <w:r>
        <w:t xml:space="preserve"> </w:t>
      </w:r>
      <w:hyperlink w:anchor="ref-18">
        <w:r>
          <w:rPr>
            <w:rStyle w:val="Hyperlink"/>
          </w:rPr>
          <w:t xml:space="preserve">[18]</w:t>
        </w:r>
      </w:hyperlink>
      <w:r>
        <w:t xml:space="preserve">. This survey is the canonical reference for why the problem resists the reliability margins that other flight phases enjoy. The present dissertation adopts its decomposition of EDL into decelerator, guidance, and landing functions as the architecture of its per-subsystem heritage coding. Nobody contests the difficulty it describes. What remains unestimated is whether the reuse of any of those three subsystem architectures measurably changes the probability that the sequence completes.</w:t>
      </w:r>
    </w:p>
    <w:p>
      <w:pPr>
        <w:pStyle w:val="BodyText"/>
        <w:spacing w:line="480" w:lineRule="auto"/>
        <w:ind w:firstLine="720"/>
      </w:pPr>
      <w:r>
        <w:t xml:space="preserve">Post-flight reconstruction supplies the highest-resolution evidence about how the sequence actually fails. Two documents anchor it. The Schiaparelli coasting, entry, and descent reconstruction is the most thorough such document in the public corpus, tracing the nominal entry and early descent through to the inertial-measurement saturation that propagated into the guidance logic and produced the loss</w:t>
      </w:r>
      <w:r>
        <w:t xml:space="preserve"> </w:t>
      </w:r>
      <w:hyperlink w:anchor="ref-1">
        <w:r>
          <w:rPr>
            <w:rStyle w:val="Hyperlink"/>
          </w:rPr>
          <w:t xml:space="preserve">[1]</w:t>
        </w:r>
      </w:hyperlink>
      <w:r>
        <w:t xml:space="preserve">. Its companion infrared radiometric analysis adds measured, rather than modeled, telemetry for the entry phase, and in doing so it performs an inferential service for this dissertation: by confirming the entry environment was nominal, it establishes that the failure was not aerothermal and therefore not a failure of entry heritage</w:t>
      </w:r>
      <w:r>
        <w:t xml:space="preserve"> </w:t>
      </w:r>
      <w:hyperlink w:anchor="ref-2">
        <w:r>
          <w:rPr>
            <w:rStyle w:val="Hyperlink"/>
          </w:rPr>
          <w:t xml:space="preserve">[2]</w:t>
        </w:r>
      </w:hyperlink>
      <w:r>
        <w:t xml:space="preserve">. These two documents are the only data points in the entire Mars EDL population that are anchored in flight-validated reconstruction at the subsystem level. They are the reason the dissertation’s coding scheme can be grounded in measured behavior for at least one row rather than in mission-summary narrative alone.</w:t>
      </w:r>
    </w:p>
    <w:bookmarkEnd w:id="69"/>
    <w:bookmarkStart w:id="70" w:name="the-guidance-and-control-stack"/>
    <w:p>
      <w:pPr>
        <w:pStyle w:val="Heading3"/>
        <w:spacing w:line="480" w:lineRule="auto"/>
      </w:pPr>
      <w:r>
        <w:t xml:space="preserve">2.2.2 The Guidance and Control Stack</w:t>
      </w:r>
    </w:p>
    <w:p>
      <w:pPr>
        <w:pStyle w:val="FirstParagraph"/>
        <w:spacing w:line="480" w:lineRule="auto"/>
      </w:pPr>
      <w:r>
        <w:t xml:space="preserve">The largest and most active branch of the technical literature concerns descent guidance and control. It is a literature of methods. Evaluation is uniformly against control-theoretic criteria rather than against realized mission outcomes. Reference-trajectory tracking for Mars atmospheric entry develops robust nonlinear compound controllers and demonstrates them in simulation against tracking-error and dispersion metrics</w:t>
      </w:r>
      <w:r>
        <w:t xml:space="preserve"> </w:t>
      </w:r>
      <w:hyperlink w:anchor="ref-6">
        <w:r>
          <w:rPr>
            <w:rStyle w:val="Hyperlink"/>
          </w:rPr>
          <w:t xml:space="preserve">[6]</w:t>
        </w:r>
      </w:hyperlink>
      <w:r>
        <w:t xml:space="preserve"> </w:t>
      </w:r>
      <w:hyperlink w:anchor="ref-31">
        <w:r>
          <w:rPr>
            <w:rStyle w:val="Hyperlink"/>
          </w:rPr>
          <w:t xml:space="preserve">[31]</w:t>
        </w:r>
      </w:hyperlink>
      <w:r>
        <w:t xml:space="preserve">. Enabling-technology studies for national Mars lander guidance systems catalogue the building blocks of a descent stack, the sensors, actuators, and algorithmic functions required, without estimating how reuse of any block changes outcome probability</w:t>
      </w:r>
      <w:r>
        <w:t xml:space="preserve"> </w:t>
      </w:r>
      <w:hyperlink w:anchor="ref-7">
        <w:r>
          <w:rPr>
            <w:rStyle w:val="Hyperlink"/>
          </w:rPr>
          <w:t xml:space="preserve">[7]</w:t>
        </w:r>
      </w:hyperlink>
      <w:r>
        <w:t xml:space="preserve">. Integrated guidance schemes that couple entry and powered descent, including reinforcement-learning and pseudospectral formulations, are assessed against trajectory-tracking and fuel-optimality criteria, never against the binary survival of the missions that would carry them</w:t>
      </w:r>
      <w:r>
        <w:t xml:space="preserve"> </w:t>
      </w:r>
      <w:hyperlink w:anchor="ref-8">
        <w:r>
          <w:rPr>
            <w:rStyle w:val="Hyperlink"/>
          </w:rPr>
          <w:t xml:space="preserve">[8]</w:t>
        </w:r>
      </w:hyperlink>
      <w:r>
        <w:t xml:space="preserve"> </w:t>
      </w:r>
      <w:hyperlink w:anchor="ref-35">
        <w:r>
          <w:rPr>
            <w:rStyle w:val="Hyperlink"/>
          </w:rPr>
          <w:t xml:space="preserve">[35]</w:t>
        </w:r>
      </w:hyperlink>
      <w:r>
        <w:t xml:space="preserve">. Fuel-optimal onboard guidance for the human-Mars entry, powered-descent, and landing problem is posed as a control-theoretic optimization with the optimization objective as the figure of merit</w:t>
      </w:r>
      <w:r>
        <w:t xml:space="preserve"> </w:t>
      </w:r>
      <w:hyperlink w:anchor="ref-9">
        <w:r>
          <w:rPr>
            <w:rStyle w:val="Hyperlink"/>
          </w:rPr>
          <w:t xml:space="preserve">[9]</w:t>
        </w:r>
      </w:hyperlink>
      <w:r>
        <w:t xml:space="preserve">. Pinpoint-landing controllers using sliding-surface autonomous guidance are validated on miss-distance and dispersion, the metrics internal to the guidance problem</w:t>
      </w:r>
      <w:r>
        <w:t xml:space="preserve"> </w:t>
      </w:r>
      <w:hyperlink w:anchor="ref-10">
        <w:r>
          <w:rPr>
            <w:rStyle w:val="Hyperlink"/>
          </w:rPr>
          <w:t xml:space="preserve">[10]</w:t>
        </w:r>
      </w:hyperlink>
      <w:r>
        <w:t xml:space="preserve"> </w:t>
      </w:r>
      <w:hyperlink w:anchor="ref-30">
        <w:r>
          <w:rPr>
            <w:rStyle w:val="Hyperlink"/>
          </w:rPr>
          <w:t xml:space="preserve">[30]</w:t>
        </w:r>
      </w:hyperlink>
      <w:r>
        <w:t xml:space="preserve">.</w:t>
      </w:r>
    </w:p>
    <w:p>
      <w:pPr>
        <w:pStyle w:val="BodyText"/>
        <w:spacing w:line="480" w:lineRule="auto"/>
        <w:ind w:firstLine="720"/>
      </w:pPr>
      <w:r>
        <w:t xml:space="preserve">This branch is indispensable to the dissertation in one specific way: it furnishes the gradation of guidance autonomy that the hazard model must hold fixed. The literature spans open-loop reference tracking</w:t>
      </w:r>
      <w:r>
        <w:t xml:space="preserve"> </w:t>
      </w:r>
      <w:hyperlink w:anchor="ref-6">
        <w:r>
          <w:rPr>
            <w:rStyle w:val="Hyperlink"/>
          </w:rPr>
          <w:t xml:space="preserve">[6]</w:t>
        </w:r>
      </w:hyperlink>
      <w:r>
        <w:t xml:space="preserve">, through closed-loop integrated entry-and-descent control</w:t>
      </w:r>
      <w:r>
        <w:t xml:space="preserve"> </w:t>
      </w:r>
      <w:hyperlink w:anchor="ref-8">
        <w:r>
          <w:rPr>
            <w:rStyle w:val="Hyperlink"/>
          </w:rPr>
          <w:t xml:space="preserve">[8]</w:t>
        </w:r>
      </w:hyperlink>
      <w:r>
        <w:t xml:space="preserve">, to fuel-optimal onboard powered-descent guidance</w:t>
      </w:r>
      <w:r>
        <w:t xml:space="preserve"> </w:t>
      </w:r>
      <w:hyperlink w:anchor="ref-9">
        <w:r>
          <w:rPr>
            <w:rStyle w:val="Hyperlink"/>
          </w:rPr>
          <w:t xml:space="preserve">[9]</w:t>
        </w:r>
      </w:hyperlink>
      <w:r>
        <w:t xml:space="preserve"> </w:t>
      </w:r>
      <w:r>
        <w:t xml:space="preserve">and pinpoint terminal control</w:t>
      </w:r>
      <w:r>
        <w:t xml:space="preserve"> </w:t>
      </w:r>
      <w:hyperlink w:anchor="ref-10">
        <w:r>
          <w:rPr>
            <w:rStyle w:val="Hyperlink"/>
          </w:rPr>
          <w:t xml:space="preserve">[10]</w:t>
        </w:r>
      </w:hyperlink>
      <w:r>
        <w:t xml:space="preserve">. That spectrum is exactly the autonomy axis the dissertation grades against, so that the heritage coefficient does not silently absorb the secular improvement in control authority that accumulated over the same decades in which mature heritage was built.</w:t>
      </w:r>
    </w:p>
    <w:p>
      <w:pPr>
        <w:pStyle w:val="BodyText"/>
        <w:spacing w:line="480" w:lineRule="auto"/>
        <w:ind w:firstLine="720"/>
      </w:pPr>
      <w:r>
        <w:t xml:space="preserve">But the branch’s defining limitation, from the standpoint of this dissertation, is that not one of these studies expresses a mission-success probability as a function of anything. They optimize the controller; they do not estimate the reliability the controller delivers in flight.</w:t>
      </w:r>
    </w:p>
    <w:bookmarkEnd w:id="70"/>
    <w:bookmarkStart w:id="71" w:name="Xd2e4d8085824a0f2fa3cf0790f999a115cd52d1"/>
    <w:p>
      <w:pPr>
        <w:pStyle w:val="Heading3"/>
        <w:spacing w:line="480" w:lineRule="auto"/>
      </w:pPr>
      <w:r>
        <w:t xml:space="preserve">2.2.3 Terminal Safety, Landing Mechanisms, and Site Selection</w:t>
      </w:r>
    </w:p>
    <w:p>
      <w:pPr>
        <w:pStyle w:val="FirstParagraph"/>
        <w:spacing w:line="480" w:lineRule="auto"/>
      </w:pPr>
      <w:r>
        <w:t xml:space="preserve">A further technical branch addresses the terminal phase and the landing mechanism itself. Here too the metrics are internal. Stereo-vision hazard-detection algorithms that increase planetary lander autonomy are assessed by their detection performance, the true-positive and false-positive rates of hazard identification, and not by their marginal contribution to mission-level reliability</w:t>
      </w:r>
      <w:r>
        <w:t xml:space="preserve"> </w:t>
      </w:r>
      <w:hyperlink w:anchor="ref-11">
        <w:r>
          <w:rPr>
            <w:rStyle w:val="Hyperlink"/>
          </w:rPr>
          <w:t xml:space="preserve">[11]</w:t>
        </w:r>
      </w:hyperlink>
      <w:r>
        <w:t xml:space="preserve">. Optimal landing-site selection based on a safety index during planetary descent is similarly framed as an onboard decision problem evaluated against the index it constructs</w:t>
      </w:r>
      <w:r>
        <w:t xml:space="preserve"> </w:t>
      </w:r>
      <w:hyperlink w:anchor="ref-29">
        <w:r>
          <w:rPr>
            <w:rStyle w:val="Hyperlink"/>
          </w:rPr>
          <w:t xml:space="preserve">[29]</w:t>
        </w:r>
      </w:hyperlink>
      <w:r>
        <w:t xml:space="preserve">. Prudent small-celestial-body landing strategies with risk precautions develop risk-aware trajectory logic without regressing realized outcomes on design choices</w:t>
      </w:r>
      <w:r>
        <w:t xml:space="preserve"> </w:t>
      </w:r>
      <w:hyperlink w:anchor="ref-36">
        <w:r>
          <w:rPr>
            <w:rStyle w:val="Hyperlink"/>
          </w:rPr>
          <w:t xml:space="preserve">[36]</w:t>
        </w:r>
      </w:hyperlink>
      <w:r>
        <w:t xml:space="preserve">. Integral design methods for simple and small Mars lander systems, using mortar-deployed decelerators, argue heritage-adjacent simplicity as a virtue but quantify the design, not the reliability that simplicity is claimed to buy</w:t>
      </w:r>
      <w:r>
        <w:t xml:space="preserve"> </w:t>
      </w:r>
      <w:hyperlink w:anchor="ref-12">
        <w:r>
          <w:rPr>
            <w:rStyle w:val="Hyperlink"/>
          </w:rPr>
          <w:t xml:space="preserve">[12]</w:t>
        </w:r>
      </w:hyperlink>
      <w:r>
        <w:t xml:space="preserve">.</w:t>
      </w:r>
    </w:p>
    <w:p>
      <w:pPr>
        <w:pStyle w:val="BodyText"/>
        <w:spacing w:line="480" w:lineRule="auto"/>
        <w:ind w:firstLine="720"/>
      </w:pPr>
      <w:r>
        <w:t xml:space="preserve">Closest to the dissertation’s logic is the comparative-modality literature, because it explicitly weighs design alternatives against one another. The comparison of autorotation and propulsive landing for planetary exploration sets out the trades between terminal-descent modalities, balancing mass, complexity, and control authority</w:t>
      </w:r>
      <w:r>
        <w:t xml:space="preserve"> </w:t>
      </w:r>
      <w:hyperlink w:anchor="ref-13">
        <w:r>
          <w:rPr>
            <w:rStyle w:val="Hyperlink"/>
          </w:rPr>
          <w:t xml:space="preserve">[13]</w:t>
        </w:r>
      </w:hyperlink>
      <w:r>
        <w:t xml:space="preserve"> </w:t>
      </w:r>
      <w:hyperlink w:anchor="ref-17">
        <w:r>
          <w:rPr>
            <w:rStyle w:val="Hyperlink"/>
          </w:rPr>
          <w:t xml:space="preserve">[17]</w:t>
        </w:r>
      </w:hyperlink>
      <w:r>
        <w:t xml:space="preserve"> </w:t>
      </w:r>
      <w:hyperlink w:anchor="ref-34">
        <w:r>
          <w:rPr>
            <w:rStyle w:val="Hyperlink"/>
          </w:rPr>
          <w:t xml:space="preserve">[34]</w:t>
        </w:r>
      </w:hyperlink>
      <w:r>
        <w:t xml:space="preserve">, and two-phase explicit guidance with pulse-modulated reduced-attitude control for lunar descent and landing extends the modality discussion to the cislunar regime</w:t>
      </w:r>
      <w:r>
        <w:t xml:space="preserve"> </w:t>
      </w:r>
      <w:hyperlink w:anchor="ref-33">
        <w:r>
          <w:rPr>
            <w:rStyle w:val="Hyperlink"/>
          </w:rPr>
          <w:t xml:space="preserve">[33]</w:t>
        </w:r>
      </w:hyperlink>
      <w:r>
        <w:t xml:space="preserve">. These studies reason about design trades with care, but they stop short of the move this dissertation makes: they do not regress historical outcomes on the reuse of a modality. Does a modality that has previously survived a Mars arrival fail less often, in the realized record, than one that has not? They never ask. They compare modalities prospectively, on engineering merit alone.</w:t>
      </w:r>
    </w:p>
    <w:bookmarkEnd w:id="71"/>
    <w:bookmarkStart w:id="72" w:name="campaign-and-architecture-level-planning"/>
    <w:p>
      <w:pPr>
        <w:pStyle w:val="Heading3"/>
        <w:spacing w:line="480" w:lineRule="auto"/>
      </w:pPr>
      <w:r>
        <w:t xml:space="preserve">2.2.4 Campaign and Architecture-Level Planning</w:t>
      </w:r>
    </w:p>
    <w:p>
      <w:pPr>
        <w:pStyle w:val="FirstParagraph"/>
        <w:spacing w:line="480" w:lineRule="auto"/>
      </w:pPr>
      <w:r>
        <w:t xml:space="preserve">At the programmatic scale, the technical literature treats heritage as an input to risk argument rather than as a quantity to be measured. The Mars Sample Return campaign concept status leans on demonstrated entry and landing approaches to bound programmatic risk, invoking heritage precisely as a reliability argument and precisely without an estimate of the heritage-reliability relationship</w:t>
      </w:r>
      <w:r>
        <w:t xml:space="preserve"> </w:t>
      </w:r>
      <w:hyperlink w:anchor="ref-3">
        <w:r>
          <w:rPr>
            <w:rStyle w:val="Hyperlink"/>
          </w:rPr>
          <w:t xml:space="preserve">[3]</w:t>
        </w:r>
      </w:hyperlink>
      <w:r>
        <w:t xml:space="preserve">. Launcher-size optimization for a crewed Mars mission assumes reliability figures as inputs to the sizing problem rather than deriving them</w:t>
      </w:r>
      <w:r>
        <w:t xml:space="preserve"> </w:t>
      </w:r>
      <w:hyperlink w:anchor="ref-14">
        <w:r>
          <w:rPr>
            <w:rStyle w:val="Hyperlink"/>
          </w:rPr>
          <w:t xml:space="preserve">[14]</w:t>
        </w:r>
      </w:hyperlink>
      <w:r>
        <w:t xml:space="preserve">. These documents are the clearest demonstration that the field operates on an unpriced premise. They scale architectures, bound risk, and size launchers on the assumption that the next lander inherits the last lander’s reliability. Nothing in the corpus estimates whether that inheritance occurs. The dissertation uses these campaign documents for forward-looking framing, not as outcome rows, but they are the strongest motivation for the question: a campaign that wagers on heritage-derived reliability is making a bet whose odds the literature has never computed.</w:t>
      </w:r>
    </w:p>
    <w:bookmarkEnd w:id="72"/>
    <w:bookmarkStart w:id="73" w:name="Xfc9b1e2da9dab09decc43e558e3203f194d39c2"/>
    <w:p>
      <w:pPr>
        <w:pStyle w:val="Heading3"/>
        <w:spacing w:line="480" w:lineRule="auto"/>
      </w:pPr>
      <w:r>
        <w:t xml:space="preserve">2.2.5 The Economic Stakes of the Heritage Premise</w:t>
      </w:r>
    </w:p>
    <w:p>
      <w:pPr>
        <w:pStyle w:val="FirstParagraph"/>
        <w:spacing w:line="480" w:lineRule="auto"/>
      </w:pPr>
      <w:r>
        <w:t xml:space="preserve">Space-economy analysis raises the stakes further. It builds cost-and-reliability arguments on top of the unestimated premise. The forecasting analysis of the space economy advances standardized, heritage-derived production as a lever that lowers cost and raises reliability simultaneously, treating capability as something that accrues through repeated operational use rather than through single demonstrations</w:t>
      </w:r>
      <w:r>
        <w:t xml:space="preserve"> </w:t>
      </w:r>
      <w:hyperlink w:anchor="ref-4">
        <w:r>
          <w:rPr>
            <w:rStyle w:val="Hyperlink"/>
          </w:rPr>
          <w:t xml:space="preserve">[4]</w:t>
        </w:r>
      </w:hyperlink>
      <w:r>
        <w:t xml:space="preserve"> </w:t>
      </w:r>
      <w:hyperlink w:anchor="ref-20">
        <w:r>
          <w:rPr>
            <w:rStyle w:val="Hyperlink"/>
          </w:rPr>
          <w:t xml:space="preserve">[20]</w:t>
        </w:r>
      </w:hyperlink>
      <w:r>
        <w:t xml:space="preserve">. The broader case for a Mars-bound economy presumes that repeatable, low-cost arrival is achievable, which is to say it presumes the heritage mechanism functions</w:t>
      </w:r>
      <w:r>
        <w:t xml:space="preserve"> </w:t>
      </w:r>
      <w:hyperlink w:anchor="ref-5">
        <w:r>
          <w:rPr>
            <w:rStyle w:val="Hyperlink"/>
          </w:rPr>
          <w:t xml:space="preserve">[5]</w:t>
        </w:r>
      </w:hyperlink>
      <w:r>
        <w:t xml:space="preserve">. If heritage does not in fact lower EDL hazard, the cost-and-reliability arguments of this literature rest on an unverified empirical claim. The economic literature thus supplies the external validity stakes: the dissertation’s coefficient informs, even if it cannot settle, whether the standardized-production reliability arguments extrapolate from the historical record to the mass-produced, low-cost delivery regime they presume.</w:t>
      </w:r>
    </w:p>
    <w:bookmarkEnd w:id="73"/>
    <w:bookmarkStart w:id="74" w:name="Xe6f2bd30871b38a15fcfce49c71d57df4d13d06"/>
    <w:p>
      <w:pPr>
        <w:pStyle w:val="Heading3"/>
        <w:spacing w:line="480" w:lineRule="auto"/>
      </w:pPr>
      <w:r>
        <w:t xml:space="preserve">2.2.6 What the Technical Literature Establishes and What It Lacks</w:t>
      </w:r>
    </w:p>
    <w:p>
      <w:pPr>
        <w:pStyle w:val="FirstParagraph"/>
        <w:spacing w:line="480" w:lineRule="auto"/>
      </w:pPr>
      <w:r>
        <w:t xml:space="preserve">Taken together, the technical literature establishes the substantive content of the EDL problem with great rigor. It decomposes the phase into decelerator, guidance, and landing subsystems</w:t>
      </w:r>
      <w:r>
        <w:t xml:space="preserve"> </w:t>
      </w:r>
      <w:hyperlink w:anchor="ref-18">
        <w:r>
          <w:rPr>
            <w:rStyle w:val="Hyperlink"/>
          </w:rPr>
          <w:t xml:space="preserve">[18]</w:t>
        </w:r>
      </w:hyperlink>
      <w:r>
        <w:t xml:space="preserve">; it reconstructs failures to subsystem resolution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 it grades guidance autonomy across a well-defined spectrum</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it assesses terminal-safety functions</w:t>
      </w:r>
      <w:r>
        <w:t xml:space="preserve"> </w:t>
      </w:r>
      <w:hyperlink w:anchor="ref-11">
        <w:r>
          <w:rPr>
            <w:rStyle w:val="Hyperlink"/>
          </w:rPr>
          <w:t xml:space="preserve">[11]</w:t>
        </w:r>
      </w:hyperlink>
      <w:r>
        <w:t xml:space="preserve"> </w:t>
      </w:r>
      <w:hyperlink w:anchor="ref-29">
        <w:r>
          <w:rPr>
            <w:rStyle w:val="Hyperlink"/>
          </w:rPr>
          <w:t xml:space="preserve">[29]</w:t>
        </w:r>
      </w:hyperlink>
      <w:r>
        <w:t xml:space="preserve">; it weighs landing modalities</w:t>
      </w:r>
      <w:r>
        <w:t xml:space="preserve"> </w:t>
      </w:r>
      <w:hyperlink w:anchor="ref-13">
        <w:r>
          <w:rPr>
            <w:rStyle w:val="Hyperlink"/>
          </w:rPr>
          <w:t xml:space="preserve">[13]</w:t>
        </w:r>
      </w:hyperlink>
      <w:r>
        <w:t xml:space="preserve"> </w:t>
      </w:r>
      <w:hyperlink w:anchor="ref-33">
        <w:r>
          <w:rPr>
            <w:rStyle w:val="Hyperlink"/>
          </w:rPr>
          <w:t xml:space="preserve">[33]</w:t>
        </w:r>
      </w:hyperlink>
      <w:r>
        <w:t xml:space="preserve">; and it invokes heritage as a risk argument at the campaign scale</w:t>
      </w:r>
      <w:r>
        <w:t xml:space="preserve"> </w:t>
      </w:r>
      <w:hyperlink w:anchor="ref-3">
        <w:r>
          <w:rPr>
            <w:rStyle w:val="Hyperlink"/>
          </w:rPr>
          <w:t xml:space="preserve">[3]</w:t>
        </w:r>
      </w:hyperlink>
      <w:r>
        <w:t xml:space="preserve"> </w:t>
      </w:r>
      <w:hyperlink w:anchor="ref-14">
        <w:r>
          <w:rPr>
            <w:rStyle w:val="Hyperlink"/>
          </w:rPr>
          <w:t xml:space="preserve">[14]</w:t>
        </w:r>
      </w:hyperlink>
      <w:r>
        <w:t xml:space="preserve">. What it lacks is an estimator. The lack is uniform across the retrieved corpus. No technical study expresses EDL success as a function of a measured heritage variable while controlling for the confounds that move with heritage, namely decelerator class, guidance autonomy, and landed mass.</w:t>
      </w:r>
    </w:p>
    <w:p>
      <w:pPr>
        <w:pStyle w:val="BodyText"/>
        <w:spacing w:line="480" w:lineRule="auto"/>
        <w:ind w:firstLine="720"/>
      </w:pPr>
      <w:r>
        <w:t xml:space="preserve">Heritage is the most frequently invoked reliability argument in the field and the one quantity the field has never written as a coefficient.</w:t>
      </w:r>
    </w:p>
    <w:bookmarkEnd w:id="74"/>
    <w:bookmarkEnd w:id="75"/>
    <w:bookmarkStart w:id="81" w:name="X07fe73e594277fc276c6392b9242153367417e1"/>
    <w:p>
      <w:pPr>
        <w:pStyle w:val="Heading2"/>
        <w:spacing w:line="480" w:lineRule="auto"/>
      </w:pPr>
      <w:r>
        <w:t xml:space="preserve">2.3 The Cliometric and Econometric Methodology Literature</w:t>
      </w:r>
    </w:p>
    <w:bookmarkStart w:id="76" w:name="X802f97e32dded0483917258440cdc640805384d"/>
    <w:p>
      <w:pPr>
        <w:pStyle w:val="Heading3"/>
        <w:spacing w:line="480" w:lineRule="auto"/>
      </w:pPr>
      <w:r>
        <w:t xml:space="preserve">2.3.1 The Logic of Modeling Discrete Historical Events</w:t>
      </w:r>
    </w:p>
    <w:p>
      <w:pPr>
        <w:pStyle w:val="FirstParagraph"/>
        <w:spacing w:line="480" w:lineRule="auto"/>
      </w:pPr>
      <w:r>
        <w:t xml:space="preserve">The second literature is methodological rather than substantive. Its concern is the inferential apparatus for treating a finite set of historical events as a population whose outcomes can be regressed on covariates to yield a falsifiable estimate. In the space-domain corpus this apparatus appears most directly in the analytic treatments that frame capability accrual as an estimable function of accumulated operational experience</w:t>
      </w:r>
      <w:r>
        <w:t xml:space="preserve"> </w:t>
      </w:r>
      <w:hyperlink w:anchor="ref-4">
        <w:r>
          <w:rPr>
            <w:rStyle w:val="Hyperlink"/>
          </w:rPr>
          <w:t xml:space="preserve">[4]</w:t>
        </w:r>
      </w:hyperlink>
      <w:r>
        <w:t xml:space="preserve"> </w:t>
      </w:r>
      <w:hyperlink w:anchor="ref-20">
        <w:r>
          <w:rPr>
            <w:rStyle w:val="Hyperlink"/>
          </w:rPr>
          <w:t xml:space="preserve">[20]</w:t>
        </w:r>
      </w:hyperlink>
      <w:r>
        <w:t xml:space="preserve">. The technology-maturation logic of the space-economy literature is, at bottom, a claim about a coefficient: capability rises with repeated use, which is a regression statement awaiting an estimator, and the dissertation takes that latent statement seriously by supplying what the economic literature only gestures toward.</w:t>
      </w:r>
    </w:p>
    <w:p>
      <w:pPr>
        <w:pStyle w:val="BodyText"/>
        <w:spacing w:line="480" w:lineRule="auto"/>
        <w:ind w:firstLine="720"/>
      </w:pPr>
      <w:r>
        <w:t xml:space="preserve">The methodological move that distinguishes a cliometric treatment from a narrative one is the commitment to a defined functional form and a pre-registered decision rule. The dissertation’s two companion research papers instantiate this commitment. The first models per-subsystem heritage against Mars EDL survival using a discrete-time hazard framing equivalent in the single-event binary setting to a logistic regression, and pre-registers the sign of the heritage coefficient as the decision rule. The second pools Mars, the Moon, and Venus into a thirty-seven-attempt cross-body population and estimates institutional heritage against soft-landing success with raw attempt count and landed mass as controls, rejecting the null of no heritage effect at conventional significance. These are not narrative readings of the record. They are estimates whose claims rise or fall on a coefficient. The methodology literature is what licenses that move, and the present dissertation is, to the candidate’s knowledge, its first application to the Mars EDL record at subsystem resolution.</w:t>
      </w:r>
    </w:p>
    <w:bookmarkEnd w:id="76"/>
    <w:bookmarkStart w:id="77" w:name="Xd3502677c67ef08ded8bf63c0304a3b81b02318"/>
    <w:p>
      <w:pPr>
        <w:pStyle w:val="Heading3"/>
        <w:spacing w:line="480" w:lineRule="auto"/>
      </w:pPr>
      <w:r>
        <w:t xml:space="preserve">2.3.2 The Population-Versus-Sample Distinction and Small-N Inference</w:t>
      </w:r>
    </w:p>
    <w:p>
      <w:pPr>
        <w:pStyle w:val="FirstParagraph"/>
        <w:spacing w:line="480" w:lineRule="auto"/>
      </w:pPr>
      <w:r>
        <w:t xml:space="preserve">A central methodological commitment in the cliometric tradition is the recognition that some questions concern a population rather than a sample. The set of Mars EDL attempts is not drawn from a larger pool that could in principle be enlarged by sampling; it is the entire documented population of attempts, on the order of nineteen Mars events or thirty-seven cross-body events depending on the frame. This distinction has sharp inferential consequences. The methodology literature articulates them; the dissertation adopts them. When the data are the population, statistical power cannot be purchased with more sampling, because there is no larger frame to sample from; power can only grow as more landings occur. The dissertation therefore treats p-values as descriptive of the strength of evidence rather than as thresholds, reports exact and bootstrap confidence intervals rather than relying on asymptotics, and runs leave-one-mission-out refits to confirm that no single attempt drives the result.</w:t>
      </w:r>
    </w:p>
    <w:p>
      <w:pPr>
        <w:pStyle w:val="BodyText"/>
        <w:spacing w:line="480" w:lineRule="auto"/>
        <w:ind w:firstLine="720"/>
      </w:pPr>
      <w:r>
        <w:t xml:space="preserve">This small-N discipline is precisely what the technical literature, lacking any estimation tradition, has never had occasion to develop for the EDL record. The methodological corpus supplies the honest handling of a population of nineteen: a positive coefficient of the expected sign at a consequential magnitude can coexist with a confidence interval that crosses the null, and the correct reading is neither to overclaim the point estimate nor to convert an inability to reject into a claim of no effect. The companion Mars paper’s heritage odds ratio of roughly two-per-subsystem with an interval spanning the null, and the cross-body paper’s institutional odds ratio of roughly nineteen that does clear significance, are the two faces of this discipline: the same heritage signal read on two populations of different size yields the same direction with different precision, exactly as the methodology predicts.</w:t>
      </w:r>
    </w:p>
    <w:bookmarkEnd w:id="77"/>
    <w:bookmarkStart w:id="78" w:name="Xa90fdb2f6fefafea80c0b7711dbd32cd040d685"/>
    <w:p>
      <w:pPr>
        <w:pStyle w:val="Heading3"/>
        <w:spacing w:line="480" w:lineRule="auto"/>
      </w:pPr>
      <w:r>
        <w:t xml:space="preserve">2.3.3 Confound Control and the Identification Problem</w:t>
      </w:r>
    </w:p>
    <w:p>
      <w:pPr>
        <w:pStyle w:val="FirstParagraph"/>
        <w:spacing w:line="480" w:lineRule="auto"/>
      </w:pPr>
      <w:r>
        <w:t xml:space="preserve">Deepest among the methodology literature’s contributions is the apparatus of confound control. The central inferential threat is simple to state. Heritage co-moves with the physical difficulty of the mission. Heavier landers demand more capable decelerators and terminal systems, so landed mass must enter the model or the heritage coefficient will absorb the mass-scaling of difficulty</w:t>
      </w:r>
      <w:r>
        <w:t xml:space="preserve"> </w:t>
      </w:r>
      <w:hyperlink w:anchor="ref-18">
        <w:r>
          <w:rPr>
            <w:rStyle w:val="Hyperlink"/>
          </w:rPr>
          <w:t xml:space="preserve">[18]</w:t>
        </w:r>
      </w:hyperlink>
      <w:r>
        <w:t xml:space="preserve">. Guided and actively controlled descents became common in the same era that mature heritage accumulated, so a guidance-autonomy indicator must enter or heritage will proxy for autonomy</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methodology of holding decelerator class, autonomy grade, and landed mass fixed, and then comparing within those strata whether higher-heritage subsystems fail less often, is the identification strategy the dissertation rests on. It is borrowed wholesale from the econometric tradition and has no precedent in the technical EDL corpus.</w:t>
      </w:r>
    </w:p>
    <w:p>
      <w:pPr>
        <w:pStyle w:val="BodyText"/>
        <w:spacing w:line="480" w:lineRule="auto"/>
        <w:ind w:firstLine="720"/>
      </w:pPr>
      <w:r>
        <w:t xml:space="preserve">The comparative-design literature supplies the substantive content of the principal physical confound but not its inferential treatment. The autorotation-versus-propulsive comparison establishes that landing modality and the difficulty it imposes co-vary</w:t>
      </w:r>
      <w:r>
        <w:t xml:space="preserve"> </w:t>
      </w:r>
      <w:hyperlink w:anchor="ref-13">
        <w:r>
          <w:rPr>
            <w:rStyle w:val="Hyperlink"/>
          </w:rPr>
          <w:t xml:space="preserve">[13]</w:t>
        </w:r>
      </w:hyperlink>
      <w:r>
        <w:t xml:space="preserve">, which the dissertation reads as a confound to be held fixed rather than, as the technical literature reads it, a design trade to be optimized. This re-reading is the essence of the bridge: a quantity the technical literature treats as a design variable becomes, under the econometric lens, a control variable in a hazard model. That inversion does real work. Residual confounding by site hazard or program maturity remains a threat that the methodology literature also anticipates, and the dissertation addresses it with a sensitivity analysis adding a coarse site-difficulty proxy and with the raw-attempt-count control that separates realized heritage from mere repetition.</w:t>
      </w:r>
    </w:p>
    <w:bookmarkEnd w:id="78"/>
    <w:bookmarkStart w:id="79" w:name="Xaadfeacaf73717233a4851b5239002f77c3db56"/>
    <w:p>
      <w:pPr>
        <w:pStyle w:val="Heading3"/>
        <w:spacing w:line="480" w:lineRule="auto"/>
      </w:pPr>
      <w:r>
        <w:t xml:space="preserve">2.3.4 Hazard and Logit Framings as Complementary Lenses</w:t>
      </w:r>
    </w:p>
    <w:p>
      <w:pPr>
        <w:pStyle w:val="FirstParagraph"/>
        <w:spacing w:line="480" w:lineRule="auto"/>
      </w:pPr>
      <w:r>
        <w:t xml:space="preserve">For binary survival outcomes, the methodology literature offers two closely related functional forms. The dissertation deploys both deliberately. The discrete-time hazard, or complementary log-log, framing models the instantaneous risk of failure and is the natural form when the question is posed on a survival-time axis. In the single-event binary setting it is equivalent to a logistic regression of failure on the covariate set, which is the form the companion papers estimate directly. The dissertation uses the hazard framing for the per-subsystem Mars model and the logit framing for the cross-body institutional model, and treats them as complementary readings of the same record rather than as competitors. This methodological pluralism, reading one phenomenon through two functional forms to test the robustness of the heritage signal, is a standard cliometric practice and one the technical literature has no analogue for, because it has no estimation practice at all.</w:t>
      </w:r>
    </w:p>
    <w:bookmarkEnd w:id="79"/>
    <w:bookmarkStart w:id="80" w:name="operationalization-and-coding-discipline"/>
    <w:p>
      <w:pPr>
        <w:pStyle w:val="Heading3"/>
        <w:spacing w:line="480" w:lineRule="auto"/>
      </w:pPr>
      <w:r>
        <w:t xml:space="preserve">2.3.5 Operationalization and Coding Discipline</w:t>
      </w:r>
    </w:p>
    <w:p>
      <w:pPr>
        <w:pStyle w:val="FirstParagraph"/>
        <w:spacing w:line="480" w:lineRule="auto"/>
      </w:pPr>
      <w:r>
        <w:t xml:space="preserve">Finally, the methodology literature supplies the discipline of operationalization: turning a contested qualitative concept into a coded variable with auditable provenance. Heritage is the contested concept here. The dissertation’s central operational innovation is to code it per subsystem rather than per vehicle, crediting a subsystem only when its specific architecture had a clean prior Mars survival. The Schiaparelli reconstruction motivates this decomposition directly, because its entry aerothermal heritage and its descent-control logic carried different effective heritage and produced a failure localized to the latter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methodology literature’s coding discipline, a written codebook, double-coding with disagreement adjudication, and publication of the full coded matrix with per-cell provenance to the NASA National Space Science Data Center per-mission records</w:t>
      </w:r>
      <w:r>
        <w:t xml:space="preserve"> </w:t>
      </w:r>
      <w:hyperlink w:anchor="ref-19">
        <w:r>
          <w:rPr>
            <w:rStyle w:val="Hyperlink"/>
          </w:rPr>
          <w:t xml:space="preserve">[19]</w:t>
        </w:r>
      </w:hyperlink>
      <w:r>
        <w:t xml:space="preserve">, is what makes the heritage variable auditable and the estimate reproducible. Coding decisions such as treating Beagle 2 as a failure because it reached the surface without deploying into a functional configuration, and Mars 3 as a success because it survived EDL to a transmitting state, follow the documented record rather than the headline, in keeping with the methodological commitment to operational definitions that are stated in advance and applied uniformly.</w:t>
      </w:r>
    </w:p>
    <w:bookmarkEnd w:id="80"/>
    <w:bookmarkEnd w:id="81"/>
    <w:bookmarkStart w:id="82" w:name="X08d5cbbb473e31955d208569732057ec11bb2f4"/>
    <w:p>
      <w:pPr>
        <w:pStyle w:val="Heading2"/>
        <w:spacing w:line="480" w:lineRule="auto"/>
      </w:pPr>
      <w:r>
        <w:t xml:space="preserve">2.4 Synthesis: The Gap Between the Two Literatures</w:t>
      </w:r>
    </w:p>
    <w:p>
      <w:pPr>
        <w:pStyle w:val="FirstParagraph"/>
        <w:spacing w:line="480" w:lineRule="auto"/>
      </w:pPr>
      <w:r>
        <w:t xml:space="preserve">The two literatures reviewed above are individually mature and mutually disconnected. The technical literature knows what heritage is in the substantive sense: it is the reuse of a decelerator, guidance, or landing architecture that has previously survived a Mars arrival, and the technical literature can reconstruct, to subsystem resolution, how the absence of genuine subsystem heritage produced the Schiaparelli loss even when vehicle heritage was present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8">
        <w:r>
          <w:rPr>
            <w:rStyle w:val="Hyperlink"/>
          </w:rPr>
          <w:t xml:space="preserve">[18]</w:t>
        </w:r>
      </w:hyperlink>
      <w:r>
        <w:t xml:space="preserve">. The methodology literature knows how to estimate whether such a quantity matters: it supplies the hazard and logit functional forms, the confound-control identification strategy, the small-N inferential discipline, and the coding apparatus that turns a contested concept into an auditable variable</w:t>
      </w:r>
      <w:r>
        <w:t xml:space="preserve"> </w:t>
      </w:r>
      <w:hyperlink w:anchor="ref-4">
        <w:r>
          <w:rPr>
            <w:rStyle w:val="Hyperlink"/>
          </w:rPr>
          <w:t xml:space="preserve">[4]</w:t>
        </w:r>
      </w:hyperlink>
      <w:r>
        <w:t xml:space="preserve"> </w:t>
      </w:r>
      <w:hyperlink w:anchor="ref-20">
        <w:r>
          <w:rPr>
            <w:rStyle w:val="Hyperlink"/>
          </w:rPr>
          <w:t xml:space="preserve">[20]</w:t>
        </w:r>
      </w:hyperlink>
      <w:r>
        <w:t xml:space="preserve">. No document in either literature joins them. The technical corpus invokes heritage as a reliability argument at every scale, from terminal-safety functions</w:t>
      </w:r>
      <w:r>
        <w:t xml:space="preserve"> </w:t>
      </w:r>
      <w:hyperlink w:anchor="ref-11">
        <w:r>
          <w:rPr>
            <w:rStyle w:val="Hyperlink"/>
          </w:rPr>
          <w:t xml:space="preserve">[11]</w:t>
        </w:r>
      </w:hyperlink>
      <w:r>
        <w:t xml:space="preserve"> </w:t>
      </w:r>
      <w:r>
        <w:t xml:space="preserve">through landing-modality trades</w:t>
      </w:r>
      <w:r>
        <w:t xml:space="preserve"> </w:t>
      </w:r>
      <w:hyperlink w:anchor="ref-13">
        <w:r>
          <w:rPr>
            <w:rStyle w:val="Hyperlink"/>
          </w:rPr>
          <w:t xml:space="preserve">[13]</w:t>
        </w:r>
      </w:hyperlink>
      <w:r>
        <w:t xml:space="preserve"> </w:t>
      </w:r>
      <w:r>
        <w:t xml:space="preserve">to Mars Sample Return campaign risk</w:t>
      </w:r>
      <w:r>
        <w:t xml:space="preserve"> </w:t>
      </w:r>
      <w:hyperlink w:anchor="ref-3">
        <w:r>
          <w:rPr>
            <w:rStyle w:val="Hyperlink"/>
          </w:rPr>
          <w:t xml:space="preserve">[3]</w:t>
        </w:r>
      </w:hyperlink>
      <w:r>
        <w:t xml:space="preserve"> </w:t>
      </w:r>
      <w:r>
        <w:t xml:space="preserve">and crewed-mission launcher sizing</w:t>
      </w:r>
      <w:r>
        <w:t xml:space="preserve"> </w:t>
      </w:r>
      <w:hyperlink w:anchor="ref-14">
        <w:r>
          <w:rPr>
            <w:rStyle w:val="Hyperlink"/>
          </w:rPr>
          <w:t xml:space="preserve">[14]</w:t>
        </w:r>
      </w:hyperlink>
      <w:r>
        <w:t xml:space="preserve">, and it never once writes heritage as a coefficient. The methodological corpus has the estimator and has never been pointed at the Mars EDL record.</w:t>
      </w:r>
    </w:p>
    <w:p>
      <w:pPr>
        <w:pStyle w:val="BodyText"/>
        <w:spacing w:line="480" w:lineRule="auto"/>
        <w:ind w:firstLine="720"/>
      </w:pPr>
      <w:r>
        <w:t xml:space="preserve">The gap is therefore not merely empirical but methodological. It is not that the technical literature has estimated the heritage-reliability relationship and reached an inconclusive answer; it is that the relationship has never been expressed as an estimable model at all. Heritage is a universally cited risk argument that has never been written as a hazard function and tested against the realized record. This is a striking lacuna for a field that scales multi-billion-dollar campaigns on the heritage premise</w:t>
      </w:r>
      <w:r>
        <w:t xml:space="preserve"> </w:t>
      </w:r>
      <w:hyperlink w:anchor="ref-3">
        <w:r>
          <w:rPr>
            <w:rStyle w:val="Hyperlink"/>
          </w:rPr>
          <w:t xml:space="preserve">[3]</w:t>
        </w:r>
      </w:hyperlink>
      <w:r>
        <w:t xml:space="preserve"> </w:t>
      </w:r>
      <w:hyperlink w:anchor="ref-14">
        <w:r>
          <w:rPr>
            <w:rStyle w:val="Hyperlink"/>
          </w:rPr>
          <w:t xml:space="preserve">[14]</w:t>
        </w:r>
      </w:hyperlink>
      <w:r>
        <w:t xml:space="preserve"> </w:t>
      </w:r>
      <w:r>
        <w:t xml:space="preserve">and an economic literature that builds cost-and-reliability arguments on it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premise is load-bearing and unverified.</w:t>
      </w:r>
    </w:p>
    <w:p>
      <w:pPr>
        <w:pStyle w:val="BodyText"/>
        <w:spacing w:line="480" w:lineRule="auto"/>
        <w:ind w:firstLine="720"/>
      </w:pPr>
      <w:r>
        <w:t xml:space="preserve">The Schiaparelli case is the precise hinge on which the synthesis turns, because it is the one event in the record that both literatures can see and neither can fully account for on its own. The technical literature can reconstruct it to subsystem resolution but cannot say whether the pattern it exhibits, vehicle heritage coexisting with subsystem-level failure, is idiosyncratic or general</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methodology literature could in principle determine whether the pattern generalizes, but only if someone codes heritage per subsystem across the full population and estimates the coefficient.</w:t>
      </w:r>
    </w:p>
    <w:p>
      <w:pPr>
        <w:pStyle w:val="BodyText"/>
        <w:spacing w:line="480" w:lineRule="auto"/>
        <w:ind w:firstLine="720"/>
      </w:pPr>
      <w:r>
        <w:t xml:space="preserve">No one has done that.</w:t>
      </w:r>
    </w:p>
    <w:p>
      <w:pPr>
        <w:pStyle w:val="BodyText"/>
        <w:spacing w:line="480" w:lineRule="auto"/>
        <w:ind w:firstLine="720"/>
      </w:pPr>
      <w:r>
        <w:t xml:space="preserve">The dissertation’s per-subsystem heritage coding is built expressly to capture cases where vehicle heritage and subsystem heritage diverge, and its hazard model is built expressly to test whether the Schiaparelli pattern is a population regularity or a single anomaly. The two companion papers begin to answer this: the per-subsystem Mars model returns a positive heritage coefficient of the expected sign whose interval the small population cannot tighten past the null, and the cross-body institutional model returns a heritage odds ratio that does clear significance, with the descriptive split, a heritage success rate far above the first-of-class rate, visible beneath both estimates.</w:t>
      </w:r>
    </w:p>
    <w:p>
      <w:pPr>
        <w:pStyle w:val="BodyText"/>
        <w:spacing w:line="480" w:lineRule="auto"/>
        <w:ind w:firstLine="720"/>
      </w:pPr>
      <w:r>
        <w:t xml:space="preserve">The gap this dissertation fills is thus stated precisely. It is the absence of a falsifiable estimate of whether subsystem heritage reduces Mars EDL hazard once decelerator class, guidance autonomy, and landed mass are held fixed.</w:t>
      </w:r>
    </w:p>
    <w:p>
      <w:pPr>
        <w:pStyle w:val="BodyText"/>
        <w:spacing w:line="480" w:lineRule="auto"/>
        <w:ind w:firstLine="720"/>
      </w:pPr>
      <w:r>
        <w:t xml:space="preserve">Filling it requires exactly the two literatures this chapter has reviewed: the technical literature for the substantive decomposition of EDL into subsystems</w:t>
      </w:r>
      <w:r>
        <w:t xml:space="preserve"> </w:t>
      </w:r>
      <w:hyperlink w:anchor="ref-18">
        <w:r>
          <w:rPr>
            <w:rStyle w:val="Hyperlink"/>
          </w:rPr>
          <w:t xml:space="preserve">[18]</w:t>
        </w:r>
      </w:hyperlink>
      <w:r>
        <w:t xml:space="preserve">, for the flight-validated subsystem-level reconstruction that anchors the coding</w:t>
      </w:r>
      <w:r>
        <w:t xml:space="preserve"> </w:t>
      </w:r>
      <w:hyperlink w:anchor="ref-1">
        <w:r>
          <w:rPr>
            <w:rStyle w:val="Hyperlink"/>
          </w:rPr>
          <w:t xml:space="preserve">[1]</w:t>
        </w:r>
      </w:hyperlink>
      <w:r>
        <w:t xml:space="preserve"> </w:t>
      </w:r>
      <w:hyperlink w:anchor="ref-2">
        <w:r>
          <w:rPr>
            <w:rStyle w:val="Hyperlink"/>
          </w:rPr>
          <w:t xml:space="preserve">[2]</w:t>
        </w:r>
      </w:hyperlink>
      <w:r>
        <w:t xml:space="preserve">, for the guidance-autonomy spectrum that becomes a control</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and for the modality trades that become the physical confound</w:t>
      </w:r>
      <w:r>
        <w:t xml:space="preserve"> </w:t>
      </w:r>
      <w:hyperlink w:anchor="ref-13">
        <w:r>
          <w:rPr>
            <w:rStyle w:val="Hyperlink"/>
          </w:rPr>
          <w:t xml:space="preserve">[13]</w:t>
        </w:r>
      </w:hyperlink>
      <w:r>
        <w:t xml:space="preserve">; and the methodology literature for the hazard and logit functional forms, the confound-control identification, the small-N discipline appropriate to a population of attempts, and the coding apparatus that makes heritage auditable. The remainder of the dissertation joins them. It takes the obtainable public catalogue of Mars EDL attempts, drawn from the NASA National Space Science Data Center per-mission records and cross-checked against the peer-reviewed Schiaparelli reconstructions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19">
        <w:r>
          <w:rPr>
            <w:rStyle w:val="Hyperlink"/>
          </w:rPr>
          <w:t xml:space="preserve">[19]</w:t>
        </w:r>
      </w:hyperlink>
      <w:r>
        <w:t xml:space="preserve">, codes per-subsystem heritage against the EDL-challenges decomposition</w:t>
      </w:r>
      <w:r>
        <w:t xml:space="preserve"> </w:t>
      </w:r>
      <w:hyperlink w:anchor="ref-18">
        <w:r>
          <w:rPr>
            <w:rStyle w:val="Hyperlink"/>
          </w:rPr>
          <w:t xml:space="preserve">[18]</w:t>
        </w:r>
      </w:hyperlink>
      <w:r>
        <w:t xml:space="preserve">, grades guidance autonomy against the published taxonomy</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holds decelerator class and landed mass fixed, and estimates the single coefficient whose sign decides whether the field’s reliability-through-heritage heuristic is supported in the historical record. The contribution is designed to be refuted by its own coefficient sign, and the two literatures reviewed here are jointly necessary and, the candidate will argue, jointly sufficient to compute it.</w:t>
      </w:r>
    </w:p>
    <w:bookmarkEnd w:id="82"/>
    <w:bookmarkEnd w:id="83"/>
    <w:bookmarkStart w:id="91" w:name="Xcfcc00a3ded59aed0c781c16bfc121f2a509603"/>
    <w:p>
      <w:pPr>
        <w:pStyle w:val="Heading1"/>
        <w:spacing w:line="480" w:lineRule="auto"/>
      </w:pPr>
      <w:r>
        <w:t xml:space="preserve">Chapter 3. Theoretical Framework and Hypotheses</w:t>
      </w:r>
    </w:p>
    <w:bookmarkStart w:id="84" w:name="purpose-and-position-of-the-chapter"/>
    <w:p>
      <w:pPr>
        <w:pStyle w:val="Heading2"/>
        <w:spacing w:line="480" w:lineRule="auto"/>
      </w:pPr>
      <w:r>
        <w:t xml:space="preserve">3.1 Purpose and Position of the Chapter</w:t>
      </w:r>
    </w:p>
    <w:p>
      <w:pPr>
        <w:pStyle w:val="FirstParagraph"/>
        <w:spacing w:line="480" w:lineRule="auto"/>
      </w:pPr>
      <w:r>
        <w:t xml:space="preserve">The two empirical papers that anchor this dissertation share a single dependent quantity, the binary outcome of a planetary entry, descent, and landing (EDL) attempt, and a single explanatory construct, flight heritage. They differ in the grain at which heritage is measured and in the population over which the model is fit. The difference is deliberate. The first paper measures heritage per subsystem and confines the population to robotic Mars landing attempts; the second measures heritage at the institutional level and pools attempts across Mars, the Moon, and Venus. What both papers presuppose, and what neither pauses to develop at length, is a theory that explains why heritage should change the probability of survival at all, what the causal pathway is supposed to be, and under what conditions the pathway can fail.</w:t>
      </w:r>
    </w:p>
    <w:p>
      <w:pPr>
        <w:pStyle w:val="BodyText"/>
        <w:spacing w:line="480" w:lineRule="auto"/>
        <w:ind w:firstLine="720"/>
      </w:pPr>
      <w:r>
        <w:t xml:space="preserve">This chapter supplies that theory. It states the mechanism, traces the causal logic from a reused architecture to a lowered failure hazard, identifies the confounds that the mechanism predicts will travel alongside heritage, and closes by formalizing the null and alternative hypotheses that the estimators are designed to adjudicate.</w:t>
      </w:r>
    </w:p>
    <w:p>
      <w:pPr>
        <w:pStyle w:val="BodyText"/>
        <w:spacing w:line="480" w:lineRule="auto"/>
        <w:ind w:firstLine="720"/>
      </w:pPr>
      <w:r>
        <w:t xml:space="preserve">The chapter is deliberately written so that the hypotheses it produces are falsifiable by the sign of a single coefficient. That commitment is methodological as much as stylistic. A theory of heritage that cannot be wrong is of no use to a mission-planning community that invokes heritage routinely as a risk argument and prices it as a procurement advantage. The motivating anomaly throughout is the ExoMars 2016 Schiaparelli demonstrator, whose post-flight reconstruction documents an EDL that inherited substantial design lineage at the vehicle level yet terminated early when descent guidance logic acted on a saturated inertial measurement and commanded premature parachute and backshell release with an early retro-rocket cutoff</w:t>
      </w:r>
      <w:r>
        <w:t xml:space="preserve"> </w:t>
      </w:r>
      <w:hyperlink w:anchor="ref-1">
        <w:r>
          <w:rPr>
            <w:rStyle w:val="Hyperlink"/>
          </w:rPr>
          <w:t xml:space="preserve">[1]</w:t>
        </w:r>
      </w:hyperlink>
      <w:r>
        <w:t xml:space="preserve">. The independent infrared radiometric reconstruction of the same entry confirms that the aerothermal environment stayed within the reconstructed envelope, which localizes the failure to the descent and control logic rather than to the inherited entry aerothermal design</w:t>
      </w:r>
      <w:r>
        <w:t xml:space="preserve"> </w:t>
      </w:r>
      <w:hyperlink w:anchor="ref-2">
        <w:r>
          <w:rPr>
            <w:rStyle w:val="Hyperlink"/>
          </w:rPr>
          <w:t xml:space="preserve">[2]</w:t>
        </w:r>
      </w:hyperlink>
      <w:r>
        <w:t xml:space="preserve">.</w:t>
      </w:r>
    </w:p>
    <w:p>
      <w:pPr>
        <w:pStyle w:val="BodyText"/>
        <w:spacing w:line="480" w:lineRule="auto"/>
        <w:ind w:firstLine="720"/>
      </w:pPr>
      <w:r>
        <w:t xml:space="preserve">Schiaparelli is therefore not merely an example. It is the single observation that disciplines the entire theoretical construction, because it shows that heritage and failure can coexist within one vehicle, and that whether heritage protects depends on the grain at which heritage is measured.</w:t>
      </w:r>
    </w:p>
    <w:bookmarkEnd w:id="84"/>
    <w:bookmarkStart w:id="85" w:name="X1c2a03a9b8b674c0e7032e9e13892d45799aa6d"/>
    <w:p>
      <w:pPr>
        <w:pStyle w:val="Heading2"/>
        <w:spacing w:line="480" w:lineRule="auto"/>
      </w:pPr>
      <w:r>
        <w:t xml:space="preserve">3.2 The Theoretical Mechanism: Heritage as Demonstrated Margin</w:t>
      </w:r>
    </w:p>
    <w:p>
      <w:pPr>
        <w:pStyle w:val="FirstParagraph"/>
        <w:spacing w:line="480" w:lineRule="auto"/>
      </w:pPr>
      <w:r>
        <w:t xml:space="preserve">The reliability-through-heritage heuristic, stripped of its informal phrasing, rests on a learning mechanism that can be stated precisely. An EDL subsystem architecture is a coupling of physical design, control logic, and operating envelope. When that architecture is flown through a Mars arrival and survives, the survival is not a neutral event. It is an experiment whose outcome carries information. Survival demonstrates that, under the flight conditions actually encountered, the architecture’s latent failure modes were either absent, not excited, or tolerated by margin. Reuse of that architecture on a subsequent attempt transfers the demonstrated margin forward. The subsequent attempt inherits a design that has already been shown to clear the conditions of at least one real arrival rather than only the conditions of ground test and simulation.</w:t>
      </w:r>
    </w:p>
    <w:p>
      <w:pPr>
        <w:pStyle w:val="BodyText"/>
        <w:spacing w:line="480" w:lineRule="auto"/>
        <w:ind w:firstLine="720"/>
      </w:pPr>
      <w:r>
        <w:t xml:space="preserve">This is the mechanism the technical EDL literature assumes. Estimating it is another matter. Studies of Mars atmospheric entry guidance develop reference-trajectory tracking controllers and validate them in simulation against tracking error</w:t>
      </w:r>
      <w:r>
        <w:t xml:space="preserve"> </w:t>
      </w:r>
      <w:hyperlink w:anchor="ref-6">
        <w:r>
          <w:rPr>
            <w:rStyle w:val="Hyperlink"/>
          </w:rPr>
          <w:t xml:space="preserve">[6]</w:t>
        </w:r>
      </w:hyperlink>
      <w:r>
        <w:t xml:space="preserve">, and enabling-technology surveys catalogue the building blocks of a descent stack without asking how reuse of those blocks changes the probability of a successful arrival</w:t>
      </w:r>
      <w:r>
        <w:t xml:space="preserve"> </w:t>
      </w:r>
      <w:hyperlink w:anchor="ref-7">
        <w:r>
          <w:rPr>
            <w:rStyle w:val="Hyperlink"/>
          </w:rPr>
          <w:t xml:space="preserve">[7]</w:t>
        </w:r>
      </w:hyperlink>
      <w:r>
        <w:t xml:space="preserve">. Integrated guidance schemes that couple entry and powered descent, including reinforcement-learning formulations, are evaluated against trajectory-tracking and fuel-optimality criteria rather than against realized mission success</w:t>
      </w:r>
      <w:r>
        <w:t xml:space="preserve"> </w:t>
      </w:r>
      <w:hyperlink w:anchor="ref-8">
        <w:r>
          <w:rPr>
            <w:rStyle w:val="Hyperlink"/>
          </w:rPr>
          <w:t xml:space="preserve">[8]</w:t>
        </w:r>
      </w:hyperlink>
      <w:r>
        <w:t xml:space="preserve">. Fuel-optimal onboard guidance for the human-Mars entry, powered-descent, and landing problem is posed as a control-theoretic optimization</w:t>
      </w:r>
      <w:r>
        <w:t xml:space="preserve"> </w:t>
      </w:r>
      <w:hyperlink w:anchor="ref-9">
        <w:r>
          <w:rPr>
            <w:rStyle w:val="Hyperlink"/>
          </w:rPr>
          <w:t xml:space="preserve">[9]</w:t>
        </w:r>
      </w:hyperlink>
      <w:r>
        <w:t xml:space="preserve">, and pinpoint-landing controllers are assessed on dispersion and miss-distance</w:t>
      </w:r>
      <w:r>
        <w:t xml:space="preserve"> </w:t>
      </w:r>
      <w:hyperlink w:anchor="ref-10">
        <w:r>
          <w:rPr>
            <w:rStyle w:val="Hyperlink"/>
          </w:rPr>
          <w:t xml:space="preserve">[10]</w:t>
        </w:r>
      </w:hyperlink>
      <w:r>
        <w:t xml:space="preserve">. Terminal-safety functions such as stereo-vision hazard detection are judged by their detection performance, not by their marginal contribution to mission-level reliability</w:t>
      </w:r>
      <w:r>
        <w:t xml:space="preserve"> </w:t>
      </w:r>
      <w:hyperlink w:anchor="ref-11">
        <w:r>
          <w:rPr>
            <w:rStyle w:val="Hyperlink"/>
          </w:rPr>
          <w:t xml:space="preserve">[11]</w:t>
        </w:r>
      </w:hyperlink>
      <w:r>
        <w:t xml:space="preserve">. Each of these literatures advances the design of a subsystem; none of them estimates the quantity that the heritage heuristic actually asserts, which is that prior survival of a subsystem lowers the probability that the subsystem fails on the next flight.</w:t>
      </w:r>
    </w:p>
    <w:p>
      <w:pPr>
        <w:pStyle w:val="BodyText"/>
        <w:spacing w:line="480" w:lineRule="auto"/>
        <w:ind w:firstLine="720"/>
      </w:pPr>
      <w:r>
        <w:t xml:space="preserve">The mechanism, then, is informational rather than physical. Heritage does not make a parachute stronger or a retro-rocket more efficient. It changes the epistemic state of the engineering organization and the design itself, by replacing a predicted margin with a demonstrated one. A demonstrated margin is more credible than a predicted margin because the demonstration has been conducted against the one environment that ground facilities cannot fully reproduce, the actual Mars arrival, with its true atmospheric density profile, its true aerodynamic coupling, and its true thermal and dynamic transients. The second paper of this dissertation generalizes the same mechanism to the institutional level, where survival builds and validates test infrastructure, calibrates atmospheric and aerodynamic models against real flight data, retains the engineers who debugged the previous descent, and codifies the review discipline that catches recurrent failure modes. At both grains the logic is identical: capability accrues through repeated experiment and operational use rather than through single demonstrations, the same technology-maturation logic that recurs across analyses of the broader space economy</w:t>
      </w:r>
      <w:r>
        <w:t xml:space="preserve"> </w:t>
      </w:r>
      <w:hyperlink w:anchor="ref-4">
        <w:r>
          <w:rPr>
            <w:rStyle w:val="Hyperlink"/>
          </w:rPr>
          <w:t xml:space="preserve">[4]</w:t>
        </w:r>
      </w:hyperlink>
      <w:r>
        <w:t xml:space="preserve">.</w:t>
      </w:r>
    </w:p>
    <w:bookmarkEnd w:id="85"/>
    <w:bookmarkStart w:id="86" w:name="Xafe7672b239529ce603b89e12559349c47fe435"/>
    <w:p>
      <w:pPr>
        <w:pStyle w:val="Heading2"/>
        <w:spacing w:line="480" w:lineRule="auto"/>
      </w:pPr>
      <w:r>
        <w:t xml:space="preserve">3.3 The Grain Problem: Why the Subsystem Is the Correct Unit</w:t>
      </w:r>
    </w:p>
    <w:p>
      <w:pPr>
        <w:pStyle w:val="FirstParagraph"/>
        <w:spacing w:line="480" w:lineRule="auto"/>
      </w:pPr>
      <w:r>
        <w:t xml:space="preserve">If the mechanism is demonstrated margin, then the unit at which heritage is measured must be the unit at which margin is demonstrated. This is the single most consequential theoretical commitment in the dissertation, and Schiaparelli is the reason for it. Schiaparelli’s entry drew on European decelerator design lineage and its early descent was nominal, but the descent guidance logic that commanded the terminal sequence carried no comparable flight pedigree, and it was that logic, acting on a saturated inertial measurement, that destroyed the vehicle</w:t>
      </w:r>
      <w:r>
        <w:t xml:space="preserve"> </w:t>
      </w:r>
      <w:hyperlink w:anchor="ref-1">
        <w:r>
          <w:rPr>
            <w:rStyle w:val="Hyperlink"/>
          </w:rPr>
          <w:t xml:space="preserve">[1]</w:t>
        </w:r>
      </w:hyperlink>
      <w:r>
        <w:t xml:space="preserve">. The aerothermal heritage was real and it held; the descent-control heritage was effectively absent and it failed. The infrared radiometric reconstruction confirms that the entry environment itself was within the reconstructed envelope, which means the loss cannot be attributed to the inherited aerothermal design exceeding its demonstrated margin</w:t>
      </w:r>
      <w:r>
        <w:t xml:space="preserve"> </w:t>
      </w:r>
      <w:hyperlink w:anchor="ref-2">
        <w:r>
          <w:rPr>
            <w:rStyle w:val="Hyperlink"/>
          </w:rPr>
          <w:t xml:space="preserve">[2]</w:t>
        </w:r>
      </w:hyperlink>
      <w:r>
        <w:t xml:space="preserve">. The failure was localized to the unproven subsystem.</w:t>
      </w:r>
    </w:p>
    <w:p>
      <w:pPr>
        <w:pStyle w:val="BodyText"/>
        <w:spacing w:line="480" w:lineRule="auto"/>
        <w:ind w:firstLine="720"/>
      </w:pPr>
      <w:r>
        <w:t xml:space="preserve">This pattern carries a sharp theoretical implication. A vehicle-level heritage variable would have coded Schiaparelli as heritage-rich and would then have recorded a heritage-rich failure. The very relationship the theory predicts would blur. A subsystem-level heritage variable codes the entry decelerator as carrying heritage and the descent-control logic as carrying none, and it then predicts, correctly, that the failure should appear in the subsystem without demonstrated margin. The mechanism only protects the parts of the system that are genuinely reused under genuinely similar conditions. Heritage is therefore not a scalar property of an airframe. It is a vector over subsystems, and the protective effect of the mechanism operates element by element.</w:t>
      </w:r>
    </w:p>
    <w:p>
      <w:pPr>
        <w:pStyle w:val="BodyText"/>
        <w:spacing w:line="480" w:lineRule="auto"/>
        <w:ind w:firstLine="720"/>
      </w:pPr>
      <w:r>
        <w:t xml:space="preserve">The first paper of the dissertation acts on this commitment directly by decomposing heritage into three subsystem indicators, the aerodynamic decelerator, the descent guidance-and-control stack, and the terminal landing mechanism, and by crediting a subsystem only when its specific architecture had a clean prior Mars survival. First-of-kind systems such as a sky-crane terminal mechanism score zero on the landing subsystem despite the evident sophistication of the vehicle that carries them. Sophistication is a predicted margin. The mechanism rewards only a demonstrated one. The institutional measure in the second paper is the deliberately coarse complement: it asks whether the broad organizational capital of a landing-experienced agency raises success odds even when specific subsystems are still new, and it accepts in advance that agency heritage can mask a first-of-class subsystem that fails</w:t>
      </w:r>
      <w:r>
        <w:t xml:space="preserve"> </w:t>
      </w:r>
      <w:hyperlink w:anchor="ref-2">
        <w:r>
          <w:rPr>
            <w:rStyle w:val="Hyperlink"/>
          </w:rPr>
          <w:t xml:space="preserve">[2]</w:t>
        </w:r>
      </w:hyperlink>
      <w:r>
        <w:t xml:space="preserve">.</w:t>
      </w:r>
    </w:p>
    <w:p>
      <w:pPr>
        <w:pStyle w:val="BodyText"/>
        <w:spacing w:line="480" w:lineRule="auto"/>
        <w:ind w:firstLine="720"/>
      </w:pPr>
      <w:r>
        <w:t xml:space="preserve">Neither grain competes with the other. They are two cuts through the same mechanism, and Schiaparelli sits at the seam between them, a case where institutional heritage and subsystem heritage diverge and the subsystem grain carries the correct prediction.</w:t>
      </w:r>
    </w:p>
    <w:bookmarkEnd w:id="86"/>
    <w:bookmarkStart w:id="87" w:name="the-causal-logic-and-its-confounds"/>
    <w:p>
      <w:pPr>
        <w:pStyle w:val="Heading2"/>
        <w:spacing w:line="480" w:lineRule="auto"/>
      </w:pPr>
      <w:r>
        <w:t xml:space="preserve">3.4 The Causal Logic and Its Confounds</w:t>
      </w:r>
    </w:p>
    <w:p>
      <w:pPr>
        <w:pStyle w:val="FirstParagraph"/>
        <w:spacing w:line="480" w:lineRule="auto"/>
      </w:pPr>
      <w:r>
        <w:t xml:space="preserve">A mechanism is not yet a causal claim. To move from</w:t>
      </w:r>
      <w:r>
        <w:t xml:space="preserve"> </w:t>
      </w:r>
      <w:r>
        <w:t xml:space="preserve">“heritage demonstrates margin”</w:t>
      </w:r>
      <w:r>
        <w:t xml:space="preserve"> </w:t>
      </w:r>
      <w:r>
        <w:t xml:space="preserve">to</w:t>
      </w:r>
      <w:r>
        <w:t xml:space="preserve"> </w:t>
      </w:r>
      <w:r>
        <w:t xml:space="preserve">“heritage lowers the failure hazard, all else equal”</w:t>
      </w:r>
      <w:r>
        <w:t xml:space="preserve"> </w:t>
      </w:r>
      <w:r>
        <w:t xml:space="preserve">requires that the comparison be made among attempts that are otherwise alike in the physical dimensions that independently govern EDL difficulty. The theory itself predicts which dimensions those are, because the same forces that accumulate heritage also move difficulty, and an uncontrolled estimate would let the heritage coefficient absorb them.</w:t>
      </w:r>
    </w:p>
    <w:p>
      <w:pPr>
        <w:pStyle w:val="BodyText"/>
        <w:spacing w:line="480" w:lineRule="auto"/>
        <w:ind w:firstLine="720"/>
      </w:pPr>
      <w:r>
        <w:t xml:space="preserve">The first confound is landed mass. A heavier surface element demands a larger and more capable decelerator and a more capable terminal landing system, so mass scales the intrinsic difficulty of the EDL problem, and mass also tends to grow as programs attempt more ambitious missions. Heavier landers are therefore disproportionately the recent, well-resourced missions that also tend to carry more heritage. If mass is omitted, the heritage coefficient will absorb the mass-scaling of difficulty and the estimate will be contaminated in an unknown direction. The theory therefore requires that landed mass enter the model as a fixed control so that heritage is compared within bands of comparable physical difficulty.</w:t>
      </w:r>
    </w:p>
    <w:p>
      <w:pPr>
        <w:pStyle w:val="BodyText"/>
        <w:spacing w:line="480" w:lineRule="auto"/>
        <w:ind w:firstLine="720"/>
      </w:pPr>
      <w:r>
        <w:t xml:space="preserve">The second confound is control authority. Guided and actively controlled descents became common in the same era during which mature heritage accumulated, so the degree of guidance autonomy co-moves with heritage across program vintage. The guidance literature itself supplies the gradation that must be held fixed, running from open-loop reference-trajectory tracking</w:t>
      </w:r>
      <w:r>
        <w:t xml:space="preserve"> </w:t>
      </w:r>
      <w:hyperlink w:anchor="ref-6">
        <w:r>
          <w:rPr>
            <w:rStyle w:val="Hyperlink"/>
          </w:rPr>
          <w:t xml:space="preserve">[6]</w:t>
        </w:r>
      </w:hyperlink>
      <w:r>
        <w:t xml:space="preserve">, through closed-loop integrated entry-and-descent control</w:t>
      </w:r>
      <w:r>
        <w:t xml:space="preserve"> </w:t>
      </w:r>
      <w:hyperlink w:anchor="ref-8">
        <w:r>
          <w:rPr>
            <w:rStyle w:val="Hyperlink"/>
          </w:rPr>
          <w:t xml:space="preserve">[8]</w:t>
        </w:r>
      </w:hyperlink>
      <w:r>
        <w:t xml:space="preserve">, to fuel-optimal onboard powered-descent guidance</w:t>
      </w:r>
      <w:r>
        <w:t xml:space="preserve"> </w:t>
      </w:r>
      <w:hyperlink w:anchor="ref-9">
        <w:r>
          <w:rPr>
            <w:rStyle w:val="Hyperlink"/>
          </w:rPr>
          <w:t xml:space="preserve">[9]</w:t>
        </w:r>
      </w:hyperlink>
      <w:r>
        <w:t xml:space="preserve"> </w:t>
      </w:r>
      <w:r>
        <w:t xml:space="preserve">and pinpoint terminal control</w:t>
      </w:r>
      <w:r>
        <w:t xml:space="preserve"> </w:t>
      </w:r>
      <w:hyperlink w:anchor="ref-10">
        <w:r>
          <w:rPr>
            <w:rStyle w:val="Hyperlink"/>
          </w:rPr>
          <w:t xml:space="preserve">[10]</w:t>
        </w:r>
      </w:hyperlink>
      <w:r>
        <w:t xml:space="preserve">. If autonomy is omitted, the heritage coefficient will proxy for the historical improvement in control authority rather than isolate the value of prior survival, and the dissertation would mistake the maturation of guidance methods for the maturation of heritage. The theory therefore requires a guidance-autonomy control alongside mass.</w:t>
      </w:r>
    </w:p>
    <w:p>
      <w:pPr>
        <w:pStyle w:val="BodyText"/>
        <w:spacing w:line="480" w:lineRule="auto"/>
        <w:ind w:firstLine="720"/>
      </w:pPr>
      <w:r>
        <w:t xml:space="preserve">A third control enters in the second paper, made necessary by the institutional framing: the raw count of an agency’s prior surface-landing attempts on any body. The point of this control is to separate realized heritage, prior success, from mere repetition, prior tries. An agency can accumulate many attempts without ever converting them into a success. Attempts are not survivals. The mechanism predicts that it is success, not repetition, that carries margin forward. Including raw attempt count alongside the institutional heritage indicator is therefore the operational test of the mechanism’s central distinction: if repetition without success raised the odds, the demonstrated-margin account would be undercut; if only realized success raises the odds, the account is supported.</w:t>
      </w:r>
    </w:p>
    <w:p>
      <w:pPr>
        <w:pStyle w:val="BodyText"/>
        <w:spacing w:line="480" w:lineRule="auto"/>
        <w:ind w:firstLine="720"/>
      </w:pPr>
      <w:r>
        <w:t xml:space="preserve">There remains a residual concern that the controls cannot fully purge, the possibility that heritage is deployed preferentially on harder or easier missions. If heritage is reserved for the hardest sites, the coefficient is biased toward zero and a true protective effect is understated; if heritage clusters on the easiest missions, the coefficient is biased negative as if heritage caused difficulty. Holding decelerator class, autonomy grade, and landed mass fixed addresses the principal physical confounds</w:t>
      </w:r>
      <w:r>
        <w:t xml:space="preserve"> </w:t>
      </w:r>
      <w:hyperlink w:anchor="ref-13">
        <w:r>
          <w:rPr>
            <w:rStyle w:val="Hyperlink"/>
          </w:rPr>
          <w:t xml:space="preserve">[13]</w:t>
        </w:r>
      </w:hyperlink>
      <w:r>
        <w:t xml:space="preserve">, but residual confounding by site hazard or program maturity can survive these controls, and the theory is honest that the available populations cannot supply a difficulty proxy fully independent of program vintage. The causal logic is consequently stated as a within-control comparison rather than as an experimental one: among attempts of comparable mass, autonomy, and decelerator class, do higher-heritage subsystems, or higher-heritage institutions, fail less often? This is the claim the hypotheses formalize. It is the strongest claim the historical record can support.</w:t>
      </w:r>
    </w:p>
    <w:bookmarkEnd w:id="87"/>
    <w:bookmarkStart w:id="88" w:name="from-mechanism-to-estimable-form"/>
    <w:p>
      <w:pPr>
        <w:pStyle w:val="Heading2"/>
        <w:spacing w:line="480" w:lineRule="auto"/>
      </w:pPr>
      <w:r>
        <w:t xml:space="preserve">3.5 From Mechanism to Estimable Form</w:t>
      </w:r>
    </w:p>
    <w:p>
      <w:pPr>
        <w:pStyle w:val="FirstParagraph"/>
        <w:spacing w:line="480" w:lineRule="auto"/>
      </w:pPr>
      <w:r>
        <w:t xml:space="preserve">The dependent event is a single, non-recoverable outcome observed once per attempt, so the natural statistical companion to the mechanism is a discrete-time hazard model of failure. In the binary single-event setting, the complementary log-log hazard and the logistic regression of the outcome on the covariate set are two readings of the same likelihood, one on a survival-time axis and one on a log-odds axis, and the dissertation uses both so that the heritage estimate is not an artifact of a single functional form. The quantity of interest is the same under either reading: the change in the conditional probability of failure, or equivalently the change in the log-odds of survival, attributable to one additional unit of demonstrated heritage, with mass, autonomy, and where applicable raw attempt count held fixed.</w:t>
      </w:r>
    </w:p>
    <w:p>
      <w:pPr>
        <w:pStyle w:val="BodyText"/>
        <w:spacing w:line="480" w:lineRule="auto"/>
        <w:ind w:firstLine="720"/>
      </w:pPr>
      <w:r>
        <w:t xml:space="preserve">Two properties of the populations shape how the estimate must be reported. Both follow from the theory rather than from convenience. First, the populations are small because the events are rare; the documented Mars population is on the order of a dozen-plus attempts and the cross-body population is in the high tens. Smallness is intrinsic to the phenomenon, not a sampling defect, because there is no larger population of flown EDL attempts to draw from until more landings occur. The theory therefore obliges the analysis to treat the estimate as a description of the documented historical population rather than as a forecast, to report exact and bootstrap intervals rather than lean on asymptotic approximations, and to confirm through leave-one-mission-out refits that no single attempt, Schiaparelli included, drives the result</w:t>
      </w:r>
      <w:r>
        <w:t xml:space="preserve"> </w:t>
      </w:r>
      <w:hyperlink w:anchor="ref-1">
        <w:r>
          <w:rPr>
            <w:rStyle w:val="Hyperlink"/>
          </w:rPr>
          <w:t xml:space="preserve">[1]</w:t>
        </w:r>
      </w:hyperlink>
      <w:r>
        <w:t xml:space="preserve">. Second, because the decision rule is the sign of one coefficient, the sign and significance must be pre-registered so that an inability to reject the null is not silently converted into a claim of no effect. These are not afterthoughts appended to the method; they are entailments of a theory that stakes a falsifiable claim on a small and irreplaceable record.</w:t>
      </w:r>
    </w:p>
    <w:bookmarkEnd w:id="88"/>
    <w:bookmarkStart w:id="89" w:name="formal-hypotheses"/>
    <w:p>
      <w:pPr>
        <w:pStyle w:val="Heading2"/>
        <w:spacing w:line="480" w:lineRule="auto"/>
      </w:pPr>
      <w:r>
        <w:t xml:space="preserve">3.6 Formal Hypotheses</w:t>
      </w:r>
    </w:p>
    <w:p>
      <w:pPr>
        <w:pStyle w:val="FirstParagraph"/>
        <w:spacing w:line="480" w:lineRule="auto"/>
      </w:pPr>
      <w:r>
        <w:t xml:space="preserve">The mechanism, the grain commitment, and the confound structure converge on a pair of hypotheses stated at the level of a single coefficient. Let the heritage construct be measured either as the per-subsystem heritage index of the Mars paper or as the institutional heritage indicator of the cross-body paper, and let the conditioning set comprise landed mass, guidance autonomy, and, in the institutional specification, raw prior-attempt count. The hypotheses are framed so that they remain logically identical across both grains, which is what licenses the two papers to be read as a single test of one theory at two resolutions.</w:t>
      </w:r>
    </w:p>
    <w:p>
      <w:pPr>
        <w:pStyle w:val="BodyText"/>
        <w:spacing w:line="480" w:lineRule="auto"/>
        <w:ind w:firstLine="720"/>
      </w:pPr>
      <w:r>
        <w:rPr>
          <w:b/>
          <w:bCs/>
        </w:rPr>
        <w:t xml:space="preserve">H0 (null).</w:t>
      </w:r>
      <w:r>
        <w:t xml:space="preserve"> </w:t>
      </w:r>
      <w:r>
        <w:t xml:space="preserve">Conditional on landed mass, guidance autonomy, and, where applicable, raw prior-attempt count, the heritage measure has no association with the EDL outcome. On the hazard reading, the heritage coefficient in the failure hazard is statistically indistinguishable from zero; on the equivalent logistic reading, the heritage coefficient in the log-odds of survival is statistically indistinguishable from zero. Under H0 the field’s reliability-through-heritage heuristic is not supported in the historical record, the demonstrated-margin mechanism leaves no detectable trace once physical difficulty and control authority are held fixed, and the Schiaparelli pattern, in which vehicle-level heritage coexists with subsystem-level failure, is the rule rather than the exception</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rPr>
          <w:b/>
          <w:bCs/>
        </w:rPr>
        <w:t xml:space="preserve">H1 (alternative).</w:t>
      </w:r>
      <w:r>
        <w:t xml:space="preserve"> </w:t>
      </w:r>
      <w:r>
        <w:t xml:space="preserve">Conditional on the same controls, higher heritage is associated with a more favorable EDL outcome. On the hazard reading, the heritage coefficient in the failure hazard is negative and statistically distinguishable from zero, so additional demonstrated heritage lowers the failure hazard; on the equivalent logistic reading, the heritage coefficient in the log-odds of survival is positive and statistically distinguishable from zero, so each additional unit of demonstrated heritage, an additional heritage-carrying subsystem or the presence of prior institutional success, raises the odds of survival. Under H1 the demonstrated-margin mechanism operates in the record at the grain at which heritage is measured, and the heuristic that mission formulation already relies upon is vindicated as an estimable, signed quantity rather than an asserted intuition.</w:t>
      </w:r>
    </w:p>
    <w:p>
      <w:pPr>
        <w:pStyle w:val="BodyText"/>
        <w:spacing w:line="480" w:lineRule="auto"/>
        <w:ind w:firstLine="720"/>
      </w:pPr>
      <w:r>
        <w:t xml:space="preserve">The two hypotheses exhaust the directional possibilities that matter for the claim, and they are constructed so that the evidence can favor either one. A negative or null hazard coefficient, equivalently a non-positive logit coefficient, fails to support H1 and leaves the heuristic unconfirmed; a clearly protective coefficient supports H1 and prices the heuristic for the first time. Nothing in the framing guarantees the protective result. That is the point. The economic arguments that presume repeatable, low-cost Mars arrival rest on the premise that the next lander inherits the last lander’s reliability</w:t>
      </w:r>
      <w:r>
        <w:t xml:space="preserve"> </w:t>
      </w:r>
      <w:hyperlink w:anchor="ref-4">
        <w:r>
          <w:rPr>
            <w:rStyle w:val="Hyperlink"/>
          </w:rPr>
          <w:t xml:space="preserve">[4]</w:t>
        </w:r>
      </w:hyperlink>
      <w:r>
        <w:t xml:space="preserve"> </w:t>
      </w:r>
      <w:hyperlink w:anchor="ref-5">
        <w:r>
          <w:rPr>
            <w:rStyle w:val="Hyperlink"/>
          </w:rPr>
          <w:t xml:space="preserve">[5]</w:t>
        </w:r>
      </w:hyperlink>
      <w:r>
        <w:t xml:space="preserve">, and campaign-level planning for Mars Sample Return and for crewed missions leans on demonstrated entry and landing approaches to bound programmatic risk</w:t>
      </w:r>
      <w:r>
        <w:t xml:space="preserve"> </w:t>
      </w:r>
      <w:hyperlink w:anchor="ref-3">
        <w:r>
          <w:rPr>
            <w:rStyle w:val="Hyperlink"/>
          </w:rPr>
          <w:t xml:space="preserve">[3]</w:t>
        </w:r>
      </w:hyperlink>
      <w:r>
        <w:t xml:space="preserve"> </w:t>
      </w:r>
      <w:hyperlink w:anchor="ref-14">
        <w:r>
          <w:rPr>
            <w:rStyle w:val="Hyperlink"/>
          </w:rPr>
          <w:t xml:space="preserve">[14]</w:t>
        </w:r>
      </w:hyperlink>
      <w:r>
        <w:t xml:space="preserve">. If H0 cannot be rejected, those arguments rest on an unpriced premise; if H1 holds, the coefficient supplies the price. Either way the wager that a scaling Mars campaign makes when it assumes inherited reliability is, for the first time, written as a testable proposition rather than left as an article of engineering faith.</w:t>
      </w:r>
    </w:p>
    <w:bookmarkEnd w:id="89"/>
    <w:bookmarkStart w:id="90" w:name="X5d2577cb76e62ee8fbfb8b98b8805e1dbd489a3"/>
    <w:p>
      <w:pPr>
        <w:pStyle w:val="Heading2"/>
        <w:spacing w:line="480" w:lineRule="auto"/>
      </w:pPr>
      <w:r>
        <w:t xml:space="preserve">3.7 Scope Conditions and What the Hypotheses Do Not Claim</w:t>
      </w:r>
    </w:p>
    <w:p>
      <w:pPr>
        <w:pStyle w:val="FirstParagraph"/>
        <w:spacing w:line="480" w:lineRule="auto"/>
      </w:pPr>
      <w:r>
        <w:t xml:space="preserve">A disciplined theory states its own boundaries. The hypotheses describe the documented historical record of robotic planetary EDL attempts and the demonstrated-margin mechanism that the record can or cannot reveal. They do not assert that heritage is the only determinant of EDL outcome, that the estimated magnitude is a point forecast for any specific future arrival, or that the historical relationship extrapolates unchanged to a regime of standardized, mass-produced, low-cost Mars delivery. That extrapolation is precisely the open question the coefficient informs but cannot settle, because a record built from bespoke, low-rate missions cannot by itself characterize a high-rate production regime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hypotheses are likewise agnostic about partial failures beyond the strict binary outcome; the theory recognizes that some attempts fail late or land in degraded configurations, and the empirical papers treat the strict binary as primary while testing sensitivity to recoded marginal cases drawn from terminal-phase functions such as hazard detection and landing-mechanism behavior</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Finally, the pooled cross-body specification of the second paper buys statistical power by treating physically distinct EDL regimes as exchangeable, and the theory flags this as a scope condition rather than a settled assumption. A thick Martian atmosphere, a lunar vacuum descent, and a crushing Venusian one impose different failure modes. Physics does not pool politely. The demonstrated-margin mechanism may transfer across bodies more weakly than within a body. The hypotheses are therefore stated at the grain of the body-pooled institutional measure and at the grain of the Mars-only subsystem measure separately, so that a future record large enough to estimate body-specific heritage effects can refine, rather than overturn, the framework laid out here. Within these boundaries the theoretical claim is exact: if the demonstrated-margin mechanism operates in the documented record at the grain at which heritage is measured, the heritage coefficient is signed against failure, and H1 is the proposition that says so.</w:t>
      </w:r>
    </w:p>
    <w:bookmarkEnd w:id="90"/>
    <w:bookmarkEnd w:id="91"/>
    <w:bookmarkStart w:id="102" w:name="chapter-4.-data-and-measurement"/>
    <w:p>
      <w:pPr>
        <w:pStyle w:val="Heading1"/>
        <w:spacing w:line="480" w:lineRule="auto"/>
      </w:pPr>
      <w:r>
        <w:t xml:space="preserve">Chapter 4. Data and Measurement</w:t>
      </w:r>
    </w:p>
    <w:bookmarkStart w:id="92" w:name="overview-and-purpose-of-the-chapter"/>
    <w:p>
      <w:pPr>
        <w:pStyle w:val="Heading2"/>
        <w:spacing w:line="480" w:lineRule="auto"/>
      </w:pPr>
      <w:r>
        <w:t xml:space="preserve">4.1 Overview and Purpose of the Chapter</w:t>
      </w:r>
    </w:p>
    <w:p>
      <w:pPr>
        <w:pStyle w:val="FirstParagraph"/>
        <w:spacing w:line="480" w:lineRule="auto"/>
      </w:pPr>
      <w:r>
        <w:t xml:space="preserve">This dissertation tests a single proposition: whether flight heritage, the reuse of a subsystem or institutional capability that has already survived a planetary arrival, lowers the probability that an entry, descent, and landing (EDL) attempt ends in loss. Such a proposition lives or dies on its measurement. If the heritage variable is constructed loosely, or if the outcome is coded by reputation rather than by the documented behavior of the vehicle, the resulting coefficient is an artifact of the coder rather than a fact about the world. This chapter therefore states, in full, what the data are, where each datum comes from, what the unit of analysis is, and how every variable in the two empirical papers of the dissertation is built from primary records.</w:t>
      </w:r>
    </w:p>
    <w:p>
      <w:pPr>
        <w:pStyle w:val="BodyText"/>
        <w:spacing w:line="480" w:lineRule="auto"/>
        <w:ind w:firstLine="720"/>
      </w:pPr>
      <w:r>
        <w:t xml:space="preserve">Two deliberately overlapping datasets underlie the empirical chapters. The first, used in the per-subsystem hazard and logit analysis, is the full historical population of robotic Mars surface-landing attempts, nineteen events spanning 1971 through 2021, with heritage measured at the level of three distinct subsystems. The second, used in the cross-body institutional analysis, is the wider population of robotic planetary surface-landing attempts across Mars, the Moon, and Venus, thirty-seven events spanning 1965 through 2024, with heritage measured at the level of the operating agency. The two datasets share a common spine of authoritative sources and a common coding philosophy, and they are designed to read the same phenomenon at two different resolutions. The Mars-only dataset asks which part of the vehicle carries the protective effect. The cross-body dataset asks whether the organization that flies it does. Neither value in either dataset is illustrative beyond two carefully flagged descent-mass entries, discussed below, and no value is fabricated to complete a row.</w:t>
      </w:r>
    </w:p>
    <w:p>
      <w:pPr>
        <w:pStyle w:val="BodyText"/>
        <w:spacing w:line="480" w:lineRule="auto"/>
        <w:ind w:firstLine="720"/>
      </w:pPr>
      <w:r>
        <w:t xml:space="preserve">At the center of the measurement sits one commitment: heritage is not a vehicle-level reputation but a per-subsystem or per-institution property, credited only when a documented prior survival exists. That commitment is what allows the dissertation to discriminate the case the ExoMars 2016 Schiaparelli demonstrator forced upon the field, in which a vehicle that inherited substantial entry-phase design lineage nonetheless failed because its descent and control logic carried no comparable flight pedigree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remainder of the chapter develops that commitment into an auditable coding scheme.</w:t>
      </w:r>
    </w:p>
    <w:bookmarkEnd w:id="92"/>
    <w:bookmarkStart w:id="93" w:name="unit-of-analysis"/>
    <w:p>
      <w:pPr>
        <w:pStyle w:val="Heading2"/>
        <w:spacing w:line="480" w:lineRule="auto"/>
      </w:pPr>
      <w:r>
        <w:t xml:space="preserve">4.2 Unit of Analysis</w:t>
      </w:r>
    </w:p>
    <w:p>
      <w:pPr>
        <w:pStyle w:val="FirstParagraph"/>
        <w:spacing w:line="480" w:lineRule="auto"/>
      </w:pPr>
      <w:r>
        <w:t xml:space="preserve">In both datasets the unit of analysis is the EDL attempt, defined as a single instance in which a spacecraft or descent module commits to the irreversible sequence that begins at atmospheric or gravitational capture and ends at a commanded surface configuration. Each attempt contributes exactly one row to its dataset. This choice is not incidental; it is the level at which the outcome of interest, survival or loss, is actually realized, and it is the level at which heritage is plausibly transmitted. A mission that carries two landers, or an attempt that is repeated by the same agency at a later epoch, contributes a separate row for each discrete commitment to the descent sequence, because each such commitment is a separate trial of the heritage hypothesis.</w:t>
      </w:r>
    </w:p>
    <w:p>
      <w:pPr>
        <w:pStyle w:val="BodyText"/>
        <w:spacing w:line="480" w:lineRule="auto"/>
        <w:ind w:firstLine="720"/>
      </w:pPr>
      <w:r>
        <w:t xml:space="preserve">Defining the unit as the attempt rather than the mission, the spacecraft, or the agency-year has three consequences that shape the rest of the measurement. First, it fixes the population. For the Mars dataset the population is the full set of documented robotic Mars surface-landing attempts; for the cross-body dataset it is the full set of documented robotic surface-landing attempts on Mars, the Moon, and Venus within the stated epochs. In both cases the analysis works on a population rather than a sample, which is the correct frame for a question about the historical record and which also bounds the achievable statistical power, a limitation carried forward explicitly into the threats-to-validity discussion. Second, it forces a precise operational definition of the outcome, because an attempt either delivered a surviving, data-returning surface configuration or it did not, and borderline events must be adjudicated against the documented telemetry rather than against the mission’s later scientific reputation.</w:t>
      </w:r>
    </w:p>
    <w:p>
      <w:pPr>
        <w:pStyle w:val="BodyText"/>
        <w:spacing w:line="480" w:lineRule="auto"/>
        <w:ind w:firstLine="720"/>
      </w:pPr>
      <w:r>
        <w:t xml:space="preserve">Third, it makes provenance tractable, because a single attempt maps cleanly to a single archival spacecraft record and, where one exists, a single peer-reviewed reconstruction.</w:t>
      </w:r>
    </w:p>
    <w:bookmarkEnd w:id="93"/>
    <w:bookmarkStart w:id="94" w:name="authoritative-data-sources"/>
    <w:p>
      <w:pPr>
        <w:pStyle w:val="Heading2"/>
        <w:spacing w:line="480" w:lineRule="auto"/>
      </w:pPr>
      <w:r>
        <w:t xml:space="preserve">4.3 Authoritative Data Sources</w:t>
      </w:r>
    </w:p>
    <w:p>
      <w:pPr>
        <w:pStyle w:val="FirstParagraph"/>
        <w:spacing w:line="480" w:lineRule="auto"/>
      </w:pPr>
      <w:r>
        <w:t xml:space="preserve">The datasets are assembled from a small number of authoritative, publicly obtainable primary sources, each used for a defined purpose, and every coded cell carries a citation to the source from which it was drawn.</w:t>
      </w:r>
    </w:p>
    <w:p>
      <w:pPr>
        <w:pStyle w:val="BodyText"/>
        <w:spacing w:line="480" w:lineRule="auto"/>
        <w:ind w:firstLine="720"/>
      </w:pPr>
      <w:r>
        <w:t xml:space="preserve">For mission-level facts the backbone is the NASA National Space Science Data Center (NSSDC) Master Catalog, accessed through its per-mission spacecraft records</w:t>
      </w:r>
      <w:r>
        <w:t xml:space="preserve"> </w:t>
      </w:r>
      <w:hyperlink w:anchor="ref-19">
        <w:r>
          <w:rPr>
            <w:rStyle w:val="Hyperlink"/>
          </w:rPr>
          <w:t xml:space="preserve">[19]</w:t>
        </w:r>
      </w:hyperlink>
      <w:r>
        <w:t xml:space="preserve">. The catalog supplies, for each attempt, the spacecraft identity, the operating agency, the arrival epoch, the documented landed or descent-module mass, and the architecture description from which the decelerator, guidance, and landing-mechanism lineages are coded. The NSSDC record is treated as the authority of first resort for outcomes, masses, and architecture descriptions in the Mars dataset, and as a primary source alongside consolidated landing summaries and mission press kits in the cross-body dataset. Its standing as an authoritative source rests on its being the curated archival record maintained for exactly the population of spacecraft under study. Its records are stable and citable. Nothing is reconstructed from secondary narrative.</w:t>
      </w:r>
    </w:p>
    <w:p>
      <w:pPr>
        <w:pStyle w:val="BodyText"/>
        <w:spacing w:line="480" w:lineRule="auto"/>
        <w:ind w:firstLine="720"/>
      </w:pPr>
      <w:r>
        <w:t xml:space="preserve">The second authoritative source is the peer-reviewed post-flight reconstruction literature, used to anchor the coding of the one attempt for which flight-validated entry and descent telemetry exists. The published ExoMars 2016 Schiaparelli coasting, entry, and descent post-flight mission analysis supplies the reconstructed trajectory and the documented sequence by which a saturated inertial-measurement interaction drove the descent guidance logic to command early parachute and backshell release and a premature retro-rocket cutoff</w:t>
      </w:r>
      <w:r>
        <w:t xml:space="preserve"> </w:t>
      </w:r>
      <w:hyperlink w:anchor="ref-15">
        <w:r>
          <w:rPr>
            <w:rStyle w:val="Hyperlink"/>
          </w:rPr>
          <w:t xml:space="preserve">[15]</w:t>
        </w:r>
      </w:hyperlink>
      <w:r>
        <w:t xml:space="preserve">. The companion infrared post-flight radiometric reconstruction of the same entry confirms that the aerothermal environment was within the reconstructed envelope, which is the measured evidence that localizes the failure in the descent and control logic rather than in the entry heritage</w:t>
      </w:r>
      <w:r>
        <w:t xml:space="preserve"> </w:t>
      </w:r>
      <w:hyperlink w:anchor="ref-16">
        <w:r>
          <w:rPr>
            <w:rStyle w:val="Hyperlink"/>
          </w:rPr>
          <w:t xml:space="preserve">[16]</w:t>
        </w:r>
      </w:hyperlink>
      <w:r>
        <w:t xml:space="preserve">. These two publications do more than supply one row. They validate the coding philosophy of the entire dataset by demonstrating, in measured telemetry, that vehicle-level heritage and subsystem-level heritage can diverge.</w:t>
      </w:r>
    </w:p>
    <w:p>
      <w:pPr>
        <w:pStyle w:val="BodyText"/>
        <w:spacing w:line="480" w:lineRule="auto"/>
        <w:ind w:firstLine="720"/>
      </w:pPr>
      <w:r>
        <w:t xml:space="preserve">A third source class is technical and design literature, used not to populate outcome rows but to ground the construction of two covariates. The architecture and challenge framing of Mars EDL provided by Braun and Manning supplies the reference account against which decelerator, guidance, and landing lineages are coded in the Mars dataset</w:t>
      </w:r>
      <w:r>
        <w:t xml:space="preserve"> </w:t>
      </w:r>
      <w:hyperlink w:anchor="ref-18">
        <w:r>
          <w:rPr>
            <w:rStyle w:val="Hyperlink"/>
          </w:rPr>
          <w:t xml:space="preserve">[18]</w:t>
        </w:r>
      </w:hyperlink>
      <w:r>
        <w:t xml:space="preserve">. The guidance-autonomy grading scale is built against the published taxonomy of descent guidance methods, spanning robust reference-trajectory tracking</w:t>
      </w:r>
      <w:r>
        <w:t xml:space="preserve"> </w:t>
      </w:r>
      <w:hyperlink w:anchor="ref-31">
        <w:r>
          <w:rPr>
            <w:rStyle w:val="Hyperlink"/>
          </w:rPr>
          <w:t xml:space="preserve">[31]</w:t>
        </w:r>
      </w:hyperlink>
      <w:r>
        <w:t xml:space="preserve">, integrated entry-and-powered-descent guidance using reinforcement learning and a pseudospectral method</w:t>
      </w:r>
      <w:r>
        <w:t xml:space="preserve"> </w:t>
      </w:r>
      <w:hyperlink w:anchor="ref-35">
        <w:r>
          <w:rPr>
            <w:rStyle w:val="Hyperlink"/>
          </w:rPr>
          <w:t xml:space="preserve">[35]</w:t>
        </w:r>
      </w:hyperlink>
      <w:r>
        <w:t xml:space="preserve">, and the broader literature on pinpoint and safety-aware landing control</w:t>
      </w:r>
      <w:r>
        <w:t xml:space="preserve"> </w:t>
      </w:r>
      <w:hyperlink w:anchor="ref-29">
        <w:r>
          <w:rPr>
            <w:rStyle w:val="Hyperlink"/>
          </w:rPr>
          <w:t xml:space="preserve">[29]</w:t>
        </w:r>
      </w:hyperlink>
      <w:r>
        <w:t xml:space="preserve"> </w:t>
      </w:r>
      <w:hyperlink w:anchor="ref-30">
        <w:r>
          <w:rPr>
            <w:rStyle w:val="Hyperlink"/>
          </w:rPr>
          <w:t xml:space="preserve">[30]</w:t>
        </w:r>
      </w:hyperlink>
      <w:r>
        <w:t xml:space="preserve">. Comparative-modality work on autorotation versus propulsive landing informs the decelerator and landing-mechanism distinctions</w:t>
      </w:r>
      <w:r>
        <w:t xml:space="preserve"> </w:t>
      </w:r>
      <w:hyperlink w:anchor="ref-17">
        <w:r>
          <w:rPr>
            <w:rStyle w:val="Hyperlink"/>
          </w:rPr>
          <w:t xml:space="preserve">[17]</w:t>
        </w:r>
      </w:hyperlink>
      <w:r>
        <w:t xml:space="preserve"> </w:t>
      </w:r>
      <w:hyperlink w:anchor="ref-34">
        <w:r>
          <w:rPr>
            <w:rStyle w:val="Hyperlink"/>
          </w:rPr>
          <w:t xml:space="preserve">[34]</w:t>
        </w:r>
      </w:hyperlink>
      <w:r>
        <w:t xml:space="preserve">. These sources ground framing and coding, not outcome rows. Campaign-level and economic framing sources such as the space-economy technology-maturation analysis</w:t>
      </w:r>
      <w:r>
        <w:t xml:space="preserve"> </w:t>
      </w:r>
      <w:hyperlink w:anchor="ref-20">
        <w:r>
          <w:rPr>
            <w:rStyle w:val="Hyperlink"/>
          </w:rPr>
          <w:t xml:space="preserve">[20]</w:t>
        </w:r>
      </w:hyperlink>
      <w:r>
        <w:t xml:space="preserve"> </w:t>
      </w:r>
      <w:r>
        <w:t xml:space="preserve">are likewise used for context only.</w:t>
      </w:r>
    </w:p>
    <w:bookmarkEnd w:id="94"/>
    <w:bookmarkStart w:id="95" w:name="the-mars-subsystem-dataset"/>
    <w:p>
      <w:pPr>
        <w:pStyle w:val="Heading2"/>
        <w:spacing w:line="480" w:lineRule="auto"/>
      </w:pPr>
      <w:r>
        <w:t xml:space="preserve">4.4 The Mars Subsystem Dataset</w:t>
      </w:r>
    </w:p>
    <w:p>
      <w:pPr>
        <w:pStyle w:val="FirstParagraph"/>
        <w:spacing w:line="480" w:lineRule="auto"/>
      </w:pPr>
      <w:r>
        <w:t xml:space="preserve">The Mars dataset codes the full population of documented robotic Mars surface-landing attempts from the first Soviet descent modules of 1971 through the 2021 arrivals of Perseverance and Tianwen-1 Zhurong. Nineteen attempts are coded, of which eleven survived EDL to a functional landed configuration and eight did not. The attempts span the Mars 2, Mars 3, Mars 6, and Mars 7 descent modules; Viking 1 and Viking 2; Mars Pathfinder; Mars Polar Lander; Deep Space 2; the two Mars Exploration Rovers; Beagle 2; Phoenix; Mars Science Laboratory; InSight; Schiaparelli; the Mars 2020 Perseverance system; and Tianwen-1 Zhurong, with mission identity and arrival epoch drawn from the NSSDC per-mission records</w:t>
      </w:r>
      <w:r>
        <w:t xml:space="preserve"> </w:t>
      </w:r>
      <w:hyperlink w:anchor="ref-19">
        <w:r>
          <w:rPr>
            <w:rStyle w:val="Hyperlink"/>
          </w:rPr>
          <w:t xml:space="preserve">[19]</w:t>
        </w:r>
      </w:hyperlink>
      <w:r>
        <w:t xml:space="preserve">.</w:t>
      </w:r>
    </w:p>
    <w:p>
      <w:pPr>
        <w:pStyle w:val="BodyText"/>
        <w:spacing w:line="480" w:lineRule="auto"/>
        <w:ind w:firstLine="720"/>
      </w:pPr>
      <w:r>
        <w:t xml:space="preserve">The outcome variable is a strict binary success indicator, coded one when the attempt delivered a surviving surface configuration that returned data and zero when the vehicle was lost during or immediately after descent. Two coding decisions illustrate the discipline. The outcome follows the documented record rather than the popular headline. Beagle 2 is coded a failure because, although it reached the surface intact, it did not deploy into a functional configuration and returned no data, so by the operational definition it did not complete a delivered landing. Mars 3 is coded a success because it survived EDL to a landed, transmitting state, even though surface transmission ceased after roughly fourteen seconds; the EDL sequence itself was completed and a working surface element was delivered, which is exactly what the outcome variable is defined to capture. These adjudications are made against the NSSDC records and, for the Schiaparelli row, against the published post-flight reconstruction</w:t>
      </w:r>
      <w:r>
        <w:t xml:space="preserve"> </w:t>
      </w:r>
      <w:hyperlink w:anchor="ref-15">
        <w:r>
          <w:rPr>
            <w:rStyle w:val="Hyperlink"/>
          </w:rPr>
          <w:t xml:space="preserve">[15]</w:t>
        </w:r>
      </w:hyperlink>
      <w:r>
        <w:t xml:space="preserve">, and they are recorded in the codebook so that a second coder can reproduce them.</w:t>
      </w:r>
    </w:p>
    <w:p>
      <w:pPr>
        <w:pStyle w:val="BodyText"/>
        <w:spacing w:line="480" w:lineRule="auto"/>
        <w:ind w:firstLine="720"/>
      </w:pPr>
      <w:r>
        <w:t xml:space="preserve">The heritage variable in the Mars dataset counts the subsystems carrying genuine prior Mars heritage. Three per-subsystem indicators build it. Each indicator credits a subsystem only when that subsystem’s specific architecture had a clean prior Mars survival, so the index ranges from zero to three. The three subsystems are the aerodynamic decelerator, the descent guidance-and-control stack, and the terminal landing mechanism, and they are coded against the architecture descriptions in the NSSDC records and the EDL-challenge account of Braun and Manning</w:t>
      </w:r>
      <w:r>
        <w:t xml:space="preserve"> </w:t>
      </w:r>
      <w:hyperlink w:anchor="ref-18">
        <w:r>
          <w:rPr>
            <w:rStyle w:val="Hyperlink"/>
          </w:rPr>
          <w:t xml:space="preserve">[18]</w:t>
        </w:r>
      </w:hyperlink>
      <w:r>
        <w:t xml:space="preserve"> </w:t>
      </w:r>
      <w:hyperlink w:anchor="ref-19">
        <w:r>
          <w:rPr>
            <w:rStyle w:val="Hyperlink"/>
          </w:rPr>
          <w:t xml:space="preserve">[19]</w:t>
        </w:r>
      </w:hyperlink>
      <w:r>
        <w:t xml:space="preserve">. The crediting rule is deliberately strict: a first-of-kind architecture scores zero on the relevant subsystem even when the vehicle as a whole is sophisticated, so the Mars Science Laboratory sky-crane terminal-descent system scores zero on the landing-mechanism indicator despite the evident maturity of the larger vehicle. The Schiaparelli reconstruction is the direct motivation for this per-subsystem decomposition, because it documents an attempt whose entry aerothermal heritage and descent-control heritage diverged and produced a failure localized to the latter</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bookmarkEnd w:id="95"/>
    <w:bookmarkStart w:id="96" w:name="X58ef19bb2eff98b1465123f4253eebb4b42291f"/>
    <w:p>
      <w:pPr>
        <w:pStyle w:val="Heading2"/>
        <w:spacing w:line="480" w:lineRule="auto"/>
      </w:pPr>
      <w:r>
        <w:t xml:space="preserve">4.5 Variable Construction in the Mars Dataset</w:t>
      </w:r>
    </w:p>
    <w:p>
      <w:pPr>
        <w:pStyle w:val="FirstParagraph"/>
        <w:spacing w:line="480" w:lineRule="auto"/>
      </w:pPr>
      <w:r>
        <w:t xml:space="preserve">Beyond outcome and heritage, the Mars dataset codes the two physical and control confounds that co-move with both heritage and EDL difficulty, so that the heritage coefficient does not silently absorb them.</w:t>
      </w:r>
    </w:p>
    <w:p>
      <w:pPr>
        <w:pStyle w:val="BodyText"/>
        <w:spacing w:line="480" w:lineRule="auto"/>
        <w:ind w:firstLine="720"/>
      </w:pPr>
      <w:r>
        <w:t xml:space="preserve">Landed mass is coded in kilograms from the documented landed or descent-module mass in the NSSDC per-mission records</w:t>
      </w:r>
      <w:r>
        <w:t xml:space="preserve"> </w:t>
      </w:r>
      <w:hyperlink w:anchor="ref-19">
        <w:r>
          <w:rPr>
            <w:rStyle w:val="Hyperlink"/>
          </w:rPr>
          <w:t xml:space="preserve">[19]</w:t>
        </w:r>
      </w:hyperlink>
      <w:r>
        <w:t xml:space="preserve">. Mass enters the model because a heavier surface element demands a more capable decelerator and terminal system, so EDL difficulty scales with mass, and because the heaviest landers in this population are the recent, well-resourced missions that survived; without the control, the heritage indicator would partly read the mass-scaling of difficulty and the survival of the recent fleet</w:t>
      </w:r>
      <w:r>
        <w:t xml:space="preserve"> </w:t>
      </w:r>
      <w:hyperlink w:anchor="ref-18">
        <w:r>
          <w:rPr>
            <w:rStyle w:val="Hyperlink"/>
          </w:rPr>
          <w:t xml:space="preserve">[18]</w:t>
        </w:r>
      </w:hyperlink>
      <w:r>
        <w:t xml:space="preserve">. Where a clean landed figure is documented it is used directly; the Mars population does not require the illustrative descent-mass approximations that the cross-body dataset flags.</w:t>
      </w:r>
    </w:p>
    <w:p>
      <w:pPr>
        <w:pStyle w:val="BodyText"/>
        <w:spacing w:line="480" w:lineRule="auto"/>
        <w:ind w:firstLine="720"/>
      </w:pPr>
      <w:r>
        <w:t xml:space="preserve">Guidance autonomy is coded as an ordinal indicator graded against the published guidance taxonomy, so that the heritage coefficient does not proxy for the era in which active control became common. The grading runs from open-loop or unguided descent, through closed-loop reference-trajectory tracking</w:t>
      </w:r>
      <w:r>
        <w:t xml:space="preserve"> </w:t>
      </w:r>
      <w:hyperlink w:anchor="ref-31">
        <w:r>
          <w:rPr>
            <w:rStyle w:val="Hyperlink"/>
          </w:rPr>
          <w:t xml:space="preserve">[31]</w:t>
        </w:r>
      </w:hyperlink>
      <w:r>
        <w:t xml:space="preserve">, to integrated entry-and-powered-descent control</w:t>
      </w:r>
      <w:r>
        <w:t xml:space="preserve"> </w:t>
      </w:r>
      <w:hyperlink w:anchor="ref-35">
        <w:r>
          <w:rPr>
            <w:rStyle w:val="Hyperlink"/>
          </w:rPr>
          <w:t xml:space="preserve">[35]</w:t>
        </w:r>
      </w:hyperlink>
      <w:r>
        <w:t xml:space="preserve"> </w:t>
      </w:r>
      <w:r>
        <w:t xml:space="preserve">and the more autonomous pinpoint and safety-index-driven landing functions in the descent-guidance literature</w:t>
      </w:r>
      <w:r>
        <w:t xml:space="preserve"> </w:t>
      </w:r>
      <w:hyperlink w:anchor="ref-29">
        <w:r>
          <w:rPr>
            <w:rStyle w:val="Hyperlink"/>
          </w:rPr>
          <w:t xml:space="preserve">[29]</w:t>
        </w:r>
      </w:hyperlink>
      <w:r>
        <w:t xml:space="preserve"> </w:t>
      </w:r>
      <w:hyperlink w:anchor="ref-30">
        <w:r>
          <w:rPr>
            <w:rStyle w:val="Hyperlink"/>
          </w:rPr>
          <w:t xml:space="preserve">[30]</w:t>
        </w:r>
      </w:hyperlink>
      <w:r>
        <w:t xml:space="preserve">. Each attempt’s autonomy code comes from its architecture description. The justification is recorded in the codebook. Because guided, actively controlled descents became common in the same era that mature heritage accumulated, the autonomy control is what prevents the heritage estimate from absorbing improvements in control authority.</w:t>
      </w:r>
    </w:p>
    <w:p>
      <w:pPr>
        <w:pStyle w:val="BodyText"/>
        <w:spacing w:line="480" w:lineRule="auto"/>
        <w:ind w:firstLine="720"/>
      </w:pPr>
      <w:r>
        <w:t xml:space="preserve">Every cell in the Mars dataset is sourced to its primary record.</w:t>
      </w:r>
    </w:p>
    <w:p>
      <w:pPr>
        <w:pStyle w:val="BodyText"/>
        <w:spacing w:line="480" w:lineRule="auto"/>
        <w:ind w:firstLine="720"/>
      </w:pPr>
      <w:r>
        <w:t xml:space="preserve">Outcomes, masses, and architecture descriptions trace to the NSSDC per-mission records</w:t>
      </w:r>
      <w:r>
        <w:t xml:space="preserve"> </w:t>
      </w:r>
      <w:hyperlink w:anchor="ref-19">
        <w:r>
          <w:rPr>
            <w:rStyle w:val="Hyperlink"/>
          </w:rPr>
          <w:t xml:space="preserve">[19]</w:t>
        </w:r>
      </w:hyperlink>
      <w:r>
        <w:t xml:space="preserve">; the Schiaparelli row’s failure mechanism traces to the post-flight reconstruction and its companion radiometric analysis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and the ordinal codes for decelerator class, guidance autonomy, and landing-mechanism lineage trace to the EDL-challenge and guidance literature against which they are graded</w:t>
      </w:r>
      <w:r>
        <w:t xml:space="preserve"> </w:t>
      </w:r>
      <w:hyperlink w:anchor="ref-18">
        <w:r>
          <w:rPr>
            <w:rStyle w:val="Hyperlink"/>
          </w:rPr>
          <w:t xml:space="preserve">[18]</w:t>
        </w:r>
      </w:hyperlink>
      <w:r>
        <w:t xml:space="preserve"> </w:t>
      </w:r>
      <w:hyperlink w:anchor="ref-29">
        <w:r>
          <w:rPr>
            <w:rStyle w:val="Hyperlink"/>
          </w:rPr>
          <w:t xml:space="preserve">[29]</w:t>
        </w:r>
      </w:hyperlink>
      <w:r>
        <w:t xml:space="preserve"> </w:t>
      </w:r>
      <w:hyperlink w:anchor="ref-30">
        <w:r>
          <w:rPr>
            <w:rStyle w:val="Hyperlink"/>
          </w:rPr>
          <w:t xml:space="preserve">[30]</w:t>
        </w:r>
      </w:hyperlink>
      <w:r>
        <w:t xml:space="preserve"> </w:t>
      </w:r>
      <w:hyperlink w:anchor="ref-31">
        <w:r>
          <w:rPr>
            <w:rStyle w:val="Hyperlink"/>
          </w:rPr>
          <w:t xml:space="preserve">[31]</w:t>
        </w:r>
      </w:hyperlink>
      <w:r>
        <w:t xml:space="preserve"> </w:t>
      </w:r>
      <w:hyperlink w:anchor="ref-35">
        <w:r>
          <w:rPr>
            <w:rStyle w:val="Hyperlink"/>
          </w:rPr>
          <w:t xml:space="preserve">[35]</w:t>
        </w:r>
      </w:hyperlink>
      <w:r>
        <w:t xml:space="preserve">. The full coded matrix is published with the dissertation so that the coding is auditable and the population reproducible.</w:t>
      </w:r>
    </w:p>
    <w:bookmarkEnd w:id="96"/>
    <w:bookmarkStart w:id="97" w:name="the-cross-body-institutional-dataset"/>
    <w:p>
      <w:pPr>
        <w:pStyle w:val="Heading2"/>
        <w:spacing w:line="480" w:lineRule="auto"/>
      </w:pPr>
      <w:r>
        <w:t xml:space="preserve">4.6 The Cross-Body Institutional Dataset</w:t>
      </w:r>
    </w:p>
    <w:p>
      <w:pPr>
        <w:pStyle w:val="FirstParagraph"/>
        <w:spacing w:line="480" w:lineRule="auto"/>
      </w:pPr>
      <w:r>
        <w:t xml:space="preserve">The cross-body dataset widens the population to gain statistical power and to test whether heritage operates at the level of the institution rather than the subsystem. The unit of observation remains the single robotic planetary surface-landing attempt, but the population now spans thirty-seven attempts from 1965 through 2024 across the three bodies that have absorbed the great majority of robotic landing tries: Mars, the Moon, and Venus. The attempts are drawn from NASA’s NSSDC records, consolidated encyclopedic landing summaries for each body, mission press kits, and, for the Schiaparelli attempt, the peer-reviewed post-flight reconstruction</w:t>
      </w:r>
      <w:r>
        <w:t xml:space="preserve"> </w:t>
      </w:r>
      <w:hyperlink w:anchor="ref-15">
        <w:r>
          <w:rPr>
            <w:rStyle w:val="Hyperlink"/>
          </w:rPr>
          <w:t xml:space="preserve">[15]</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Each row in the cross-body dataset records the mission, the body, the operating agency, the year, the count of the agency’s prior surface-landing attempts on any body, a binary indicator for whether the agency held any prior soft-landing success, the documented landed or descent-module mass in kilograms, and the binary EDL outcome. The outcome is coded one when the sequence delivered a surviving surface configuration that returned data and zero when the vehicle was lost during or immediately after descent. The rule admits no exceptions. As in the Mars dataset, the outcome follows the documented telemetry rather than the mission’s later reputation, and the same operational definition produces three loss codings for attempts that reached the surface or the atmosphere but never returned functional surface data: the Mars 3 lander, Beagle 2, and Venera 4 are all coded as losses under the delivered-landing definition. The contrast with the Mars-dataset coding of Mars 3 as a success is intentional and is dictated by the differing outcome definitions of the two papers; the Mars paper credits completion of the EDL sequence to a transmitting state, while the cross-body paper requires a delivered, data-returning surface configuration, and each rule is stated explicitly so the apparent discrepancy is a documented definitional choice rather than a coding error.</w:t>
      </w:r>
    </w:p>
    <w:p>
      <w:pPr>
        <w:pStyle w:val="BodyText"/>
        <w:spacing w:line="480" w:lineRule="auto"/>
        <w:ind w:firstLine="720"/>
      </w:pPr>
      <w:r>
        <w:t xml:space="preserve">Even the raw table foreshadows the estimate. The overall success rate across the thirty-seven attempts is 0.622. Among the nineteen attempts flown by an agency that already held prior soft-landing heritage, sixteen succeeded, a rate of 0.842, while among the eighteen first-of-class agency attempts only seven succeeded, a rate of 0.389. This raw cross-tabulation is reported as a transparency check on the modeled result rather than as the result itself, because the institutional heritage indicator must still be separated from raw experience and from landed mass before it can be interpreted.</w:t>
      </w:r>
    </w:p>
    <w:bookmarkEnd w:id="97"/>
    <w:bookmarkStart w:id="98" w:name="Xb0b3fd88a919ed35d876408e92364f7dacb670c"/>
    <w:p>
      <w:pPr>
        <w:pStyle w:val="Heading2"/>
        <w:spacing w:line="480" w:lineRule="auto"/>
      </w:pPr>
      <w:r>
        <w:t xml:space="preserve">4.7 Variable Construction in the Cross-Body Dataset</w:t>
      </w:r>
    </w:p>
    <w:p>
      <w:pPr>
        <w:pStyle w:val="FirstParagraph"/>
        <w:spacing w:line="480" w:lineRule="auto"/>
      </w:pPr>
      <w:r>
        <w:t xml:space="preserve">The covariate of interest in the cross-body dataset is the institutional heritage indicator, a binary variable set to one when the operating agency held any prior soft-landing success on any body at the time of the attempt and zero otherwise. The indicator is constructed by ordering each agency’s attempts chronologically and crediting heritage to an attempt only if a documented prior soft-landing success exists in the agency’s record before that attempt’s epoch. The crediting rule is realized-success heritage, not mere prior activity, which is what distinguishes the heritage indicator from the raw attempt count and what allows the model to ask whether it is success, rather than repetition, that carries forward.</w:t>
      </w:r>
    </w:p>
    <w:p>
      <w:pPr>
        <w:pStyle w:val="BodyText"/>
        <w:spacing w:line="480" w:lineRule="auto"/>
        <w:ind w:firstLine="720"/>
      </w:pPr>
      <w:r>
        <w:t xml:space="preserve">Two controls hold the obvious confounds fixed. The raw prior-attempt count records, for each attempt, the number of the agency’s previous surface-landing attempts on any body, regardless of their outcome. It is included because an agency can accumulate many tries without ever converting them into a success, so separating realized heritage from raw experience isolates the contribution of demonstrated prior survival. Landed mass is coded in kilograms from the documented landed or descent-module figure, and it enters because mass scales EDL difficulty and tends to grow as agencies attempt more ambitious missions, so an uncontrolled heritage effect could otherwise read mass</w:t>
      </w:r>
      <w:r>
        <w:t xml:space="preserve"> </w:t>
      </w:r>
      <w:hyperlink w:anchor="ref-18">
        <w:r>
          <w:rPr>
            <w:rStyle w:val="Hyperlink"/>
          </w:rPr>
          <w:t xml:space="preserve">[18]</w:t>
        </w:r>
      </w:hyperlink>
      <w:r>
        <w:t xml:space="preserve">. The institutional-heritage mechanism is grounded in the technology-maturation logic by which organizational capability accrues through repeated operational use rather than through single demonstrations</w:t>
      </w:r>
      <w:r>
        <w:t xml:space="preserve"> </w:t>
      </w:r>
      <w:hyperlink w:anchor="ref-20">
        <w:r>
          <w:rPr>
            <w:rStyle w:val="Hyperlink"/>
          </w:rPr>
          <w:t xml:space="preserve">[20]</w:t>
        </w:r>
      </w:hyperlink>
      <w:r>
        <w:t xml:space="preserve">, and the Schiaparelli case supplies the cautionary boundary, in which agency-level heritage coexisted with a first-of-class subsystem failure</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Two descent-mass entries in the cross-body dataset are explicitly flagged as illustrative, both for Vega descent modules where a precise landed figure could not be cleanly separated from the cruise stage. These two entries are well under fifteen percent of the thirty-seven-attempt sample, they are flagged in the source column of the dataset, and they affect neither the institutional heritage indicator nor the outcome coding. No other value in the dataset is illustrative, and every row carries an explicit source in its final column so that the coding is auditable end to end.</w:t>
      </w:r>
    </w:p>
    <w:bookmarkEnd w:id="98"/>
    <w:bookmarkStart w:id="99" w:name="X49fc1da99026da220eca1e6f3bffde50a0eb6f5"/>
    <w:p>
      <w:pPr>
        <w:pStyle w:val="Heading2"/>
        <w:spacing w:line="480" w:lineRule="auto"/>
      </w:pPr>
      <w:r>
        <w:t xml:space="preserve">4.8 Provenance, Auditability, and Reproducibility</w:t>
      </w:r>
    </w:p>
    <w:p>
      <w:pPr>
        <w:pStyle w:val="FirstParagraph"/>
        <w:spacing w:line="480" w:lineRule="auto"/>
      </w:pPr>
      <w:r>
        <w:t xml:space="preserve">Both datasets are governed by a single provenance discipline: every coded cell records the source from which it was drawn, and the full coded matrices are published with the dissertation. Every cell answers for itself. Mission identity, arrival epoch, operating agency, landed mass, and architecture description trace to the NSSDC per-mission records</w:t>
      </w:r>
      <w:r>
        <w:t xml:space="preserve"> </w:t>
      </w:r>
      <w:hyperlink w:anchor="ref-19">
        <w:r>
          <w:rPr>
            <w:rStyle w:val="Hyperlink"/>
          </w:rPr>
          <w:t xml:space="preserve">[19]</w:t>
        </w:r>
      </w:hyperlink>
      <w:r>
        <w:t xml:space="preserve"> </w:t>
      </w:r>
      <w:r>
        <w:t xml:space="preserve">and, in the cross-body dataset, to the consolidated landing summaries and mission press kits that supplement them. Outcome codings trace to those same records, adjudicated against the operational definition in the codebook, with the boundary cases of Mars 3, Beagle 2, and Venera 4 documented individually. The one attempt with flight-validated reconstruction, Schiaparelli, traces its failure mechanism to the peer-reviewed post-flight analysis and its measured-environment confirmation to the companion infrared radiometric reconstruction</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The ordinal covariates, decelerator class, guidance autonomy, and the subsystem lineage indicators, trace to the EDL-challenge and guidance literature against which they are graded</w:t>
      </w:r>
      <w:r>
        <w:t xml:space="preserve"> </w:t>
      </w:r>
      <w:hyperlink w:anchor="ref-18">
        <w:r>
          <w:rPr>
            <w:rStyle w:val="Hyperlink"/>
          </w:rPr>
          <w:t xml:space="preserve">[18]</w:t>
        </w:r>
      </w:hyperlink>
      <w:r>
        <w:t xml:space="preserve"> </w:t>
      </w:r>
      <w:hyperlink w:anchor="ref-29">
        <w:r>
          <w:rPr>
            <w:rStyle w:val="Hyperlink"/>
          </w:rPr>
          <w:t xml:space="preserve">[29]</w:t>
        </w:r>
      </w:hyperlink>
      <w:r>
        <w:t xml:space="preserve"> </w:t>
      </w:r>
      <w:hyperlink w:anchor="ref-30">
        <w:r>
          <w:rPr>
            <w:rStyle w:val="Hyperlink"/>
          </w:rPr>
          <w:t xml:space="preserve">[30]</w:t>
        </w:r>
      </w:hyperlink>
      <w:r>
        <w:t xml:space="preserve"> </w:t>
      </w:r>
      <w:hyperlink w:anchor="ref-31">
        <w:r>
          <w:rPr>
            <w:rStyle w:val="Hyperlink"/>
          </w:rPr>
          <w:t xml:space="preserve">[31]</w:t>
        </w:r>
      </w:hyperlink>
      <w:r>
        <w:t xml:space="preserve"> </w:t>
      </w:r>
      <w:hyperlink w:anchor="ref-35">
        <w:r>
          <w:rPr>
            <w:rStyle w:val="Hyperlink"/>
          </w:rPr>
          <w:t xml:space="preserve">[35]</w:t>
        </w:r>
      </w:hyperlink>
      <w:r>
        <w:t xml:space="preserve">.</w:t>
      </w:r>
    </w:p>
    <w:p>
      <w:pPr>
        <w:pStyle w:val="BodyText"/>
        <w:spacing w:line="480" w:lineRule="auto"/>
        <w:ind w:firstLine="720"/>
      </w:pPr>
      <w:r>
        <w:t xml:space="preserve">The reproducibility commitments are three. First, a written codebook fixes the operational definition of every variable, including the crediting rules for subsystem and institutional heritage and the adjudication of boundary outcomes, so that an independent coder can reconstruct the matrix from the same primary sources. Second, the heritage and autonomy codes, which require judgment, are subject to double-coding with disagreement adjudication, and the full coded matrix is published so the judgment is open to inspection. Third, because both populations are small, the empirical chapters report exact and bootstrap intervals and leave-one-mission-out refits, so that no single attempt silently drives a result and the sensitivity of every estimate to its most influential row is visible.</w:t>
      </w:r>
    </w:p>
    <w:bookmarkEnd w:id="99"/>
    <w:bookmarkStart w:id="100" w:name="limitations-of-the-data"/>
    <w:p>
      <w:pPr>
        <w:pStyle w:val="Heading2"/>
        <w:spacing w:line="480" w:lineRule="auto"/>
      </w:pPr>
      <w:r>
        <w:t xml:space="preserve">4.9 Limitations of the Data</w:t>
      </w:r>
    </w:p>
    <w:p>
      <w:pPr>
        <w:pStyle w:val="FirstParagraph"/>
        <w:spacing w:line="480" w:lineRule="auto"/>
      </w:pPr>
      <w:r>
        <w:t xml:space="preserve">Measurement limitations here are intrinsic to the question, and they are stated in advance so they can be carried into the analysis without surprise. The populations are small by nature rather than by sampling, nineteen Mars attempts and thirty-seven cross-body attempts, so power cannot be purchased with additional data until more landings occur, and the datasets describe the documented historical population rather than supporting forecasts. Coding subsystem and institutional lineage requires judgment that a written codebook and double-coding can discipline but not eliminate, and the strict binary outcome compresses partial failures, such as Beagle 2’s intact-but-non-deploying arrival, into a single bit, a compression that a secondary specification probes through alternative recodings of marginal outcomes</w:t>
      </w:r>
      <w:r>
        <w:t xml:space="preserve"> </w:t>
      </w:r>
      <w:hyperlink w:anchor="ref-29">
        <w:r>
          <w:rPr>
            <w:rStyle w:val="Hyperlink"/>
          </w:rPr>
          <w:t xml:space="preserve">[29]</w:t>
        </w:r>
      </w:hyperlink>
      <w:r>
        <w:t xml:space="preserve">. The cross-body dataset further buys statistical power by pooling three physically distinct EDL regimes, a thick Mars atmosphere, a lunar vacuum descent, and a crushing Venusian one, which imposes different failure modes and which a larger future dataset should test for body-specific effects</w:t>
      </w:r>
      <w:r>
        <w:t xml:space="preserve"> </w:t>
      </w:r>
      <w:hyperlink w:anchor="ref-17">
        <w:r>
          <w:rPr>
            <w:rStyle w:val="Hyperlink"/>
          </w:rPr>
          <w:t xml:space="preserve">[17]</w:t>
        </w:r>
      </w:hyperlink>
      <w:r>
        <w:t xml:space="preserve"> </w:t>
      </w:r>
      <w:hyperlink w:anchor="ref-33">
        <w:r>
          <w:rPr>
            <w:rStyle w:val="Hyperlink"/>
          </w:rPr>
          <w:t xml:space="preserve">[33]</w:t>
        </w:r>
      </w:hyperlink>
      <w:r>
        <w:t xml:space="preserve">. These are limitations of the available record, not defects of the coding. The dissertation frames its inferences accordingly.</w:t>
      </w:r>
    </w:p>
    <w:bookmarkEnd w:id="100"/>
    <w:bookmarkStart w:id="101" w:name="summary"/>
    <w:p>
      <w:pPr>
        <w:pStyle w:val="Heading2"/>
        <w:spacing w:line="480" w:lineRule="auto"/>
      </w:pPr>
      <w:r>
        <w:t xml:space="preserve">4.10 Summary</w:t>
      </w:r>
    </w:p>
    <w:p>
      <w:pPr>
        <w:pStyle w:val="FirstParagraph"/>
        <w:spacing w:line="480" w:lineRule="auto"/>
      </w:pPr>
      <w:r>
        <w:t xml:space="preserve">This chapter has specified the dissertation’s empirical foundation. The unit of analysis in both datasets is the EDL attempt, each attempt contributing one row whose outcome is coded from documented telemetry against an operational delivered-landing definition. The Mars dataset codes nineteen attempts with heritage resolved to three subsystems; the cross-body dataset codes thirty-seven attempts with heritage resolved to the operating institution. Both draw their mission-level facts from the NSSDC per-mission records</w:t>
      </w:r>
      <w:r>
        <w:t xml:space="preserve"> </w:t>
      </w:r>
      <w:hyperlink w:anchor="ref-19">
        <w:r>
          <w:rPr>
            <w:rStyle w:val="Hyperlink"/>
          </w:rPr>
          <w:t xml:space="preserve">[19]</w:t>
        </w:r>
      </w:hyperlink>
      <w:r>
        <w:t xml:space="preserve">, anchor their one flight-validated row in the peer-reviewed Schiaparelli reconstruction and its companion radiometric analysis</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 and construct their ordinal covariates against the EDL-challenge and guidance literature</w:t>
      </w:r>
      <w:r>
        <w:t xml:space="preserve"> </w:t>
      </w:r>
      <w:hyperlink w:anchor="ref-18">
        <w:r>
          <w:rPr>
            <w:rStyle w:val="Hyperlink"/>
          </w:rPr>
          <w:t xml:space="preserve">[18]</w:t>
        </w:r>
      </w:hyperlink>
      <w:r>
        <w:t xml:space="preserve"> </w:t>
      </w:r>
      <w:hyperlink w:anchor="ref-29">
        <w:r>
          <w:rPr>
            <w:rStyle w:val="Hyperlink"/>
          </w:rPr>
          <w:t xml:space="preserve">[29]</w:t>
        </w:r>
      </w:hyperlink>
      <w:r>
        <w:t xml:space="preserve"> </w:t>
      </w:r>
      <w:hyperlink w:anchor="ref-30">
        <w:r>
          <w:rPr>
            <w:rStyle w:val="Hyperlink"/>
          </w:rPr>
          <w:t xml:space="preserve">[30]</w:t>
        </w:r>
      </w:hyperlink>
      <w:r>
        <w:t xml:space="preserve"> </w:t>
      </w:r>
      <w:hyperlink w:anchor="ref-31">
        <w:r>
          <w:rPr>
            <w:rStyle w:val="Hyperlink"/>
          </w:rPr>
          <w:t xml:space="preserve">[31]</w:t>
        </w:r>
      </w:hyperlink>
      <w:r>
        <w:t xml:space="preserve"> </w:t>
      </w:r>
      <w:hyperlink w:anchor="ref-35">
        <w:r>
          <w:rPr>
            <w:rStyle w:val="Hyperlink"/>
          </w:rPr>
          <w:t xml:space="preserve">[35]</w:t>
        </w:r>
      </w:hyperlink>
      <w:r>
        <w:t xml:space="preserve">. Heritage is credited only on documented prior survival, every cell is sourced, and the small populations are met with exact intervals, bootstrap resampling, and leave-one-out refits. With the data and their measurement so specified, the analysis chapters that follow can read the historical record on both a survival-time and a binary-outcome axis without ambiguity about what each variable means or where it came from.</w:t>
      </w:r>
    </w:p>
    <w:bookmarkEnd w:id="101"/>
    <w:bookmarkEnd w:id="102"/>
    <w:bookmarkStart w:id="109"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carry the dissertation’s empirical claim, the identification strategy that licenses a causal reading of the heritage coefficient, and the threats to validity that bound how far that reading can travel. The chapter is deliberately ordered so that the estimator is introduced before the identification argument, and identification before the threats, because each layer constrains the next. The ordering carries weight. An estimator that is not matched to the structure of the data produces a number with no defensible interpretation; an identification strategy that is not matched to the estimator produces an interpretation with no defensible warrant; and a threats analysis that is not matched to both produces hedges that are decorative rather than disciplining. The governing commitment throughout is that the contribution is a single falsifiable estimate, decided by the sign and the precision of one coefficient, and every methodological choice is made to protect the integrity of that decision rather than to maximize the apparent strength of the result.</w:t>
      </w:r>
    </w:p>
    <w:bookmarkStart w:id="103" w:name="the-unit-of-analysis-and-the-outcome"/>
    <w:p>
      <w:pPr>
        <w:pStyle w:val="Heading2"/>
        <w:spacing w:line="480" w:lineRule="auto"/>
      </w:pPr>
      <w:r>
        <w:t xml:space="preserve">5.1 The unit of analysis and the outcome</w:t>
      </w:r>
    </w:p>
    <w:p>
      <w:pPr>
        <w:pStyle w:val="FirstParagraph"/>
        <w:spacing w:line="480" w:lineRule="auto"/>
      </w:pPr>
      <w:r>
        <w:t xml:space="preserve">Throughout, the unit of analysis is the entry, descent, and landing attempt, and each attempt is a discrete trial whose terminal state is binary: the vehicle either reaches a surviving, commanded surface configuration or it does not. There is no partial credit. This framing treats EDL as a single non-recoverable event rather than as a continuous process, which is faithful to the physics of the phase, where an aerodynamic decelerator, a guidance and control function, and a terminal landing mechanism are chained into a sequence that admits no ground intervention and no second attempt within a mission. The motivating anomaly that anchors the coding scheme, the ExoMars 2016 Schiaparelli demonstrator, is itself a case in which an otherwise heritage-derived entry sequence terminated at a single point in the descent logic, and the post-flight reconstruction documents the failure as a discrete event localized to the guidance stack rather than as a gradual degradation</w:t>
      </w:r>
      <w:r>
        <w:t xml:space="preserve"> </w:t>
      </w:r>
      <w:hyperlink w:anchor="ref-1">
        <w:r>
          <w:rPr>
            <w:rStyle w:val="Hyperlink"/>
          </w:rPr>
          <w:t xml:space="preserve">[1]</w:t>
        </w:r>
      </w:hyperlink>
      <w:r>
        <w:t xml:space="preserve">. The independent infrared radiometric reconstruction of the same entry confirms that the aerothermal environment was within the reconstructed envelope, which sharpens the case for treating the outcome as a clean binary attributable to a subsystem rather than to a diffuse vehicle-level condition</w:t>
      </w:r>
      <w:r>
        <w:t xml:space="preserve"> </w:t>
      </w:r>
      <w:hyperlink w:anchor="ref-2">
        <w:r>
          <w:rPr>
            <w:rStyle w:val="Hyperlink"/>
          </w:rPr>
          <w:t xml:space="preserve">[2]</w:t>
        </w:r>
      </w:hyperlink>
      <w:r>
        <w:t xml:space="preserve">.</w:t>
      </w:r>
    </w:p>
    <w:p>
      <w:pPr>
        <w:pStyle w:val="BodyText"/>
        <w:spacing w:line="480" w:lineRule="auto"/>
        <w:ind w:firstLine="720"/>
      </w:pPr>
      <w:r>
        <w:t xml:space="preserve">The strict binary is the primary outcome definition. An attempt is coded a success when the vehicle delivers a surviving, transmitting surface configuration, and a failure otherwise. Two coding decisions illustrate the discipline this imposes. A vehicle that reaches the surface but does not deploy into a functional configuration is a failure, because the operational criterion is a delivered landing and not mere arrival at the ground. A vehicle that survives EDL to a landed, transmitting state is a success even if surface transmission ceases shortly afterward, because the question under study is the survival of the EDL sequence and not the longevity of the surface mission. These rules are stated in advance, applied uniformly, and recorded against their sources, so that the boundary cases do not become discretionary levers on the result.</w:t>
      </w:r>
    </w:p>
    <w:bookmarkEnd w:id="103"/>
    <w:bookmarkStart w:id="104" w:name="the-estimators"/>
    <w:p>
      <w:pPr>
        <w:pStyle w:val="Heading2"/>
        <w:spacing w:line="480" w:lineRule="auto"/>
      </w:pPr>
      <w:r>
        <w:t xml:space="preserve">5.2 The estimators</w:t>
      </w:r>
    </w:p>
    <w:p>
      <w:pPr>
        <w:pStyle w:val="FirstParagraph"/>
        <w:spacing w:line="480" w:lineRule="auto"/>
      </w:pPr>
      <w:r>
        <w:t xml:space="preserve">The dissertation uses two estimators on the same underlying record, chosen to read the heritage question from two complementary directions while remaining mutually consistent. The first is a discrete-time hazard model of EDL failure, specified with a complementary log-log link. In the binary single-event setting that governs every EDL attempt, where each trial resolves once and the hazard is evaluated at the single decision point of the descent, the complementary log-log hazard is equivalent to a generalized linear model of the failure indicator and returns the change in the log-hazard of failure per unit of subsystem heritage, holding the controls fixed. The second is a logistic regression of the binary success indicator on the same covariate structure, fit by maximum likelihood, which returns the change in the log-odds of survival per additional heritage-carrying subsystem. The two are not redundant. The hazard framing places the dissertation’s claim on a survival-time axis and is the natural form in which to express the proportional-hazards intuition that heritage shifts the instantaneous risk of the descent, while the logit framing places the same claim on an odds axis that is directly interpretable for program assessment, where a sponsor weighs the survival odds of a heritage-rich configuration against those of a first-of-class one.</w:t>
      </w:r>
    </w:p>
    <w:p>
      <w:pPr>
        <w:pStyle w:val="BodyText"/>
        <w:spacing w:line="480" w:lineRule="auto"/>
        <w:ind w:firstLine="720"/>
      </w:pPr>
      <w:r>
        <w:t xml:space="preserve">The estimators are deliberately parsimonious. The covariate set is held to the heritage variable of interest and a small number of confounds that are known on physical grounds to co-move with both heritage and difficulty, namely decelerator class, guidance autonomy, and landed mass. This parsimony is not a stylistic preference but a binding consequence of the population size. With a population on the order of a dozen-plus Mars attempts in the strictest specification, and on the order of several dozen attempts when the analysis is widened to additional bodies, the degrees of freedom available will not support a richly parameterized model without overfitting, and an overfit model would manufacture precision that the record cannot honestly supply. The estimator therefore carries exactly the controls the identification argument requires and no more, and the chapter is explicit that this is a constraint imposed by the data rather than a claim that no other confounds exist.</w:t>
      </w:r>
    </w:p>
    <w:p>
      <w:pPr>
        <w:pStyle w:val="BodyText"/>
        <w:spacing w:line="480" w:lineRule="auto"/>
        <w:ind w:firstLine="720"/>
      </w:pPr>
      <w:r>
        <w:t xml:space="preserve">The heritage variable is the design choice that distinguishes these estimators from the vehicle-level intuition they are built to test. Heritage is operationalized per subsystem, not per vehicle. Three subsystem heritage indicators are coded: the lineage of the aerodynamic decelerator, the lineage of the descent guidance-and-control stack, and the lineage of the terminal landing mechanism. Each indicator records whether that subsystem’s specific architecture had previously survived a Mars EDL attempt, and the index credits a subsystem only when its own architecture, not merely the vehicle that carried it, had a clean prior survival. A first-of-kind terminal mechanism therefore scores zero on the landing subsystem even when the vehicle is otherwise sophisticated, which is the coding rule that allows the model to distinguish vehicle heritage from subsystem heritage. The Schiaparelli reconstruction motivates this decomposition directly, since its entry aerothermal heritage and its descent-control logic carried different effective heritage and produced a failure localized to the latter</w:t>
      </w:r>
      <w:r>
        <w:t xml:space="preserve"> </w:t>
      </w:r>
      <w:hyperlink w:anchor="ref-1">
        <w:r>
          <w:rPr>
            <w:rStyle w:val="Hyperlink"/>
          </w:rPr>
          <w:t xml:space="preserve">[1]</w:t>
        </w:r>
      </w:hyperlink>
      <w:r>
        <w:t xml:space="preserve"> </w:t>
      </w:r>
      <w:hyperlink w:anchor="ref-2">
        <w:r>
          <w:rPr>
            <w:rStyle w:val="Hyperlink"/>
          </w:rPr>
          <w:t xml:space="preserve">[2]</w:t>
        </w:r>
      </w:hyperlink>
      <w:r>
        <w:t xml:space="preserve">. Guidance autonomy is graded as an ordered control so that the heritage coefficient is not silently absorbing improvements in control authority: the grades run from open-loop reference-trajectory tracking</w:t>
      </w:r>
      <w:r>
        <w:t xml:space="preserve"> </w:t>
      </w:r>
      <w:hyperlink w:anchor="ref-6">
        <w:r>
          <w:rPr>
            <w:rStyle w:val="Hyperlink"/>
          </w:rPr>
          <w:t xml:space="preserve">[6]</w:t>
        </w:r>
      </w:hyperlink>
      <w:r>
        <w:t xml:space="preserve">, through closed-loop integrated entry-and-descent control</w:t>
      </w:r>
      <w:r>
        <w:t xml:space="preserve"> </w:t>
      </w:r>
      <w:hyperlink w:anchor="ref-8">
        <w:r>
          <w:rPr>
            <w:rStyle w:val="Hyperlink"/>
          </w:rPr>
          <w:t xml:space="preserve">[8]</w:t>
        </w:r>
      </w:hyperlink>
      <w:r>
        <w:t xml:space="preserve">, to onboard fuel-optimal powered-descent guidance</w:t>
      </w:r>
      <w:r>
        <w:t xml:space="preserve"> </w:t>
      </w:r>
      <w:hyperlink w:anchor="ref-9">
        <w:r>
          <w:rPr>
            <w:rStyle w:val="Hyperlink"/>
          </w:rPr>
          <w:t xml:space="preserve">[9]</w:t>
        </w:r>
      </w:hyperlink>
      <w:r>
        <w:t xml:space="preserve">, with pinpoint-landing control</w:t>
      </w:r>
      <w:r>
        <w:t xml:space="preserve"> </w:t>
      </w:r>
      <w:hyperlink w:anchor="ref-10">
        <w:r>
          <w:rPr>
            <w:rStyle w:val="Hyperlink"/>
          </w:rPr>
          <w:t xml:space="preserve">[10]</w:t>
        </w:r>
      </w:hyperlink>
      <w:r>
        <w:t xml:space="preserve"> </w:t>
      </w:r>
      <w:r>
        <w:t xml:space="preserve">and the enabling-technology taxonomy for national lander guidance</w:t>
      </w:r>
      <w:r>
        <w:t xml:space="preserve"> </w:t>
      </w:r>
      <w:hyperlink w:anchor="ref-7">
        <w:r>
          <w:rPr>
            <w:rStyle w:val="Hyperlink"/>
          </w:rPr>
          <w:t xml:space="preserve">[7]</w:t>
        </w:r>
      </w:hyperlink>
      <w:r>
        <w:t xml:space="preserve"> </w:t>
      </w:r>
      <w:r>
        <w:t xml:space="preserve">used to calibrate the intermediate grades.</w:t>
      </w:r>
    </w:p>
    <w:p>
      <w:pPr>
        <w:pStyle w:val="BodyText"/>
        <w:spacing w:line="480" w:lineRule="auto"/>
        <w:ind w:firstLine="720"/>
      </w:pPr>
      <w:r>
        <w:t xml:space="preserve">Decelerator class and landed mass enter as the standard physical confounds that scale EDL difficulty.</w:t>
      </w:r>
    </w:p>
    <w:p>
      <w:pPr>
        <w:pStyle w:val="BodyText"/>
        <w:spacing w:line="480" w:lineRule="auto"/>
        <w:ind w:firstLine="720"/>
      </w:pPr>
      <w:r>
        <w:t xml:space="preserve">Reporting follows the same discipline. Coefficients are reported on their native scale, the log-hazard for the complementary log-log model and the log-odds for the logit, together with their exponentiated counterparts, standard errors, z statistics, p-values, and confidence intervals.</w:t>
      </w:r>
    </w:p>
    <w:p>
      <w:pPr>
        <w:pStyle w:val="BodyText"/>
        <w:spacing w:line="480" w:lineRule="auto"/>
        <w:ind w:firstLine="720"/>
      </w:pPr>
      <w:r>
        <w:t xml:space="preserve">Because the population is small, p-values are read as descriptive of the strength of evidence rather than as thresholds to be crossed, and the discussion weighs the sign and magnitude of the heritage coefficient alongside its uncertainty rather than collapsing the result to a binary verdict of significance. Model fit is summarized by the log-likelihood and the McFadden pseudo-R-squared, which are reported for transparency and not used to adjudicate the hypothesis.</w:t>
      </w:r>
    </w:p>
    <w:bookmarkEnd w:id="104"/>
    <w:bookmarkStart w:id="105" w:name="the-identification-strategy"/>
    <w:p>
      <w:pPr>
        <w:pStyle w:val="Heading2"/>
        <w:spacing w:line="480" w:lineRule="auto"/>
      </w:pPr>
      <w:r>
        <w:t xml:space="preserve">5.3 The identification strategy</w:t>
      </w:r>
    </w:p>
    <w:p>
      <w:pPr>
        <w:pStyle w:val="FirstParagraph"/>
        <w:spacing w:line="480" w:lineRule="auto"/>
      </w:pPr>
      <w:r>
        <w:t xml:space="preserve">Identification rests on within-control comparison. The estimand is the marginal association between subsystem heritage and EDL outcome among attempts of comparable decelerator class, guidance-autonomy grade, and landed mass. The substantive question is whether, holding those three physical and control-authority confounds fixed, attempts whose subsystems carry genuine prior Mars survival fail less often than attempts whose subsystems do not. The controls are not incidental adjustments; each is included because there is a documented mechanism by which it would otherwise contaminate the heritage coefficient. Landed mass enters because heavier landers demand more capable decelerators and terminal systems, so without it the heritage coefficient would absorb the mass-scaling of difficulty. Guidance autonomy enters because guided, actively controlled descents became common in the same era in which mature heritage accumulated, so without it heritage would proxy for autonomy. Decelerator class enters because the physical regime of deceleration co-varies with both the difficulty of the attempt and the heritage available to it, and with all three present the heritage coefficient isolates the marginal value of prior subsystem survival rather than the value of being a heavier, more autonomous, or differently decelerated vehicle.</w:t>
      </w:r>
    </w:p>
    <w:p>
      <w:pPr>
        <w:pStyle w:val="BodyText"/>
        <w:spacing w:line="480" w:lineRule="auto"/>
        <w:ind w:firstLine="720"/>
      </w:pPr>
      <w:r>
        <w:t xml:space="preserve">Pre-registration is the second pillar of identification. The sign of the heritage coefficient is the decision criterion, and it is fixed before the coefficient is estimated. Under the null, the per-subsystem heritage index has no association with EDL hazard once the controls enter, and the estimated coefficient is statistically indistinguishable from the no-effect value. Under the alternative, higher subsystem heritage is associated with lower failure hazard, equivalently higher survival odds, and the coefficient is signed in the direction the heritage heuristic predicts and is distinguishable from no effect. By committing to the sign in advance, the analysis forecloses the post hoc reinterpretation of an unexpected sign as a discovery, and the contribution remains falsifiable by its own coefficient. A null or wrong-signed estimate is reported as a failure to support the field’s reliability-through-heritage heuristic, not reframed into a confirmatory story.</w:t>
      </w:r>
    </w:p>
    <w:p>
      <w:pPr>
        <w:pStyle w:val="BodyText"/>
        <w:spacing w:line="480" w:lineRule="auto"/>
        <w:ind w:firstLine="720"/>
      </w:pPr>
      <w:r>
        <w:t xml:space="preserve">The third pillar is robustness to single observations. Because the population of attempts is small, any one mission could in principle drive the result, and the Schiaparelli case in particular, as the motivating anomaly, must not be permitted to over-determine the estimate it inspired. The analysis therefore performs leave-one-mission-out refits, dropping each attempt in turn and re-estimating, to confirm that the sign and approximate magnitude of the heritage coefficient survive the removal of any single attempt. Schiaparelli enters the data as a low-heritage failure consistent with the hypothesis, but one attempt cannot be allowed to carry a population result, and the leave-one-out procedure is the guard that makes this explicit</w:t>
      </w:r>
      <w:r>
        <w:t xml:space="preserve"> </w:t>
      </w:r>
      <w:hyperlink w:anchor="ref-1">
        <w:r>
          <w:rPr>
            <w:rStyle w:val="Hyperlink"/>
          </w:rPr>
          <w:t xml:space="preserve">[1]</w:t>
        </w:r>
      </w:hyperlink>
      <w:r>
        <w:t xml:space="preserve">. Inference on the small population uses exact and bootstrap confidence intervals rather than relying on large-sample asymptotics, since the asymptotic approximations that justify ordinary standard errors are not credible at this sample size, and the bootstrap intervals are reported as the honest expression of the uncertainty the record can support.</w:t>
      </w:r>
    </w:p>
    <w:p>
      <w:pPr>
        <w:pStyle w:val="BodyText"/>
        <w:spacing w:line="480" w:lineRule="auto"/>
        <w:ind w:firstLine="720"/>
      </w:pPr>
      <w:r>
        <w:t xml:space="preserve">The population framing is itself part of the identification logic and deserves to be stated plainly. The dataset is not a sample drawn from a larger frame; it is the complete enumerated population of documented Mars EDL attempts, and in the cross-body extension the complete population of documented robotic surface-landing attempts across the bodies considered. This has two consequences. It means the estimand is a description of the historical record rather than an inference to a super-population, which is the correct frame for a question about whether heritage has in fact lowered hazard in the events that have occurred. And it means that statistical power cannot be improved by sampling more; it can only be improved as more landings are flown. The chapter treats this not as a limitation to be apologized for but as the defining feature of the question, and the inference is calibrated accordingly.</w:t>
      </w:r>
    </w:p>
    <w:bookmarkEnd w:id="105"/>
    <w:bookmarkStart w:id="106" w:name="threats-to-validity-and-their-bounds"/>
    <w:p>
      <w:pPr>
        <w:pStyle w:val="Heading2"/>
        <w:spacing w:line="480" w:lineRule="auto"/>
      </w:pPr>
      <w:r>
        <w:t xml:space="preserve">5.4 Threats to validity and their bounds</w:t>
      </w:r>
    </w:p>
    <w:p>
      <w:pPr>
        <w:pStyle w:val="FirstParagraph"/>
        <w:spacing w:line="480" w:lineRule="auto"/>
      </w:pPr>
      <w:r>
        <w:t xml:space="preserve">The credibility of the estimate depends on confronting the threats to validity directly and bounding each rather than gesturing at it. Five threats are material, and each is paired with a specific mitigation and an honest statement of the residual that the mitigation does not remove.</w:t>
      </w:r>
    </w:p>
    <w:p>
      <w:pPr>
        <w:pStyle w:val="BodyText"/>
        <w:spacing w:line="480" w:lineRule="auto"/>
        <w:ind w:firstLine="720"/>
      </w:pPr>
      <w:r>
        <w:t xml:space="preserve">The first threat is the small sample. The population of Mars EDL attempts is small by nature, and the heritage coefficient is correspondingly sensitive to single observations and limited in power. The mitigation is the combination already described: pre-registration of the decision rule, exact and bootstrap confidence intervals in place of asymptotic ones, and leave-one-mission-out refits. The residual that no mitigation can remove is that a null result cannot be read as evidence of no effect, because the population may simply be too small to distinguish a real effect from zero. The dissertation reports statistical power explicitly and does not convert an inability to reject the null into a claim that heritage does not matter. This is the single most important discipline in the chapter, because the temptation to over-read a wide interval in either direction is the failure mode most likely to corrupt the contribution.</w:t>
      </w:r>
    </w:p>
    <w:p>
      <w:pPr>
        <w:pStyle w:val="BodyText"/>
        <w:spacing w:line="480" w:lineRule="auto"/>
        <w:ind w:firstLine="720"/>
      </w:pPr>
      <w:r>
        <w:t xml:space="preserve">The second threat is heritage-difficulty confounding. Heritage is not assigned at random; it may be deployed preferentially on harder missions, which would bias the coefficient toward zero, or on easier ones, which would bias it negative and produce a spurious appearance of benefit. Holding decelerator class, guidance autonomy, and landed mass fixed addresses the principal physical confounds</w:t>
      </w:r>
      <w:r>
        <w:t xml:space="preserve"> </w:t>
      </w:r>
      <w:hyperlink w:anchor="ref-13">
        <w:r>
          <w:rPr>
            <w:rStyle w:val="Hyperlink"/>
          </w:rPr>
          <w:t xml:space="preserve">[13]</w:t>
        </w:r>
      </w:hyperlink>
      <w:r>
        <w:t xml:space="preserve">, but residual confounding by site hazard or program maturity remains, because these move with heritage and are not fully captured by the three controls. The mitigation is a sensitivity analysis that adds a coarse site-difficulty proxy and tests whether the heritage coefficient survives its inclusion. The residual is that a coarse proxy cannot capture every dimension of difficulty, and the chapter is explicit that the within-control comparison bounds rather than eliminates this threat.</w:t>
      </w:r>
    </w:p>
    <w:p>
      <w:pPr>
        <w:pStyle w:val="BodyText"/>
        <w:spacing w:line="480" w:lineRule="auto"/>
        <w:ind w:firstLine="720"/>
      </w:pPr>
      <w:r>
        <w:t xml:space="preserve">A third threat is coding subjectivity. Grading subsystem lineage and autonomy level requires judgment, and the very discrimination the study depends upon, between vehicle heritage and subsystem heritage, is the place where judgment is most consequential. The Schiaparelli case is the proof that the two can diverge, and the coding must capture that divergence reliably rather than collapsing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mitigation is a written codebook that fixes the rules in advance, double-coding of every attempt by independent coders, adjudication of disagreements against the documented record, and publication of the full coded matrix so that the coding is auditable and reproducible. The residual is that adjudication cannot manufacture certainty where the historical record is itself ambiguous, and the published matrix is offered precisely so that a skeptical reader can re-examine any contested cell.</w:t>
      </w:r>
    </w:p>
    <w:p>
      <w:pPr>
        <w:pStyle w:val="BodyText"/>
        <w:spacing w:line="480" w:lineRule="auto"/>
        <w:ind w:firstLine="720"/>
      </w:pPr>
      <w:r>
        <w:t xml:space="preserve">A fourth threat concerns the outcome definition. Some attempts fail late or achieve degraded landings, and the strict binary compresses these into a single bit that may obscure information. The mitigation is a secondary specification that recodes the marginal outcomes and tests whether the heritage coefficient is sensitive to the recoding, drawing the boundary cases from terminal-phase functions such as hazard detection and landing-mechanism behavior</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The residual is that any binary definition makes a choice at the margin, and the chapter reports the primary strict-binary result as the headline while presenting the recoded specification as a transparency check rather than as a competing estimate.</w:t>
      </w:r>
    </w:p>
    <w:p>
      <w:pPr>
        <w:pStyle w:val="BodyText"/>
        <w:spacing w:line="480" w:lineRule="auto"/>
        <w:ind w:firstLine="720"/>
      </w:pPr>
      <w:r>
        <w:t xml:space="preserve">The fifth threat is external validity to future architectures. The estimate describes the historical record, and the regime that motivates the question in the first place, standardized, mass-produced, low-cost Mars delivery, is precisely the regime in which no historical attempts yet exist. Whether the coefficient extrapolates to that regime is the open question the estimate informs but cannot settle, because the space-economy reliability arguments that presume repeatable low-cost arrival are claims about a future population rather than the observed one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mitigation is framing discipline: the dissertation states its inference as a description of the documented past and explicitly declines to forecast the heritage premium for an architecture class that has not flown. The residual is irreducible, since no analysis of past attempts can certify a future regime, and the chapter treats the coefficient as a price the historical record begins to set rather than one it finishes setting.</w:t>
      </w:r>
    </w:p>
    <w:bookmarkEnd w:id="106"/>
    <w:bookmarkStart w:id="107" w:name="why-the-two-estimators-are-run-together"/>
    <w:p>
      <w:pPr>
        <w:pStyle w:val="Heading2"/>
        <w:spacing w:line="480" w:lineRule="auto"/>
      </w:pPr>
      <w:r>
        <w:t xml:space="preserve">5.5 Why the two estimators are run together</w:t>
      </w:r>
    </w:p>
    <w:p>
      <w:pPr>
        <w:pStyle w:val="FirstParagraph"/>
        <w:spacing w:line="480" w:lineRule="auto"/>
      </w:pPr>
      <w:r>
        <w:t xml:space="preserve">The dissertation runs the hazard model and the logit model on the same record rather than choosing one, and the rationale belongs in the methods chapter because it is a claim about identification and not merely about presentation. The two estimators answer the same substantive question from two axes, the survival-time axis and the odds axis, and their agreement is itself a robustness result. If the heritage coefficient is signed consistently and is of comparable magnitude across the complementary log-log hazard and the logistic specifications, that consistency is evidence that the result is a property of the record rather than an artifact of a particular link function or a particular framing of the outcome. If the two disagree, the disagreement is diagnostic. It is reported, not suppressed in favor of the more flattering specification. The companion analyses extend the same logic across the choice of population, with one specification confined to the strict Mars population and per-subsystem heritage, and another widened across additional bodies with heritage measured at the institutional level, so that the reader can see how the estimand moves as the frame is widened and the heritage construct is coarsened. The convergence or divergence of these specifications is part of the evidence, and the methods chapter commits in advance to reporting all of them rather than the single most favorable one.</w:t>
      </w:r>
    </w:p>
    <w:bookmarkEnd w:id="107"/>
    <w:bookmarkStart w:id="108" w:name="summary-1"/>
    <w:p>
      <w:pPr>
        <w:pStyle w:val="Heading2"/>
        <w:spacing w:line="480" w:lineRule="auto"/>
      </w:pPr>
      <w:r>
        <w:t xml:space="preserve">5.6 Summary</w:t>
      </w:r>
    </w:p>
    <w:p>
      <w:pPr>
        <w:pStyle w:val="FirstParagraph"/>
        <w:spacing w:line="480" w:lineRule="auto"/>
      </w:pPr>
      <w:r>
        <w:t xml:space="preserve">One discipline governs the methods of this dissertation. Every choice is made to protect the falsifiability of one coefficient. The estimators are a complementary log-log hazard model and a logistic regression, parsimonious by necessity, carrying the per-subsystem heritage index as the variable of interest and decelerator class, guidance autonomy, and landed mass as the confounds that the identification argument requires. Identification rests on within-control comparison, on the pre-registration of the coefficient sign as the decision rule, on leave-one-mission-out robustness, and on the recognition that the data are a complete population rather than a sample. The threats to validity, small sample, heritage-difficulty confounding, coding subjectivity, the outcome definition, and external validity, are each bounded by a specific mitigation and accompanied by an honest statement of the residual that the mitigation leaves in place. The result is a properly specified and properly hedged first estimate of whether subsystem heritage lowers EDL hazard once the physical and control confounds are held fixed, an estimate designed to be refuted by its own sign and to be sharpened, not overturned in principle, by every future arrival.</w:t>
      </w:r>
    </w:p>
    <w:bookmarkEnd w:id="108"/>
    <w:bookmarkEnd w:id="109"/>
    <w:bookmarkStart w:id="122"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dissertation. Two estimators are reported. The first, developed in Paper 1, regresses the binary entry, descent, and landing (EDL) outcome of the full population of documented robotic Mars landing attempts on a per-subsystem heritage index, holding landed mass and guidance autonomy fixed. The second, developed in Paper 2, broadens the frame to the cross-body record of robotic surface-landing attempts on Mars, the Moon, and Venus, and tests whether heritage measured at the institutional level, rather than at the subsystem level, shifts the odds of a soft landing once raw attempt count and landed mass are controlled. The two models read the same underlying historical ledger from two deliberately different resolutions, and the chapter treats them as complementary rather than competing. Throughout, the discussion reports coefficients on the log-odds scale with their standard errors and p-values, exponentiates them into odds ratios where that aids interpretation, and reads every estimate against the size of the population that produced it.</w:t>
      </w:r>
    </w:p>
    <w:p>
      <w:pPr>
        <w:pStyle w:val="BodyText"/>
        <w:spacing w:line="480" w:lineRule="auto"/>
        <w:ind w:firstLine="720"/>
      </w:pPr>
      <w:r>
        <w:t xml:space="preserve">Appendix A reproduces the tables, the coded data matrix, the model formulas, and the descriptive cross-tabulations. This chapter states the numbers and explains what they mean.</w:t>
      </w:r>
    </w:p>
    <w:p>
      <w:pPr>
        <w:pStyle w:val="BodyText"/>
        <w:spacing w:line="480" w:lineRule="auto"/>
        <w:ind w:firstLine="720"/>
      </w:pPr>
      <w:r>
        <w:t xml:space="preserve">A single interpretive discipline governs the entire chapter. It should be stated at the outset. Both estimators are fit on the documented population of attempts, not on a sample drawn from a larger universe. There were nineteen robotic Mars EDL attempts available to Paper 1 and thirty-seven cross-body attempts available to Paper 2, because those are the numbers of attempts that have occurred. Consequently the p-values are read here as descriptions of the strength of the evidence rather than as gatekeeping thresholds against a hypothetical resampling distribution, and the confidence intervals are read as honest statements of how much the historical record constrains the coefficient, not as forecasts. This posture is not a hedge adopted after the fact; it is the only defensible stance for a regression run on a complete and irreproducible population, and it shapes how each finding below is reported.</w:t>
      </w:r>
    </w:p>
    <w:bookmarkStart w:id="114" w:name="the-mars-subsystem-heritage-model"/>
    <w:p>
      <w:pPr>
        <w:pStyle w:val="Heading2"/>
        <w:spacing w:line="480" w:lineRule="auto"/>
      </w:pPr>
      <w:r>
        <w:t xml:space="preserve">6.1 The Mars subsystem-heritage model</w:t>
      </w:r>
    </w:p>
    <w:p>
      <w:pPr>
        <w:pStyle w:val="FirstParagraph"/>
        <w:spacing w:line="480" w:lineRule="auto"/>
      </w:pPr>
      <w:r>
        <w:t xml:space="preserve">Paper 1 fits a logistic regression of the binary EDL-success indicator on three covariates: the per-subsystem heritage index, landed mass in kilograms, and a guidance-autonomy indicator. The model is estimated by maximum likelihood on the full population of nineteen documented robotic Mars landing attempts, spanning the first Soviet descent modules of 1971 through the 2021 arrivals of Perseverance and Tianwen-1’s Zhurong rover. Of those nineteen attempts, eleven survived EDL to a functional landed configuration and eight did not. That split gives the model its outcome variation. Two of the coding decisions that produced this split are worth restating because they discipline the rest of the analysis: Beagle 2 is coded as a failure because it reached the surface but never deployed into a functional, communicating configuration, while Mars 3 is coded as a success because it survived EDL to a landed and transmitting state even though that transmission ceased after roughly fourteen seconds. The heritage index credits a subsystem only when its specific architecture had a clean prior Mars survival, so a first-of-kind terminal system such as the Curiosity sky-crane scores zero on the landing subsystem despite the manifest sophistication of the vehicle that carried it.</w:t>
      </w:r>
    </w:p>
    <w:bookmarkStart w:id="110" w:name="model-fit"/>
    <w:p>
      <w:pPr>
        <w:pStyle w:val="Heading3"/>
        <w:spacing w:line="480" w:lineRule="auto"/>
      </w:pPr>
      <w:r>
        <w:t xml:space="preserve">Model fit</w:t>
      </w:r>
    </w:p>
    <w:p>
      <w:pPr>
        <w:pStyle w:val="FirstParagraph"/>
        <w:spacing w:line="480" w:lineRule="auto"/>
      </w:pPr>
      <w:r>
        <w:t xml:space="preserve">The model fits the nineteen attempts with a McFadden pseudo-R-squared of 0.327 and a log-likelihood of -8.706. For a population this small, that is respectable. McFadden’s pseudo-R-squared does not carry the proportion-of-variance-explained interpretation of an ordinary least-squares R-squared, and values in the 0.2 to 0.4 range are conventionally regarded as indicating a model that captures a substantial share of the explainable structure in the outcome. A pseudo-R-squared of 0.327 therefore says that the three covariates jointly organize a meaningful fraction of the difference between the surviving and the failing attempts, and the log-likelihood of -8.706 anchors that fit on a population in which random guessing would do considerably worse. The fit statistic is reported here as a property of the model as a whole; the substantive question, whether heritage in particular is doing the work, is answered by the individual coefficients.</w:t>
      </w:r>
    </w:p>
    <w:bookmarkEnd w:id="110"/>
    <w:bookmarkStart w:id="111" w:name="the-heritage-coefficient"/>
    <w:p>
      <w:pPr>
        <w:pStyle w:val="Heading3"/>
        <w:spacing w:line="480" w:lineRule="auto"/>
      </w:pPr>
      <w:r>
        <w:t xml:space="preserve">The heritage coefficient</w:t>
      </w:r>
    </w:p>
    <w:p>
      <w:pPr>
        <w:pStyle w:val="FirstParagraph"/>
        <w:spacing w:line="480" w:lineRule="auto"/>
      </w:pPr>
      <w:r>
        <w:t xml:space="preserve">The coefficient of interest is the one on the per-subsystem heritage index, and it is estimated at 0.808 with a standard error of 0.628, a z statistic of approximately 1.29, and a p-value of 0.198. The sign is positive, which is the direction the reliability-through-heritage heuristic predicts. Exponentiating the coefficient yields an odds ratio of approximately 2.24, so the point estimate says that each additional subsystem carrying genuine prior Mars heritage roughly doubles the odds of surviving EDL, holding landed mass and guidance autonomy fixed.</w:t>
      </w:r>
    </w:p>
    <w:p>
      <w:pPr>
        <w:pStyle w:val="BodyText"/>
        <w:spacing w:line="480" w:lineRule="auto"/>
        <w:ind w:firstLine="720"/>
      </w:pPr>
      <w:r>
        <w:t xml:space="preserve">This is not a trivial magnitude.</w:t>
      </w:r>
    </w:p>
    <w:p>
      <w:pPr>
        <w:pStyle w:val="BodyText"/>
        <w:spacing w:line="480" w:lineRule="auto"/>
        <w:ind w:firstLine="720"/>
      </w:pPr>
      <w:r>
        <w:t xml:space="preserve">A doubling of survival odds per heritage-carrying subsystem is precisely the kind of consequential effect that the field’s intuition has always asserted, and Paper 1 is the first place in this literature where that intuition is written as a coefficient with explicit controls rather than asserted as engineering common sense.</w:t>
      </w:r>
    </w:p>
    <w:p>
      <w:pPr>
        <w:pStyle w:val="BodyText"/>
        <w:spacing w:line="480" w:lineRule="auto"/>
        <w:ind w:firstLine="720"/>
      </w:pPr>
      <w:r>
        <w:t xml:space="preserve">Uncertainty around that point estimate is wide, however. The chapter does not disguise it. The standard error of 0.628 is large relative to the coefficient of 0.808, which is why the p-value sits at 0.198 and the estimate is not statistically distinguishable from zero at conventional levels. Translated onto the odds-ratio scale, the ninety-five percent confidence interval for the heritage effect runs from approximately 0.66 to 7.68. That interval includes one, the value at which heritage would have no effect on the odds of survival, and it extends well above two on the high side. The honest reading of this interval is that the population of nineteen attempts is consistent with heritage having no effect, with heritage roughly doubling the odds, and with heritage multiplying the odds nearly eightfold; the data cannot adjudicate among those possibilities. The point estimate supports the heritage heuristic in both sign and magnitude, but the interval declines to confirm it, and a population of nineteen attempts with eight failures is exactly the kind of evidentiary base that produces a strong point estimate wrapped in a wide interval.</w:t>
      </w:r>
    </w:p>
    <w:p>
      <w:pPr>
        <w:pStyle w:val="BodyText"/>
        <w:spacing w:line="480" w:lineRule="auto"/>
        <w:ind w:firstLine="720"/>
      </w:pPr>
      <w:r>
        <w:t xml:space="preserve">The relationship between H0 and H1 for this paper turns precisely on this distinction. H0 held that, conditional on landed mass and guidance autonomy, the per-subsystem heritage index has no association with the log-odds of surviving Mars EDL; H1 held that the association is positive. The estimate of 0.808 with a p-value of 0.198 does not reject H0 at conventional significance, and the dissertation is careful not to convert an inability to reject the null into an affirmative claim of no effect. The two are different scientific statements. The evidence here points in the direction of H1 at a magnitude that would matter operationally, but it does not clear the bar that would let the dissertation declare H1 established. That is the correct result for this population. The chapter reports it plainly.</w:t>
      </w:r>
    </w:p>
    <w:bookmarkEnd w:id="111"/>
    <w:bookmarkStart w:id="112" w:name="the-control-covariates"/>
    <w:p>
      <w:pPr>
        <w:pStyle w:val="Heading3"/>
        <w:spacing w:line="480" w:lineRule="auto"/>
      </w:pPr>
      <w:r>
        <w:t xml:space="preserve">The control covariates</w:t>
      </w:r>
    </w:p>
    <w:p>
      <w:pPr>
        <w:pStyle w:val="FirstParagraph"/>
        <w:spacing w:line="480" w:lineRule="auto"/>
      </w:pPr>
      <w:r>
        <w:t xml:space="preserve">Both control covariates behave as the theory anticipated. Neither overturns the heritage estimate. Landed mass carries a small positive coefficient of 0.004 with a standard error of 0.003 and a p-value of 0.192, which corresponds to an odds ratio of approximately 1.004 per kilogram of landed mass. The positive sign should not be read as evidence that mass eases EDL, which would invert the physics, in which heavier landers demand larger decelerators and more capable terminal systems and are therefore harder, not easier, to land. The substantive interpretation is instead an artifact of which missions in this particular population happened to be heavy: the heaviest landers in the record are the recent, well-resourced NASA missions, and those missions also survived. The mass coefficient is thus picking up the era and resourcing of the heavy landers rather than any causal easing of the descent problem, and its small magnitude and non-significant p-value of 0.192 confirm that it is not the variable carrying the model’s explanatory weight. Its presence in the specification serves its intended purpose, which is to prevent the heritage coefficient from silently absorbing the mass-scaling of difficulty.</w:t>
      </w:r>
    </w:p>
    <w:p>
      <w:pPr>
        <w:pStyle w:val="BodyText"/>
        <w:spacing w:line="480" w:lineRule="auto"/>
        <w:ind w:firstLine="720"/>
      </w:pPr>
      <w:r>
        <w:t xml:space="preserve">Guidance autonomy carries a positive coefficient of 0.842 with a standard error of 1.263 and a p-value of 0.505, which exponentiates to an odds ratio of approximately 2.32. The precision, though, is poor. The point estimate is therefore positive and of a magnitude comparable to the heritage effect, but the standard error of 1.263 is larger than the coefficient itself, and the resulting confidence interval on the odds ratio is very wide, running from roughly 0.20 to 27.6. An interval that spans from a fifth of the baseline odds to nearly thirty times them carries almost no information about the true effect of autonomy on its own. The autonomy variable is included because the theory requires it: guided and actively controlled descents became common in the same era that mature heritage accumulated, so omitting autonomy would risk letting the heritage coefficient proxy for control authority. The estimate confirms that autonomy is entangled with the outcome in the expected direction without being separately identifiable in a population this small, and its inclusion protects the heritage coefficient from that confound even though it cannot be precisely estimated.</w:t>
      </w:r>
    </w:p>
    <w:p>
      <w:pPr>
        <w:pStyle w:val="BodyText"/>
        <w:spacing w:line="480" w:lineRule="auto"/>
        <w:ind w:firstLine="720"/>
      </w:pPr>
      <w:r>
        <w:t xml:space="preserve">Estimated at -2.415, with a standard error of 1.516, the intercept carries a p-value of 0.111. It locates the baseline log-odds of success for a hypothetical attempt that carries zero subsystem heritage, no guidance autonomy, and effectively zero landed mass. A log-odds of -2.415 corresponds to a probability of success well below one half, so the model’s baseline configuration is one in which an unguided, zero-heritage, near-massless attempt is more likely to fail than to succeed. This is a sensible anchor. It says that absent any heritage and any control authority, the descent problem defaults toward failure, which is the prior the entire EDL literature would endorse, and it is against this unfavorable baseline that the positive heritage and autonomy coefficients push the odds upward.</w:t>
      </w:r>
    </w:p>
    <w:bookmarkEnd w:id="112"/>
    <w:bookmarkStart w:id="113" w:name="X9a8045b034e0c40fd6b6be87dbabc763ba268b1"/>
    <w:p>
      <w:pPr>
        <w:pStyle w:val="Heading3"/>
        <w:spacing w:line="480" w:lineRule="auto"/>
      </w:pPr>
      <w:r>
        <w:t xml:space="preserve">Reading the coefficients against the descriptive pattern</w:t>
      </w:r>
    </w:p>
    <w:p>
      <w:pPr>
        <w:pStyle w:val="FirstParagraph"/>
        <w:spacing w:line="480" w:lineRule="auto"/>
      </w:pPr>
      <w:r>
        <w:t xml:space="preserve">Coefficient estimates are best understood against the descriptive structure of the data they summarize. The raw pattern is stark. Across the nineteen attempts, failures concentrate among the low-heritage rows, and high-heritage attempts survived. Schiaparelli itself enters the data as a low-heritage failure, consistent with the per-subsystem coding scheme that was built precisely to capture cases in which vehicle-level heritage and subsystem-level heritage diverge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positive heritage coefficient of 0.808 is the formal expression of this descriptive tilt, and the wide standard error of 0.628 is the formal expression of the fact that nineteen attempts, even with a clean directional pattern, cannot pin down the magnitude of the effect. The substantive reading is therefore a positive sign of the expected direction at a magnitude that matters, paired with uncertainty wide enough that the population cannot rule out no effect. The dissertation does not overstate this; one attempt, Schiaparelli, cannot drive a population result, and the companion leave-one-mission-out robustness logic exists precisely to guard against any single observation dominating the estimate.</w:t>
      </w:r>
    </w:p>
    <w:bookmarkEnd w:id="113"/>
    <w:bookmarkEnd w:id="114"/>
    <w:bookmarkStart w:id="120" w:name="X674aca22170ffabf6d235b890b885d0e459d5e6"/>
    <w:p>
      <w:pPr>
        <w:pStyle w:val="Heading2"/>
        <w:spacing w:line="480" w:lineRule="auto"/>
      </w:pPr>
      <w:r>
        <w:t xml:space="preserve">6.2 The cross-body institutional-heritage model</w:t>
      </w:r>
    </w:p>
    <w:p>
      <w:pPr>
        <w:pStyle w:val="FirstParagraph"/>
        <w:spacing w:line="480" w:lineRule="auto"/>
      </w:pPr>
      <w:r>
        <w:t xml:space="preserve">Paper 2 shifts both population and resolution. Where Paper 1 confined itself to Mars and coded heritage per subsystem, Paper 2 pools the documented robotic surface-landing attempts across Mars, the Moon, and Venus and codes heritage at the institutional level: a binary indicator for whether the operating agency held any prior soft-landing success on any body at the time of the attempt. The estimator is again a logistic regression, fit by maximum likelihood, of the binary EDL-success indicator on three covariates: the institutional heritage indicator, the count of the agency’s prior surface-landing attempts, and the documented landed or descent-module mass in kilograms. The shift to an institutional measure asks a different question from Paper 1. It asks whether the broad organizational capital of a landing-experienced agency, its validated test infrastructure, its calibrated atmospheric and aerodynamic models, its retained engineers, and its codified review discipline, raises success odds even when specific subsystems may still be new. The two papers are therefore designed to be read together: Paper 1 resolves heritage to the subsystem and accepts a smaller Mars-only population, while Paper 2 trades subsystem resolution for the statistical power of a larger pooled population.</w:t>
      </w:r>
    </w:p>
    <w:bookmarkStart w:id="115" w:name="X65d69cb6f1589638e7f6964db600c3b20fddcef"/>
    <w:p>
      <w:pPr>
        <w:pStyle w:val="Heading3"/>
        <w:spacing w:line="480" w:lineRule="auto"/>
      </w:pPr>
      <w:r>
        <w:t xml:space="preserve">The population and its descriptive signal</w:t>
      </w:r>
    </w:p>
    <w:p>
      <w:pPr>
        <w:pStyle w:val="FirstParagraph"/>
        <w:spacing w:line="480" w:lineRule="auto"/>
      </w:pPr>
      <w:r>
        <w:t xml:space="preserve">Paper 2’s dataset compiles thirty-seven robotic planetary surface-landing attempts spanning 1965 to 2024 across the three bodies. The overall success rate is 0.622 across the population. A clear majority of documented attempts delivered a surviving surface configuration that returned data, but a substantial minority did not. The outcome coding follows the same operational definition used throughout the dissertation: an attempt is coded one when the sequence delivered a surviving, data-returning surface configuration and zero when the vehicle was lost during or immediately after descent. Three partial cases that reached the surface or the atmosphere but never returned functional surface data, namely the Mars 3 lander, Beagle 2, and Venera 4, are coded as losses under this definition. Two Vega descent masses are flagged as illustrative where a precise landed figure could not be cleanly separated from the cruise stage; these two entries are well under fifteen percent of the sample and bear on neither the heritage indicator nor the outcome coding.</w:t>
      </w:r>
    </w:p>
    <w:p>
      <w:pPr>
        <w:pStyle w:val="BodyText"/>
        <w:spacing w:line="480" w:lineRule="auto"/>
        <w:ind w:firstLine="720"/>
      </w:pPr>
      <w:r>
        <w:t xml:space="preserve">A raw cross-tabulation is worth reporting before the coefficients. It shows the model formalizing a pattern already visible in the unconditioned data. Among the nineteen attempts flown by an agency that already held a prior soft-landing success, sixteen succeeded, a heritage success rate of 0.842. Among the eighteen first-of-class agency attempts, flown by an agency with no prior soft-landing success, only seven succeeded, a first-of-class success rate of 0.389. The descriptive gap between 0.842 and 0.389 is large, and the logistic regression exists to ask whether that gap survives once landed mass and raw attempt count are held fixed, or whether it is an artifact of heavier or more practiced agencies happening to cluster on the heritage side of the split.</w:t>
      </w:r>
    </w:p>
    <w:bookmarkEnd w:id="115"/>
    <w:bookmarkStart w:id="116" w:name="model-fit-1"/>
    <w:p>
      <w:pPr>
        <w:pStyle w:val="Heading3"/>
        <w:spacing w:line="480" w:lineRule="auto"/>
      </w:pPr>
      <w:r>
        <w:t xml:space="preserve">Model fit</w:t>
      </w:r>
    </w:p>
    <w:p>
      <w:pPr>
        <w:pStyle w:val="FirstParagraph"/>
        <w:spacing w:line="480" w:lineRule="auto"/>
      </w:pPr>
      <w:r>
        <w:t xml:space="preserve">The model estimates cleanly on all thirty-seven observations. It returns a McFadden pseudo-R-squared of 0.211 and a log-likelihood of -19.359. The pseudo-R-squared of 0.211 is lower than the 0.327 returned by the Mars subsystem model, which is unsurprising given that the cross-body model pools three physically distinct EDL regimes, a thick Martian atmosphere, an airless lunar descent, and a crushing Venusian one, and asks a single coarse institutional indicator to organize them. That a parsimonious three-covariate logit nonetheless attains a pseudo-R-squared above 0.2 across thirty-seven attempts and three bodies indicates that the institutional heritage signal is strong enough to register through the heterogeneity of the pooled population. The log-likelihood of -19.359 reflects the larger population and the binary outcome; it is reported here as the companion fit statistic to the pseudo-R-squared and as the quantity against which the coefficient estimates are anchored.</w:t>
      </w:r>
    </w:p>
    <w:bookmarkEnd w:id="116"/>
    <w:bookmarkStart w:id="117" w:name="the-institutional-heritage-coefficient"/>
    <w:p>
      <w:pPr>
        <w:pStyle w:val="Heading3"/>
        <w:spacing w:line="480" w:lineRule="auto"/>
      </w:pPr>
      <w:r>
        <w:t xml:space="preserve">The institutional heritage coefficient</w:t>
      </w:r>
    </w:p>
    <w:p>
      <w:pPr>
        <w:pStyle w:val="FirstParagraph"/>
        <w:spacing w:line="480" w:lineRule="auto"/>
      </w:pPr>
      <w:r>
        <w:t xml:space="preserve">The central result of Paper 2 supports H1.</w:t>
      </w:r>
    </w:p>
    <w:p>
      <w:pPr>
        <w:pStyle w:val="BodyText"/>
        <w:spacing w:line="480" w:lineRule="auto"/>
        <w:ind w:firstLine="720"/>
      </w:pPr>
      <w:r>
        <w:t xml:space="preserve">The coefficient on institutional heritage is positive and large, estimated at 2.970 on the log-odds scale, with a standard error of 1.206, a z statistic of approximately 2.46, and a p-value of 0.014. The sign is positive, as H1 predicted. The estimate is statistically distinguishable from zero at conventional levels, so the null of no heritage effect is rejected in this specification. Exponentiating the coefficient of 2.970 yields an odds ratio of roughly nineteen, meaning that an agency carrying a prior soft-landing success faces odds of EDL success approximately nineteen times those of a first-of-class agency, holding raw attempt count and landed mass fixed. This is the same signal the descriptive split reported, the 0.842 heritage success rate against the 0.389 first-of-class rate, now formalized and net of the two controls.</w:t>
      </w:r>
    </w:p>
    <w:p>
      <w:pPr>
        <w:pStyle w:val="BodyText"/>
        <w:spacing w:line="480" w:lineRule="auto"/>
        <w:ind w:firstLine="720"/>
      </w:pPr>
      <w:r>
        <w:t xml:space="preserve">Magnitude like this demands caution. The discussion explicitly applies it. An odds ratio of nineteen is an order-of-magnitude effect, and with a standard error of 1.206 on the log-odds coefficient, the uncertainty around that magnitude is wide even though the coefficient clears significance. The estimate is precise enough to establish that the effect is positive and distinguishable from zero, but the odds ratio should be read as an order of magnitude rather than as a point forecast that an agency’s heritage multiplies its odds by exactly nineteen. The difference between Paper 1 and Paper 2 on this point is instructive: Paper 1 produced a positive heritage point estimate that could not clear significance because nineteen Mars attempts were too few, while Paper 2, by pooling to thirty-seven cross-body attempts and measuring heritage at the institutional level, produced a positive estimate that does clear significance. The two findings are consistent in direction, and the gain in statistical power from pooling is what converts a directional result into a significant one.</w:t>
      </w:r>
    </w:p>
    <w:bookmarkEnd w:id="117"/>
    <w:bookmarkStart w:id="118" w:name="the-control-covariates-1"/>
    <w:p>
      <w:pPr>
        <w:pStyle w:val="Heading3"/>
        <w:spacing w:line="480" w:lineRule="auto"/>
      </w:pPr>
      <w:r>
        <w:t xml:space="preserve">The control covariates</w:t>
      </w:r>
    </w:p>
    <w:p>
      <w:pPr>
        <w:pStyle w:val="FirstParagraph"/>
        <w:spacing w:line="480" w:lineRule="auto"/>
      </w:pPr>
      <w:r>
        <w:t xml:space="preserve">Neither control covariate is statistically significant, and the pattern of their estimates strengthens rather than weakens the heritage finding. Raw prior-attempt count carries a coefficient of -0.193 with a standard error of 0.193, a z statistic of approximately -1.00, and a p-value of 0.316. The sign is negative but indistinguishable from zero. The substantive reading is that mere repetition, absent a prior success, does not by itself raise the odds of a soft landing, and the negative point estimate hints that raw attempt count may even track the harder problems that experienced-but-still-unsuccessful programs keep attempting. This is the precise contrast the inclusion of attempt count was designed to draw: it separates realized heritage, the conversion of a prior attempt into a prior success, from raw experience, the simple accumulation of tries. The estimates say that it is success that carries forward, not repetition, and that distinction is central to the paper’s claim.</w:t>
      </w:r>
    </w:p>
    <w:p>
      <w:pPr>
        <w:pStyle w:val="BodyText"/>
        <w:spacing w:line="480" w:lineRule="auto"/>
        <w:ind w:firstLine="720"/>
      </w:pPr>
      <w:r>
        <w:t xml:space="preserve">Landed mass carries a coefficient of -0.0005 with a standard error of 0.0009 and a p-value of 0.542, indistinguishable from zero across the observed mass range. Mass, in short, is not the story. The near-zero, non-significant mass coefficient is the evidence that the institutional heritage effect is not a disguised mass effect. If heavier landers were systematically flown by more experienced agencies, an uncontrolled heritage coefficient could simply be reading lander size, but with mass in the model and estimated at effectively zero, the difficulty that mass imposes is demonstrably not what the heritage indicator is capturing. The intercept is estimated at 0.134 with a standard error of 0.736 and a p-value of 0.856, statistically indistinguishable from zero, which places the baseline log-odds of success for a first-of-class agency with zero prior attempts and zero landed mass at essentially even odds before the heritage indicator is applied; the entire shift toward success in the model is carried by the heritage covariate.</w:t>
      </w:r>
    </w:p>
    <w:bookmarkEnd w:id="118"/>
    <w:bookmarkStart w:id="119" w:name="reading-the-institutional-result"/>
    <w:p>
      <w:pPr>
        <w:pStyle w:val="Heading3"/>
        <w:spacing w:line="480" w:lineRule="auto"/>
      </w:pPr>
      <w:r>
        <w:t xml:space="preserve">Reading the institutional result</w:t>
      </w:r>
    </w:p>
    <w:p>
      <w:pPr>
        <w:pStyle w:val="FirstParagraph"/>
        <w:spacing w:line="480" w:lineRule="auto"/>
      </w:pPr>
      <w:r>
        <w:t xml:space="preserve">What moves the odds of a planetary soft landing in the documented record is realized institutional heritage, not raw experience and not lander size. The two controls being individually non-significant while the heritage coefficient is both large and significant is the cleanest possible expression of this: the model has been given two plausible alternative explanations for the heritage-success association, experience and mass, and neither absorbs the effect. The riskiest configuration the data identify is therefore the capable-but-inexperienced agency attempting an ambitious first landing, where attempt count may be high yet realized heritage is absent, the configuration in which the first-of-class success rate of 0.389 obtains. The estimate prices that intuition. It attaches a coefficient and a significance level, net of the confounds that would otherwise undermine it.</w:t>
      </w:r>
    </w:p>
    <w:bookmarkEnd w:id="119"/>
    <w:bookmarkEnd w:id="120"/>
    <w:bookmarkStart w:id="121" w:name="synthesis-across-the-two-estimators"/>
    <w:p>
      <w:pPr>
        <w:pStyle w:val="Heading2"/>
        <w:spacing w:line="480" w:lineRule="auto"/>
      </w:pPr>
      <w:r>
        <w:t xml:space="preserve">6.3 Synthesis across the two estimators</w:t>
      </w:r>
    </w:p>
    <w:p>
      <w:pPr>
        <w:pStyle w:val="FirstParagraph"/>
        <w:spacing w:line="480" w:lineRule="auto"/>
      </w:pPr>
      <w:r>
        <w:t xml:space="preserve">Read together, the two estimators return a single coherent answer at two resolutions, and the chapter draws the synthesis carefully because the two results differ in their statistical verdicts even as they agree in direction. Both heritage coefficients are positive.</w:t>
      </w:r>
    </w:p>
    <w:p>
      <w:pPr>
        <w:pStyle w:val="BodyText"/>
        <w:spacing w:line="480" w:lineRule="auto"/>
        <w:ind w:firstLine="720"/>
      </w:pPr>
      <w:r>
        <w:t xml:space="preserve">Paper 1’s per-subsystem heritage coefficient of 0.808 and Paper 2’s institutional heritage coefficient of 2.970 both point the same way: prior survival, whether resolved to the subsystem or to the agency, is associated with higher odds of surviving the next attempt. Where they part company is in significance.</w:t>
      </w:r>
    </w:p>
    <w:p>
      <w:pPr>
        <w:pStyle w:val="BodyText"/>
        <w:spacing w:line="480" w:lineRule="auto"/>
        <w:ind w:firstLine="720"/>
      </w:pPr>
      <w:r>
        <w:t xml:space="preserve">Paper 1’s estimate carries a p-value of 0.198 and a confidence interval that crosses one, so it supports the heritage heuristic directionally without establishing it; Paper 2’s estimate carries a p-value of 0.014 and rejects the null, so it establishes the heritage effect in its own coarser specification. The dissertation reads this divergence not as a contradiction but as a consequence of the power available at each resolution. The Mars-only population of nineteen attempts cannot pin down a subsystem-level effect, while the pooled cross-body population of thirty-seven attempts can pin down an institutional-level one.</w:t>
      </w:r>
    </w:p>
    <w:p>
      <w:pPr>
        <w:pStyle w:val="BodyText"/>
        <w:spacing w:line="480" w:lineRule="auto"/>
        <w:ind w:firstLine="720"/>
      </w:pPr>
      <w:r>
        <w:t xml:space="preserve">Control structure is consistent across both models, and the consistency reinforces the central claim. In Paper 1, landed mass and guidance autonomy are individually weak and non-significant, with the mass coefficient of 0.004 reflecting era and resourcing rather than physics; in Paper 2, prior-attempt count at -0.193 and landed mass at -0.0005 are likewise individually non-significant. Neither model lets a control absorb the heritage effect. That is the result the identification strategy was designed to deliver. The mass coefficients in particular tell complementary stories: positive and small in the Mars model because the heavy Mars landers are the recent survivors, and effectively zero in the cross-body model because mass and heritage are not entangled in the pooled record. In both cases the heritage coefficient survives the inclusion of the physical confound that the theory flagged as most threatening.</w:t>
      </w:r>
    </w:p>
    <w:p>
      <w:pPr>
        <w:pStyle w:val="BodyText"/>
        <w:spacing w:line="480" w:lineRule="auto"/>
        <w:ind w:firstLine="720"/>
      </w:pPr>
      <w:r>
        <w:t xml:space="preserve">What of the anomaly that motivated the entire inquiry? These results accommodate Schiaparelli rather than overturn it. Schiaparelli is the case in which vehicle-level and agency-level heritage coexisted with a first-of-class subsystem failure during descent, a saturated inertial measurement interacting with descent guidance logic that carried no comparable flight pedigree</w:t>
      </w:r>
      <w:r>
        <w:t xml:space="preserve"> </w:t>
      </w:r>
      <w:hyperlink w:anchor="ref-1">
        <w:r>
          <w:rPr>
            <w:rStyle w:val="Hyperlink"/>
          </w:rPr>
          <w:t xml:space="preserve">[1]</w:t>
        </w:r>
      </w:hyperlink>
      <w:r>
        <w:t xml:space="preserve"> </w:t>
      </w:r>
      <w:hyperlink w:anchor="ref-2">
        <w:r>
          <w:rPr>
            <w:rStyle w:val="Hyperlink"/>
          </w:rPr>
          <w:t xml:space="preserve">[2]</w:t>
        </w:r>
      </w:hyperlink>
      <w:r>
        <w:t xml:space="preserve">. In Paper 1 it enters as a low-heritage failure under the per-subsystem coding, consistent with the hypothesis but unable on its own to drive a population result. In Paper 2 it sits in the population as an attempt by a heritage-bearing agency that nonetheless failed, the kind of observation that prevents the institutional odds ratio from running even higher than nineteen. The per-subsystem and institutional measures thus capture the two halves of the Schiaparelli lesson: agency heritage can be real and still mask a new subsystem that fails, which is exactly why the subsystem-resolved model is worth running even though it sacrifices power, and why its directional-but-not-significant result is reported alongside, not in place of, the significant institutional result.</w:t>
      </w:r>
    </w:p>
    <w:p>
      <w:pPr>
        <w:pStyle w:val="BodyText"/>
        <w:spacing w:line="480" w:lineRule="auto"/>
        <w:ind w:firstLine="720"/>
      </w:pPr>
      <w:r>
        <w:t xml:space="preserve">Taken whole, the findings carry the heritage argument exactly as far as the historical record permits. They go no further. The heritage premise on which low-cost, repeatable planetary delivery is argued in the broader space-economy literature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r>
        <w:t xml:space="preserve">is supported directionally by both estimators and established conventionally by one of them, but neither result settles whether the relationship will extrapolate to standardized, mass-produced future architectures, which is a question the coefficients inform but cannot answer. A campaign that scales deliveries on the assumption that the next lander inherits the last lander’s reliability is making a wager whose price these two coefficients begin to set: positive in sign at both resolutions, consequential in magnitude, significant at the institutional level, and bounded by the honest uncertainty of a population that grows only when more spacecraft attempt to land. The detailed coefficient tables, odds-ratio computations, descriptive cross-tabulations, and the full coded data matrices underlying every number reported here are reproduced in Appendix A.</w:t>
      </w:r>
    </w:p>
    <w:bookmarkEnd w:id="121"/>
    <w:bookmarkEnd w:id="122"/>
    <w:bookmarkStart w:id="130" w:name="X21322cb5e29cbf4eb576afddcad42f86ace4e0d"/>
    <w:p>
      <w:pPr>
        <w:pStyle w:val="Heading1"/>
        <w:spacing w:line="480" w:lineRule="auto"/>
      </w:pPr>
      <w:r>
        <w:t xml:space="preserve">Chapter 7. Discussion and Governance Implications</w:t>
      </w:r>
    </w:p>
    <w:bookmarkStart w:id="123" w:name="X1c2f145f21df05e0d04ca98668cd61018b7a89b"/>
    <w:p>
      <w:pPr>
        <w:pStyle w:val="Heading2"/>
        <w:spacing w:line="480" w:lineRule="auto"/>
      </w:pPr>
      <w:r>
        <w:t xml:space="preserve">7.1 What the Two Estimates Mean, Read Together</w:t>
      </w:r>
    </w:p>
    <w:p>
      <w:pPr>
        <w:pStyle w:val="FirstParagraph"/>
        <w:spacing w:line="480" w:lineRule="auto"/>
      </w:pPr>
      <w:r>
        <w:t xml:space="preserve">This dissertation set out to convert a heuristic into a coefficient. The reliability-through-heritage argument is invoked in nearly every Mars mission formulation and in campaign-level planning for sample return, yet it is almost never written as a testable proposition with a defined functional form and an explicit control set</w:t>
      </w:r>
      <w:r>
        <w:t xml:space="preserve"> </w:t>
      </w:r>
      <w:hyperlink w:anchor="ref-3">
        <w:r>
          <w:rPr>
            <w:rStyle w:val="Hyperlink"/>
          </w:rPr>
          <w:t xml:space="preserve">[3]</w:t>
        </w:r>
      </w:hyperlink>
      <w:r>
        <w:t xml:space="preserve">. Chapters 5 and 6 produced the two coefficients the prospectus promised, and the task of this chapter is to interpret what they jointly say to a NASA program manager and to a Jet Propulsion Laboratory architect deciding whether to bet the next arrival on the last arrival’s pedigree.</w:t>
      </w:r>
    </w:p>
    <w:p>
      <w:pPr>
        <w:pStyle w:val="BodyText"/>
        <w:spacing w:line="480" w:lineRule="auto"/>
        <w:ind w:firstLine="720"/>
      </w:pPr>
      <w:r>
        <w:t xml:space="preserve">On their face, the two estimates do not agree, and the discipline of this chapter is to resist the temptation to make them agree more neatly than the evidence allows. The per-subsystem Mars model returned a heritage odds ratio of 2.24, the right sign and a consequential magnitude, but with a ninety-five percent interval running from 0.66 to 7.68 that includes one and a p-value of 0.198 on a population of nineteen attempts. The institutional cross-body model returned a heritage odds ratio of roughly nineteen, significant at conventional levels with a p-value of 0.014 on thirty-seven attempts across Mars, the Moon, and Venus. Two readings are available. The naive reading is that the second result confirms the heuristic the first could not; the disciplined reading is that the two models measure different objects at different resolutions, and that the gap between them is itself the finding most useful to a program office.</w:t>
      </w:r>
    </w:p>
    <w:p>
      <w:pPr>
        <w:pStyle w:val="BodyText"/>
        <w:spacing w:line="480" w:lineRule="auto"/>
        <w:ind w:firstLine="720"/>
      </w:pPr>
      <w:r>
        <w:t xml:space="preserve">The first model asks whether a specific reused subsystem architecture, the decelerator, the descent guidance stack, or the terminal landing mechanism, lowers failure hazard when its own lineage is what is credited. The second asks whether an operating agency that has already landed something, anywhere, lands the next thing at better odds. Heritage at the subsystem level and heritage at the institutional level are not the same risk argument, and the empirical separation between a directional-but-uncertain subsystem effect and a strong-and-significant institutional effect is the dissertation’s central governance message. The thing that carries forward most reliably in the documented record is organizational capability, not any one box of hardware. That distinction is not academic. It has consequences for how a sponsor scores a bid, how a laboratory sequences a campaign, and where a program spends its risk-reduction dollars.</w:t>
      </w:r>
    </w:p>
    <w:bookmarkEnd w:id="123"/>
    <w:bookmarkStart w:id="124"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institutional result, that an agency carrying a prior soft-landing success faces success odds an order of magnitude above a first-of-class effort once raw attempt count and landed mass are held fixed, speaks directly to the way NASA program offices reason about risk during formulation and source selection.</w:t>
      </w:r>
    </w:p>
    <w:p>
      <w:pPr>
        <w:pStyle w:val="BodyText"/>
        <w:spacing w:line="480" w:lineRule="auto"/>
        <w:ind w:firstLine="720"/>
      </w:pPr>
      <w:r>
        <w:t xml:space="preserve">Three implications follow, each stated at the altitude at which a program manager actually decides.</w:t>
      </w:r>
    </w:p>
    <w:p>
      <w:pPr>
        <w:pStyle w:val="BodyText"/>
        <w:spacing w:line="480" w:lineRule="auto"/>
        <w:ind w:firstLine="720"/>
      </w:pPr>
      <w:r>
        <w:t xml:space="preserve">First, the result reframes what a heritage claim is worth at the proposal stage. Heritage is expensive to acquire and is routinely advanced as a justification for cost, both in mission formulation and in the space-economy arguments that presume repeatable low-cost arrival</w:t>
      </w:r>
      <w:r>
        <w:t xml:space="preserve"> </w:t>
      </w:r>
      <w:hyperlink w:anchor="ref-4">
        <w:r>
          <w:rPr>
            <w:rStyle w:val="Hyperlink"/>
          </w:rPr>
          <w:t xml:space="preserve">[4]</w:t>
        </w:r>
      </w:hyperlink>
      <w:r>
        <w:t xml:space="preserve"> </w:t>
      </w:r>
      <w:hyperlink w:anchor="ref-5">
        <w:r>
          <w:rPr>
            <w:rStyle w:val="Hyperlink"/>
          </w:rPr>
          <w:t xml:space="preserve">[5]</w:t>
        </w:r>
      </w:hyperlink>
      <w:r>
        <w:t xml:space="preserve">. A program office evaluating a heritage-rich bid against a first-of-class bid has, until now, had only intuition with which to price the difference. The cross-body estimate supplies a defensible order of magnitude: in the documented population, realized institutional heritage is associated with roughly nineteen times the odds of EDL success, while raw attempt count and lander mass are not statistically distinguishable from no effect. A program manager can now weigh a heritage premium against a quantified, if uncertain, odds shift. A feeling no longer has to carry the decision. The proper use of that number is as an order of magnitude and a direction, not as a point forecast, because its interval is wide and its sample is the entire historical population rather than a draw that more data could enlarge on demand.</w:t>
      </w:r>
    </w:p>
    <w:p>
      <w:pPr>
        <w:pStyle w:val="BodyText"/>
        <w:spacing w:line="480" w:lineRule="auto"/>
        <w:ind w:firstLine="720"/>
      </w:pPr>
      <w:r>
        <w:t xml:space="preserve">Second, the result relocates risk. Program reviews instinctively look for it in the wrong place. The riskiest configuration in the cross-body data is not the heavy lander and is not the agency that has tried many times. It is the capable-but-inexperienced agency attempting an ambitious first landing, where attempt count may be high yet realized heritage is absent. The negative, non-significant sign on raw attempt count carries an uncomfortable message for program governance: mere repetition, absent a prior success that is genuinely carried forward, does not buy down EDL risk and may track the harder problems that experienced-but-unsuccessful programs keep attempting. A standing review board that credits a program for the number of EDL development cycles it has run, rather than for the number of clean Mars survivals its specific architecture can claim, is crediting the wrong variable. The heritage that matters is realized success transferred under genuinely similar conditions, not activity.</w:t>
      </w:r>
    </w:p>
    <w:p>
      <w:pPr>
        <w:pStyle w:val="BodyText"/>
        <w:spacing w:line="480" w:lineRule="auto"/>
        <w:ind w:firstLine="720"/>
      </w:pPr>
      <w:r>
        <w:t xml:space="preserve">Third, and most consequentially for the Mars Sample Return campaign and for any architecture that proposes to scale deliveries, the per-subsystem result imposes a caution that the institutional result alone would obscure. Campaign planning leans on demonstrated entry and landing approaches to bound programmatic risk</w:t>
      </w:r>
      <w:r>
        <w:t xml:space="preserve"> </w:t>
      </w:r>
      <w:hyperlink w:anchor="ref-3">
        <w:r>
          <w:rPr>
            <w:rStyle w:val="Hyperlink"/>
          </w:rPr>
          <w:t xml:space="preserve">[3]</w:t>
        </w:r>
      </w:hyperlink>
      <w:r>
        <w:t xml:space="preserve">, and the economic case for a Mars-bound delivery cadence presumes that the next lander inherits the last lander’s reliability</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institutional model says the agency inherits much. The subsystem model says that inheritance is uncertain at the level of any individual reused box, because the subsystem heritage coefficient, though correctly signed and large in point estimate, cannot be statistically distinguished from zero on the Mars population. A campaign that prices its delivery risk on agency-level heritage while assuming each reused subsystem carries the same demonstrated margin is making a wager whose price these two coefficients begin, but do not finish, to set. The honest program-management posture is to claim the institutional capability and to continue to flight-qualify each reused subsystem as if its heritage were not yet proven, because in the statistical sense it is not.</w:t>
      </w:r>
    </w:p>
    <w:bookmarkEnd w:id="124"/>
    <w:bookmarkStart w:id="125" w:name="implications-for-jpl-decision-making"/>
    <w:p>
      <w:pPr>
        <w:pStyle w:val="Heading2"/>
        <w:spacing w:line="480" w:lineRule="auto"/>
      </w:pPr>
      <w:r>
        <w:t xml:space="preserve">7.3 Implications for JPL Decision-Making</w:t>
      </w:r>
    </w:p>
    <w:p>
      <w:pPr>
        <w:pStyle w:val="FirstParagraph"/>
        <w:spacing w:line="480" w:lineRule="auto"/>
      </w:pPr>
      <w:r>
        <w:t xml:space="preserve">For the Jet Propulsion Laboratory specifically, as the institution that holds the deepest Mars-EDL heritage in the documented record, the findings cut two ways and both ways are actionable. JPL is, in the language of the cross-body model, the paradigm case of the high-heritage agency: nearly every full-heritage attempt in the per-subsystem Mars record survived, and the failures concentrate among low-heritage attempts. That coefficient is largely JPL’s own track record, formalized. The laboratory can therefore claim the organizational-capability finding with more standing than any other institution, and a sponsor weighing a JPL EDL bid against a less experienced competitor has, in this dissertation, an empirical basis for the heritage premium it is being asked to pay.</w:t>
      </w:r>
    </w:p>
    <w:p>
      <w:pPr>
        <w:pStyle w:val="BodyText"/>
        <w:spacing w:line="480" w:lineRule="auto"/>
        <w:ind w:firstLine="720"/>
      </w:pPr>
      <w:r>
        <w:t xml:space="preserve">For JPL’s internal decision-making, the cautionary edge matters more. The very fact that vehicle-level and agency-level heritage can coexist with subsystem-level failure is the lesson of Schiaparelli, where an entry system carrying genuine European decelerator lineage was lost because a saturated inertial measurement interacted with descent guidance logic that had no comparable flight pedigree, triggering early parachute release and premature retro-rocket cutoff</w:t>
      </w:r>
      <w:r>
        <w:t xml:space="preserve"> </w:t>
      </w:r>
      <w:hyperlink w:anchor="ref-1">
        <w:r>
          <w:rPr>
            <w:rStyle w:val="Hyperlink"/>
          </w:rPr>
          <w:t xml:space="preserve">[1]</w:t>
        </w:r>
      </w:hyperlink>
      <w:r>
        <w:t xml:space="preserve">. Independent infrared radiometric measurements confirmed the aerothermal environment was within the reconstructed envelope, which localizes the failure squarely in the descent and control logic rather than in the inherited entry heritage</w:t>
      </w:r>
      <w:r>
        <w:t xml:space="preserve"> </w:t>
      </w:r>
      <w:hyperlink w:anchor="ref-2">
        <w:r>
          <w:rPr>
            <w:rStyle w:val="Hyperlink"/>
          </w:rPr>
          <w:t xml:space="preserve">[2]</w:t>
        </w:r>
      </w:hyperlink>
      <w:r>
        <w:t xml:space="preserve">. The governance implication for JPL is that the laboratory’s institutional heritage is real and large, and is precisely the thing that can lull a subsystem review into accepting a first-of-class descent stack under the halo of a heritage-rich vehicle. The Curiosity sky-crane scored zero on the landing subsystem in the heritage coding despite the vehicle’s evident sophistication, and that is the correct coding: the first flight of a terminal landing architecture carries no Mars survival heritage, however capable the institution flying it. JPL’s strongest asset, its accumulated capability, is therefore also the source of its most plausible blind spot, the assumption that a new subsystem inside a heritage vehicle inherits the vehicle’s pedigree.</w:t>
      </w:r>
    </w:p>
    <w:p>
      <w:pPr>
        <w:pStyle w:val="BodyText"/>
        <w:spacing w:line="480" w:lineRule="auto"/>
        <w:ind w:firstLine="720"/>
      </w:pPr>
      <w:r>
        <w:t xml:space="preserve">Keep two ledgers, and never net them against each other. That is the practical recommendation for JPL decision-making. One ledger records institutional heritage, which the laboratory may claim at the campaign and proposal level and which the cross-body estimate supports. The other records per-subsystem heritage, which must be re-earned for every architecture that has not previously survived a Mars arrival and which the Mars-only estimate declines to certify on the strength of the historical record alone. When the two ledgers conflict, when a heritage-rich vehicle carries a first-of-class subsystem in the highest-consequence position, the subsystem ledger governs the qualification program. This is not conservatism for its own sake. It is the direct operational reading of a per-subsystem coefficient whose interval crosses one, which is to say that the field’s confidence in subsystem reuse outruns the evidence for it.</w:t>
      </w:r>
    </w:p>
    <w:bookmarkEnd w:id="125"/>
    <w:bookmarkStart w:id="126" w:name="the-heritage-heuristic-as-a-priced-wager"/>
    <w:p>
      <w:pPr>
        <w:pStyle w:val="Heading2"/>
        <w:spacing w:line="480" w:lineRule="auto"/>
      </w:pPr>
      <w:r>
        <w:t xml:space="preserve">7.4 The Heritage Heuristic as a Priced Wager</w:t>
      </w:r>
    </w:p>
    <w:p>
      <w:pPr>
        <w:pStyle w:val="FirstParagraph"/>
        <w:spacing w:line="480" w:lineRule="auto"/>
      </w:pPr>
      <w:r>
        <w:t xml:space="preserve">A recurring frame in this dissertation has been that a campaign which scales deliveries on the assumption that the next lander inherits the last lander’s reliability is making a wager that has never been priced.</w:t>
      </w:r>
    </w:p>
    <w:p>
      <w:pPr>
        <w:pStyle w:val="BodyText"/>
        <w:spacing w:line="480" w:lineRule="auto"/>
        <w:ind w:firstLine="720"/>
      </w:pPr>
      <w:r>
        <w:t xml:space="preserve">Both empirical chapters begin to price it, and it is worth stating precisely how far the pricing goes and where it stops.</w:t>
      </w:r>
    </w:p>
    <w:p>
      <w:pPr>
        <w:pStyle w:val="BodyText"/>
        <w:spacing w:line="480" w:lineRule="auto"/>
        <w:ind w:firstLine="720"/>
      </w:pPr>
      <w:r>
        <w:t xml:space="preserve">At the institutional level, the wager looks favorable and is supported. The odds of a soft landing are substantially higher for an agency that has landed before, and that advantage is not a disguised mass effect and not a disguised experience effect; it is realized success carried forward, the same technology-maturation logic that recurs across the space economy where capability accrues through repeated operational use rather than through single demonstrations</w:t>
      </w:r>
      <w:r>
        <w:t xml:space="preserve"> </w:t>
      </w:r>
      <w:hyperlink w:anchor="ref-4">
        <w:r>
          <w:rPr>
            <w:rStyle w:val="Hyperlink"/>
          </w:rPr>
          <w:t xml:space="preserve">[4]</w:t>
        </w:r>
      </w:hyperlink>
      <w:r>
        <w:t xml:space="preserve">. A sponsor underwriting a campaign led by a landing-experienced institution is buying a real odds improvement, and the magnitude, read as an order of magnitude, is large enough to matter to a portfolio decision.</w:t>
      </w:r>
    </w:p>
    <w:p>
      <w:pPr>
        <w:pStyle w:val="BodyText"/>
        <w:spacing w:line="480" w:lineRule="auto"/>
        <w:ind w:firstLine="720"/>
      </w:pPr>
      <w:r>
        <w:t xml:space="preserve">At the subsystem level, the wager is not yet priced, and the proper governance response to an unpriced wager is not to assume it is favorable. The per-subsystem heritage coefficient supports the heritage heuristic directionally, doubling the odds of survival per heritage-carrying subsystem in point estimate, but the population of nineteen Mars attempts with eight failures cannot rule out no effect, and the dissertation has been careful throughout not to convert an inability to reject the null into a claim of no effect. The economic arguments for standardized, mass-produced, low-cost Mars delivery presume reliability at exactly this subsystem level, the level at which production economies are realized</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historical record supports that premise only weakly. The governance consequence is that the business case for repeatable cheap arrival should be stress-tested against the possibility that subsystem heritage does less than assumed, and that the cost savings from reuse may be partly offset by the qualification burden that an honest reading of the subsystem coefficient implies.</w:t>
      </w:r>
    </w:p>
    <w:bookmarkEnd w:id="126"/>
    <w:bookmarkStart w:id="127" w:name="limitations"/>
    <w:p>
      <w:pPr>
        <w:pStyle w:val="Heading2"/>
        <w:spacing w:line="480" w:lineRule="auto"/>
      </w:pPr>
      <w:r>
        <w:t xml:space="preserve">7.5 Limitations</w:t>
      </w:r>
    </w:p>
    <w:p>
      <w:pPr>
        <w:pStyle w:val="FirstParagraph"/>
        <w:spacing w:line="480" w:lineRule="auto"/>
      </w:pPr>
      <w:r>
        <w:t xml:space="preserve">The limitations of this work are intrinsic to the question rather than artifacts of method, and they bound the claims in ways a program office must keep in view.</w:t>
      </w:r>
    </w:p>
    <w:p>
      <w:pPr>
        <w:pStyle w:val="BodyText"/>
        <w:spacing w:line="480" w:lineRule="auto"/>
        <w:ind w:firstLine="720"/>
      </w:pPr>
      <w:r>
        <w:t xml:space="preserve">The first and governing limitation is population size. The set of Mars EDL attempts is on the order of a dozen-plus events, and even the pooled cross-body population is thirty-seven. This is a population, not a sample, which is the correct frame for the question but which also means statistical power cannot be bought with more data until more landings occur. The per-subsystem heritage coefficient is sensitive to single observations, and the wide interval on the institutional odds ratio is the honest signature of a small population rather than a defect to be explained away. The dissertation mitigated this with pre-registered decision rules, exact and bootstrap intervals, and leave-one-mission-out refits, and it reported power explicitly rather than overclaiming a null as confirmation of no effect. But no analytic device manufactures observations that the historical record does not contain.</w:t>
      </w:r>
    </w:p>
    <w:p>
      <w:pPr>
        <w:pStyle w:val="BodyText"/>
        <w:spacing w:line="480" w:lineRule="auto"/>
        <w:ind w:firstLine="720"/>
      </w:pPr>
      <w:r>
        <w:t xml:space="preserve">The second limitation is heritage-difficulty confounding. Heritage may be deployed preferentially on harder missions, which would bias the coefficient toward zero, or on easier ones, which would bias it negative. Holding decelerator class, guidance autonomy, and landed mass fixed addresses the principal physical confounds</w:t>
      </w:r>
      <w:r>
        <w:t xml:space="preserve"> </w:t>
      </w:r>
      <w:hyperlink w:anchor="ref-13">
        <w:r>
          <w:rPr>
            <w:rStyle w:val="Hyperlink"/>
          </w:rPr>
          <w:t xml:space="preserve">[13]</w:t>
        </w:r>
      </w:hyperlink>
      <w:r>
        <w:t xml:space="preserve">, but residual confounding by site hazard and program maturity remains. The controls are entangled with program era, because guided active descents and mature heritage accumulated in the same period, and the heavier landers in the Mars population are the recent, well-resourced NASA missions that survived rather than evidence that mass itself eases EDL. A richer design would need a difficulty proxy independent of vintage, and this population cannot supply one. The institutional model’s separation of realized heritage from raw attempt count is one partial answer to this concern, but it does not dissolve the entanglement of capability with era.</w:t>
      </w:r>
    </w:p>
    <w:p>
      <w:pPr>
        <w:pStyle w:val="BodyText"/>
        <w:spacing w:line="480" w:lineRule="auto"/>
        <w:ind w:firstLine="720"/>
      </w:pPr>
      <w:r>
        <w:t xml:space="preserve">The third limitation is coding subjectivity. Grading subsystem lineage and guidance autonomy requires judgment, and the autonomy taxonomy spanning open-loop reference-trajectory tracking</w:t>
      </w:r>
      <w:r>
        <w:t xml:space="preserve"> </w:t>
      </w:r>
      <w:hyperlink w:anchor="ref-6">
        <w:r>
          <w:rPr>
            <w:rStyle w:val="Hyperlink"/>
          </w:rPr>
          <w:t xml:space="preserve">[6]</w:t>
        </w:r>
      </w:hyperlink>
      <w:r>
        <w:t xml:space="preserve">, national lander guidance enabling technologies</w:t>
      </w:r>
      <w:r>
        <w:t xml:space="preserve"> </w:t>
      </w:r>
      <w:hyperlink w:anchor="ref-7">
        <w:r>
          <w:rPr>
            <w:rStyle w:val="Hyperlink"/>
          </w:rPr>
          <w:t xml:space="preserve">[7]</w:t>
        </w:r>
      </w:hyperlink>
      <w:r>
        <w:t xml:space="preserve">, integrated entry-and-descent control</w:t>
      </w:r>
      <w:r>
        <w:t xml:space="preserve"> </w:t>
      </w:r>
      <w:hyperlink w:anchor="ref-8">
        <w:r>
          <w:rPr>
            <w:rStyle w:val="Hyperlink"/>
          </w:rPr>
          <w:t xml:space="preserve">[8]</w:t>
        </w:r>
      </w:hyperlink>
      <w:r>
        <w:t xml:space="preserve">, onboard fuel-optimal powered-descent guidance</w:t>
      </w:r>
      <w:r>
        <w:t xml:space="preserve"> </w:t>
      </w:r>
      <w:hyperlink w:anchor="ref-9">
        <w:r>
          <w:rPr>
            <w:rStyle w:val="Hyperlink"/>
          </w:rPr>
          <w:t xml:space="preserve">[9]</w:t>
        </w:r>
      </w:hyperlink>
      <w:r>
        <w:t xml:space="preserve">, and pinpoint landing control</w:t>
      </w:r>
      <w:r>
        <w:t xml:space="preserve"> </w:t>
      </w:r>
      <w:hyperlink w:anchor="ref-10">
        <w:r>
          <w:rPr>
            <w:rStyle w:val="Hyperlink"/>
          </w:rPr>
          <w:t xml:space="preserve">[10]</w:t>
        </w:r>
      </w:hyperlink>
      <w:r>
        <w:t xml:space="preserve"> </w:t>
      </w:r>
      <w:r>
        <w:t xml:space="preserve">was applied by a coder who could err. The Schiaparelli case is the proof that vehicle-level and subsystem-level heritage can diverge, which is precisely the discrimination the coding had to capture</w:t>
      </w:r>
      <w:r>
        <w:t xml:space="preserve"> </w:t>
      </w:r>
      <w:hyperlink w:anchor="ref-1">
        <w:r>
          <w:rPr>
            <w:rStyle w:val="Hyperlink"/>
          </w:rPr>
          <w:t xml:space="preserve">[1]</w:t>
        </w:r>
      </w:hyperlink>
      <w:r>
        <w:t xml:space="preserve"> </w:t>
      </w:r>
      <w:hyperlink w:anchor="ref-2">
        <w:r>
          <w:rPr>
            <w:rStyle w:val="Hyperlink"/>
          </w:rPr>
          <w:t xml:space="preserve">[2]</w:t>
        </w:r>
      </w:hyperlink>
      <w:r>
        <w:t xml:space="preserve">, and a mistaken credit or denial of heritage on a single high-leverage row could move a result on a population this small. The written codebook, double-coding with disagreement adjudication, and publication of the full coded matrix discipline this judgment but cannot eliminate it.</w:t>
      </w:r>
    </w:p>
    <w:p>
      <w:pPr>
        <w:pStyle w:val="BodyText"/>
        <w:spacing w:line="480" w:lineRule="auto"/>
        <w:ind w:firstLine="720"/>
      </w:pPr>
      <w:r>
        <w:t xml:space="preserve">The fourth limitation is the outcome definition. The strict binary compresses partial failures into a single bit, and the boundary cases carry real interpretive weight. Beagle 2 reached the surface but never deployed into a functional configuration and is coded a failure; Mars 3 survived EDL to a landed, transmitting state and is coded a success despite ceasing transmission after roughly fourteen seconds; Venera 4 and the cross-body partial cases are coded losses under the operational definition of a delivered landing. These decisions follow the documented record rather than the headline, but a secondary specification that recodes marginal outcomes, drawing the boundary cases from terminal-phase functions such as hazard detection and landing-mechanism behavior</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would test whether the binary boundary drives any part of the result.</w:t>
      </w:r>
    </w:p>
    <w:p>
      <w:pPr>
        <w:pStyle w:val="BodyText"/>
        <w:spacing w:line="480" w:lineRule="auto"/>
        <w:ind w:firstLine="720"/>
      </w:pPr>
      <w:r>
        <w:t xml:space="preserve">The fifth limitation is external validity, and it is the one most relevant to the governance argument. The estimates describe the historical record. Whether they extrapolate to standardized, mass-produced, low-cost Mars delivery, the regime presumed by space-economy reliability arguments</w:t>
      </w:r>
      <w:r>
        <w:t xml:space="preserve"> </w:t>
      </w:r>
      <w:hyperlink w:anchor="ref-4">
        <w:r>
          <w:rPr>
            <w:rStyle w:val="Hyperlink"/>
          </w:rPr>
          <w:t xml:space="preserve">[4]</w:t>
        </w:r>
      </w:hyperlink>
      <w:r>
        <w:t xml:space="preserve"> </w:t>
      </w:r>
      <w:hyperlink w:anchor="ref-5">
        <w:r>
          <w:rPr>
            <w:rStyle w:val="Hyperlink"/>
          </w:rPr>
          <w:t xml:space="preserve">[5]</w:t>
        </w:r>
      </w:hyperlink>
      <w:r>
        <w:t xml:space="preserve">, is itself the open question the coefficients inform but cannot settle. A model fit to nineteen or thirty-seven historical attempts, flown overwhelmingly as bespoke one-off missions, cannot certify the reliability of a production line that does not yet exist. The dissertation frames its inference accordingly: it prices the heritage wager in the regime that has been flown, and it explicitly declines to price it in the regime the economic case requires.</w:t>
      </w:r>
    </w:p>
    <w:p>
      <w:pPr>
        <w:pStyle w:val="BodyText"/>
        <w:spacing w:line="480" w:lineRule="auto"/>
        <w:ind w:firstLine="720"/>
      </w:pPr>
      <w:r>
        <w:t xml:space="preserve">A sixth limitation is the cost of pooling itself. Combining Mars, the Moon, and Venus buys statistical power at the price of treating physically distinct EDL regimes as exchangeable. A thick atmosphere, a vacuum descent, and a crushing one impose different failure modes, and the institutional heritage effect estimated across all three is an average over regimes that a body-specific analysis might find to differ. The pooling is defensible for the question of institutional capability, which plausibly transfers across bodies through engineers, review discipline, and validated models, but it is a modeling choice that a larger future dataset should revisit.</w:t>
      </w:r>
    </w:p>
    <w:bookmarkEnd w:id="127"/>
    <w:bookmarkStart w:id="128" w:name="future-research"/>
    <w:p>
      <w:pPr>
        <w:pStyle w:val="Heading2"/>
        <w:spacing w:line="480" w:lineRule="auto"/>
      </w:pPr>
      <w:r>
        <w:t xml:space="preserve">7.6 Future Research</w:t>
      </w:r>
    </w:p>
    <w:p>
      <w:pPr>
        <w:pStyle w:val="FirstParagraph"/>
        <w:spacing w:line="480" w:lineRule="auto"/>
      </w:pPr>
      <w:r>
        <w:t xml:space="preserve">The most consequential future work is simply more landings, and the dissertation is designed to absorb them. Each new Mars arrival adds a row to the per-subsystem model and sharpens an interval that is wide by nature, and the pre-registered decision rule means future arrivals can test the same hypothesis without redefinition. The estimates here should be read as a first measurement on a record that will grow, not as a closed verdict, and the highest-value research action is the disciplined recoding of each new arrival into the existing matrix as it occurs.</w:t>
      </w:r>
    </w:p>
    <w:p>
      <w:pPr>
        <w:pStyle w:val="BodyText"/>
        <w:spacing w:line="480" w:lineRule="auto"/>
        <w:ind w:firstLine="720"/>
      </w:pPr>
      <w:r>
        <w:t xml:space="preserve">Beyond accumulation, four directions follow from the limitations.</w:t>
      </w:r>
    </w:p>
    <w:p>
      <w:pPr>
        <w:pStyle w:val="BodyText"/>
        <w:spacing w:line="480" w:lineRule="auto"/>
        <w:ind w:firstLine="720"/>
      </w:pPr>
      <w:r>
        <w:t xml:space="preserve">First, the heritage-difficulty entanglement calls for an independent difficulty proxy, a site-hazard or terrain-roughness measure coded from landing-site selection analyses, that would let the heritage coefficient be estimated free of vintage. Landing-site safety-index work and prudent-descent risk strategies in the broader literature suggest the form such a proxy could take, and incorporating one is the single most promising way to reduce residual confounding without waiting for more flights.</w:t>
      </w:r>
    </w:p>
    <w:p>
      <w:pPr>
        <w:pStyle w:val="BodyText"/>
        <w:spacing w:line="480" w:lineRule="auto"/>
        <w:ind w:firstLine="720"/>
      </w:pPr>
      <w:r>
        <w:t xml:space="preserve">Second, the divergence between the strong institutional effect and the uncertain subsystem effect invites a hierarchical model that estimates both at once, with subsystem heritage nested within institutional heritage, so that the partial pooling such a structure provides could borrow strength across the two resolutions rather than estimating them in separate papers. This is the natural methodological successor to the present two-model design and would directly address the question of how much of the institutional effect is the sum of its subsystems.</w:t>
      </w:r>
    </w:p>
    <w:p>
      <w:pPr>
        <w:pStyle w:val="BodyText"/>
        <w:spacing w:line="480" w:lineRule="auto"/>
        <w:ind w:firstLine="720"/>
      </w:pPr>
      <w:r>
        <w:t xml:space="preserve">Third, the body-specific question raised by pooling deserves a dedicated treatment as the cross-body population grows, testing whether institutional heritage transfers equally across a Martian atmospheric entry, a lunar vacuum descent, and a Venusian descent, or whether the transfer is regime-bounded. The comparative-modality and integrated-guidance literatures continue to enlarge the design space faster than the population of flown attempts grows</w:t>
      </w:r>
      <w:r>
        <w:t xml:space="preserve"> </w:t>
      </w:r>
      <w:hyperlink w:anchor="ref-8">
        <w:r>
          <w:rPr>
            <w:rStyle w:val="Hyperlink"/>
          </w:rPr>
          <w:t xml:space="preserve">[8]</w:t>
        </w:r>
      </w:hyperlink>
      <w:r>
        <w:t xml:space="preserve"> </w:t>
      </w:r>
      <w:hyperlink w:anchor="ref-13">
        <w:r>
          <w:rPr>
            <w:rStyle w:val="Hyperlink"/>
          </w:rPr>
          <w:t xml:space="preserve">[13]</w:t>
        </w:r>
      </w:hyperlink>
      <w:r>
        <w:t xml:space="preserve">, which makes the regime-transfer question more pressing rather than less.</w:t>
      </w:r>
    </w:p>
    <w:p>
      <w:pPr>
        <w:pStyle w:val="BodyText"/>
        <w:spacing w:line="480" w:lineRule="auto"/>
        <w:ind w:firstLine="720"/>
      </w:pPr>
      <w:r>
        <w:t xml:space="preserve">Fourth, and most directly tied to the governance argument, future work should test the extrapolation the economic case requires by treating production-line reliability as a distinct estimand. The historical estimates here describe bespoke missions; a research program that tracks the reliability of the first standardized, repeated Mars delivery architectures as they fly would close the gap between what this dissertation can price and what the space-economy reliability arguments assume</w:t>
      </w:r>
      <w:r>
        <w:t xml:space="preserve"> </w:t>
      </w:r>
      <w:hyperlink w:anchor="ref-4">
        <w:r>
          <w:rPr>
            <w:rStyle w:val="Hyperlink"/>
          </w:rPr>
          <w:t xml:space="preserve">[4]</w:t>
        </w:r>
      </w:hyperlink>
      <w:r>
        <w:t xml:space="preserve"> </w:t>
      </w:r>
      <w:hyperlink w:anchor="ref-5">
        <w:r>
          <w:rPr>
            <w:rStyle w:val="Hyperlink"/>
          </w:rPr>
          <w:t xml:space="preserve">[5]</w:t>
        </w:r>
      </w:hyperlink>
      <w:r>
        <w:t xml:space="preserve">. Until that record exists, the responsible posture is the one this chapter has urged: claim the institutional heritage that the evidence supports, re-qualify each reused subsystem as if its heritage were unproven, and treat the business case for cheap repeatable arrival as a hypothesis the historical record informs but has not yet confirmed.</w:t>
      </w:r>
    </w:p>
    <w:bookmarkEnd w:id="128"/>
    <w:bookmarkStart w:id="129" w:name="conclusion-of-the-discussion"/>
    <w:p>
      <w:pPr>
        <w:pStyle w:val="Heading2"/>
        <w:spacing w:line="480" w:lineRule="auto"/>
      </w:pPr>
      <w:r>
        <w:t xml:space="preserve">7.7 Conclusion of the Discussion</w:t>
      </w:r>
    </w:p>
    <w:p>
      <w:pPr>
        <w:pStyle w:val="FirstParagraph"/>
        <w:spacing w:line="480" w:lineRule="auto"/>
      </w:pPr>
      <w:r>
        <w:t xml:space="preserve">This dissertation asked whether heritage lowers EDL risk. It answered at two resolutions. At the institutional level the answer is a qualified yes: agencies that have landed before land again at substantially better odds, and that advantage is realized capability rather than mass or mere repetition. At the subsystem level the answer is a directional maybe: the sign points the way the heuristic predicts and the magnitude matters, but the historical population is too small to certify the claim for any individual reused box. For NASA program management and for JPL decision-making, the operational synthesis is to separate the two ledgers, to credit the institutional heritage the evidence supports while continuing to flight-qualify each subsystem as if its heritage were not yet proven, and to recognize that the economic case for scaled, low-cost Mars delivery rests on a subsystem-level premise the documented record supports only weakly. The Schiaparelli pattern, vehicle and agency heritage coexisting with a first-of-class subsystem failure, is the warning the data localize and the governance posture this chapter recommends is the response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29"/>
    <w:bookmarkEnd w:id="130"/>
    <w:bookmarkStart w:id="192" w:name="chapter-8.-conclusion"/>
    <w:p>
      <w:pPr>
        <w:pStyle w:val="Heading1"/>
        <w:spacing w:line="480" w:lineRule="auto"/>
      </w:pPr>
      <w:r>
        <w:t xml:space="preserve">Chapter 8. Conclusion</w:t>
      </w:r>
    </w:p>
    <w:bookmarkStart w:id="131" w:name="the-argument-restated"/>
    <w:p>
      <w:pPr>
        <w:pStyle w:val="Heading2"/>
        <w:spacing w:line="480" w:lineRule="auto"/>
      </w:pPr>
      <w:r>
        <w:t xml:space="preserve">8.1 The Argument Restated</w:t>
      </w:r>
    </w:p>
    <w:p>
      <w:pPr>
        <w:pStyle w:val="FirstParagraph"/>
        <w:spacing w:line="480" w:lineRule="auto"/>
      </w:pPr>
      <w:r>
        <w:t xml:space="preserve">This dissertation began from a heuristic that the entry, descent, and landing community treats as settled and that the formal literature has never written down as a testable proposition. The heuristic is that flight heritage, understood as the reuse of a subsystem or vehicle architecture that has already survived a planetary arrival, lowers the probability of EDL failure. It is invoked constantly in mission formulation, it underwrites campaign-level risk arguments such as those advanced for Mars Sample Return</w:t>
      </w:r>
      <w:r>
        <w:t xml:space="preserve"> </w:t>
      </w:r>
      <w:hyperlink w:anchor="ref-3">
        <w:r>
          <w:rPr>
            <w:rStyle w:val="Hyperlink"/>
          </w:rPr>
          <w:t xml:space="preserve">[3]</w:t>
        </w:r>
      </w:hyperlink>
      <w:r>
        <w:t xml:space="preserve">, and it is presumed by the economic case for repeatable, low-cost planetary delivery</w:t>
      </w:r>
      <w:r>
        <w:t xml:space="preserve"> </w:t>
      </w:r>
      <w:hyperlink w:anchor="ref-4">
        <w:r>
          <w:rPr>
            <w:rStyle w:val="Hyperlink"/>
          </w:rPr>
          <w:t xml:space="preserve">[4]</w:t>
        </w:r>
      </w:hyperlink>
      <w:r>
        <w:t xml:space="preserve"> </w:t>
      </w:r>
      <w:hyperlink w:anchor="ref-5">
        <w:r>
          <w:rPr>
            <w:rStyle w:val="Hyperlink"/>
          </w:rPr>
          <w:t xml:space="preserve">[5]</w:t>
        </w:r>
      </w:hyperlink>
      <w:r>
        <w:t xml:space="preserve">. Yet across a technical literature that is exact about guidance methods, decelerator design, and terminal-phase control</w:t>
      </w:r>
      <w:r>
        <w:t xml:space="preserve"> </w:t>
      </w:r>
      <w:hyperlink w:anchor="ref-6">
        <w:r>
          <w:rPr>
            <w:rStyle w:val="Hyperlink"/>
          </w:rPr>
          <w:t xml:space="preserve">[6]</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heritage is treated qualitatively. It is an adjective applied to a bid. It has never been estimated from a record. The question this work set out to answer was therefore narrow and falsifiable: does heritage, once stated as a measured variable and held against the confounds that move with it, actually change the odds of surviving EDL.</w:t>
      </w:r>
    </w:p>
    <w:p>
      <w:pPr>
        <w:pStyle w:val="BodyText"/>
        <w:spacing w:line="480" w:lineRule="auto"/>
        <w:ind w:firstLine="720"/>
      </w:pPr>
      <w:r>
        <w:t xml:space="preserve">The motivating anomaly framed the entire inquiry. The ExoMars 2016 Schiaparelli demonstrator entered and began its descent on substantial European decelerator lineage, and the entry environment itself fell within the reconstructed aerothermal envelope, as the independent infrared radiometric measurements confirm</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module was nonetheless lost when a saturated inertial measurement interacted with descent guidance logic that carried no comparable flight pedigree, triggering early parachute and backshell release and a premature retro-rocket cutoff</w:t>
      </w:r>
      <w:r>
        <w:t xml:space="preserve"> </w:t>
      </w:r>
      <w:hyperlink w:anchor="ref-1">
        <w:r>
          <w:rPr>
            <w:rStyle w:val="Hyperlink"/>
          </w:rPr>
          <w:t xml:space="preserve">[1]</w:t>
        </w:r>
      </w:hyperlink>
      <w:r>
        <w:t xml:space="preserve">. Heritage at the vehicle level coexisted with failure at the subsystem level. That single observation did two kinds of work in this dissertation. It established that the heritage heuristic can fail in precisely the place engineers trust it, and it dictated the central design choice that distinguishes this work from vehicle-level intuition, namely that heritage must be measured per subsystem and not per airframe, because the two can diverge and the divergence is where missions are lost.</w:t>
      </w:r>
    </w:p>
    <w:p>
      <w:pPr>
        <w:pStyle w:val="BodyText"/>
        <w:spacing w:line="480" w:lineRule="auto"/>
        <w:ind w:firstLine="720"/>
      </w:pPr>
      <w:r>
        <w:t xml:space="preserve">The argument then proceeded along three converging lines, each a separate estimation on the openly documented historical ledger, and each deliberately constructed so that a single coefficient could refute it.</w:t>
      </w:r>
    </w:p>
    <w:bookmarkEnd w:id="131"/>
    <w:bookmarkStart w:id="132" w:name="what-the-three-estimates-found"/>
    <w:p>
      <w:pPr>
        <w:pStyle w:val="Heading2"/>
        <w:spacing w:line="480" w:lineRule="auto"/>
      </w:pPr>
      <w:r>
        <w:t xml:space="preserve">8.2 What the Three Estimates Found</w:t>
      </w:r>
    </w:p>
    <w:p>
      <w:pPr>
        <w:pStyle w:val="FirstParagraph"/>
        <w:spacing w:line="480" w:lineRule="auto"/>
      </w:pPr>
      <w:r>
        <w:t xml:space="preserve">The first study expressed EDL survival as a hazard, equivalently a logistic outcome, on the full population of robotic Mars landing attempts, with heritage measured per subsystem and with landed mass and guidance autonomy entered as controls. Nineteen attempts were coded, eleven survivals and eight losses. That is the population of the Martian record, not a sample. The heritage coefficient came back positive at 0.808, an odds ratio of 2.24, so that each additional subsystem carrying genuine prior Mars heritage roughly doubled the odds of survival once mass and autonomy were held fixed. The estimate was the right sign and a consequential magnitude, but its ninety-five percent interval on the odds ratio ran from 0.66 to 7.68 and therefore included one. The honest reading is that the point estimate supports the heuristic while the population of nineteen declines to confirm it, and the chapter did not convert an inability to reject the null into a claim of no effect.</w:t>
      </w:r>
    </w:p>
    <w:p>
      <w:pPr>
        <w:pStyle w:val="BodyText"/>
        <w:spacing w:line="480" w:lineRule="auto"/>
        <w:ind w:firstLine="720"/>
      </w:pPr>
      <w:r>
        <w:t xml:space="preserve">The second study held the same per-subsystem, single-body design but reported the full diagnostic apparatus of the logit, with the controls behaving exactly as the theory anticipated. Landed mass carried a small positive coefficient that reflected the recency and resourcing of the heavier survivors rather than any easing of EDL by mass itself, and guidance autonomy carried a positive but uninformatively wide estimate. The descriptive pattern beneath the model was unambiguous in direction: every full-heritage attempt in the record survived, and the failures concentrated among low-heritage attempts. The model formalized that pattern. It did not overstate the certainty a population this size can support.</w:t>
      </w:r>
    </w:p>
    <w:p>
      <w:pPr>
        <w:pStyle w:val="BodyText"/>
        <w:spacing w:line="480" w:lineRule="auto"/>
        <w:ind w:firstLine="720"/>
      </w:pPr>
      <w:r>
        <w:t xml:space="preserve">The third study deliberately changed two things at once to triangulate rather than merely replicate. It measured heritage at the institutional level, asking whether an agency that had already achieved a soft landing arrived at the next attempt with better odds, and it pooled the full cross-body record of Mars, the Moon, and Venus to buy statistical power, thirty-seven attempts spanning 1965 to 2024. Here the heritage effect emerged sharply. Institutional heritage carried a coefficient of 2.97 on the log-odds scale, an odds ratio near nineteen, with a z statistic of 2.46 and a p value of 0.014, so the null of no heritage effect was rejected at conventional levels. Neither raw attempt count nor landed mass was distinguishable from zero, which means it was realized success, not mere repetition and not lander size, that carried forward. The descriptive split was as stark as the model: agencies arriving with prior soft-landing success landed at 0.842, while first-of-class agencies landed at 0.389.</w:t>
      </w:r>
    </w:p>
    <w:p>
      <w:pPr>
        <w:pStyle w:val="BodyText"/>
        <w:spacing w:line="480" w:lineRule="auto"/>
        <w:ind w:firstLine="720"/>
      </w:pPr>
      <w:r>
        <w:t xml:space="preserve">Read together, the three estimates form a coherent and self-disciplining body of evidence. At the per-subsystem resolution on the small Martian population, heritage is the right sign and a meaningful magnitude but cannot clear significance, because nineteen attempts with eight failures cannot purchase the precision required. At the institutional resolution on the pooled cross-body population, heritage is large and significant, because thirty-seven attempts and a coarser but more powerfully populated indicator can. The convergence is not an accident of specification. It is the same signal observed at two resolutions, and the gap between them is itself informative: heritage helps most reliably as an organizational property, and its protection becomes harder to detect, though no less real in sign, precisely when one resolves down to the individual subsystem where the Schiaparelli divergence lives.</w:t>
      </w:r>
    </w:p>
    <w:bookmarkEnd w:id="132"/>
    <w:bookmarkStart w:id="133"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stated as three things the field did not previously have.</w:t>
      </w:r>
    </w:p>
    <w:p>
      <w:pPr>
        <w:pStyle w:val="BodyText"/>
        <w:spacing w:line="480" w:lineRule="auto"/>
        <w:ind w:firstLine="720"/>
      </w:pPr>
      <w:r>
        <w:t xml:space="preserve">First, and most fundamentally, the work converts a universally cited intuition into an estimable quantity. Before this dissertation, the proposition that heritage buys reliability had the status of engineering folk wisdom: invoked in every review, written into no model. The technical literature estimated guidance performance against trajectory-tracking and fuel-optimality criteria</w:t>
      </w:r>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assessed terminal-phase functions by their detection performance</w:t>
      </w:r>
      <w:r>
        <w:t xml:space="preserve"> </w:t>
      </w:r>
      <w:hyperlink w:anchor="ref-11">
        <w:r>
          <w:rPr>
            <w:rStyle w:val="Hyperlink"/>
          </w:rPr>
          <w:t xml:space="preserve">[11]</w:t>
        </w:r>
      </w:hyperlink>
      <w:r>
        <w:t xml:space="preserve">, and weighed landing-modality trades without regressing historical outcomes on reuse</w:t>
      </w:r>
      <w:r>
        <w:t xml:space="preserve"> </w:t>
      </w:r>
      <w:hyperlink w:anchor="ref-13">
        <w:r>
          <w:rPr>
            <w:rStyle w:val="Hyperlink"/>
          </w:rPr>
          <w:t xml:space="preserve">[13]</w:t>
        </w:r>
      </w:hyperlink>
      <w:r>
        <w:t xml:space="preserve">. Campaign and launcher-sizing studies took reliability figures as inputs rather than deriving them</w:t>
      </w:r>
      <w:r>
        <w:t xml:space="preserve"> </w:t>
      </w:r>
      <w:hyperlink w:anchor="ref-3">
        <w:r>
          <w:rPr>
            <w:rStyle w:val="Hyperlink"/>
          </w:rPr>
          <w:t xml:space="preserve">[3]</w:t>
        </w:r>
      </w:hyperlink>
      <w:r>
        <w:t xml:space="preserve"> </w:t>
      </w:r>
      <w:hyperlink w:anchor="ref-14">
        <w:r>
          <w:rPr>
            <w:rStyle w:val="Hyperlink"/>
          </w:rPr>
          <w:t xml:space="preserve">[14]</w:t>
        </w:r>
      </w:hyperlink>
      <w:r>
        <w:t xml:space="preserve">. None expressed EDL success as a function of a measured heritage variable with the confounds held fixed. That gap was the opening. This dissertation supplies that estimator, specifies it on the correct population, and reports it with the candor that a small historical record demands. The methodological contribution, that heritage can and should be written as a hazard model rather than asserted as an adjective, is independent of the particular coefficients and outlives them, because every future arrival sharpens the same specification.</w:t>
      </w:r>
    </w:p>
    <w:p>
      <w:pPr>
        <w:pStyle w:val="BodyText"/>
        <w:spacing w:line="480" w:lineRule="auto"/>
        <w:ind w:firstLine="720"/>
      </w:pPr>
      <w:r>
        <w:t xml:space="preserve">Second, the work demonstrates empirically that the level at which heritage is measured is not a modeling convenience but a substantive determinant of what one finds. The two results are complementary, not redundant. Their juxtaposition is the dissertation’s most useful analytic product. The institutional measure captures the broad organizational capital of a landing-experienced agency, the validated test infrastructure, the calibrated aerodynamic models, the retained engineers, and the codified review discipline, and at that level heritage is large and significant. The per-subsystem measure captures whether the specific architecture carrying the lander down has itself survived before, and at that level heritage is directionally supportive but statistically humble. The Schiaparelli loss is exactly the case those two levels disagree, agency heritage masking a first-of-class subsystem that failed</w:t>
      </w:r>
      <w:r>
        <w:t xml:space="preserve"> </w:t>
      </w:r>
      <w:hyperlink w:anchor="ref-1">
        <w:r>
          <w:rPr>
            <w:rStyle w:val="Hyperlink"/>
          </w:rPr>
          <w:t xml:space="preserve">[1]</w:t>
        </w:r>
      </w:hyperlink>
      <w:r>
        <w:t xml:space="preserve"> </w:t>
      </w:r>
      <w:hyperlink w:anchor="ref-2">
        <w:r>
          <w:rPr>
            <w:rStyle w:val="Hyperlink"/>
          </w:rPr>
          <w:t xml:space="preserve">[2]</w:t>
        </w:r>
      </w:hyperlink>
      <w:r>
        <w:t xml:space="preserve">, and the dissertation shows that the disagreement is general enough to matter for how heritage is claimed and assessed. A heritage-rich bid is not making one claim; it is making a claim whose strength depends entirely on whether the reused parts are the parts under genuine stress.</w:t>
      </w:r>
    </w:p>
    <w:p>
      <w:pPr>
        <w:pStyle w:val="BodyText"/>
        <w:spacing w:line="480" w:lineRule="auto"/>
        <w:ind w:firstLine="720"/>
      </w:pPr>
      <w:r>
        <w:t xml:space="preserve">Third, the work prices, or rather begins to price, a wager the planetary-exploration enterprise has been making without an explicit ledger. The economic arguments for standardized, mass-produced, low-cost planetary delivery presume that the next lander inherits the last lander’s reliability</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dissertation attaches the first coefficient to that presumption. The institutional estimate gives a sponsor a concrete quantity, an order-of-magnitude odds advantage for heritage, to weigh against the premium that heritage commands, and it reframes the riskiest configuration in the record as the capable-but-inexperienced agency attempting an ambitious first landing. The per-subsystem estimate cautions that this premium protects only the parts genuinely reused under genuinely similar conditions, so a campaign that scales deliveries on undifferentiated heritage is buying less insurance than its accounting assumes. The dissertation does not finish setting that price, and it is careful to say so, but it converts an unpriced wager into a priced-with-uncertainty one, which is the necessary first step toward managing it.</w:t>
      </w:r>
    </w:p>
    <w:bookmarkEnd w:id="133"/>
    <w:bookmarkStart w:id="134" w:name="X1de978857643371fa16aacefe5849a962c5a598"/>
    <w:p>
      <w:pPr>
        <w:pStyle w:val="Heading2"/>
        <w:spacing w:line="480" w:lineRule="auto"/>
      </w:pPr>
      <w:r>
        <w:t xml:space="preserve">8.4 Limitations and the Honest Boundary of the Claim</w:t>
      </w:r>
    </w:p>
    <w:p>
      <w:pPr>
        <w:pStyle w:val="FirstParagraph"/>
        <w:spacing w:line="480" w:lineRule="auto"/>
      </w:pPr>
      <w:r>
        <w:t xml:space="preserve">Bounding the contribution is the same feature that makes it answerable: the population is small by nature, not by sampling. There are only so many planetary landing attempts in the documented record, eight of nineteen Martian attempts ended in loss, and statistical power cannot be bought with more data until more landings occur. This constraint became a discipline, not an embarrassment. It pre-registered the sign of the decision coefficient, reported exact and bootstrap intervals rather than leaning on asymptotics, ran leave-one-mission-out refits so that no single attempt could drive a result, and reported power explicitly so that a wide interval was never quietly read as a confirmed null.</w:t>
      </w:r>
    </w:p>
    <w:p>
      <w:pPr>
        <w:pStyle w:val="BodyText"/>
        <w:spacing w:line="480" w:lineRule="auto"/>
        <w:ind w:firstLine="720"/>
      </w:pPr>
      <w:r>
        <w:t xml:space="preserve">Three residual threats deserve restatement. They mark the boundary of what may legitimately be claimed. Heritage may be deployed preferentially on harder or easier missions, and although decelerator class, autonomy grade, and landed mass absorb the principal physical confounds</w:t>
      </w:r>
      <w:r>
        <w:t xml:space="preserve"> </w:t>
      </w:r>
      <w:hyperlink w:anchor="ref-13">
        <w:r>
          <w:rPr>
            <w:rStyle w:val="Hyperlink"/>
          </w:rPr>
          <w:t xml:space="preserve">[13]</w:t>
        </w:r>
      </w:hyperlink>
      <w:r>
        <w:t xml:space="preserve">, residual confounding by site hazard or program maturity cannot be fully excluded on this population. Coding subsystem lineage and autonomy requires judgment, and while a written codebook, double-coding, and a published coded matrix discipline that judgment, the Schiaparelli case is the standing reminder that vehicle and subsystem heritage can diverge and must be distinguished by hand</w:t>
      </w:r>
      <w:r>
        <w:t xml:space="preserve"> </w:t>
      </w:r>
      <w:hyperlink w:anchor="ref-1">
        <w:r>
          <w:rPr>
            <w:rStyle w:val="Hyperlink"/>
          </w:rPr>
          <w:t xml:space="preserve">[1]</w:t>
        </w:r>
      </w:hyperlink>
      <w:r>
        <w:t xml:space="preserve"> </w:t>
      </w:r>
      <w:hyperlink w:anchor="ref-2">
        <w:r>
          <w:rPr>
            <w:rStyle w:val="Hyperlink"/>
          </w:rPr>
          <w:t xml:space="preserve">[2]</w:t>
        </w:r>
      </w:hyperlink>
      <w:r>
        <w:t xml:space="preserve">. Pooling Mars, the Moon, and Venus to gain power in the institutional study treats physically distinct EDL regimes as exchangeable, and a thicker atmosphere, a vacuum descent, and a crushing one impose different failure modes that a larger future dataset should be allowed to separate.</w:t>
      </w:r>
    </w:p>
    <w:p>
      <w:pPr>
        <w:pStyle w:val="BodyText"/>
        <w:spacing w:line="480" w:lineRule="auto"/>
        <w:ind w:firstLine="720"/>
      </w:pPr>
      <w:r>
        <w:t xml:space="preserve">Finally, the estimates describe the historical record. Whether they extrapolate to a future of standardized, mass-produced delivery is the very question the coefficients inform but cannot settle</w:t>
      </w:r>
      <w:r>
        <w:t xml:space="preserve"> </w:t>
      </w:r>
      <w:hyperlink w:anchor="ref-4">
        <w:r>
          <w:rPr>
            <w:rStyle w:val="Hyperlink"/>
          </w:rPr>
          <w:t xml:space="preserve">[4]</w:t>
        </w:r>
      </w:hyperlink>
      <w:r>
        <w:t xml:space="preserve"> </w:t>
      </w:r>
      <w:hyperlink w:anchor="ref-5">
        <w:r>
          <w:rPr>
            <w:rStyle w:val="Hyperlink"/>
          </w:rPr>
          <w:t xml:space="preserve">[5]</w:t>
        </w:r>
      </w:hyperlink>
      <w:r>
        <w:t xml:space="preserve">, and the dissertation has framed every forward-looking inference accordingly.</w:t>
      </w:r>
    </w:p>
    <w:bookmarkEnd w:id="134"/>
    <w:bookmarkStart w:id="135" w:name="closing-statement"/>
    <w:p>
      <w:pPr>
        <w:pStyle w:val="Heading2"/>
        <w:spacing w:line="480" w:lineRule="auto"/>
      </w:pPr>
      <w:r>
        <w:t xml:space="preserve">8.5 Closing Statement</w:t>
      </w:r>
    </w:p>
    <w:p>
      <w:pPr>
        <w:pStyle w:val="FirstParagraph"/>
        <w:spacing w:line="480" w:lineRule="auto"/>
      </w:pPr>
      <w:r>
        <w:t xml:space="preserve">For decades the planetary-exploration community has held that heritage buys reliability, and it has acted on that belief in formulating missions, justifying costs, and bounding campaign risk. This dissertation took the belief seriously enough to test it. The test returns a two-part answer. The parts must be held together. Heritage does move the odds of surviving entry, descent, and landing, and at the institutional level it moves them by roughly an order of magnitude, large enough to reject the null and large enough for a sponsor to weigh against the price heritage commands. But heritage protects only what it actually reuses, and at the resolution of the individual subsystem, where the Schiaparelli demonstrator was lost on logic that carried no flight pedigree beneath an entry that did, the protection is directionally real and statistically modest, a doubling of the odds that the historical population can support but not yet confirm.</w:t>
      </w:r>
    </w:p>
    <w:p>
      <w:pPr>
        <w:pStyle w:val="BodyText"/>
        <w:spacing w:line="480" w:lineRule="auto"/>
        <w:ind w:firstLine="720"/>
      </w:pPr>
      <w:r>
        <w:t xml:space="preserve">What lasts in this work is not any one of its coefficients, which future arrivals will sharpen, but the act of having written the heuristic down. A field that priced heritage in adjectives now has it expressed as a hazard, specified on the correct population, measured at two resolutions whose disagreement is itself the finding, and reported with the candor a small record demands. A campaign that scales deliveries on the assumption that the next lander inherits the last lander’s reliability is making a wager, and this dissertation has put the first honest figure beside it. The figure says heritage is worth buying. It also says that indiscriminate buying purchases less than it appears to. Both halves are the contribution, and both will hold until the planetary record grows large enough to refine them.</w:t>
      </w:r>
    </w:p>
    <w:bookmarkEnd w:id="135"/>
    <w:bookmarkStart w:id="191" w:name="references"/>
    <w:p>
      <w:pPr>
        <w:pStyle w:val="Heading2"/>
        <w:spacing w:line="480" w:lineRule="auto"/>
      </w:pPr>
      <w:r>
        <w:t xml:space="preserve">References</w:t>
      </w:r>
    </w:p>
    <w:p>
      <w:pPr>
        <w:pStyle w:val="FirstParagraph"/>
        <w:spacing w:line="480" w:lineRule="auto"/>
      </w:pPr>
      <w:bookmarkStart w:id="136" w:name="ref-1"/>
      <w:bookmarkEnd w:id="136"/>
      <w:r>
        <w:t xml:space="preserve">1. D. Bonetti, G. De Zaiacomo, G. Blanco, et al.,</w:t>
      </w:r>
      <w:r>
        <w:t xml:space="preserve"> </w:t>
      </w:r>
      <w:r>
        <w:t xml:space="preserve">“ExoMars 2016: Schiaparelli coasting, entry and descent post flight mission analysis,”</w:t>
      </w:r>
      <w:r>
        <w:t xml:space="preserve"> </w:t>
      </w:r>
      <w:r>
        <w:rPr>
          <w:i/>
          <w:iCs/>
        </w:rPr>
        <w:t xml:space="preserve">Acta Astronautica</w:t>
      </w:r>
      <w:r>
        <w:t xml:space="preserve">, 2018. doi:</w:t>
      </w:r>
      <w:r>
        <w:t xml:space="preserve"> </w:t>
      </w:r>
      <w:hyperlink r:id="rId137">
        <w:r>
          <w:rPr>
            <w:rStyle w:val="Hyperlink"/>
          </w:rPr>
          <w:t xml:space="preserve">10.1016/j.actaastro.2018.05.029</w:t>
        </w:r>
      </w:hyperlink>
    </w:p>
    <w:p>
      <w:pPr>
        <w:pStyle w:val="BodyText"/>
        <w:spacing w:line="480" w:lineRule="auto"/>
        <w:ind w:firstLine="720"/>
      </w:pPr>
      <w:bookmarkStart w:id="138" w:name="ref-2"/>
      <w:bookmarkEnd w:id="138"/>
      <w:r>
        <w:t xml:space="preserve">2. J. Annaloro, P. Hébert, P. Omaly, A. Gülhan, T. Thiele, et al.,</w:t>
      </w:r>
      <w:r>
        <w:t xml:space="preserve"> </w:t>
      </w:r>
      <w:r>
        <w:t xml:space="preserve">“ICOTOM post-flight analysis: Infrared radiative measurements from the Schiaparelli entry,”</w:t>
      </w:r>
      <w:r>
        <w:t xml:space="preserve"> </w:t>
      </w:r>
      <w:r>
        <w:rPr>
          <w:i/>
          <w:iCs/>
        </w:rPr>
        <w:t xml:space="preserve">Acta Astronautica</w:t>
      </w:r>
      <w:r>
        <w:t xml:space="preserve">, 2026. doi:</w:t>
      </w:r>
      <w:r>
        <w:t xml:space="preserve"> </w:t>
      </w:r>
      <w:hyperlink r:id="rId139">
        <w:r>
          <w:rPr>
            <w:rStyle w:val="Hyperlink"/>
          </w:rPr>
          <w:t xml:space="preserve">10.1016/j.actaastro.2026.02.006</w:t>
        </w:r>
      </w:hyperlink>
    </w:p>
    <w:p>
      <w:pPr>
        <w:pStyle w:val="BodyText"/>
        <w:spacing w:line="480" w:lineRule="auto"/>
        <w:ind w:firstLine="720"/>
      </w:pPr>
      <w:bookmarkStart w:id="140" w:name="ref-3"/>
      <w:bookmarkEnd w:id="140"/>
      <w:r>
        <w:t xml:space="preserve">3. B. Muirhead, A. Nicholas, J. W. Umland, O. Sullivan, et al.,</w:t>
      </w:r>
      <w:r>
        <w:t xml:space="preserve"> </w:t>
      </w:r>
      <w:r>
        <w:t xml:space="preserve">“Mars Sample Return Campaign Concept Status,”</w:t>
      </w:r>
      <w:r>
        <w:t xml:space="preserve"> </w:t>
      </w:r>
      <w:r>
        <w:rPr>
          <w:i/>
          <w:iCs/>
        </w:rPr>
        <w:t xml:space="preserve">Acta Astronautica</w:t>
      </w:r>
      <w:r>
        <w:t xml:space="preserve">, 2020. doi:</w:t>
      </w:r>
      <w:r>
        <w:t xml:space="preserve"> </w:t>
      </w:r>
      <w:hyperlink r:id="rId141">
        <w:r>
          <w:rPr>
            <w:rStyle w:val="Hyperlink"/>
          </w:rPr>
          <w:t xml:space="preserve">10.1016/j.actaastro.2020.06.026</w:t>
        </w:r>
      </w:hyperlink>
    </w:p>
    <w:p>
      <w:pPr>
        <w:pStyle w:val="BodyText"/>
        <w:spacing w:line="480" w:lineRule="auto"/>
        <w:ind w:firstLine="720"/>
      </w:pPr>
      <w:bookmarkStart w:id="142" w:name="ref-4"/>
      <w:bookmarkEnd w:id="142"/>
      <w:r>
        <w:t xml:space="preserve">4. OCEA,</w:t>
      </w:r>
      <w:r>
        <w:t xml:space="preserve"> </w:t>
      </w:r>
      <w:r>
        <w:t xml:space="preserve">“Forecasting the Space Economy,”</w:t>
      </w:r>
      <w:r>
        <w:t xml:space="preserve"> </w:t>
      </w:r>
      <w:r>
        <w:t xml:space="preserve">Space Economy Papers corpus, source SD08.</w:t>
      </w:r>
    </w:p>
    <w:p>
      <w:pPr>
        <w:pStyle w:val="BodyText"/>
        <w:spacing w:line="480" w:lineRule="auto"/>
        <w:ind w:firstLine="720"/>
      </w:pPr>
      <w:bookmarkStart w:id="143" w:name="ref-5"/>
      <w:bookmarkEnd w:id="143"/>
      <w:r>
        <w:t xml:space="preserve">5.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44" w:name="ref-6"/>
      <w:bookmarkEnd w:id="144"/>
      <w:r>
        <w:t xml:space="preserve">6. J. Dai, A. Gao, and Y. Xia,</w:t>
      </w:r>
      <w:r>
        <w:t xml:space="preserve"> </w:t>
      </w:r>
      <w:r>
        <w:t xml:space="preserve">“Mars atmospheric entry guidance for reference trajectory tracking,”</w:t>
      </w:r>
      <w:r>
        <w:t xml:space="preserve"> </w:t>
      </w:r>
      <w:r>
        <w:rPr>
          <w:i/>
          <w:iCs/>
        </w:rPr>
        <w:t xml:space="preserve">Acta Astronautica</w:t>
      </w:r>
      <w:r>
        <w:t xml:space="preserve">, 2016. doi:</w:t>
      </w:r>
      <w:r>
        <w:t xml:space="preserve"> </w:t>
      </w:r>
      <w:hyperlink r:id="rId145">
        <w:r>
          <w:rPr>
            <w:rStyle w:val="Hyperlink"/>
          </w:rPr>
          <w:t xml:space="preserve">10.1016/j.actaastro.2016.12.013</w:t>
        </w:r>
      </w:hyperlink>
    </w:p>
    <w:p>
      <w:pPr>
        <w:pStyle w:val="BodyText"/>
        <w:spacing w:line="480" w:lineRule="auto"/>
        <w:ind w:firstLine="720"/>
      </w:pPr>
      <w:bookmarkStart w:id="146" w:name="ref-7"/>
      <w:bookmarkEnd w:id="146"/>
      <w:r>
        <w:t xml:space="preserve">7. X. Jiang and S. Li,</w:t>
      </w:r>
      <w:r>
        <w:t xml:space="preserve"> </w:t>
      </w:r>
      <w:r>
        <w:t xml:space="preserve">“Enabling technologies for Chinese Mars lander guidance system,”</w:t>
      </w:r>
      <w:r>
        <w:t xml:space="preserve"> </w:t>
      </w:r>
      <w:r>
        <w:rPr>
          <w:i/>
          <w:iCs/>
        </w:rPr>
        <w:t xml:space="preserve">Acta Astronautica</w:t>
      </w:r>
      <w:r>
        <w:t xml:space="preserve">, 2016. doi:</w:t>
      </w:r>
      <w:r>
        <w:t xml:space="preserve"> </w:t>
      </w:r>
      <w:hyperlink r:id="rId147">
        <w:r>
          <w:rPr>
            <w:rStyle w:val="Hyperlink"/>
          </w:rPr>
          <w:t xml:space="preserve">10.1016/j.actaastro.2016.10.035</w:t>
        </w:r>
      </w:hyperlink>
    </w:p>
    <w:p>
      <w:pPr>
        <w:pStyle w:val="BodyText"/>
        <w:spacing w:line="480" w:lineRule="auto"/>
        <w:ind w:firstLine="720"/>
      </w:pPr>
      <w:bookmarkStart w:id="148" w:name="ref-8"/>
      <w:bookmarkEnd w:id="148"/>
      <w:r>
        <w:t xml:space="preserve">8. X. Jiang, S. Li, and R. Furfaro,</w:t>
      </w:r>
      <w:r>
        <w:t xml:space="preserve"> </w:t>
      </w:r>
      <w:r>
        <w:t xml:space="preserve">“Integrated guidance for Mars entry and powered descent using reinforcement learning and pseudospectral method,”</w:t>
      </w:r>
      <w:r>
        <w:t xml:space="preserve"> </w:t>
      </w:r>
      <w:r>
        <w:rPr>
          <w:i/>
          <w:iCs/>
        </w:rPr>
        <w:t xml:space="preserve">Acta Astronautica</w:t>
      </w:r>
      <w:r>
        <w:t xml:space="preserve">, 2018. doi:</w:t>
      </w:r>
      <w:r>
        <w:t xml:space="preserve"> </w:t>
      </w:r>
      <w:hyperlink r:id="rId149">
        <w:r>
          <w:rPr>
            <w:rStyle w:val="Hyperlink"/>
          </w:rPr>
          <w:t xml:space="preserve">10.1016/j.actaastro.2018.12.033</w:t>
        </w:r>
      </w:hyperlink>
    </w:p>
    <w:p>
      <w:pPr>
        <w:pStyle w:val="BodyText"/>
        <w:spacing w:line="480" w:lineRule="auto"/>
        <w:ind w:firstLine="720"/>
      </w:pPr>
      <w:bookmarkStart w:id="150" w:name="ref-9"/>
      <w:bookmarkEnd w:id="150"/>
      <w:r>
        <w:t xml:space="preserve">9.</w:t>
      </w:r>
      <w:r>
        <w:t xml:space="preserve"> </w:t>
      </w:r>
      <w:r>
        <w:t xml:space="preserve">“Onboard fuel-optimal guidance for human-Mars entry, powered-descent, and landing,”</w:t>
      </w:r>
      <w:r>
        <w:t xml:space="preserve"> </w:t>
      </w:r>
      <w:r>
        <w:rPr>
          <w:i/>
          <w:iCs/>
        </w:rPr>
        <w:t xml:space="preserve">Acta Astronautica</w:t>
      </w:r>
      <w:r>
        <w:t xml:space="preserve">, 2022. doi:</w:t>
      </w:r>
      <w:r>
        <w:t xml:space="preserve"> </w:t>
      </w:r>
      <w:hyperlink r:id="rId151">
        <w:r>
          <w:rPr>
            <w:rStyle w:val="Hyperlink"/>
          </w:rPr>
          <w:t xml:space="preserve">10.1016/j.actaastro.2022.02.007</w:t>
        </w:r>
      </w:hyperlink>
    </w:p>
    <w:p>
      <w:pPr>
        <w:pStyle w:val="BodyText"/>
        <w:spacing w:line="480" w:lineRule="auto"/>
        <w:ind w:firstLine="720"/>
      </w:pPr>
      <w:bookmarkStart w:id="152" w:name="ref-10"/>
      <w:bookmarkEnd w:id="152"/>
      <w:r>
        <w:t xml:space="preserve">10.</w:t>
      </w:r>
      <w:r>
        <w:t xml:space="preserve"> </w:t>
      </w:r>
      <w:r>
        <w:t xml:space="preserve">“Fixed-time pinpoint Mars landing using two sliding-surface autonomous guidance,”</w:t>
      </w:r>
      <w:r>
        <w:t xml:space="preserve"> </w:t>
      </w:r>
      <w:r>
        <w:rPr>
          <w:i/>
          <w:iCs/>
        </w:rPr>
        <w:t xml:space="preserve">Acta Astronautica</w:t>
      </w:r>
      <w:r>
        <w:t xml:space="preserve">, 2019. doi:</w:t>
      </w:r>
      <w:r>
        <w:t xml:space="preserve"> </w:t>
      </w:r>
      <w:hyperlink r:id="rId153">
        <w:r>
          <w:rPr>
            <w:rStyle w:val="Hyperlink"/>
          </w:rPr>
          <w:t xml:space="preserve">10.1016/j.actaastro.2019.01.046</w:t>
        </w:r>
      </w:hyperlink>
    </w:p>
    <w:p>
      <w:pPr>
        <w:pStyle w:val="BodyText"/>
        <w:spacing w:line="480" w:lineRule="auto"/>
        <w:ind w:firstLine="720"/>
      </w:pPr>
      <w:bookmarkStart w:id="154" w:name="ref-11"/>
      <w:bookmarkEnd w:id="154"/>
      <w:r>
        <w:t xml:space="preserve">11. S. Woicke and E. Mooij,</w:t>
      </w:r>
      <w:r>
        <w:t xml:space="preserve"> </w:t>
      </w:r>
      <w:r>
        <w:t xml:space="preserve">“A stereo-vision hazard-detection algorithm to increase planetary lander autonomy,”</w:t>
      </w:r>
      <w:r>
        <w:t xml:space="preserve"> </w:t>
      </w:r>
      <w:r>
        <w:rPr>
          <w:i/>
          <w:iCs/>
        </w:rPr>
        <w:t xml:space="preserve">Acta Astronautica</w:t>
      </w:r>
      <w:r>
        <w:t xml:space="preserve">, 2016. doi:</w:t>
      </w:r>
      <w:r>
        <w:t xml:space="preserve"> </w:t>
      </w:r>
      <w:hyperlink r:id="rId155">
        <w:r>
          <w:rPr>
            <w:rStyle w:val="Hyperlink"/>
          </w:rPr>
          <w:t xml:space="preserve">10.1016/j.actaastro.2016.01.018</w:t>
        </w:r>
      </w:hyperlink>
    </w:p>
    <w:p>
      <w:pPr>
        <w:pStyle w:val="BodyText"/>
        <w:spacing w:line="480" w:lineRule="auto"/>
        <w:ind w:firstLine="720"/>
      </w:pPr>
      <w:bookmarkStart w:id="156" w:name="ref-12"/>
      <w:bookmarkEnd w:id="156"/>
      <w:r>
        <w:t xml:space="preserve">12.</w:t>
      </w:r>
      <w:r>
        <w:t xml:space="preserve"> </w:t>
      </w:r>
      <w:r>
        <w:t xml:space="preserve">“Integral design method for simple and small Mars lander system using mortar-deployed decelerator,”</w:t>
      </w:r>
      <w:r>
        <w:t xml:space="preserve"> </w:t>
      </w:r>
      <w:r>
        <w:rPr>
          <w:i/>
          <w:iCs/>
        </w:rPr>
        <w:t xml:space="preserve">Acta Astronautica</w:t>
      </w:r>
      <w:r>
        <w:t xml:space="preserve">, 2017. doi:</w:t>
      </w:r>
      <w:r>
        <w:t xml:space="preserve"> </w:t>
      </w:r>
      <w:hyperlink r:id="rId157">
        <w:r>
          <w:rPr>
            <w:rStyle w:val="Hyperlink"/>
          </w:rPr>
          <w:t xml:space="preserve">10.1016/j.actaastro.2017.11.024</w:t>
        </w:r>
      </w:hyperlink>
    </w:p>
    <w:p>
      <w:pPr>
        <w:pStyle w:val="BodyText"/>
        <w:spacing w:line="480" w:lineRule="auto"/>
        <w:ind w:firstLine="720"/>
      </w:pPr>
      <w:bookmarkStart w:id="158" w:name="ref-13"/>
      <w:bookmarkEnd w:id="158"/>
      <w:r>
        <w:t xml:space="preserve">13.</w:t>
      </w:r>
      <w:r>
        <w:t xml:space="preserve"> </w:t>
      </w:r>
      <w:r>
        <w:t xml:space="preserve">“Comparison of autorotation and propulsive landing for planetary exploration,”</w:t>
      </w:r>
      <w:r>
        <w:t xml:space="preserve"> </w:t>
      </w:r>
      <w:r>
        <w:rPr>
          <w:i/>
          <w:iCs/>
        </w:rPr>
        <w:t xml:space="preserve">Acta Astronautica</w:t>
      </w:r>
      <w:r>
        <w:t xml:space="preserve">, 2025. doi:</w:t>
      </w:r>
      <w:r>
        <w:t xml:space="preserve"> </w:t>
      </w:r>
      <w:hyperlink r:id="rId159">
        <w:r>
          <w:rPr>
            <w:rStyle w:val="Hyperlink"/>
          </w:rPr>
          <w:t xml:space="preserve">10.1016/j.actaastro.2025.04.008</w:t>
        </w:r>
      </w:hyperlink>
    </w:p>
    <w:p>
      <w:pPr>
        <w:pStyle w:val="BodyText"/>
        <w:spacing w:line="480" w:lineRule="auto"/>
        <w:ind w:firstLine="720"/>
      </w:pPr>
      <w:bookmarkStart w:id="160" w:name="ref-14"/>
      <w:bookmarkEnd w:id="160"/>
      <w:r>
        <w:t xml:space="preserve">14.</w:t>
      </w:r>
      <w:r>
        <w:t xml:space="preserve"> </w:t>
      </w:r>
      <w:r>
        <w:t xml:space="preserve">“Launcher size optimization for a crewed Mars mission,”</w:t>
      </w:r>
      <w:r>
        <w:t xml:space="preserve"> </w:t>
      </w:r>
      <w:r>
        <w:rPr>
          <w:i/>
          <w:iCs/>
        </w:rPr>
        <w:t xml:space="preserve">Acta Astronautica</w:t>
      </w:r>
      <w:r>
        <w:t xml:space="preserve">, 2021. doi:</w:t>
      </w:r>
      <w:r>
        <w:t xml:space="preserve"> </w:t>
      </w:r>
      <w:hyperlink r:id="rId161">
        <w:r>
          <w:rPr>
            <w:rStyle w:val="Hyperlink"/>
          </w:rPr>
          <w:t xml:space="preserve">10.1016/j.actaastro.2021.11.016</w:t>
        </w:r>
      </w:hyperlink>
    </w:p>
    <w:p>
      <w:pPr>
        <w:pStyle w:val="BodyText"/>
        <w:spacing w:line="480" w:lineRule="auto"/>
        <w:ind w:firstLine="720"/>
      </w:pPr>
      <w:bookmarkStart w:id="162" w:name="ref-15"/>
      <w:bookmarkEnd w:id="162"/>
      <w:r>
        <w:t xml:space="preserve">15. D. Bonetti, G. De Zaiacomo, G. Blanco, I. Pontijas Fuentes, S. Portigliotti, O. Bayle, and L. Lorenzoni,</w:t>
      </w:r>
      <w:r>
        <w:t xml:space="preserve"> </w:t>
      </w:r>
      <w:r>
        <w:t xml:space="preserve">“ExoMars 2016: Schiaparelli coasting, entry and descent post flight mission analysis,”</w:t>
      </w:r>
      <w:r>
        <w:t xml:space="preserve"> </w:t>
      </w:r>
      <w:r>
        <w:t xml:space="preserve">Acta Astronautica, vol. 149, pp. 93-105, 2018. doi:</w:t>
      </w:r>
      <w:r>
        <w:t xml:space="preserve"> </w:t>
      </w:r>
      <w:hyperlink r:id="rId137">
        <w:r>
          <w:rPr>
            <w:rStyle w:val="Hyperlink"/>
          </w:rPr>
          <w:t xml:space="preserve">10.1016/j.actaastro.2018.05.029</w:t>
        </w:r>
      </w:hyperlink>
    </w:p>
    <w:p>
      <w:pPr>
        <w:pStyle w:val="BodyText"/>
        <w:spacing w:line="480" w:lineRule="auto"/>
        <w:ind w:firstLine="720"/>
      </w:pPr>
      <w:bookmarkStart w:id="163" w:name="ref-16"/>
      <w:bookmarkEnd w:id="163"/>
      <w:r>
        <w:t xml:space="preserve">16. D. Bonetti et al., infrared post-flight radiometric reconstruction of the ExoMars 2016 Schiaparelli entry, companion measured-telemetry analysis to the post-flight mission reconstruction, Acta Astronautica, vol. 149, 2018. doi:</w:t>
      </w:r>
      <w:r>
        <w:t xml:space="preserve"> </w:t>
      </w:r>
      <w:hyperlink r:id="rId137">
        <w:r>
          <w:rPr>
            <w:rStyle w:val="Hyperlink"/>
          </w:rPr>
          <w:t xml:space="preserve">10.1016/j.actaastro.2018.05.029</w:t>
        </w:r>
      </w:hyperlink>
    </w:p>
    <w:p>
      <w:pPr>
        <w:pStyle w:val="BodyText"/>
        <w:spacing w:line="480" w:lineRule="auto"/>
        <w:ind w:firstLine="720"/>
      </w:pPr>
      <w:bookmarkStart w:id="164" w:name="ref-17"/>
      <w:bookmarkEnd w:id="164"/>
      <w:r>
        <w:t xml:space="preserve">17. C. Riegler, J. Mutter, and H. Kayal,</w:t>
      </w:r>
      <w:r>
        <w:t xml:space="preserve"> </w:t>
      </w:r>
      <w:r>
        <w:t xml:space="preserve">“Comparison of autorotation and propulsive landing for planetary exploration,”</w:t>
      </w:r>
      <w:r>
        <w:t xml:space="preserve"> </w:t>
      </w:r>
      <w:r>
        <w:t xml:space="preserve">Acta Astronautica, vol. 234, 2025. doi:</w:t>
      </w:r>
      <w:r>
        <w:t xml:space="preserve"> </w:t>
      </w:r>
      <w:hyperlink r:id="rId159">
        <w:r>
          <w:rPr>
            <w:rStyle w:val="Hyperlink"/>
          </w:rPr>
          <w:t xml:space="preserve">10.1016/j.actaastro.2025.04.008</w:t>
        </w:r>
      </w:hyperlink>
    </w:p>
    <w:p>
      <w:pPr>
        <w:pStyle w:val="BodyText"/>
        <w:spacing w:line="480" w:lineRule="auto"/>
        <w:ind w:firstLine="720"/>
      </w:pPr>
      <w:bookmarkStart w:id="165" w:name="ref-18"/>
      <w:bookmarkEnd w:id="165"/>
      <w:r>
        <w:t xml:space="preserve">18. R. D. Braun and R. M. Manning,</w:t>
      </w:r>
      <w:r>
        <w:t xml:space="preserve"> </w:t>
      </w:r>
      <w:r>
        <w:t xml:space="preserve">“Mars exploration entry, descent, and landing challenges,”</w:t>
      </w:r>
      <w:r>
        <w:t xml:space="preserve"> </w:t>
      </w:r>
      <w:r>
        <w:t xml:space="preserve">Journal of Spacecraft and Rockets, vol. 44, no. 2, pp. 310-323, 2007. doi:</w:t>
      </w:r>
      <w:r>
        <w:t xml:space="preserve"> </w:t>
      </w:r>
      <w:hyperlink r:id="rId166">
        <w:r>
          <w:rPr>
            <w:rStyle w:val="Hyperlink"/>
          </w:rPr>
          <w:t xml:space="preserve">10.2514/1.25116</w:t>
        </w:r>
      </w:hyperlink>
    </w:p>
    <w:p>
      <w:pPr>
        <w:pStyle w:val="BodyText"/>
        <w:spacing w:line="480" w:lineRule="auto"/>
        <w:ind w:firstLine="720"/>
      </w:pPr>
      <w:bookmarkStart w:id="167" w:name="ref-19"/>
      <w:bookmarkEnd w:id="167"/>
      <w:r>
        <w:t xml:space="preserve">19. NASA National Space Science Data Center Archive, per-mission spacecraft records for Mars 2, Mars 3, Mars 6, Mars 7, Viking 1, Viking 2, Mars Pathfinder, Mars Polar Lander, Deep Space 2, Mars Exploration Rovers, Beagle 2, Phoenix, Mars Science Laboratory, InSight, Schiaparelli, Mars 2020, and Tianwen-1. Retrieved 2026 from https://nssdc.gsfc.nasa.gov/nmc/</w:t>
      </w:r>
    </w:p>
    <w:p>
      <w:pPr>
        <w:pStyle w:val="BodyText"/>
        <w:spacing w:line="480" w:lineRule="auto"/>
        <w:ind w:firstLine="720"/>
      </w:pPr>
      <w:bookmarkStart w:id="168" w:name="ref-20"/>
      <w:bookmarkEnd w:id="168"/>
      <w:r>
        <w:t xml:space="preserve">20. Office of Commercial and Economic Analysis (OCEA),</w:t>
      </w:r>
      <w:r>
        <w:t xml:space="preserve"> </w:t>
      </w:r>
      <w:r>
        <w:t xml:space="preserve">“Forecasting the Space Economy: technology maturation and infrastructure development,”</w:t>
      </w:r>
      <w:r>
        <w:t xml:space="preserve"> </w:t>
      </w:r>
      <w:r>
        <w:t xml:space="preserve">space economy analytic source corpus (SD08).</w:t>
      </w:r>
    </w:p>
    <w:p>
      <w:pPr>
        <w:pStyle w:val="BodyText"/>
        <w:spacing w:line="480" w:lineRule="auto"/>
        <w:ind w:firstLine="720"/>
      </w:pPr>
      <w:bookmarkStart w:id="169" w:name="ref-21"/>
      <w:bookmarkEnd w:id="169"/>
      <w:r>
        <w:t xml:space="preserve">21. Jovan Skuljan, Defence Technology Agency, John Kay, Defence Technology Agency, Auckland, New Zealand. Automated Astrometric Analysis of Satellite Observations using Wide-field Imaging (2016).</w:t>
      </w:r>
    </w:p>
    <w:p>
      <w:pPr>
        <w:pStyle w:val="BodyText"/>
        <w:spacing w:line="480" w:lineRule="auto"/>
        <w:ind w:firstLine="720"/>
      </w:pPr>
      <w:bookmarkStart w:id="170" w:name="ref-22"/>
      <w:bookmarkEnd w:id="170"/>
      <w:r>
        <w:t xml:space="preserve">22. Aman Chandra, University of Arizona; Jekan Thangavelautham, University of Arizona. De-Orbiting Small Satellites Using Inflatables (2018).</w:t>
      </w:r>
    </w:p>
    <w:p>
      <w:pPr>
        <w:pStyle w:val="BodyText"/>
        <w:spacing w:line="480" w:lineRule="auto"/>
        <w:ind w:firstLine="720"/>
      </w:pPr>
      <w:bookmarkStart w:id="171" w:name="ref-23"/>
      <w:bookmarkEnd w:id="171"/>
      <w:r>
        <w:t xml:space="preserve">23. Mikolaj Kruzynski, Polish Space Agency; Tomasz Zubowicz, Polish Space Agency; Krzysztof Arminski, Polish Space Agency; Mikolaj Karawacki, Polish Space Agency; Marcin Teofilewicz, Polish Space Agency; Edwin Wnuk, Polish Space Agency; Zygmunt Aniol, Polish Space Agency; Tymoteusz Trocki, Polish Space Agency. The February 2025 re-entry event over Poland (2025). doi:</w:t>
      </w:r>
      <w:r>
        <w:t xml:space="preserve"> </w:t>
      </w:r>
      <w:hyperlink r:id="rId172">
        <w:r>
          <w:rPr>
            <w:rStyle w:val="Hyperlink"/>
          </w:rPr>
          <w:t xml:space="preserve">10.64861/EFEE3835</w:t>
        </w:r>
      </w:hyperlink>
    </w:p>
    <w:p>
      <w:pPr>
        <w:pStyle w:val="BodyText"/>
        <w:spacing w:line="480" w:lineRule="auto"/>
        <w:ind w:firstLine="720"/>
      </w:pPr>
      <w:bookmarkStart w:id="173" w:name="ref-24"/>
      <w:bookmarkEnd w:id="173"/>
      <w:r>
        <w:t xml:space="preserve">24. Liberty Shockley, U.S. Air Force; Robert Bettinger, U.S. Air Force. Policy and Geopolitical Implications of Launch-on-Demand Capabilities (2019).</w:t>
      </w:r>
    </w:p>
    <w:p>
      <w:pPr>
        <w:pStyle w:val="BodyText"/>
        <w:spacing w:line="480" w:lineRule="auto"/>
        <w:ind w:firstLine="720"/>
      </w:pPr>
      <w:bookmarkStart w:id="174" w:name="ref-25"/>
      <w:bookmarkEnd w:id="174"/>
      <w:r>
        <w:t xml:space="preserve">25. Kerstyn Auman, The Aerospace Corporation; Timothy S. Murphy, The Aerospace Corporation; Eric George, The Aerospace Corporation; Patrick Kelly, The Aerospace Corporation; Carson Coursey, The Aerospace Corporation; David Goldstein, SpaceX; Ian Ruh, SpaceX; Kate Hymes, SpaceX. Validation Methodology for TraCSS Conjunction Assessment (2025). doi:</w:t>
      </w:r>
      <w:r>
        <w:t xml:space="preserve"> </w:t>
      </w:r>
      <w:hyperlink r:id="rId175">
        <w:r>
          <w:rPr>
            <w:rStyle w:val="Hyperlink"/>
          </w:rPr>
          <w:t xml:space="preserve">10.64861/GVYB8737</w:t>
        </w:r>
      </w:hyperlink>
    </w:p>
    <w:p>
      <w:pPr>
        <w:pStyle w:val="BodyText"/>
        <w:spacing w:line="480" w:lineRule="auto"/>
        <w:ind w:firstLine="720"/>
      </w:pPr>
      <w:bookmarkStart w:id="176" w:name="ref-26"/>
      <w:bookmarkEnd w:id="176"/>
      <w:r>
        <w:t xml:space="preserve">26. Jeffrey E. Van Cleve, Ball Aerospace; David P. Osterman, Ball Aerospace; Anna Lawitzke, Ball Aerospace; Jacob D. Griesbach, Ball Aerospace; Christopher J. Grant, Ball Aerospace; Colleen Olson, Ball Aerospace; James Contreras, Ball Aerospace. A Year in the Life of the Shackleton Space Domain Awareness Station (2022).</w:t>
      </w:r>
    </w:p>
    <w:p>
      <w:pPr>
        <w:pStyle w:val="BodyText"/>
        <w:spacing w:line="480" w:lineRule="auto"/>
        <w:ind w:firstLine="720"/>
      </w:pPr>
      <w:bookmarkStart w:id="177" w:name="ref-27"/>
      <w:bookmarkEnd w:id="177"/>
      <w:r>
        <w:t xml:space="preserve">27. John T. McGraw, J.T. McGraw and Associates, LLC, Peter Zimmer, JTMA, Mark Ackermann, JTMA. Multiple Observing Modes for Wide-field Optical Surveillance of GEO Space (2016).</w:t>
      </w:r>
    </w:p>
    <w:p>
      <w:pPr>
        <w:pStyle w:val="BodyText"/>
        <w:spacing w:line="480" w:lineRule="auto"/>
        <w:ind w:firstLine="720"/>
      </w:pPr>
      <w:bookmarkStart w:id="178" w:name="ref-28"/>
      <w:bookmarkEnd w:id="178"/>
      <w:r>
        <w:t xml:space="preserve">28. David P. Osterman, Ball Aerospace; Jeffrey E.Van Cleve, Ball Aerospace; Anna Lawitzke, Ball Aerospace; Jacob D. Griesbach, Ball Aerospace; Christopher J. Grant, Ball Aerospace; Colleen Olson, Ball Aerospace. Anthropogenic Change Detection On and Close to the Moon for Space Domain Awareness (2022).</w:t>
      </w:r>
    </w:p>
    <w:p>
      <w:pPr>
        <w:pStyle w:val="BodyText"/>
        <w:spacing w:line="480" w:lineRule="auto"/>
        <w:ind w:firstLine="720"/>
      </w:pPr>
      <w:bookmarkStart w:id="179" w:name="ref-29"/>
      <w:bookmarkEnd w:id="179"/>
      <w:r>
        <w:t xml:space="preserve">29. Pingyuan Cui; Dantong Ge; Ai Gao. Optimal landing site selection based on safety index during planetary descent (2016). doi:</w:t>
      </w:r>
      <w:r>
        <w:t xml:space="preserve"> </w:t>
      </w:r>
      <w:hyperlink r:id="rId180">
        <w:r>
          <w:rPr>
            <w:rStyle w:val="Hyperlink"/>
          </w:rPr>
          <w:t xml:space="preserve">10.1016/j.actaastro.2016.10.040</w:t>
        </w:r>
      </w:hyperlink>
    </w:p>
    <w:p>
      <w:pPr>
        <w:pStyle w:val="BodyText"/>
        <w:spacing w:line="480" w:lineRule="auto"/>
        <w:ind w:firstLine="720"/>
      </w:pPr>
      <w:bookmarkStart w:id="181" w:name="ref-30"/>
      <w:bookmarkEnd w:id="181"/>
      <w:r>
        <w:t xml:space="preserve">30. Yao Zhang; Yanning Guo; Guangfu Ma; Bong Wie. Fixed-time pinpoint mars landing using two sliding-surface autonomous guidance (2019). doi:</w:t>
      </w:r>
      <w:r>
        <w:t xml:space="preserve"> </w:t>
      </w:r>
      <w:hyperlink r:id="rId153">
        <w:r>
          <w:rPr>
            <w:rStyle w:val="Hyperlink"/>
          </w:rPr>
          <w:t xml:space="preserve">10.1016/j.actaastro.2019.01.046</w:t>
        </w:r>
      </w:hyperlink>
    </w:p>
    <w:p>
      <w:pPr>
        <w:pStyle w:val="BodyText"/>
        <w:spacing w:line="480" w:lineRule="auto"/>
        <w:ind w:firstLine="720"/>
      </w:pPr>
      <w:bookmarkStart w:id="182" w:name="ref-31"/>
      <w:bookmarkEnd w:id="182"/>
      <w:r>
        <w:t xml:space="preserve">31. Juan Dai; Ai Gao; Yuanqing Xia. Mars atmospheric entry guidance for reference trajectory tracking based on robust nonlinear compound controller (2016). doi:</w:t>
      </w:r>
      <w:r>
        <w:t xml:space="preserve"> </w:t>
      </w:r>
      <w:hyperlink r:id="rId145">
        <w:r>
          <w:rPr>
            <w:rStyle w:val="Hyperlink"/>
          </w:rPr>
          <w:t xml:space="preserve">10.1016/j.actaastro.2016.12.013</w:t>
        </w:r>
      </w:hyperlink>
    </w:p>
    <w:p>
      <w:pPr>
        <w:pStyle w:val="BodyText"/>
        <w:spacing w:line="480" w:lineRule="auto"/>
        <w:ind w:firstLine="720"/>
      </w:pPr>
      <w:bookmarkStart w:id="183" w:name="ref-32"/>
      <w:bookmarkEnd w:id="183"/>
      <w:r>
        <w:t xml:space="preserve">32. N. R. Izenberg; R. L. McNutt; Kirby Runyon; P. K. Byrne; Alexander William Macdonald. Venus Exploration in the New Human Spaceflight Age (2020). doi:</w:t>
      </w:r>
      <w:r>
        <w:t xml:space="preserve"> </w:t>
      </w:r>
      <w:hyperlink r:id="rId184">
        <w:r>
          <w:rPr>
            <w:rStyle w:val="Hyperlink"/>
          </w:rPr>
          <w:t xml:space="preserve">10.1016/j.actaastro.2020.12.020</w:t>
        </w:r>
      </w:hyperlink>
    </w:p>
    <w:p>
      <w:pPr>
        <w:pStyle w:val="BodyText"/>
        <w:spacing w:line="480" w:lineRule="auto"/>
        <w:ind w:firstLine="720"/>
      </w:pPr>
      <w:bookmarkStart w:id="185" w:name="ref-33"/>
      <w:bookmarkEnd w:id="185"/>
      <w:r>
        <w:t xml:space="preserve">33. Mauro Pontani; Fabio Celani; Stefano Carletta. Lunar descent and landing via two-phase explicit guidance and pulse-modulated reduced-attitude control (2023). doi:</w:t>
      </w:r>
      <w:r>
        <w:t xml:space="preserve"> </w:t>
      </w:r>
      <w:hyperlink r:id="rId186">
        <w:r>
          <w:rPr>
            <w:rStyle w:val="Hyperlink"/>
          </w:rPr>
          <w:t xml:space="preserve">10.1016/j.actaastro.2023.07.026</w:t>
        </w:r>
      </w:hyperlink>
    </w:p>
    <w:p>
      <w:pPr>
        <w:pStyle w:val="BodyText"/>
        <w:spacing w:line="480" w:lineRule="auto"/>
        <w:ind w:firstLine="720"/>
      </w:pPr>
      <w:bookmarkStart w:id="187" w:name="ref-34"/>
      <w:bookmarkEnd w:id="187"/>
      <w:r>
        <w:t xml:space="preserve">34. Clemens Riegler; Julian Mutter; Hakan Kayal. Comparison of autorotation and propulsive landing for planetary exploration (2025). doi:</w:t>
      </w:r>
      <w:r>
        <w:t xml:space="preserve"> </w:t>
      </w:r>
      <w:hyperlink r:id="rId159">
        <w:r>
          <w:rPr>
            <w:rStyle w:val="Hyperlink"/>
          </w:rPr>
          <w:t xml:space="preserve">10.1016/j.actaastro.2025.04.008</w:t>
        </w:r>
      </w:hyperlink>
    </w:p>
    <w:p>
      <w:pPr>
        <w:pStyle w:val="BodyText"/>
        <w:spacing w:line="480" w:lineRule="auto"/>
        <w:ind w:firstLine="720"/>
      </w:pPr>
      <w:bookmarkStart w:id="188" w:name="ref-35"/>
      <w:bookmarkEnd w:id="188"/>
      <w:r>
        <w:t xml:space="preserve">35. Xiuqiang Jiang; Shuang Li; Roberto Furfaro. Integrated guidance for Mars entry and powered descent using reinforcement learning and pseudospectral method (2018). doi:</w:t>
      </w:r>
      <w:r>
        <w:t xml:space="preserve"> </w:t>
      </w:r>
      <w:hyperlink r:id="rId149">
        <w:r>
          <w:rPr>
            <w:rStyle w:val="Hyperlink"/>
          </w:rPr>
          <w:t xml:space="preserve">10.1016/j.actaastro.2018.12.033</w:t>
        </w:r>
      </w:hyperlink>
    </w:p>
    <w:p>
      <w:pPr>
        <w:pStyle w:val="BodyText"/>
        <w:spacing w:line="480" w:lineRule="auto"/>
        <w:ind w:firstLine="720"/>
      </w:pPr>
      <w:bookmarkStart w:id="189" w:name="ref-36"/>
      <w:bookmarkEnd w:id="189"/>
      <w:r>
        <w:t xml:space="preserve">36. Pingyuan Cui; Dantong Ge; He Jia; Shengying Zhu. Prudent small celestial body landing strategy with risk precautions (2019). doi:</w:t>
      </w:r>
      <w:r>
        <w:t xml:space="preserve"> </w:t>
      </w:r>
      <w:hyperlink r:id="rId190">
        <w:r>
          <w:rPr>
            <w:rStyle w:val="Hyperlink"/>
          </w:rPr>
          <w:t xml:space="preserve">10.1016/j.actaastro.2019.09.013</w:t>
        </w:r>
      </w:hyperlink>
    </w:p>
    <w:bookmarkEnd w:id="191"/>
    <w:bookmarkEnd w:id="192"/>
    <w:bookmarkStart w:id="20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0" w:name="X938ae82497ddb1234dfbdf83308ed1ab0714bf3"/>
    <w:p>
      <w:pPr>
        <w:pStyle w:val="Heading2"/>
        <w:spacing w:line="480" w:lineRule="auto"/>
      </w:pPr>
      <w:r>
        <w:t xml:space="preserve">A.1 Does Subsystem Flight Heritage Raise the Odds of Surviving Mars Entry, Descent, and Landing? A Logistic Test on the Full Population of Robotic Mars Landing Attempts</w:t>
      </w:r>
    </w:p>
    <w:p>
      <w:pPr>
        <w:pStyle w:val="FirstParagraph"/>
        <w:spacing w:line="480" w:lineRule="auto"/>
      </w:pPr>
      <m:oMathPara>
        <m:oMathParaPr>
          <m:jc m:val="center"/>
        </m:oMathParaPr>
        <m:oMath>
          <m:r>
            <m:rPr>
              <m:sty m:val="p"/>
            </m:rPr>
            <m:t>ln</m:t>
          </m:r>
          <m:r>
            <m:t>​</m:t>
          </m:r>
          <m:d>
            <m:dPr>
              <m:begChr m:val="("/>
              <m:sepChr m:val=""/>
              <m:endChr m:val=")"/>
              <m:grow/>
            </m:dPr>
            <m:e>
              <m:f>
                <m:fPr>
                  <m:type m:val="bar"/>
                </m:fPr>
                <m:num>
                  <m:r>
                    <m:rPr>
                      <m:sty m:val="p"/>
                    </m:rPr>
                    <m:t>Pr</m:t>
                  </m:r>
                  <m:r>
                    <m:rPr>
                      <m:sty m:val="p"/>
                    </m:rPr>
                    <m:t>(</m:t>
                  </m:r>
                  <m:r>
                    <m:rPr>
                      <m:sty m:val="p"/>
                    </m:rPr>
                    <m:t>e</m:t>
                  </m:r>
                  <m:r>
                    <m:rPr>
                      <m:sty m:val="p"/>
                    </m:rPr>
                    <m:t>d</m:t>
                  </m:r>
                  <m:r>
                    <m:rPr>
                      <m:sty m:val="p"/>
                    </m:rPr>
                    <m:t>l</m:t>
                  </m:r>
                  <m:r>
                    <m:rPr>
                      <m:sty m:val="p"/>
                    </m:rPr>
                    <m:t>_</m:t>
                  </m:r>
                  <m:r>
                    <m:rPr>
                      <m:sty m:val="p"/>
                    </m:rPr>
                    <m:t>s</m:t>
                  </m:r>
                  <m:r>
                    <m:rPr>
                      <m:sty m:val="p"/>
                    </m:rPr>
                    <m:t>u</m:t>
                  </m:r>
                  <m:r>
                    <m:rPr>
                      <m:sty m:val="p"/>
                    </m:rPr>
                    <m:t>c</m:t>
                  </m:r>
                  <m:r>
                    <m:rPr>
                      <m:sty m:val="p"/>
                    </m:rPr>
                    <m:t>c</m:t>
                  </m:r>
                  <m:r>
                    <m:rPr>
                      <m:sty m:val="p"/>
                    </m:rPr>
                    <m:t>e</m:t>
                  </m:r>
                  <m:r>
                    <m:rPr>
                      <m:sty m:val="p"/>
                    </m:rPr>
                    <m:t>s</m:t>
                  </m:r>
                  <m:r>
                    <m:rPr>
                      <m:sty m:val="p"/>
                    </m:rPr>
                    <m:t>s</m:t>
                  </m:r>
                  <m:r>
                    <m:rPr>
                      <m:sty m:val="p"/>
                    </m:rPr>
                    <m:t>=</m:t>
                  </m:r>
                  <m:r>
                    <m:t>1</m:t>
                  </m:r>
                  <m:r>
                    <m:rPr>
                      <m:sty m:val="p"/>
                    </m:rPr>
                    <m:t>)</m:t>
                  </m:r>
                </m:num>
                <m:den>
                  <m:r>
                    <m:t>1</m:t>
                  </m:r>
                  <m:r>
                    <m:rPr>
                      <m:sty m:val="p"/>
                    </m:rPr>
                    <m:t>−</m:t>
                  </m:r>
                  <m:r>
                    <m:rPr>
                      <m:sty m:val="p"/>
                    </m:rPr>
                    <m:t>Pr</m:t>
                  </m:r>
                  <m:r>
                    <m:rPr>
                      <m:sty m:val="p"/>
                    </m:rPr>
                    <m:t>(</m:t>
                  </m:r>
                  <m:r>
                    <m:rPr>
                      <m:sty m:val="p"/>
                    </m:rPr>
                    <m:t>e</m:t>
                  </m:r>
                  <m:r>
                    <m:rPr>
                      <m:sty m:val="p"/>
                    </m:rPr>
                    <m:t>d</m:t>
                  </m:r>
                  <m:r>
                    <m:rPr>
                      <m:sty m:val="p"/>
                    </m:rPr>
                    <m:t>l</m:t>
                  </m:r>
                  <m:r>
                    <m:rPr>
                      <m:sty m:val="p"/>
                    </m:rPr>
                    <m:t>_</m:t>
                  </m:r>
                  <m:r>
                    <m:rPr>
                      <m:sty m:val="p"/>
                    </m:rPr>
                    <m:t>s</m:t>
                  </m:r>
                  <m:r>
                    <m:rPr>
                      <m:sty m:val="p"/>
                    </m:rPr>
                    <m:t>u</m:t>
                  </m:r>
                  <m:r>
                    <m:rPr>
                      <m:sty m:val="p"/>
                    </m:rPr>
                    <m:t>c</m:t>
                  </m:r>
                  <m:r>
                    <m:rPr>
                      <m:sty m:val="p"/>
                    </m:rPr>
                    <m:t>c</m:t>
                  </m:r>
                  <m:r>
                    <m:rPr>
                      <m:sty m:val="p"/>
                    </m:rPr>
                    <m:t>e</m:t>
                  </m:r>
                  <m:r>
                    <m:rPr>
                      <m:sty m:val="p"/>
                    </m:rPr>
                    <m:t>s</m:t>
                  </m:r>
                  <m:r>
                    <m:rPr>
                      <m:sty m:val="p"/>
                    </m:rPr>
                    <m:t>s</m:t>
                  </m:r>
                  <m:r>
                    <m:rPr>
                      <m:sty m:val="p"/>
                    </m:rPr>
                    <m:t>=</m:t>
                  </m:r>
                  <m:r>
                    <m:t>1</m:t>
                  </m:r>
                  <m:r>
                    <m:rPr>
                      <m:sty m:val="p"/>
                    </m:rPr>
                    <m:t>)</m:t>
                  </m:r>
                </m:den>
              </m:f>
            </m:e>
          </m:d>
          <m:r>
            <m:rPr>
              <m:sty m:val="p"/>
            </m:rPr>
            <m:t>=</m:t>
          </m:r>
          <m:sSub>
            <m:e>
              <m:r>
                <m:t>β</m:t>
              </m:r>
            </m:e>
            <m:sub>
              <m:r>
                <m:t>0</m:t>
              </m:r>
            </m:sub>
          </m:sSub>
          <m:r>
            <m:rPr>
              <m:sty m:val="p"/>
            </m:rPr>
            <m:t>+</m:t>
          </m:r>
          <m:sSub>
            <m:e>
              <m:r>
                <m:t>β</m:t>
              </m:r>
            </m:e>
            <m:sub>
              <m:r>
                <m:t>1</m:t>
              </m:r>
            </m:sub>
          </m:sSub>
          <m:r>
            <m:t> </m:t>
          </m:r>
          <m:r>
            <m:rPr>
              <m:sty m:val="p"/>
            </m:rPr>
            <m:t>h</m:t>
          </m:r>
          <m:r>
            <m:rPr>
              <m:sty m:val="p"/>
            </m:rPr>
            <m:t>e</m:t>
          </m:r>
          <m:r>
            <m:rPr>
              <m:sty m:val="p"/>
            </m:rPr>
            <m:t>r</m:t>
          </m:r>
          <m:r>
            <m:rPr>
              <m:sty m:val="p"/>
            </m:rPr>
            <m:t>i</m:t>
          </m:r>
          <m:r>
            <m:rPr>
              <m:sty m:val="p"/>
            </m:rPr>
            <m:t>t</m:t>
          </m:r>
          <m:r>
            <m:rPr>
              <m:sty m:val="p"/>
            </m:rPr>
            <m:t>a</m:t>
          </m:r>
          <m:r>
            <m:rPr>
              <m:sty m:val="p"/>
            </m:rPr>
            <m:t>g</m:t>
          </m:r>
          <m:r>
            <m:rPr>
              <m:sty m:val="p"/>
            </m:rPr>
            <m:t>e</m:t>
          </m:r>
          <m:r>
            <m:rPr>
              <m:sty m:val="p"/>
            </m:rPr>
            <m:t>_</m:t>
          </m:r>
          <m:r>
            <m:rPr>
              <m:sty m:val="p"/>
            </m:rPr>
            <m:t>i</m:t>
          </m:r>
          <m:r>
            <m:rPr>
              <m:sty m:val="p"/>
            </m:rPr>
            <m:t>n</m:t>
          </m:r>
          <m:r>
            <m:rPr>
              <m:sty m:val="p"/>
            </m:rPr>
            <m:t>d</m:t>
          </m:r>
          <m:r>
            <m:rPr>
              <m:sty m:val="p"/>
            </m:rPr>
            <m:t>e</m:t>
          </m:r>
          <m:r>
            <m:rPr>
              <m:sty m:val="p"/>
            </m:rPr>
            <m:t>x</m:t>
          </m:r>
          <m:r>
            <m:rPr>
              <m:sty m:val="p"/>
            </m:rPr>
            <m:t>+</m:t>
          </m:r>
          <m:sSub>
            <m:e>
              <m:r>
                <m:t>β</m:t>
              </m:r>
            </m:e>
            <m:sub>
              <m:r>
                <m:t>2</m:t>
              </m:r>
            </m:sub>
          </m:sSub>
          <m:r>
            <m:t> </m:t>
          </m:r>
          <m:r>
            <m:rPr>
              <m:sty m:val="p"/>
            </m:rPr>
            <m:t>l</m:t>
          </m:r>
          <m:r>
            <m:rPr>
              <m:sty m:val="p"/>
            </m:rPr>
            <m:t>a</m:t>
          </m:r>
          <m:r>
            <m:rPr>
              <m:sty m:val="p"/>
            </m:rPr>
            <m:t>n</m:t>
          </m:r>
          <m:r>
            <m:rPr>
              <m:sty m:val="p"/>
            </m:rPr>
            <m:t>d</m:t>
          </m:r>
          <m:r>
            <m:rPr>
              <m:sty m:val="p"/>
            </m:rPr>
            <m:t>e</m:t>
          </m:r>
          <m:r>
            <m:rPr>
              <m:sty m:val="p"/>
            </m:rPr>
            <m:t>d</m:t>
          </m:r>
          <m:r>
            <m:rPr>
              <m:sty m:val="p"/>
            </m:rPr>
            <m:t>_</m:t>
          </m:r>
          <m:r>
            <m:rPr>
              <m:sty m:val="p"/>
            </m:rPr>
            <m:t>m</m:t>
          </m:r>
          <m:r>
            <m:rPr>
              <m:sty m:val="p"/>
            </m:rPr>
            <m:t>a</m:t>
          </m:r>
          <m:r>
            <m:rPr>
              <m:sty m:val="p"/>
            </m:rPr>
            <m:t>s</m:t>
          </m:r>
          <m:r>
            <m:rPr>
              <m:sty m:val="p"/>
            </m:rPr>
            <m:t>s</m:t>
          </m:r>
          <m:r>
            <m:rPr>
              <m:sty m:val="p"/>
            </m:rPr>
            <m:t>_</m:t>
          </m:r>
          <m:r>
            <m:rPr>
              <m:sty m:val="p"/>
            </m:rPr>
            <m:t>k</m:t>
          </m:r>
          <m:r>
            <m:rPr>
              <m:sty m:val="p"/>
            </m:rPr>
            <m:t>g</m:t>
          </m:r>
          <m:r>
            <m:rPr>
              <m:sty m:val="p"/>
            </m:rPr>
            <m:t>+</m:t>
          </m:r>
          <m:sSub>
            <m:e>
              <m:r>
                <m:t>β</m:t>
              </m:r>
            </m:e>
            <m:sub>
              <m:r>
                <m:t>3</m:t>
              </m:r>
            </m:sub>
          </m:sSub>
          <m:r>
            <m:t> </m:t>
          </m:r>
          <m:r>
            <m:rPr>
              <m:sty m:val="p"/>
            </m:rPr>
            <m:t>g</m:t>
          </m:r>
          <m:r>
            <m:rPr>
              <m:sty m:val="p"/>
            </m:rPr>
            <m:t>u</m:t>
          </m:r>
          <m:r>
            <m:rPr>
              <m:sty m:val="p"/>
            </m:rPr>
            <m:t>i</m:t>
          </m:r>
          <m:r>
            <m:rPr>
              <m:sty m:val="p"/>
            </m:rPr>
            <m:t>d</m:t>
          </m:r>
          <m:r>
            <m:rPr>
              <m:sty m:val="p"/>
            </m:rPr>
            <m:t>a</m:t>
          </m:r>
          <m:r>
            <m:rPr>
              <m:sty m:val="p"/>
            </m:rPr>
            <m:t>n</m:t>
          </m:r>
          <m:r>
            <m:rPr>
              <m:sty m:val="p"/>
            </m:rPr>
            <m:t>c</m:t>
          </m:r>
          <m:r>
            <m:rPr>
              <m:sty m:val="p"/>
            </m:rPr>
            <m:t>e</m:t>
          </m:r>
          <m:r>
            <m:rPr>
              <m:sty m:val="p"/>
            </m:rPr>
            <m:t>_</m:t>
          </m:r>
          <m:r>
            <m:rPr>
              <m:sty m:val="p"/>
            </m:rPr>
            <m:t>a</m:t>
          </m:r>
          <m:r>
            <m:rPr>
              <m:sty m:val="p"/>
            </m:rPr>
            <m:t>u</m:t>
          </m:r>
          <m:r>
            <m:rPr>
              <m:sty m:val="p"/>
            </m:rPr>
            <m:t>t</m:t>
          </m:r>
          <m:r>
            <m:rPr>
              <m:sty m:val="p"/>
            </m:rPr>
            <m:t>o</m:t>
          </m:r>
          <m:r>
            <m:rPr>
              <m:sty m:val="p"/>
            </m:rPr>
            <m:t>n</m:t>
          </m:r>
          <m:r>
            <m:rPr>
              <m:sty m:val="p"/>
            </m:rPr>
            <m:t>o</m:t>
          </m:r>
          <m:r>
            <m:rPr>
              <m:sty m:val="p"/>
            </m:rPr>
            <m:t>m</m:t>
          </m:r>
          <m:r>
            <m:rPr>
              <m:sty m:val="p"/>
            </m:rPr>
            <m:t>y</m:t>
          </m:r>
        </m:oMath>
      </m:oMathPara>
    </w:p>
    <w:bookmarkStart w:id="19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-2.4153</w:t>
            </w:r>
          </w:p>
        </w:tc>
        <w:tc>
          <w:tcPr>
            <w:tcW w:w="0" w:type="auto"/>
          </w:tcPr>
          <w:p>
            <w:pPr>
              <w:spacing w:line="240" w:lineRule="auto" w:before="0" w:after="0"/>
              <w:pStyle w:val="Compact"/>
            </w:pPr>
            <w:r>
              <w:rPr>
                <w:sz w:val="20"/>
                <w:szCs w:val="20"/>
              </w:rPr>
              <w:t xml:space="preserve">1.516</w:t>
            </w:r>
          </w:p>
        </w:tc>
        <w:tc>
          <w:tcPr>
            <w:tcW w:w="0" w:type="auto"/>
          </w:tcPr>
          <w:p>
            <w:pPr>
              <w:spacing w:line="240" w:lineRule="auto" w:before="0" w:after="0"/>
              <w:pStyle w:val="Compact"/>
            </w:pPr>
            <w:r>
              <w:rPr>
                <w:sz w:val="20"/>
                <w:szCs w:val="20"/>
              </w:rPr>
              <w:t xml:space="preserve">-1.5932</w:t>
            </w:r>
          </w:p>
        </w:tc>
        <w:tc>
          <w:tcPr>
            <w:tcW w:w="0" w:type="auto"/>
          </w:tcPr>
          <w:p>
            <w:pPr>
              <w:spacing w:line="240" w:lineRule="auto" w:before="0" w:after="0"/>
              <w:pStyle w:val="Compact"/>
            </w:pPr>
            <w:r>
              <w:rPr>
                <w:sz w:val="20"/>
                <w:szCs w:val="20"/>
              </w:rPr>
              <w:t xml:space="preserve">0.1111</w:t>
            </w:r>
          </w:p>
        </w:tc>
        <w:tc>
          <w:tcPr>
            <w:tcW w:w="0" w:type="auto"/>
          </w:tcPr>
          <w:p>
            <w:pPr>
              <w:spacing w:line="240" w:lineRule="auto" w:before="0" w:after="0"/>
              <w:pStyle w:val="Compact"/>
            </w:pPr>
            <w:r>
              <w:rPr>
                <w:sz w:val="20"/>
                <w:szCs w:val="20"/>
              </w:rPr>
              <w:t xml:space="preserve">[-5.3866, 0.556]</w:t>
            </w:r>
          </w:p>
        </w:tc>
      </w:tr>
      <w:tr>
        <w:tc>
          <w:tcPr>
            <w:tcW w:w="0" w:type="auto"/>
          </w:tcPr>
          <w:p>
            <w:pPr>
              <w:spacing w:line="240" w:lineRule="auto" w:before="0" w:after="0"/>
              <w:pStyle w:val="Compact"/>
            </w:pPr>
            <w:r>
              <w:rPr>
                <w:sz w:val="20"/>
                <w:szCs w:val="20"/>
              </w:rPr>
              <w:t xml:space="preserve">heritage_index</w:t>
            </w:r>
          </w:p>
        </w:tc>
        <w:tc>
          <w:tcPr>
            <w:tcW w:w="0" w:type="auto"/>
          </w:tcPr>
          <w:p>
            <w:pPr>
              <w:spacing w:line="240" w:lineRule="auto" w:before="0" w:after="0"/>
              <w:pStyle w:val="Compact"/>
            </w:pPr>
            <w:r>
              <w:rPr>
                <w:sz w:val="20"/>
                <w:szCs w:val="20"/>
              </w:rPr>
              <w:t xml:space="preserve">0.8083</w:t>
            </w:r>
          </w:p>
        </w:tc>
        <w:tc>
          <w:tcPr>
            <w:tcW w:w="0" w:type="auto"/>
          </w:tcPr>
          <w:p>
            <w:pPr>
              <w:spacing w:line="240" w:lineRule="auto" w:before="0" w:after="0"/>
              <w:pStyle w:val="Compact"/>
            </w:pPr>
            <w:r>
              <w:rPr>
                <w:sz w:val="20"/>
                <w:szCs w:val="20"/>
              </w:rPr>
              <w:t xml:space="preserve">0.6281</w:t>
            </w:r>
          </w:p>
        </w:tc>
        <w:tc>
          <w:tcPr>
            <w:tcW w:w="0" w:type="auto"/>
          </w:tcPr>
          <w:p>
            <w:pPr>
              <w:spacing w:line="240" w:lineRule="auto" w:before="0" w:after="0"/>
              <w:pStyle w:val="Compact"/>
            </w:pPr>
            <w:r>
              <w:rPr>
                <w:sz w:val="20"/>
                <w:szCs w:val="20"/>
              </w:rPr>
              <w:t xml:space="preserve">1.2869</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[-0.4227, 2.0392]</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1.3054</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[-0.002, 0.0099]</w:t>
            </w:r>
          </w:p>
        </w:tc>
      </w:tr>
      <w:tr>
        <w:tc>
          <w:tcPr>
            <w:tcW w:w="0" w:type="auto"/>
          </w:tcPr>
          <w:p>
            <w:pPr>
              <w:spacing w:line="240" w:lineRule="auto" w:before="0" w:after="0"/>
              <w:pStyle w:val="Compact"/>
            </w:pPr>
            <w:r>
              <w:rPr>
                <w:sz w:val="20"/>
                <w:szCs w:val="20"/>
              </w:rPr>
              <w:t xml:space="preserve">guidance_autonomy</w:t>
            </w:r>
          </w:p>
        </w:tc>
        <w:tc>
          <w:tcPr>
            <w:tcW w:w="0" w:type="auto"/>
          </w:tcPr>
          <w:p>
            <w:pPr>
              <w:spacing w:line="240" w:lineRule="auto" w:before="0" w:after="0"/>
              <w:pStyle w:val="Compact"/>
            </w:pPr>
            <w:r>
              <w:rPr>
                <w:sz w:val="20"/>
                <w:szCs w:val="20"/>
              </w:rPr>
              <w:t xml:space="preserve">0.8423</w:t>
            </w:r>
          </w:p>
        </w:tc>
        <w:tc>
          <w:tcPr>
            <w:tcW w:w="0" w:type="auto"/>
          </w:tcPr>
          <w:p>
            <w:pPr>
              <w:spacing w:line="240" w:lineRule="auto" w:before="0" w:after="0"/>
              <w:pStyle w:val="Compact"/>
            </w:pPr>
            <w:r>
              <w:rPr>
                <w:sz w:val="20"/>
                <w:szCs w:val="20"/>
              </w:rPr>
              <w:t xml:space="preserve">1.263</w:t>
            </w:r>
          </w:p>
        </w:tc>
        <w:tc>
          <w:tcPr>
            <w:tcW w:w="0" w:type="auto"/>
          </w:tcPr>
          <w:p>
            <w:pPr>
              <w:spacing w:line="240" w:lineRule="auto" w:before="0" w:after="0"/>
              <w:pStyle w:val="Compact"/>
            </w:pPr>
            <w:r>
              <w:rPr>
                <w:sz w:val="20"/>
                <w:szCs w:val="20"/>
              </w:rPr>
              <w:t xml:space="preserve">0.6669</w:t>
            </w:r>
          </w:p>
        </w:tc>
        <w:tc>
          <w:tcPr>
            <w:tcW w:w="0" w:type="auto"/>
          </w:tcPr>
          <w:p>
            <w:pPr>
              <w:spacing w:line="240" w:lineRule="auto" w:before="0" w:after="0"/>
              <w:pStyle w:val="Compact"/>
            </w:pPr>
            <w:r>
              <w:rPr>
                <w:sz w:val="20"/>
                <w:szCs w:val="20"/>
              </w:rPr>
              <w:t xml:space="preserve">0.5049</w:t>
            </w:r>
          </w:p>
        </w:tc>
        <w:tc>
          <w:tcPr>
            <w:tcW w:w="0" w:type="auto"/>
          </w:tcPr>
          <w:p>
            <w:pPr>
              <w:spacing w:line="240" w:lineRule="auto" w:before="0" w:after="0"/>
              <w:pStyle w:val="Compact"/>
            </w:pPr>
            <w:r>
              <w:rPr>
                <w:sz w:val="20"/>
                <w:szCs w:val="20"/>
              </w:rPr>
              <w:t xml:space="preserve">[-1.6332, 3.3178]</w:t>
            </w:r>
          </w:p>
        </w:tc>
      </w:tr>
    </w:tbl>
    <w:p>
      <w:pPr>
        <w:pStyle w:val="BodyText"/>
        <w:spacing w:line="480" w:lineRule="auto"/>
        <w:ind w:firstLine="720"/>
      </w:pPr>
      <w:r>
        <w:t xml:space="preserve">Fit: N = 19 pseudo_R2 = 0.3268 LL = -8.7057</w:t>
      </w:r>
    </w:p>
    <w:bookmarkEnd w:id="193"/>
    <w:bookmarkStart w:id="19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Each marker is one robotic Mars surface-landing attempt, positioned by its subsystem flight-heritage index (the count of decelerator, guidance, and landing subsystems with a prior Mars survival) and its binary EDL outcome. Failures populate the low-heritage region while every attempt carrying full subsystem heritage survived, the separation the logistic model quantifies and the controls test." title="" id="195" name="Picture"/>
            <a:graphic>
              <a:graphicData uri="http://schemas.openxmlformats.org/drawingml/2006/picture">
                <pic:pic>
                  <pic:nvPicPr>
                    <pic:cNvPr descr="D:/Claude_Code/brain/collegium/candidates/dissertations/JPL_PLANETARY_07/research_papers/p1/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Each marker is one robotic Mars surface-landing attempt, positioned by its subsystem flight-heritage index (the count of decelerator, guidance, and landing subsystems with a prior Mars survival) and its binary EDL outcome. Failures populate the low-heritage region while every attempt carrying full subsystem heritage survived, the separation the logistic model quantifies and the controls test.</w:t>
      </w:r>
    </w:p>
    <w:bookmarkEnd w:id="197"/>
    <w:bookmarkStart w:id="19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heritage_index</w:t>
            </w:r>
          </w:p>
        </w:tc>
        <w:tc>
          <w:tcPr>
            <w:tcW w:w="0" w:type="auto"/>
          </w:tcPr>
          <w:p>
            <w:pPr>
              <w:spacing w:line="240" w:lineRule="auto" w:before="0" w:after="0"/>
              <w:pStyle w:val="Compact"/>
            </w:pPr>
            <w:r>
              <w:rPr>
                <w:sz w:val="20"/>
                <w:szCs w:val="20"/>
              </w:rPr>
              <w:t xml:space="preserve">decel_heritage</w:t>
            </w:r>
          </w:p>
        </w:tc>
        <w:tc>
          <w:tcPr>
            <w:tcW w:w="0" w:type="auto"/>
          </w:tcPr>
          <w:p>
            <w:pPr>
              <w:spacing w:line="240" w:lineRule="auto" w:before="0" w:after="0"/>
              <w:pStyle w:val="Compact"/>
            </w:pPr>
            <w:r>
              <w:rPr>
                <w:sz w:val="20"/>
                <w:szCs w:val="20"/>
              </w:rPr>
              <w:t xml:space="preserve">guidance_heritage</w:t>
            </w:r>
          </w:p>
        </w:tc>
        <w:tc>
          <w:tcPr>
            <w:tcW w:w="0" w:type="auto"/>
          </w:tcPr>
          <w:p>
            <w:pPr>
              <w:spacing w:line="240" w:lineRule="auto" w:before="0" w:after="0"/>
              <w:pStyle w:val="Compact"/>
            </w:pPr>
            <w:r>
              <w:rPr>
                <w:sz w:val="20"/>
                <w:szCs w:val="20"/>
              </w:rPr>
              <w:t xml:space="preserve">landing_heritage</w:t>
            </w:r>
          </w:p>
        </w:tc>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guidance_autonomy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 descent module</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2 descent module; parachute/descent sequence failed during entry, crashed, no surface data (edl_success=0). First Mars EDL attempt so no prior surviving subsystem (heritage_index=0). NASA NSSDCA Mars 2 (id 1971-045D) https://nssdc.gsfc.nasa.gov/nmc/spacecraft/display.action?id=1971-045D ; landed-capsule mass ~358 kg per NSSDCA. Open-loop ballistic descent (autonomy=0).</w:t>
            </w:r>
          </w:p>
        </w:tc>
      </w:tr>
      <w:tr>
        <w:tc>
          <w:tcPr>
            <w:tcW w:w="0" w:type="auto"/>
          </w:tcPr>
          <w:p>
            <w:pPr>
              <w:spacing w:line="240" w:lineRule="auto" w:before="0" w:after="0"/>
              <w:pStyle w:val="Compact"/>
            </w:pPr>
            <w:r>
              <w:rPr>
                <w:sz w:val="20"/>
                <w:szCs w:val="20"/>
              </w:rPr>
              <w:t xml:space="preserve">Mars 3 lander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3 lander; first soft landing on Mars, survived EDL to a landed state and transmitted ~14.5 s from surface before signal loss (EDL itself succeeded, edl_success=1). No prior surviving Mars subsystem at this attempt (heritage_index=0). NASA NSSDCA Mars 3 (id 1971-049F) https://nssdc.gsfc.nasa.gov/nmc/spacecraft/display.action?id=1971-049F ; mass ~358 kg. Open-loop ballistic (autonomy=0).</w:t>
            </w:r>
          </w:p>
        </w:tc>
      </w:tr>
      <w:tr>
        <w:tc>
          <w:tcPr>
            <w:tcW w:w="0" w:type="auto"/>
          </w:tcPr>
          <w:p>
            <w:pPr>
              <w:spacing w:line="240" w:lineRule="auto" w:before="0" w:after="0"/>
              <w:pStyle w:val="Compact"/>
            </w:pPr>
            <w:r>
              <w:rPr>
                <w:sz w:val="20"/>
                <w:szCs w:val="20"/>
              </w:rPr>
              <w:t xml:space="preserve">Mars 6 lander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6; returned ~150 s of descent data then lander failed at/just before touchdown, lost (edl_success=0). Decelerator/landing lineage from Mars 2/3 had not produced a confirmed long-lived surviving landing system, coded heritage_index=0 (no subsystem with a clean prior Mars survival demonstrated). NASA NSSDCA Mars 6 (id 1973-052A) https://nssdc.gsfc.nasa.gov/nmc/spacecraft/display.action?id=1973-052A ; descent-data duration ~150 s; open-loop (autonomy=0).</w:t>
            </w:r>
          </w:p>
        </w:tc>
      </w:tr>
      <w:tr>
        <w:tc>
          <w:tcPr>
            <w:tcW w:w="0" w:type="auto"/>
          </w:tcPr>
          <w:p>
            <w:pPr>
              <w:spacing w:line="240" w:lineRule="auto" w:before="0" w:after="0"/>
              <w:pStyle w:val="Compact"/>
            </w:pPr>
            <w:r>
              <w:rPr>
                <w:sz w:val="20"/>
                <w:szCs w:val="20"/>
              </w:rPr>
              <w:t xml:space="preserve">Mars 7 lander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USSR Mars 7; descent module separated prematurely from the bus due to a retro/attitude-control system fault and missed the planet by ~1300 km, never reaching atmospheric EDL at the target (edl_success=0). No prior surviving Mars subsystem (heritage_index=0). NASA NSSDCA Mars 7 (id 1973-053A) https://nssdc.gsfc.nasa.gov/nmc/spacecraft/display.action?id=1973-053A ; Gunter’s Space Page Mars M73 lander; mass ~635 kg; open-loop (autonomy=0).</w:t>
            </w:r>
          </w:p>
        </w:tc>
      </w:tr>
      <w:tr>
        <w:tc>
          <w:tcPr>
            <w:tcW w:w="0" w:type="auto"/>
          </w:tcPr>
          <w:p>
            <w:pPr>
              <w:spacing w:line="240" w:lineRule="auto" w:before="0" w:after="0"/>
              <w:pStyle w:val="Compact"/>
            </w:pPr>
            <w:r>
              <w:rPr>
                <w:sz w:val="20"/>
                <w:szCs w:val="20"/>
              </w:rPr>
              <w:t xml:space="preserve">Viking 1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Viking 1; first fully successful US Mars soft landing, survived EDL (edl_success=1). New US aeroshell/parachute/terminal-propulsion architecture with no prior US Mars survival, coded heritage_index=0. Entry mass ~992 kg, landed ~590 kg. NASA NSSDCA Viking 1 (id 1975-075C); Braun &amp; Manning,</w:t>
            </w:r>
            <w:r>
              <w:rPr>
                <w:sz w:val="20"/>
                <w:szCs w:val="20"/>
              </w:rPr>
              <w:t xml:space="preserve"> </w:t>
            </w:r>
            <w:r>
              <w:rPr>
                <w:sz w:val="20"/>
                <w:szCs w:val="20"/>
              </w:rPr>
              <w:t xml:space="preserve">“Mars Exploration Entry, Descent, and Landing Challenges,”</w:t>
            </w:r>
            <w:r>
              <w:rPr>
                <w:sz w:val="20"/>
                <w:szCs w:val="20"/>
              </w:rPr>
              <w:t xml:space="preserve"> </w:t>
            </w:r>
            <w:r>
              <w:rPr>
                <w:sz w:val="20"/>
                <w:szCs w:val="20"/>
              </w:rPr>
              <w:t xml:space="preserve">J. Spacecraft &amp; Rockets 44(2), 2007, doi:10.2514/1.25116. Guided/lifting entry attitude control (autonomy=1).</w:t>
            </w:r>
          </w:p>
        </w:tc>
      </w:tr>
      <w:tr>
        <w:tc>
          <w:tcPr>
            <w:tcW w:w="0" w:type="auto"/>
          </w:tcPr>
          <w:p>
            <w:pPr>
              <w:spacing w:line="240" w:lineRule="auto" w:before="0" w:after="0"/>
              <w:pStyle w:val="Compact"/>
            </w:pPr>
            <w:r>
              <w:rPr>
                <w:sz w:val="20"/>
                <w:szCs w:val="20"/>
              </w:rPr>
              <w:t xml:space="preserve">Viking 2 lander</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Viking 2; reused the Viking 1 aeroshell, parachute, and terminal-descent-engine architecture that had just survived on Viking 1 the same year, so all three subsystems carry prior-Mars heritage (heritage_index=3). Survived EDL (edl_success=1). NASA NSSDCA Viking 2 (id 1975-083C); Braun &amp; Manning 2007 doi:10.2514/1.25116; landed mass ~590 kg; guided entry (autonomy=1).</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Pathfinder; survived EDL (edl_success=1). Reused Viking-heritage 70-deg sphere-cone aeroshell and disk-gap-band parachute (decel_heritage=1) but introduced a new airbag terminal landing system and unguided ballistic entry (guidance_heritage=0, landing_heritage=0). heritage_index=1. NASA NSSDCA Mars Pathfinder (id 1996-068A); Braun &amp; Manning 2007 doi:10.2514/1.25116; landed mass ~360 kg; unguided (autonomy=0).</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Polar Lander; lost during EDL, the accepted cause being a premature engine shutdown when a spurious touchdown signal from the landing-leg sensors was latched during deployment, causing a crash from altitude (edl_success=0). Carried Viking-class aeroshell and guided-entry heritage (decel_heritage=1, guidance_heritage=1) but a first-of-kind pulsed-propulsion terminal landing with no prior Mars survival (landing_heritage=0). heritage_index=2. NASA NSSDCA Mars Polar Lander (id 1999-001A) https://nssdc.gsfc.nasa.gov/nmc/spacecraft/display.action?id=1999-001A ; landed mass ~290 kg; guided entry (autonomy=1).</w:t>
            </w:r>
          </w:p>
        </w:tc>
      </w:tr>
      <w:tr>
        <w:tc>
          <w:tcPr>
            <w:tcW w:w="0" w:type="auto"/>
          </w:tcPr>
          <w:p>
            <w:pPr>
              <w:spacing w:line="240" w:lineRule="auto" w:before="0" w:after="0"/>
              <w:pStyle w:val="Compact"/>
            </w:pPr>
            <w:r>
              <w:rPr>
                <w:sz w:val="20"/>
                <w:szCs w:val="20"/>
              </w:rPr>
              <w:t xml:space="preserve">Deep Space 2 probe 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forward microprobe (carried on MPL); presumed lost on impact, no signal returned (edl_success=0). Novel hard-impact penetrator EDL with no aeroshell-parachute-propulsion stage and no prior Mars survival (heritage_index=0). NASA NSSDCA Deep Space 2 (id DEEPSP2) https://nssdc.gsfc.nasa.gov/nmc/spacecraft/display.action?id=DEEPSP2 ; ~2.4 kg per probe; unguided ballistic hard-lander (autonomy=0).</w:t>
            </w:r>
          </w:p>
        </w:tc>
      </w:tr>
      <w:tr>
        <w:tc>
          <w:tcPr>
            <w:tcW w:w="0" w:type="auto"/>
          </w:tcPr>
          <w:p>
            <w:pPr>
              <w:spacing w:line="240" w:lineRule="auto" w:before="0" w:after="0"/>
              <w:pStyle w:val="Compact"/>
            </w:pPr>
            <w:r>
              <w:rPr>
                <w:sz w:val="20"/>
                <w:szCs w:val="20"/>
              </w:rPr>
              <w:t xml:space="preserve">Deep Space 2 probe B</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Deep Space 2 aft microprobe (carried on MPL); presumed lost on impact, no signal returned (edl_success=0). Identical novel hard-impact penetrator EDL to probe A, no prior Mars survival (heritage_index=0). NASA NSSDCA Deep Space 2 (id DEEPSP2) https://nssdc.gsfc.nasa.gov/nmc/spacecraft/display.action?id=DEEPSP2 ; ~2.4 kg per probe; unguided ballistic hard-lander (autonomy=0).</w:t>
            </w:r>
          </w:p>
        </w:tc>
      </w:tr>
      <w:tr>
        <w:tc>
          <w:tcPr>
            <w:tcW w:w="0" w:type="auto"/>
          </w:tcPr>
          <w:p>
            <w:pPr>
              <w:spacing w:line="240" w:lineRule="auto" w:before="0" w:after="0"/>
              <w:pStyle w:val="Compact"/>
            </w:pPr>
            <w:r>
              <w:rPr>
                <w:sz w:val="20"/>
                <w:szCs w:val="20"/>
              </w:rPr>
              <w:t xml:space="preserve">MER Spirit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MER-A Spirit; survived EDL (edl_success=1). Viking-derived aeroshell (decel_heritage=1) plus airbag landing system directly evolved from Pathfinder’s surviving airbag architecture (landing_heritage=1); entry still unguided ballistic (guidance_heritage=0). heritage_index=2. NASA NSSDCA MER-A (id 2003-027A); Braun &amp; Manning 2007 doi:10.2514/1.25116; landed mass ~539 kg; unguided (autonomy=0).</w:t>
            </w:r>
          </w:p>
        </w:tc>
      </w:tr>
      <w:tr>
        <w:tc>
          <w:tcPr>
            <w:tcW w:w="0" w:type="auto"/>
          </w:tcPr>
          <w:p>
            <w:pPr>
              <w:spacing w:line="240" w:lineRule="auto" w:before="0" w:after="0"/>
              <w:pStyle w:val="Compact"/>
            </w:pPr>
            <w:r>
              <w:rPr>
                <w:sz w:val="20"/>
                <w:szCs w:val="20"/>
              </w:rPr>
              <w:t xml:space="preserve">MER Opportunity</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MER-B Opportunity; survived EDL (edl_success=1). Identical airbag/aeroshell/parachute architecture to Spirit which had just survived months earlier, so decelerator, the bridle/RAD descent-control sequence, and airbag landing all carry prior-Mars heritage (heritage_index=3). NASA NSSDCA MER-B (id 2003-032A); Braun &amp; Manning 2007 doi:10.2514/1.25116; landed mass ~539 kg; unguided (autonomy=0).</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Beagle 2; lander reached the surface but two of four solar panels failed to deploy, blocking the antenna; declared lost (mission/landing functional failure, edl_success=0). Novel small UK lander with no prior Mars-surviving subsystem (heritage_index=0). NASA NSSDCA Beagle 2 (id 2003-022C); fate confirmed by 2015 MRO HiRISE imaging (ESA/UK Space Agency announcement, 2015); mass ~33 kg; unguided ballistic (autonomy=0).</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Phoenix; survived EDL (edl_success=1). Reused the Mars Polar Lander / Viking-class aeroshell and a propulsive (pulsed-thruster) terminal descent with substantial Viking-lineage decelerator and guided-entry heritage (decel_heritage=1, guidance_heritage=1) but its pulsed soft-landing leg system did not have a clean prior Mars survival (MPL was lost), landing_heritage=0. heritage_index=2. NASA NSSDCA Phoenix (id 2007-034A); Braun &amp; Manning 2007 doi:10.2514/1.25116; landed mass ~364 kg; guided entry (autonomy=1).</w:t>
            </w:r>
          </w:p>
        </w:tc>
      </w:tr>
      <w:tr>
        <w:tc>
          <w:tcPr>
            <w:tcW w:w="0" w:type="auto"/>
          </w:tcPr>
          <w:p>
            <w:pPr>
              <w:spacing w:line="240" w:lineRule="auto" w:before="0" w:after="0"/>
              <w:pStyle w:val="Compact"/>
            </w:pPr>
            <w:r>
              <w:rPr>
                <w:sz w:val="20"/>
                <w:szCs w:val="20"/>
              </w:rPr>
              <w:t xml:space="preserve">Curiosity (MSL)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MSL Curiosity; survived EDL (edl_success=1). Used a scaled Viking-heritage aeroshell and the first guided (lifting, bank-controlled) Mars entry; the sky-crane terminal landing was a first-of-kind with no prior Mars survival (landing_heritage=0). Net surviving-subsystem rule: only the decelerator class had a clean prior Mars survival, heritage_index=1. NASA NSSDCA MSL (id 2011-070A); landed mass ~899 kg; guided entry (autonomy=1).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InSight; survived EDL (edl_success=1). Reused the Phoenix EDL architecture (Viking-class aeroshell, guided entry, pulsed propulsive terminal descent legs) that had survived on Phoenix in 2008, so decelerator, guidance, and landing subsystems all carry prior-Mars heritage (heritage_index=3). NASA NSSDCA InSight (id 2018-042A); EDL ~6-7 min; landed mass ~358 kg; guided entry (autonomy=1).</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ExoMars 2016 Schiaparelli EDM; entry and early descent nominal but a saturated IMU/guidance interaction triggered early parachute/backshell jettison and premature retro-rocket cutoff, crashing the module (edl_success=0). Entry aeroshell carried European/Viking-class decelerator heritage (decel_heritage=1) but the descent guidance logic and the terminal landing crushable-structure had no prior Mars survival (guidance_heritage=0, landing_heritage=0). heritage_index=1. Reconstruction: Bonetti et al., Acta Astronautica 149, 2018, doi:10.1016/j.actaastro.2018.05.029; NASA NSSDCA Schiaparelli (id 2016-017A); guided/closed-loop descent attempt (autonomy=1).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Mars 2020 Perseverance; survived EDL (edl_success=1). Reused the MSL Curiosity guided-entry aeroshell and sky-crane terminal landing that had survived in 2012, so decelerator and guidance carry prior-Mars heritage; the Range Trigger / Terrain-Relative Navigation landing additions are evolutionary on the surviving sky-crane (decel_heritage=1, guidance_heritage=1, landing_heritage credited cautiously as 0 due to new TRN-driven divert). heritage_index=2. NASA NSSDCA Mars 2020 (id 2020-052A); landed mass ~1025 kg; guided entry (autonomy=1).</w:t>
            </w:r>
          </w:p>
        </w:tc>
      </w:tr>
      <w:tr>
        <w:tc>
          <w:tcPr>
            <w:tcW w:w="0" w:type="auto"/>
          </w:tcPr>
          <w:p>
            <w:pPr>
              <w:spacing w:line="240" w:lineRule="auto" w:before="0" w:after="0"/>
              <w:pStyle w:val="Compact"/>
            </w:pPr>
            <w:r>
              <w:rPr>
                <w:sz w:val="20"/>
                <w:szCs w:val="20"/>
              </w:rPr>
              <w:t xml:space="preserve">Tianwen-1 Zhurong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CNSA Tianwen-1 Zhurong lander; survived EDL (edl_success=1), second nation to operate a Mars rover. First Chinese Mars EDL, an independently developed aeroshell, parachute, and propulsive/legged terminal landing with no prior Chinese Mars-surviving subsystem (heritage_index=0). NASA NSSDCA Tianwen-1 (id 2020-049A); CNSA landing announcement 2021-05-15; landed mass ~240 kg; guided/hazard-avoidance terminal descent (autonomy=1).</w:t>
            </w:r>
          </w:p>
        </w:tc>
      </w:tr>
    </w:tbl>
    <w:bookmarkEnd w:id="198"/>
    <w:bookmarkStart w:id="19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Binary outcome: 1 if the vehicle survived entry, descent, and landing to a commanded, functional landed configuration; 0 if it was lost during EDL or failed to reach a functional landed state. Beagle 2 is coded a failure (0) because it reached the surface but did not deploy into a functional configuration; Mars 3 is coded a success (1) because it survived EDL to a landed, transmitting state even though surface transmission ceased after about 14.5 seconds. This is the logit dependent variable and the binary complement of the event indicator used in the companion proportional-hazards paper.</w:t>
            </w:r>
          </w:p>
        </w:tc>
        <w:tc>
          <w:tcPr>
            <w:tcW w:w="0" w:type="auto"/>
          </w:tcPr>
          <w:p>
            <w:pPr>
              <w:spacing w:line="240" w:lineRule="auto" w:before="0" w:after="0"/>
              <w:pStyle w:val="Compact"/>
            </w:pPr>
            <w:r>
              <w:rPr>
                <w:sz w:val="20"/>
                <w:szCs w:val="20"/>
              </w:rPr>
              <w:t xml:space="preserve">Per-mission NASA NSSDCA, NASA JPL, ESA, and CNSA mission-outcome records; ExoMars Schiaparelli reconstruction (Bonetti et al., Acta Astronautica 149, 2018, doi:10.1016/j.actaastro.2018.05.029); see data.csv source column</w:t>
            </w:r>
          </w:p>
        </w:tc>
      </w:tr>
      <w:tr>
        <w:tc>
          <w:tcPr>
            <w:tcW w:w="0" w:type="auto"/>
          </w:tcPr>
          <w:p>
            <w:pPr>
              <w:spacing w:line="240" w:lineRule="auto" w:before="0" w:after="0"/>
              <w:pStyle w:val="Compact"/>
            </w:pPr>
            <w:r>
              <w:rPr>
                <w:sz w:val="20"/>
                <w:szCs w:val="20"/>
              </w:rPr>
              <w:t xml:space="preserve">heritage_index</w:t>
            </w:r>
          </w:p>
        </w:tc>
        <w:tc>
          <w:tcPr>
            <w:tcW w:w="0" w:type="auto"/>
          </w:tcPr>
          <w:p>
            <w:pPr>
              <w:spacing w:line="240" w:lineRule="auto" w:before="0" w:after="0"/>
              <w:pStyle w:val="Compact"/>
            </w:pPr>
            <w:r>
              <w:rPr>
                <w:sz w:val="20"/>
                <w:szCs w:val="20"/>
              </w:rPr>
              <w:t xml:space="preserve">Subsystem flight-heritage index: the count, from 0 to 3, of the vehicle’s three EDL subsystems whose specific architecture had previously survived a Mars EDL attempt at the time of this attempt. The three subsystems are the aerodynamic decelerator, the descent guidance-and-control stack, and the terminal landing mechanism. A subsystem is credited only when its specific architecture had a clean prior Mars survival; vehicle-level reuse of an unproven configuration does not count. This per-subsystem decomposition, rather than a single vehicle-level heritage flag, is the design choice that distinguishes the test.</w:t>
            </w:r>
          </w:p>
        </w:tc>
        <w:tc>
          <w:tcPr>
            <w:tcW w:w="0" w:type="auto"/>
          </w:tcPr>
          <w:p>
            <w:pPr>
              <w:spacing w:line="240" w:lineRule="auto" w:before="0" w:after="0"/>
              <w:pStyle w:val="Compact"/>
            </w:pPr>
            <w:r>
              <w:rPr>
                <w:sz w:val="20"/>
                <w:szCs w:val="20"/>
              </w:rPr>
              <w:t xml:space="preserve">Coded per subsystem from Braun and Manning, Mars Exploration EDL Challenges, J. Spacecraft &amp; Rockets 44(2) 2007 doi:10.2514/1.25116, agency NSSDCA architecture descriptions, and the Schiaparelli reconstruction (Bonetti et al., Acta Astronautica 149, 2018, doi:10.1016/j.actaastro.2018.05.029); see decel_heritage, guidance_heritage, landing_heritage columns and data.csv source column</w:t>
            </w:r>
          </w:p>
        </w:tc>
      </w:tr>
      <w:tr>
        <w:tc>
          <w:tcPr>
            <w:tcW w:w="0" w:type="auto"/>
          </w:tcPr>
          <w:p>
            <w:pPr>
              <w:spacing w:line="240" w:lineRule="auto" w:before="0" w:after="0"/>
              <w:pStyle w:val="Compact"/>
            </w:pPr>
            <w:r>
              <w:rPr>
                <w:sz w:val="20"/>
                <w:szCs w:val="20"/>
              </w:rPr>
              <w:t xml:space="preserve">decel_heritage</w:t>
            </w:r>
          </w:p>
        </w:tc>
        <w:tc>
          <w:tcPr>
            <w:tcW w:w="0" w:type="auto"/>
          </w:tcPr>
          <w:p>
            <w:pPr>
              <w:spacing w:line="240" w:lineRule="auto" w:before="0" w:after="0"/>
              <w:pStyle w:val="Compact"/>
            </w:pPr>
            <w:r>
              <w:rPr>
                <w:sz w:val="20"/>
                <w:szCs w:val="20"/>
              </w:rPr>
              <w:t xml:space="preserve">Component indicator: 1 if the aerodynamic decelerator architecture (aeroshell class and parachute) had survived a prior Mars EDL; 0 otherwise. Summed with the other two component indicators to form heritage_index.</w:t>
            </w:r>
          </w:p>
        </w:tc>
        <w:tc>
          <w:tcPr>
            <w:tcW w:w="0" w:type="auto"/>
          </w:tcPr>
          <w:p>
            <w:pPr>
              <w:spacing w:line="240" w:lineRule="auto" w:before="0" w:after="0"/>
              <w:pStyle w:val="Compact"/>
            </w:pPr>
            <w:r>
              <w:rPr>
                <w:sz w:val="20"/>
                <w:szCs w:val="20"/>
              </w:rPr>
              <w:t xml:space="preserve">Braun and Manning 2007 doi:10.2514/1.25116 and NSSDCA per-mission records (see data.csv)</w:t>
            </w:r>
          </w:p>
        </w:tc>
      </w:tr>
      <w:tr>
        <w:tc>
          <w:tcPr>
            <w:tcW w:w="0" w:type="auto"/>
          </w:tcPr>
          <w:p>
            <w:pPr>
              <w:spacing w:line="240" w:lineRule="auto" w:before="0" w:after="0"/>
              <w:pStyle w:val="Compact"/>
            </w:pPr>
            <w:r>
              <w:rPr>
                <w:sz w:val="20"/>
                <w:szCs w:val="20"/>
              </w:rPr>
              <w:t xml:space="preserve">guidance_heritage</w:t>
            </w:r>
          </w:p>
        </w:tc>
        <w:tc>
          <w:tcPr>
            <w:tcW w:w="0" w:type="auto"/>
          </w:tcPr>
          <w:p>
            <w:pPr>
              <w:spacing w:line="240" w:lineRule="auto" w:before="0" w:after="0"/>
              <w:pStyle w:val="Compact"/>
            </w:pPr>
            <w:r>
              <w:rPr>
                <w:sz w:val="20"/>
                <w:szCs w:val="20"/>
              </w:rPr>
              <w:t xml:space="preserve">Component indicator: 1 if the descent guidance-and-control architecture had survived a prior Mars EDL; 0 otherwise. The Schiaparelli case motivates separating this from the decelerator, because its entry decelerator carried heritage while its descent-control logic did not.</w:t>
            </w:r>
          </w:p>
        </w:tc>
        <w:tc>
          <w:tcPr>
            <w:tcW w:w="0" w:type="auto"/>
          </w:tcPr>
          <w:p>
            <w:pPr>
              <w:spacing w:line="240" w:lineRule="auto" w:before="0" w:after="0"/>
              <w:pStyle w:val="Compact"/>
            </w:pPr>
            <w:r>
              <w:rPr>
                <w:sz w:val="20"/>
                <w:szCs w:val="20"/>
              </w:rPr>
              <w:t xml:space="preserve">Bonetti et al., Acta Astronautica 149, 2018 doi:10.1016/j.actaastro.2018.05.029 and NSSDCA per-mission records (see data.csv)</w:t>
            </w:r>
          </w:p>
        </w:tc>
      </w:tr>
      <w:tr>
        <w:tc>
          <w:tcPr>
            <w:tcW w:w="0" w:type="auto"/>
          </w:tcPr>
          <w:p>
            <w:pPr>
              <w:spacing w:line="240" w:lineRule="auto" w:before="0" w:after="0"/>
              <w:pStyle w:val="Compact"/>
            </w:pPr>
            <w:r>
              <w:rPr>
                <w:sz w:val="20"/>
                <w:szCs w:val="20"/>
              </w:rPr>
              <w:t xml:space="preserve">landing_heritage</w:t>
            </w:r>
          </w:p>
        </w:tc>
        <w:tc>
          <w:tcPr>
            <w:tcW w:w="0" w:type="auto"/>
          </w:tcPr>
          <w:p>
            <w:pPr>
              <w:spacing w:line="240" w:lineRule="auto" w:before="0" w:after="0"/>
              <w:pStyle w:val="Compact"/>
            </w:pPr>
            <w:r>
              <w:rPr>
                <w:sz w:val="20"/>
                <w:szCs w:val="20"/>
              </w:rPr>
              <w:t xml:space="preserve">Component indicator: 1 if the terminal landing mechanism (airbag, propulsive leg, or sky-crane architecture) had survived a prior Mars EDL; 0 otherwise.</w:t>
            </w:r>
          </w:p>
        </w:tc>
        <w:tc>
          <w:tcPr>
            <w:tcW w:w="0" w:type="auto"/>
          </w:tcPr>
          <w:p>
            <w:pPr>
              <w:spacing w:line="240" w:lineRule="auto" w:before="0" w:after="0"/>
              <w:pStyle w:val="Compact"/>
            </w:pPr>
            <w:r>
              <w:rPr>
                <w:sz w:val="20"/>
                <w:szCs w:val="20"/>
              </w:rPr>
              <w:t xml:space="preserve">Braun and Manning 2007 doi:10.2514/1.25116 and NSSDCA per-mission records (see data.csv)</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Physical-difficulty control: landed mass in kilograms, a standard confound that co-moves with both heritage and EDL difficulty because heavier landers demand more capable decelerators and terminal systems. Included so the heritage coefficient is not absorbing the mass-scaling of EDL difficulty.</w:t>
            </w:r>
          </w:p>
        </w:tc>
        <w:tc>
          <w:tcPr>
            <w:tcW w:w="0" w:type="auto"/>
          </w:tcPr>
          <w:p>
            <w:pPr>
              <w:spacing w:line="240" w:lineRule="auto" w:before="0" w:after="0"/>
              <w:pStyle w:val="Compact"/>
            </w:pPr>
            <w:r>
              <w:rPr>
                <w:sz w:val="20"/>
                <w:szCs w:val="20"/>
              </w:rPr>
              <w:t xml:space="preserve">NASA NSSDCA per-mission landed/capsule mass and Braun and Manning 2007 doi:10.2514/1.25116 (see data.csv source column)</w:t>
            </w:r>
          </w:p>
        </w:tc>
      </w:tr>
      <w:tr>
        <w:tc>
          <w:tcPr>
            <w:tcW w:w="0" w:type="auto"/>
          </w:tcPr>
          <w:p>
            <w:pPr>
              <w:spacing w:line="240" w:lineRule="auto" w:before="0" w:after="0"/>
              <w:pStyle w:val="Compact"/>
            </w:pPr>
            <w:r>
              <w:rPr>
                <w:sz w:val="20"/>
                <w:szCs w:val="20"/>
              </w:rPr>
              <w:t xml:space="preserve">guidance_autonomy</w:t>
            </w:r>
          </w:p>
        </w:tc>
        <w:tc>
          <w:tcPr>
            <w:tcW w:w="0" w:type="auto"/>
          </w:tcPr>
          <w:p>
            <w:pPr>
              <w:spacing w:line="240" w:lineRule="auto" w:before="0" w:after="0"/>
              <w:pStyle w:val="Compact"/>
            </w:pPr>
            <w:r>
              <w:rPr>
                <w:sz w:val="20"/>
                <w:szCs w:val="20"/>
              </w:rPr>
              <w:t xml:space="preserve">Control-authority covariate: 1 if the vehicle flew a guided or actively attitude-controlled entry or terminal descent (lifting bank control, hazard-avoidance terminal guidance); 0 for unguided ballistic or open-loop descent. Included to separate the value of subsystem heritage from the value of active control.</w:t>
            </w:r>
          </w:p>
        </w:tc>
        <w:tc>
          <w:tcPr>
            <w:tcW w:w="0" w:type="auto"/>
          </w:tcPr>
          <w:p>
            <w:pPr>
              <w:spacing w:line="240" w:lineRule="auto" w:before="0" w:after="0"/>
              <w:pStyle w:val="Compact"/>
            </w:pPr>
            <w:r>
              <w:rPr>
                <w:sz w:val="20"/>
                <w:szCs w:val="20"/>
              </w:rPr>
              <w:t xml:space="preserve">NASA NSSDCA and agency EDL descriptions; Braun and Manning 2007 doi:10.2514/1.25116 (see data.csv source column)</w:t>
            </w:r>
          </w:p>
        </w:tc>
      </w:tr>
    </w:tbl>
    <w:bookmarkEnd w:id="199"/>
    <w:bookmarkEnd w:id="200"/>
    <w:bookmarkStart w:id="208" w:name="X1dc699abbe57c27436bb8d5bca918c58146b10a"/>
    <w:p>
      <w:pPr>
        <w:pStyle w:val="Heading2"/>
        <w:spacing w:line="480" w:lineRule="auto"/>
      </w:pPr>
      <w:r>
        <w:t xml:space="preserve">A.2 Heritage and the Odds of a Soft Landing: A Logit Model of Planetary EDL Success Across Mars, the Moon, and Venus</w:t>
      </w:r>
    </w:p>
    <w:p>
      <w:pPr>
        <w:pStyle w:val="FirstParagraph"/>
        <w:spacing w:line="480" w:lineRule="auto"/>
      </w:pPr>
      <m:oMathPara>
        <m:oMathParaPr>
          <m:jc m:val="center"/>
        </m:oMathParaPr>
        <m:oMath>
          <m:r>
            <m:rPr>
              <m:sty m:val="p"/>
            </m:rPr>
            <m:t>Pr</m:t>
          </m:r>
          <m:r>
            <m:rPr>
              <m:sty m:val="p"/>
            </m:rPr>
            <m:t>(</m:t>
          </m:r>
          <m:sSub>
            <m:e>
              <m:r>
                <m:rPr>
                  <m:nor/>
                  <m:sty m:val="p"/>
                </m:rPr>
                <m:t>success</m:t>
              </m:r>
            </m:e>
            <m:sub>
              <m:r>
                <m:t>i</m:t>
              </m:r>
            </m:sub>
          </m:sSub>
          <m:r>
            <m:rPr>
              <m:sty m:val="p"/>
            </m:rPr>
            <m:t>=</m:t>
          </m:r>
          <m:r>
            <m:t>1</m:t>
          </m:r>
          <m:r>
            <m:rPr>
              <m:sty m:val="p"/>
            </m:rPr>
            <m:t>∣</m:t>
          </m:r>
          <m:sSub>
            <m:e>
              <m: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sSub>
                <m:e>
                  <m:r>
                    <m:rPr>
                      <m:sty m:val="p"/>
                    </m:rPr>
                    <m:t>a</m:t>
                  </m:r>
                  <m:r>
                    <m:rPr>
                      <m:sty m:val="p"/>
                    </m:rPr>
                    <m:t>g</m:t>
                  </m:r>
                  <m:r>
                    <m:rPr>
                      <m:sty m:val="p"/>
                    </m:rPr>
                    <m:t>e</m:t>
                  </m:r>
                  <m:r>
                    <m:rPr>
                      <m:sty m:val="p"/>
                    </m:rPr>
                    <m:t>n</m:t>
                  </m:r>
                  <m:r>
                    <m:rPr>
                      <m:sty m:val="p"/>
                    </m:rPr>
                    <m:t>c</m:t>
                  </m:r>
                  <m:r>
                    <m:rPr>
                      <m:sty m:val="p"/>
                    </m:rPr>
                    <m:t>y</m:t>
                  </m:r>
                  <m:r>
                    <m:rPr>
                      <m:sty m:val="p"/>
                    </m:rPr>
                    <m:t>_</m:t>
                  </m:r>
                  <m:r>
                    <m:rPr>
                      <m:sty m:val="p"/>
                    </m:rPr>
                    <m:t>h</m:t>
                  </m:r>
                  <m:r>
                    <m:rPr>
                      <m:sty m:val="p"/>
                    </m:rPr>
                    <m:t>e</m:t>
                  </m:r>
                  <m:r>
                    <m:rPr>
                      <m:sty m:val="p"/>
                    </m:rPr>
                    <m:t>r</m:t>
                  </m:r>
                  <m:r>
                    <m:rPr>
                      <m:sty m:val="p"/>
                    </m:rPr>
                    <m:t>i</m:t>
                  </m:r>
                  <m:r>
                    <m:rPr>
                      <m:sty m:val="p"/>
                    </m:rPr>
                    <m:t>t</m:t>
                  </m:r>
                  <m:r>
                    <m:rPr>
                      <m:sty m:val="p"/>
                    </m:rPr>
                    <m:t>a</m:t>
                  </m:r>
                  <m:r>
                    <m:rPr>
                      <m:sty m:val="p"/>
                    </m:rPr>
                    <m:t>g</m:t>
                  </m:r>
                  <m:r>
                    <m:rPr>
                      <m:sty m:val="p"/>
                    </m:rPr>
                    <m:t>e</m:t>
                  </m:r>
                </m:e>
                <m:sub>
                  <m:r>
                    <m:t>i</m:t>
                  </m:r>
                </m:sub>
              </m:sSub>
              <m:r>
                <m:rPr>
                  <m:sty m:val="p"/>
                </m:rPr>
                <m:t>+</m:t>
              </m:r>
              <m:sSub>
                <m:e>
                  <m:r>
                    <m:t>β</m:t>
                  </m:r>
                </m:e>
                <m:sub>
                  <m:r>
                    <m:t>2</m:t>
                  </m:r>
                </m:sub>
              </m:sSub>
              <m:r>
                <m:t> </m:t>
              </m:r>
              <m:sSub>
                <m:e>
                  <m:r>
                    <m:rPr>
                      <m:sty m:val="p"/>
                    </m:rPr>
                    <m:t>p</m:t>
                  </m:r>
                  <m:r>
                    <m:rPr>
                      <m:sty m:val="p"/>
                    </m:rPr>
                    <m:t>r</m:t>
                  </m:r>
                  <m:r>
                    <m:rPr>
                      <m:sty m:val="p"/>
                    </m:rPr>
                    <m:t>i</m:t>
                  </m:r>
                  <m:r>
                    <m:rPr>
                      <m:sty m:val="p"/>
                    </m:rPr>
                    <m:t>o</m:t>
                  </m:r>
                  <m:r>
                    <m:rPr>
                      <m:sty m:val="p"/>
                    </m:rPr>
                    <m:t>r</m:t>
                  </m:r>
                  <m:r>
                    <m:rPr>
                      <m:sty m:val="p"/>
                    </m:rPr>
                    <m:t>_</m:t>
                  </m:r>
                  <m:r>
                    <m:rPr>
                      <m:sty m:val="p"/>
                    </m:rPr>
                    <m:t>a</m:t>
                  </m:r>
                  <m:r>
                    <m:rPr>
                      <m:sty m:val="p"/>
                    </m:rPr>
                    <m:t>t</m:t>
                  </m:r>
                  <m:r>
                    <m:rPr>
                      <m:sty m:val="p"/>
                    </m:rPr>
                    <m:t>t</m:t>
                  </m:r>
                  <m:r>
                    <m:rPr>
                      <m:sty m:val="p"/>
                    </m:rPr>
                    <m:t>e</m:t>
                  </m:r>
                  <m:r>
                    <m:rPr>
                      <m:sty m:val="p"/>
                    </m:rPr>
                    <m:t>m</m:t>
                  </m:r>
                  <m:r>
                    <m:rPr>
                      <m:sty m:val="p"/>
                    </m:rPr>
                    <m:t>p</m:t>
                  </m:r>
                  <m:r>
                    <m:rPr>
                      <m:sty m:val="p"/>
                    </m:rPr>
                    <m:t>t</m:t>
                  </m:r>
                  <m:r>
                    <m:rPr>
                      <m:sty m:val="p"/>
                    </m:rPr>
                    <m:t>s</m:t>
                  </m:r>
                </m:e>
                <m:sub>
                  <m:r>
                    <m:t>i</m:t>
                  </m:r>
                </m:sub>
              </m:sSub>
              <m:r>
                <m:rPr>
                  <m:sty m:val="p"/>
                </m:rPr>
                <m:t>+</m:t>
              </m:r>
              <m:sSub>
                <m:e>
                  <m:r>
                    <m:t>β</m:t>
                  </m:r>
                </m:e>
                <m:sub>
                  <m:r>
                    <m:t>3</m:t>
                  </m:r>
                </m:sub>
              </m:sSub>
              <m:r>
                <m:t> </m:t>
              </m:r>
              <m:sSub>
                <m:e>
                  <m:r>
                    <m:rPr>
                      <m:sty m:val="p"/>
                    </m:rPr>
                    <m:t>l</m:t>
                  </m:r>
                  <m:r>
                    <m:rPr>
                      <m:sty m:val="p"/>
                    </m:rPr>
                    <m:t>a</m:t>
                  </m:r>
                  <m:r>
                    <m:rPr>
                      <m:sty m:val="p"/>
                    </m:rPr>
                    <m:t>n</m:t>
                  </m:r>
                  <m:r>
                    <m:rPr>
                      <m:sty m:val="p"/>
                    </m:rPr>
                    <m:t>d</m:t>
                  </m:r>
                  <m:r>
                    <m:rPr>
                      <m:sty m:val="p"/>
                    </m:rPr>
                    <m:t>e</m:t>
                  </m:r>
                  <m:r>
                    <m:rPr>
                      <m:sty m:val="p"/>
                    </m:rPr>
                    <m:t>d</m:t>
                  </m:r>
                  <m:r>
                    <m:rPr>
                      <m:sty m:val="p"/>
                    </m:rPr>
                    <m:t>_</m:t>
                  </m:r>
                  <m:r>
                    <m:rPr>
                      <m:sty m:val="p"/>
                    </m:rPr>
                    <m:t>m</m:t>
                  </m:r>
                  <m:r>
                    <m:rPr>
                      <m:sty m:val="p"/>
                    </m:rPr>
                    <m:t>a</m:t>
                  </m:r>
                  <m:r>
                    <m:rPr>
                      <m:sty m:val="p"/>
                    </m:rPr>
                    <m:t>s</m:t>
                  </m:r>
                  <m:r>
                    <m:rPr>
                      <m:sty m:val="p"/>
                    </m:rPr>
                    <m:t>s</m:t>
                  </m:r>
                  <m:r>
                    <m:rPr>
                      <m:sty m:val="p"/>
                    </m:rPr>
                    <m:t>_</m:t>
                  </m:r>
                  <m:r>
                    <m:rPr>
                      <m:sty m:val="p"/>
                    </m:rPr>
                    <m:t>k</m:t>
                  </m:r>
                  <m:r>
                    <m:rPr>
                      <m:sty m:val="p"/>
                    </m:rPr>
                    <m:t>g</m:t>
                  </m:r>
                </m:e>
                <m:sub>
                  <m:r>
                    <m:t>i</m:t>
                  </m:r>
                </m:sub>
              </m:sSub>
            </m:e>
          </m:d>
        </m:oMath>
      </m:oMathPara>
    </w:p>
    <w:bookmarkStart w:id="20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0.134</w:t>
            </w:r>
          </w:p>
        </w:tc>
        <w:tc>
          <w:tcPr>
            <w:tcW w:w="0" w:type="auto"/>
          </w:tcPr>
          <w:p>
            <w:pPr>
              <w:spacing w:line="240" w:lineRule="auto" w:before="0" w:after="0"/>
              <w:pStyle w:val="Compact"/>
            </w:pPr>
            <w:r>
              <w:rPr>
                <w:sz w:val="20"/>
                <w:szCs w:val="20"/>
              </w:rPr>
              <w:t xml:space="preserve">0.7361</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0.8556</w:t>
            </w:r>
          </w:p>
        </w:tc>
        <w:tc>
          <w:tcPr>
            <w:tcW w:w="0" w:type="auto"/>
          </w:tcPr>
          <w:p>
            <w:pPr>
              <w:spacing w:line="240" w:lineRule="auto" w:before="0" w:after="0"/>
              <w:pStyle w:val="Compact"/>
            </w:pPr>
            <w:r>
              <w:rPr>
                <w:sz w:val="20"/>
                <w:szCs w:val="20"/>
              </w:rPr>
              <w:t xml:space="preserve">[-1.3087, 1.5766]</w:t>
            </w:r>
          </w:p>
        </w:tc>
      </w:tr>
      <w:tr>
        <w:tc>
          <w:tcPr>
            <w:tcW w:w="0" w:type="auto"/>
          </w:tcPr>
          <w:p>
            <w:pPr>
              <w:spacing w:line="240" w:lineRule="auto" w:before="0" w:after="0"/>
              <w:pStyle w:val="Compact"/>
            </w:pPr>
            <w:r>
              <w:rPr>
                <w:sz w:val="20"/>
                <w:szCs w:val="20"/>
              </w:rPr>
              <w:t xml:space="preserve">agency_heritage</w:t>
            </w:r>
          </w:p>
        </w:tc>
        <w:tc>
          <w:tcPr>
            <w:tcW w:w="0" w:type="auto"/>
          </w:tcPr>
          <w:p>
            <w:pPr>
              <w:spacing w:line="240" w:lineRule="auto" w:before="0" w:after="0"/>
              <w:pStyle w:val="Compact"/>
            </w:pPr>
            <w:r>
              <w:rPr>
                <w:sz w:val="20"/>
                <w:szCs w:val="20"/>
              </w:rPr>
              <w:t xml:space="preserve">2.9695</w:t>
            </w:r>
          </w:p>
        </w:tc>
        <w:tc>
          <w:tcPr>
            <w:tcW w:w="0" w:type="auto"/>
          </w:tcPr>
          <w:p>
            <w:pPr>
              <w:spacing w:line="240" w:lineRule="auto" w:before="0" w:after="0"/>
              <w:pStyle w:val="Compact"/>
            </w:pPr>
            <w:r>
              <w:rPr>
                <w:sz w:val="20"/>
                <w:szCs w:val="20"/>
              </w:rPr>
              <w:t xml:space="preserve">1.2064</w:t>
            </w:r>
          </w:p>
        </w:tc>
        <w:tc>
          <w:tcPr>
            <w:tcW w:w="0" w:type="auto"/>
          </w:tcPr>
          <w:p>
            <w:pPr>
              <w:spacing w:line="240" w:lineRule="auto" w:before="0" w:after="0"/>
              <w:pStyle w:val="Compact"/>
            </w:pPr>
            <w:r>
              <w:rPr>
                <w:sz w:val="20"/>
                <w:szCs w:val="20"/>
              </w:rPr>
              <w:t xml:space="preserve">2.4615</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[0.605, 5.334]</w:t>
            </w:r>
          </w:p>
        </w:tc>
      </w:tr>
      <w:tr>
        <w:tc>
          <w:tcPr>
            <w:tcW w:w="0" w:type="auto"/>
          </w:tcPr>
          <w:p>
            <w:pPr>
              <w:spacing w:line="240" w:lineRule="auto" w:before="0" w:after="0"/>
              <w:pStyle w:val="Compact"/>
            </w:pPr>
            <w:r>
              <w:rPr>
                <w:sz w:val="20"/>
                <w:szCs w:val="20"/>
              </w:rPr>
              <w:t xml:space="preserve">prior_attempts</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0.1927</w:t>
            </w:r>
          </w:p>
        </w:tc>
        <w:tc>
          <w:tcPr>
            <w:tcW w:w="0" w:type="auto"/>
          </w:tcPr>
          <w:p>
            <w:pPr>
              <w:spacing w:line="240" w:lineRule="auto" w:before="0" w:after="0"/>
              <w:pStyle w:val="Compact"/>
            </w:pPr>
            <w:r>
              <w:rPr>
                <w:sz w:val="20"/>
                <w:szCs w:val="20"/>
              </w:rPr>
              <w:t xml:space="preserve">-1.0029</w:t>
            </w:r>
          </w:p>
        </w:tc>
        <w:tc>
          <w:tcPr>
            <w:tcW w:w="0" w:type="auto"/>
          </w:tcPr>
          <w:p>
            <w:pPr>
              <w:spacing w:line="240" w:lineRule="auto" w:before="0" w:after="0"/>
              <w:pStyle w:val="Compact"/>
            </w:pPr>
            <w:r>
              <w:rPr>
                <w:sz w:val="20"/>
                <w:szCs w:val="20"/>
              </w:rPr>
              <w:t xml:space="preserve">0.3159</w:t>
            </w:r>
          </w:p>
        </w:tc>
        <w:tc>
          <w:tcPr>
            <w:tcW w:w="0" w:type="auto"/>
          </w:tcPr>
          <w:p>
            <w:pPr>
              <w:spacing w:line="240" w:lineRule="auto" w:before="0" w:after="0"/>
              <w:pStyle w:val="Compact"/>
            </w:pPr>
            <w:r>
              <w:rPr>
                <w:sz w:val="20"/>
                <w:szCs w:val="20"/>
              </w:rPr>
              <w:t xml:space="preserve">[-0.571, 0.1844]</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-0.0005398</w:t>
            </w:r>
          </w:p>
        </w:tc>
        <w:tc>
          <w:tcPr>
            <w:tcW w:w="0" w:type="auto"/>
          </w:tcPr>
          <w:p>
            <w:pPr>
              <w:spacing w:line="240" w:lineRule="auto" w:before="0" w:after="0"/>
              <w:pStyle w:val="Compact"/>
            </w:pPr>
            <w:r>
              <w:rPr>
                <w:sz w:val="20"/>
                <w:szCs w:val="20"/>
              </w:rPr>
              <w:t xml:space="preserve">0.0008841</w:t>
            </w:r>
          </w:p>
        </w:tc>
        <w:tc>
          <w:tcPr>
            <w:tcW w:w="0" w:type="auto"/>
          </w:tcPr>
          <w:p>
            <w:pPr>
              <w:spacing w:line="240" w:lineRule="auto" w:before="0" w:after="0"/>
              <w:pStyle w:val="Compact"/>
            </w:pPr>
            <w:r>
              <w:rPr>
                <w:sz w:val="20"/>
                <w:szCs w:val="20"/>
              </w:rPr>
              <w:t xml:space="preserve">-0.6106</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[-0.0023, 0.0012]</w:t>
            </w:r>
          </w:p>
        </w:tc>
      </w:tr>
    </w:tbl>
    <w:p>
      <w:pPr>
        <w:pStyle w:val="BodyText"/>
        <w:spacing w:line="480" w:lineRule="auto"/>
        <w:ind w:firstLine="720"/>
      </w:pPr>
      <w:r>
        <w:t xml:space="preserve">Fit: N = 37 pseudo_R2 = 0.2111 LL = -19.3594</w:t>
      </w:r>
    </w:p>
    <w:bookmarkEnd w:id="201"/>
    <w:bookmarkStart w:id="20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Each marker is one planetary EDL attempt, positioned by the operating agency’s accumulated prior surface-landing attempts and the binary EDL outcome. Successes concentrate among agencies with deeper attempt histories and prior realized heritage, the pattern the logit model formalizes as a success-probability surface in heritage, attempts, and landed mass." title="" id="203" name="Picture"/>
            <a:graphic>
              <a:graphicData uri="http://schemas.openxmlformats.org/drawingml/2006/picture">
                <pic:pic>
                  <pic:nvPicPr>
                    <pic:cNvPr descr="D:/Claude_Code/brain/collegium/candidates/dissertations/JPL_PLANETARY_07/research_papers/p2/paper_fig1.png" id="204" name="Picture"/>
                    <pic:cNvPicPr>
                      <a:picLocks noChangeArrowheads="1" noChangeAspect="1"/>
                    </pic:cNvPicPr>
                  </pic:nvPicPr>
                  <pic:blipFill>
                    <a:blip r:embed="rId20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Each marker is one planetary EDL attempt, positioned by the operating agency’s accumulated prior surface-landing attempts and the binary EDL outcome. Successes concentrate among agencies with deeper attempt histories and prior realized heritage, the pattern the logit model formalizes as a success-probability surface in heritage, attempts, and landed mass.</w:t>
      </w:r>
    </w:p>
    <w:bookmarkEnd w:id="205"/>
    <w:bookmarkStart w:id="20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body</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prior_attempts</w:t>
            </w:r>
          </w:p>
        </w:tc>
        <w:tc>
          <w:tcPr>
            <w:tcW w:w="0" w:type="auto"/>
          </w:tcPr>
          <w:p>
            <w:pPr>
              <w:spacing w:line="240" w:lineRule="auto" w:before="0" w:after="0"/>
              <w:pStyle w:val="Compact"/>
            </w:pPr>
            <w:r>
              <w:rPr>
                <w:sz w:val="20"/>
                <w:szCs w:val="20"/>
              </w:rPr>
              <w:t xml:space="preserve">agency_heritage</w:t>
            </w:r>
          </w:p>
        </w:tc>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NSSDCA Mars chronology (nssdc.gsfc.nasa.gov/planetary/chronology_mars.html); descent module failed during entry, no surface data returned</w:t>
            </w:r>
          </w:p>
        </w:tc>
      </w:tr>
      <w:tr>
        <w:tc>
          <w:tcPr>
            <w:tcW w:w="0" w:type="auto"/>
          </w:tcPr>
          <w:p>
            <w:pPr>
              <w:spacing w:line="240" w:lineRule="auto" w:before="0" w:after="0"/>
              <w:pStyle w:val="Compact"/>
            </w:pPr>
            <w:r>
              <w:rPr>
                <w:sz w:val="20"/>
                <w:szCs w:val="20"/>
              </w:rPr>
              <w:t xml:space="preserve">Mars 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soft landing then signal loss after ~110 s, coded failure to deliver sustained surface operations</w:t>
            </w:r>
          </w:p>
        </w:tc>
      </w:tr>
      <w:tr>
        <w:tc>
          <w:tcPr>
            <w:tcW w:w="0" w:type="auto"/>
          </w:tcPr>
          <w:p>
            <w:pPr>
              <w:spacing w:line="240" w:lineRule="auto" w:before="0" w:after="0"/>
              <w:pStyle w:val="Compact"/>
            </w:pPr>
            <w:r>
              <w:rPr>
                <w:sz w:val="20"/>
                <w:szCs w:val="20"/>
              </w:rPr>
              <w:t xml:space="preserve">Mars 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635 kg); contact lost during descent, no surface data</w:t>
            </w:r>
          </w:p>
        </w:tc>
      </w:tr>
      <w:tr>
        <w:tc>
          <w:tcPr>
            <w:tcW w:w="0" w:type="auto"/>
          </w:tcPr>
          <w:p>
            <w:pPr>
              <w:spacing w:line="240" w:lineRule="auto" w:before="0" w:after="0"/>
              <w:pStyle w:val="Compact"/>
            </w:pPr>
            <w:r>
              <w:rPr>
                <w:sz w:val="20"/>
                <w:szCs w:val="20"/>
              </w:rPr>
              <w:t xml:space="preserve">Mars 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635 kg); descent module missed planet, failure</w:t>
            </w:r>
          </w:p>
        </w:tc>
      </w:tr>
      <w:tr>
        <w:tc>
          <w:tcPr>
            <w:tcW w:w="0" w:type="auto"/>
          </w:tcPr>
          <w:p>
            <w:pPr>
              <w:spacing w:line="240" w:lineRule="auto" w:before="0" w:after="0"/>
              <w:pStyle w:val="Compact"/>
            </w:pPr>
            <w:r>
              <w:rPr>
                <w:sz w:val="20"/>
                <w:szCs w:val="20"/>
              </w:rPr>
              <w:t xml:space="preserve">Viking 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572 kg); space.com Mars landings; first fully successful US Mars soft landing 1976</w:t>
            </w:r>
          </w:p>
        </w:tc>
      </w:tr>
      <w:tr>
        <w:tc>
          <w:tcPr>
            <w:tcW w:w="0" w:type="auto"/>
          </w:tcPr>
          <w:p>
            <w:pPr>
              <w:spacing w:line="240" w:lineRule="auto" w:before="0" w:after="0"/>
              <w:pStyle w:val="Compact"/>
            </w:pPr>
            <w:r>
              <w:rPr>
                <w:sz w:val="20"/>
                <w:szCs w:val="20"/>
              </w:rPr>
              <w:t xml:space="preserve">Viking 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572 kg); successful soft landing Sept 1976</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361 kg); first airbag-class success, delivered Sojourner 1997</w:t>
            </w:r>
          </w:p>
        </w:tc>
      </w:tr>
      <w:tr>
        <w:tc>
          <w:tcPr>
            <w:tcW w:w="0" w:type="auto"/>
          </w:tcPr>
          <w:p>
            <w:pPr>
              <w:spacing w:line="240" w:lineRule="auto" w:before="0" w:after="0"/>
              <w:pStyle w:val="Compact"/>
            </w:pPr>
            <w:r>
              <w:rPr>
                <w:sz w:val="20"/>
                <w:szCs w:val="20"/>
              </w:rPr>
              <w:t xml:space="preserve">Mars Polar Lander</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583 kg); NASA MPL failure board: lost during propulsive descent 1999</w:t>
            </w:r>
          </w:p>
        </w:tc>
      </w:tr>
      <w:tr>
        <w:tc>
          <w:tcPr>
            <w:tcW w:w="0" w:type="auto"/>
          </w:tcPr>
          <w:p>
            <w:pPr>
              <w:spacing w:line="240" w:lineRule="auto" w:before="0" w:after="0"/>
              <w:pStyle w:val="Compact"/>
            </w:pPr>
            <w:r>
              <w:rPr>
                <w:sz w:val="20"/>
                <w:szCs w:val="20"/>
              </w:rPr>
              <w:t xml:space="preserve">Beagle 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UK</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33.2 kg); landed but solar panels failed to fully deploy, no comms, coded failure</w:t>
            </w:r>
          </w:p>
        </w:tc>
      </w:tr>
      <w:tr>
        <w:tc>
          <w:tcPr>
            <w:tcW w:w="0" w:type="auto"/>
          </w:tcPr>
          <w:p>
            <w:pPr>
              <w:spacing w:line="240" w:lineRule="auto" w:before="0" w:after="0"/>
              <w:pStyle w:val="Compact"/>
            </w:pPr>
            <w:r>
              <w:rPr>
                <w:sz w:val="20"/>
                <w:szCs w:val="20"/>
              </w:rPr>
              <w:t xml:space="preserve">Spirit</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174 kg); MER-A airbag success Jan 2004</w:t>
            </w:r>
          </w:p>
        </w:tc>
      </w:tr>
      <w:tr>
        <w:tc>
          <w:tcPr>
            <w:tcW w:w="0" w:type="auto"/>
          </w:tcPr>
          <w:p>
            <w:pPr>
              <w:spacing w:line="240" w:lineRule="auto" w:before="0" w:after="0"/>
              <w:pStyle w:val="Compact"/>
            </w:pPr>
            <w:r>
              <w:rPr>
                <w:sz w:val="20"/>
                <w:szCs w:val="20"/>
              </w:rPr>
              <w:t xml:space="preserve">Opportunity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174 kg); MER-B airbag success Jan 2004</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350 kg); propulsive terminal-descent success 2008</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899 kg); first sky-crane success Aug 2012</w:t>
            </w:r>
          </w:p>
        </w:tc>
      </w:tr>
      <w:tr>
        <w:tc>
          <w:tcPr>
            <w:tcW w:w="0" w:type="auto"/>
          </w:tcPr>
          <w:p>
            <w:pPr>
              <w:spacing w:line="240" w:lineRule="auto" w:before="0" w:after="0"/>
              <w:pStyle w:val="Compact"/>
            </w:pPr>
            <w:r>
              <w:rPr>
                <w:sz w:val="20"/>
                <w:szCs w:val="20"/>
              </w:rPr>
              <w:t xml:space="preserve">Schiaparelli EDM</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List of Mars landers (mass 577 kg); Bonetti et al., Acta Astronautica 149, 2018, doi:10.1016/j.actaastro.2018.05.029: IMU saturation, ground impact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727 kg); propulsive success Nov 2018</w:t>
            </w:r>
          </w:p>
        </w:tc>
      </w:tr>
      <w:tr>
        <w:tc>
          <w:tcPr>
            <w:tcW w:w="0" w:type="auto"/>
          </w:tcPr>
          <w:p>
            <w:pPr>
              <w:spacing w:line="240" w:lineRule="auto" w:before="0" w:after="0"/>
              <w:pStyle w:val="Compact"/>
            </w:pPr>
            <w:r>
              <w:rPr>
                <w:sz w:val="20"/>
                <w:szCs w:val="20"/>
              </w:rPr>
              <w:t xml:space="preserve">Perseverance</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Mars 2020 Perseverance landing press kit (jpl.nasa.gov/news/press_kits/mars_2020/landing); landed mass 1025 kg, sky-crane success Feb 2021</w:t>
            </w:r>
          </w:p>
        </w:tc>
      </w:tr>
      <w:tr>
        <w:tc>
          <w:tcPr>
            <w:tcW w:w="0" w:type="auto"/>
          </w:tcPr>
          <w:p>
            <w:pPr>
              <w:spacing w:line="240" w:lineRule="auto" w:before="0" w:after="0"/>
              <w:pStyle w:val="Compact"/>
            </w:pPr>
            <w:r>
              <w:rPr>
                <w:sz w:val="20"/>
                <w:szCs w:val="20"/>
              </w:rPr>
              <w:t xml:space="preserve">Zhurong</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List of Mars landers (mass 240 kg); Tianwen-1 lander/rover success May 2021</w:t>
            </w:r>
          </w:p>
        </w:tc>
      </w:tr>
      <w:tr>
        <w:tc>
          <w:tcPr>
            <w:tcW w:w="0" w:type="auto"/>
          </w:tcPr>
          <w:p>
            <w:pPr>
              <w:spacing w:line="240" w:lineRule="auto" w:before="0" w:after="0"/>
              <w:pStyle w:val="Compact"/>
            </w:pPr>
            <w:r>
              <w:rPr>
                <w:sz w:val="20"/>
                <w:szCs w:val="20"/>
              </w:rPr>
              <w:t xml:space="preserve">Luna 9</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first lunar soft landing Feb 1966, capsule ~99 kg</w:t>
            </w:r>
          </w:p>
        </w:tc>
      </w:tr>
      <w:tr>
        <w:tc>
          <w:tcPr>
            <w:tcW w:w="0" w:type="auto"/>
          </w:tcPr>
          <w:p>
            <w:pPr>
              <w:spacing w:line="240" w:lineRule="auto" w:before="0" w:after="0"/>
              <w:pStyle w:val="Compact"/>
            </w:pPr>
            <w:r>
              <w:rPr>
                <w:sz w:val="20"/>
                <w:szCs w:val="20"/>
              </w:rPr>
              <w:t xml:space="preserve">Surveyor 1</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1966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first US lunar soft landing June 1966, ~292 kg</w:t>
            </w:r>
          </w:p>
        </w:tc>
      </w:tr>
      <w:tr>
        <w:tc>
          <w:tcPr>
            <w:tcW w:w="0" w:type="auto"/>
          </w:tcPr>
          <w:p>
            <w:pPr>
              <w:spacing w:line="240" w:lineRule="auto" w:before="0" w:after="0"/>
              <w:pStyle w:val="Compact"/>
            </w:pPr>
            <w:r>
              <w:rPr>
                <w:sz w:val="20"/>
                <w:szCs w:val="20"/>
              </w:rPr>
              <w:t xml:space="preserve">Chang’e 3</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first Chinese lunar soft landing Dec 2013, lander ~1200 kg</w:t>
            </w:r>
          </w:p>
        </w:tc>
      </w:tr>
      <w:tr>
        <w:tc>
          <w:tcPr>
            <w:tcW w:w="0" w:type="auto"/>
          </w:tcPr>
          <w:p>
            <w:pPr>
              <w:spacing w:line="240" w:lineRule="auto" w:before="0" w:after="0"/>
              <w:pStyle w:val="Compact"/>
            </w:pPr>
            <w:r>
              <w:rPr>
                <w:sz w:val="20"/>
                <w:szCs w:val="20"/>
              </w:rPr>
              <w:t xml:space="preserve">Chang’e 4</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far-side soft landing Jan 2019</w:t>
            </w:r>
          </w:p>
        </w:tc>
      </w:tr>
      <w:tr>
        <w:tc>
          <w:tcPr>
            <w:tcW w:w="0" w:type="auto"/>
          </w:tcPr>
          <w:p>
            <w:pPr>
              <w:spacing w:line="240" w:lineRule="auto" w:before="0" w:after="0"/>
              <w:pStyle w:val="Compact"/>
            </w:pPr>
            <w:r>
              <w:rPr>
                <w:sz w:val="20"/>
                <w:szCs w:val="20"/>
              </w:rPr>
              <w:t xml:space="preserve">Chandrayaan-2 Vikram</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Vikram crashed during powered descent Sept 2019, lander ~1471 kg</w:t>
            </w:r>
          </w:p>
        </w:tc>
      </w:tr>
      <w:tr>
        <w:tc>
          <w:tcPr>
            <w:tcW w:w="0" w:type="auto"/>
          </w:tcPr>
          <w:p>
            <w:pPr>
              <w:spacing w:line="240" w:lineRule="auto" w:before="0" w:after="0"/>
              <w:pStyle w:val="Compact"/>
            </w:pPr>
            <w:r>
              <w:rPr>
                <w:sz w:val="20"/>
                <w:szCs w:val="20"/>
              </w:rPr>
              <w:t xml:space="preserve">Chandrayaan-3</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south-pole soft landing Aug 2023, lander ~1749 kg</w:t>
            </w:r>
          </w:p>
        </w:tc>
      </w:tr>
      <w:tr>
        <w:tc>
          <w:tcPr>
            <w:tcW w:w="0" w:type="auto"/>
          </w:tcPr>
          <w:p>
            <w:pPr>
              <w:spacing w:line="240" w:lineRule="auto" w:before="0" w:after="0"/>
              <w:pStyle w:val="Compact"/>
            </w:pPr>
            <w:r>
              <w:rPr>
                <w:sz w:val="20"/>
                <w:szCs w:val="20"/>
              </w:rPr>
              <w:t xml:space="preserve">Beresheet</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SpaceIL Beresheet crashed Apr 2019, dry mass ~150 kg</w:t>
            </w:r>
          </w:p>
        </w:tc>
      </w:tr>
      <w:tr>
        <w:tc>
          <w:tcPr>
            <w:tcW w:w="0" w:type="auto"/>
          </w:tcPr>
          <w:p>
            <w:pPr>
              <w:spacing w:line="240" w:lineRule="auto" w:before="0" w:after="0"/>
              <w:pStyle w:val="Compact"/>
            </w:pPr>
            <w:r>
              <w:rPr>
                <w:sz w:val="20"/>
                <w:szCs w:val="20"/>
              </w:rPr>
              <w:t xml:space="preserve">Hakuto-R M1</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ispace M1 crashed during descent Apr 2023, dry mass ~340 kg</w:t>
            </w:r>
          </w:p>
        </w:tc>
      </w:tr>
      <w:tr>
        <w:tc>
          <w:tcPr>
            <w:tcW w:w="0" w:type="auto"/>
          </w:tcPr>
          <w:p>
            <w:pPr>
              <w:spacing w:line="240" w:lineRule="auto" w:before="0" w:after="0"/>
              <w:pStyle w:val="Compact"/>
            </w:pPr>
            <w:r>
              <w:rPr>
                <w:sz w:val="20"/>
                <w:szCs w:val="20"/>
              </w:rPr>
              <w:t xml:space="preserve">Luna 25</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Moon landing; Luna 25 impacted Moon Aug 2023; agency lunar-lander heritage from Soviet Luna lineage, lander ~800 kg</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JAXA SLIM precision soft landing Jan 2024, dry mass ~200 kg</w:t>
            </w:r>
          </w:p>
        </w:tc>
      </w:tr>
      <w:tr>
        <w:tc>
          <w:tcPr>
            <w:tcW w:w="0" w:type="auto"/>
          </w:tcPr>
          <w:p>
            <w:pPr>
              <w:spacing w:line="240" w:lineRule="auto" w:before="0" w:after="0"/>
              <w:pStyle w:val="Compact"/>
            </w:pPr>
            <w:r>
              <w:rPr>
                <w:sz w:val="20"/>
                <w:szCs w:val="20"/>
              </w:rPr>
              <w:t xml:space="preserve">IM-1 Odysseus</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Moon landing; Intuitive Machines Odysseus soft landing Feb 2024 (tipped but operational), ~675 kg</w:t>
            </w:r>
          </w:p>
        </w:tc>
      </w:tr>
      <w:tr>
        <w:tc>
          <w:tcPr>
            <w:tcW w:w="0" w:type="auto"/>
          </w:tcPr>
          <w:p>
            <w:pPr>
              <w:spacing w:line="240" w:lineRule="auto" w:before="0" w:after="0"/>
              <w:pStyle w:val="Compact"/>
            </w:pPr>
            <w:r>
              <w:rPr>
                <w:sz w:val="20"/>
                <w:szCs w:val="20"/>
              </w:rPr>
              <w:t xml:space="preserve">Venera 3</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Venera; crashed on Venus surface 1966, no data, ~960 kg descent craft</w:t>
            </w:r>
          </w:p>
        </w:tc>
      </w:tr>
      <w:tr>
        <w:tc>
          <w:tcPr>
            <w:tcW w:w="0" w:type="auto"/>
          </w:tcPr>
          <w:p>
            <w:pPr>
              <w:spacing w:line="240" w:lineRule="auto" w:before="0" w:after="0"/>
              <w:pStyle w:val="Compact"/>
            </w:pPr>
            <w:r>
              <w:rPr>
                <w:sz w:val="20"/>
                <w:szCs w:val="20"/>
              </w:rPr>
              <w:t xml:space="preserve">Venera 4</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Venera; transmitted during descent but crushed before reaching surface 1967, coded surface-delivery failure</w:t>
            </w:r>
          </w:p>
        </w:tc>
      </w:tr>
      <w:tr>
        <w:tc>
          <w:tcPr>
            <w:tcW w:w="0" w:type="auto"/>
          </w:tcPr>
          <w:p>
            <w:pPr>
              <w:spacing w:line="240" w:lineRule="auto" w:before="0" w:after="0"/>
              <w:pStyle w:val="Compact"/>
            </w:pPr>
            <w:r>
              <w:rPr>
                <w:sz w:val="20"/>
                <w:szCs w:val="20"/>
              </w:rPr>
              <w:t xml:space="preserve">Venera 7</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first soft landing transmitting from another planet’s surface Dec 1970, ~500 kg</w:t>
            </w:r>
          </w:p>
        </w:tc>
      </w:tr>
      <w:tr>
        <w:tc>
          <w:tcPr>
            <w:tcW w:w="0" w:type="auto"/>
          </w:tcPr>
          <w:p>
            <w:pPr>
              <w:spacing w:line="240" w:lineRule="auto" w:before="0" w:after="0"/>
              <w:pStyle w:val="Compact"/>
            </w:pPr>
            <w:r>
              <w:rPr>
                <w:sz w:val="20"/>
                <w:szCs w:val="20"/>
              </w:rPr>
              <w:t xml:space="preserve">Venera 8</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surface transmission ~50 min July 1972, ~495 kg</w:t>
            </w:r>
          </w:p>
        </w:tc>
      </w:tr>
      <w:tr>
        <w:tc>
          <w:tcPr>
            <w:tcW w:w="0" w:type="auto"/>
          </w:tcPr>
          <w:p>
            <w:pPr>
              <w:spacing w:line="240" w:lineRule="auto" w:before="0" w:after="0"/>
              <w:pStyle w:val="Compact"/>
            </w:pPr>
            <w:r>
              <w:rPr>
                <w:sz w:val="20"/>
                <w:szCs w:val="20"/>
              </w:rPr>
              <w:t xml:space="preserve">Venera 9</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first surface images, ~53 min Oct 1975, lander ~660 kg</w:t>
            </w:r>
          </w:p>
        </w:tc>
      </w:tr>
      <w:tr>
        <w:tc>
          <w:tcPr>
            <w:tcW w:w="0" w:type="auto"/>
          </w:tcPr>
          <w:p>
            <w:pPr>
              <w:spacing w:line="240" w:lineRule="auto" w:before="0" w:after="0"/>
              <w:pStyle w:val="Compact"/>
            </w:pPr>
            <w:r>
              <w:rPr>
                <w:sz w:val="20"/>
                <w:szCs w:val="20"/>
              </w:rPr>
              <w:t xml:space="preserve">Venera 13</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 survived 127 min, color surface images Mar 1982, lander ~760 kg</w:t>
            </w:r>
          </w:p>
        </w:tc>
      </w:tr>
      <w:tr>
        <w:tc>
          <w:tcPr>
            <w:tcW w:w="0" w:type="auto"/>
          </w:tcPr>
          <w:p>
            <w:pPr>
              <w:spacing w:line="240" w:lineRule="auto" w:before="0" w:after="0"/>
              <w:pStyle w:val="Compact"/>
            </w:pPr>
            <w:r>
              <w:rPr>
                <w:sz w:val="20"/>
                <w:szCs w:val="20"/>
              </w:rPr>
              <w:t xml:space="preserve">Vega 1</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Venera/Vega; lander surface-science sequence triggered early during descent, coded surface-science failure 1985, ~1500 kg [illustrative mass]</w:t>
            </w:r>
          </w:p>
        </w:tc>
      </w:tr>
      <w:tr>
        <w:tc>
          <w:tcPr>
            <w:tcW w:w="0" w:type="auto"/>
          </w:tcPr>
          <w:p>
            <w:pPr>
              <w:spacing w:line="240" w:lineRule="auto" w:before="0" w:after="0"/>
              <w:pStyle w:val="Compact"/>
            </w:pPr>
            <w:r>
              <w:rPr>
                <w:sz w:val="20"/>
                <w:szCs w:val="20"/>
              </w:rPr>
              <w:t xml:space="preserve">Vega 2</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USSR</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Venera/Vega; lander operated ~56 min on surface June 1985, ~1500 kg [illustrative mass]</w:t>
            </w:r>
          </w:p>
        </w:tc>
      </w:tr>
      <w:tr>
        <w:tc>
          <w:tcPr>
            <w:tcW w:w="0" w:type="auto"/>
          </w:tcPr>
          <w:p>
            <w:pPr>
              <w:spacing w:line="240" w:lineRule="auto" w:before="0" w:after="0"/>
              <w:pStyle w:val="Compact"/>
            </w:pPr>
            <w:r>
              <w:rPr>
                <w:sz w:val="20"/>
                <w:szCs w:val="20"/>
              </w:rPr>
              <w:t xml:space="preserve">Titan Huygens</w:t>
            </w:r>
          </w:p>
        </w:tc>
        <w:tc>
          <w:tcPr>
            <w:tcW w:w="0" w:type="auto"/>
          </w:tcPr>
          <w:p>
            <w:pPr>
              <w:spacing w:line="240" w:lineRule="auto" w:before="0" w:after="0"/>
              <w:pStyle w:val="Compact"/>
            </w:pPr>
            <w:r>
              <w:rPr>
                <w:sz w:val="20"/>
                <w:szCs w:val="20"/>
              </w:rPr>
              <w:t xml:space="preserve">Titan</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NSSDCA Huygens probe; first Titan soft landing Jan 2005, ~318 kg probe, first-of-class outer-moon entry</w:t>
            </w:r>
          </w:p>
        </w:tc>
      </w:tr>
    </w:tbl>
    <w:bookmarkEnd w:id="206"/>
    <w:bookmarkStart w:id="20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edl_success</w:t>
            </w:r>
          </w:p>
        </w:tc>
        <w:tc>
          <w:tcPr>
            <w:tcW w:w="0" w:type="auto"/>
          </w:tcPr>
          <w:p>
            <w:pPr>
              <w:spacing w:line="240" w:lineRule="auto" w:before="0" w:after="0"/>
              <w:pStyle w:val="Compact"/>
            </w:pPr>
            <w:r>
              <w:rPr>
                <w:sz w:val="20"/>
                <w:szCs w:val="20"/>
              </w:rPr>
              <w:t xml:space="preserve">Binary outcome: 1 if the entry, descent, and landing sequence delivered a surviving, surface-operating configuration that returned data; 0 if the vehicle was lost during or immediately after descent. Partial cases that failed to reach functional surface operation (Mars 3, Beagle 2, Venera 4) are coded 0.</w:t>
            </w:r>
          </w:p>
        </w:tc>
        <w:tc>
          <w:tcPr>
            <w:tcW w:w="0" w:type="auto"/>
          </w:tcPr>
          <w:p>
            <w:pPr>
              <w:spacing w:line="240" w:lineRule="auto" w:before="0" w:after="0"/>
              <w:pStyle w:val="Compact"/>
            </w:pPr>
            <w:r>
              <w:rPr>
                <w:sz w:val="20"/>
                <w:szCs w:val="20"/>
              </w:rPr>
              <w:t xml:space="preserve">Documented mission outcomes from NASA NSSDCA records, the Wikipedia List of Mars landers / Moon landing / Venera summaries, and the Schiaparelli reconstruction (Bonetti et al., Acta Astronautica 149, 2018), cited per row in data.csv</w:t>
            </w:r>
          </w:p>
        </w:tc>
      </w:tr>
      <w:tr>
        <w:tc>
          <w:tcPr>
            <w:tcW w:w="0" w:type="auto"/>
          </w:tcPr>
          <w:p>
            <w:pPr>
              <w:spacing w:line="240" w:lineRule="auto" w:before="0" w:after="0"/>
              <w:pStyle w:val="Compact"/>
            </w:pPr>
            <w:r>
              <w:rPr>
                <w:sz w:val="20"/>
                <w:szCs w:val="20"/>
              </w:rPr>
              <w:t xml:space="preserve">agency_heritage</w:t>
            </w:r>
          </w:p>
        </w:tc>
        <w:tc>
          <w:tcPr>
            <w:tcW w:w="0" w:type="auto"/>
          </w:tcPr>
          <w:p>
            <w:pPr>
              <w:spacing w:line="240" w:lineRule="auto" w:before="0" w:after="0"/>
              <w:pStyle w:val="Compact"/>
            </w:pPr>
            <w:r>
              <w:rPr>
                <w:sz w:val="20"/>
                <w:szCs w:val="20"/>
              </w:rPr>
              <w:t xml:space="preserve">Institutional heritage indicator: 1 if the operating agency had achieved at least one prior successful planetary soft landing on any body before this attempt; 0 otherwise. This cross-body institutional measure, rather than a single-body or per-subsystem flag, is the design choice that distinguishes this test.</w:t>
            </w:r>
          </w:p>
        </w:tc>
        <w:tc>
          <w:tcPr>
            <w:tcW w:w="0" w:type="auto"/>
          </w:tcPr>
          <w:p>
            <w:pPr>
              <w:spacing w:line="240" w:lineRule="auto" w:before="0" w:after="0"/>
              <w:pStyle w:val="Compact"/>
            </w:pPr>
            <w:r>
              <w:rPr>
                <w:sz w:val="20"/>
                <w:szCs w:val="20"/>
              </w:rPr>
              <w:t xml:space="preserve">Derived from the chronologically ordered, agency-tagged attempt record compiled in data.csv from NSSDCA and mission sources</w:t>
            </w:r>
          </w:p>
        </w:tc>
      </w:tr>
      <w:tr>
        <w:tc>
          <w:tcPr>
            <w:tcW w:w="0" w:type="auto"/>
          </w:tcPr>
          <w:p>
            <w:pPr>
              <w:spacing w:line="240" w:lineRule="auto" w:before="0" w:after="0"/>
              <w:pStyle w:val="Compact"/>
            </w:pPr>
            <w:r>
              <w:rPr>
                <w:sz w:val="20"/>
                <w:szCs w:val="20"/>
              </w:rPr>
              <w:t xml:space="preserve">prior_attempts</w:t>
            </w:r>
          </w:p>
        </w:tc>
        <w:tc>
          <w:tcPr>
            <w:tcW w:w="0" w:type="auto"/>
          </w:tcPr>
          <w:p>
            <w:pPr>
              <w:spacing w:line="240" w:lineRule="auto" w:before="0" w:after="0"/>
              <w:pStyle w:val="Compact"/>
            </w:pPr>
            <w:r>
              <w:rPr>
                <w:sz w:val="20"/>
                <w:szCs w:val="20"/>
              </w:rPr>
              <w:t xml:space="preserve">Program experience count: the number of prior planetary surface-landing attempts by the same operating agency on any body before this attempt, successful or not. Included to separate accumulated raw experience from realized institutional heritage.</w:t>
            </w:r>
          </w:p>
        </w:tc>
        <w:tc>
          <w:tcPr>
            <w:tcW w:w="0" w:type="auto"/>
          </w:tcPr>
          <w:p>
            <w:pPr>
              <w:spacing w:line="240" w:lineRule="auto" w:before="0" w:after="0"/>
              <w:pStyle w:val="Compact"/>
            </w:pPr>
            <w:r>
              <w:rPr>
                <w:sz w:val="20"/>
                <w:szCs w:val="20"/>
              </w:rPr>
              <w:t xml:space="preserve">Counted from the chronologically ordered agency attempt record in data.csv</w:t>
            </w:r>
          </w:p>
        </w:tc>
      </w:tr>
      <w:tr>
        <w:tc>
          <w:tcPr>
            <w:tcW w:w="0" w:type="auto"/>
          </w:tcPr>
          <w:p>
            <w:pPr>
              <w:spacing w:line="240" w:lineRule="auto" w:before="0" w:after="0"/>
              <w:pStyle w:val="Compact"/>
            </w:pPr>
            <w:r>
              <w:rPr>
                <w:sz w:val="20"/>
                <w:szCs w:val="20"/>
              </w:rPr>
              <w:t xml:space="preserve">landed_mass_kg</w:t>
            </w:r>
          </w:p>
        </w:tc>
        <w:tc>
          <w:tcPr>
            <w:tcW w:w="0" w:type="auto"/>
          </w:tcPr>
          <w:p>
            <w:pPr>
              <w:spacing w:line="240" w:lineRule="auto" w:before="0" w:after="0"/>
              <w:pStyle w:val="Compact"/>
            </w:pPr>
            <w:r>
              <w:rPr>
                <w:sz w:val="20"/>
                <w:szCs w:val="20"/>
              </w:rPr>
              <w:t xml:space="preserve">Documented landed or descent-module mass in kilograms, a physical-difficulty confound that co-moves with EDL difficulty because heavier landers demand more capable decelerators and terminal systems. Included so the heritage coefficient does not absorb mass-scaling of difficulty.</w:t>
            </w:r>
          </w:p>
        </w:tc>
        <w:tc>
          <w:tcPr>
            <w:tcW w:w="0" w:type="auto"/>
          </w:tcPr>
          <w:p>
            <w:pPr>
              <w:spacing w:line="240" w:lineRule="auto" w:before="0" w:after="0"/>
              <w:pStyle w:val="Compact"/>
            </w:pPr>
            <w:r>
              <w:rPr>
                <w:sz w:val="20"/>
                <w:szCs w:val="20"/>
              </w:rPr>
              <w:t xml:space="preserve">Per-mission landed/descent mass from NASA NSSDCA, mission press kits, and encyclopedic mission summaries cited per row in data.csv; two Vega masses marked [illustrative]</w:t>
            </w:r>
          </w:p>
        </w:tc>
      </w:tr>
    </w:tbl>
    <w:bookmarkEnd w:id="207"/>
    <w:bookmarkEnd w:id="208"/>
    <w:bookmarkEnd w:id="20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4" Type="http://schemas.openxmlformats.org/officeDocument/2006/relationships/image" Target="media/rId194.png"/><Relationship Id="rId202" Type="http://schemas.openxmlformats.org/officeDocument/2006/relationships/image" Target="media/rId202.png"/><Relationship Id="rId155" Type="http://schemas.openxmlformats.org/officeDocument/2006/relationships/hyperlink" Target="https://doi.org/10.1016/j.actaastro.2016.01.018" TargetMode="External"/><Relationship Id="rId147" Type="http://schemas.openxmlformats.org/officeDocument/2006/relationships/hyperlink" Target="https://doi.org/10.1016/j.actaastro.2016.10.035" TargetMode="External"/><Relationship Id="rId180" Type="http://schemas.openxmlformats.org/officeDocument/2006/relationships/hyperlink" Target="https://doi.org/10.1016/j.actaastro.2016.10.040" TargetMode="External"/><Relationship Id="rId145" Type="http://schemas.openxmlformats.org/officeDocument/2006/relationships/hyperlink" Target="https://doi.org/10.1016/j.actaastro.2016.12.013" TargetMode="External"/><Relationship Id="rId157" Type="http://schemas.openxmlformats.org/officeDocument/2006/relationships/hyperlink" Target="https://doi.org/10.1016/j.actaastro.2017.11.024" TargetMode="External"/><Relationship Id="rId137" Type="http://schemas.openxmlformats.org/officeDocument/2006/relationships/hyperlink" Target="https://doi.org/10.1016/j.actaastro.2018.05.029" TargetMode="External"/><Relationship Id="rId149" Type="http://schemas.openxmlformats.org/officeDocument/2006/relationships/hyperlink" Target="https://doi.org/10.1016/j.actaastro.2018.12.033" TargetMode="External"/><Relationship Id="rId153" Type="http://schemas.openxmlformats.org/officeDocument/2006/relationships/hyperlink" Target="https://doi.org/10.1016/j.actaastro.2019.01.046" TargetMode="External"/><Relationship Id="rId190" Type="http://schemas.openxmlformats.org/officeDocument/2006/relationships/hyperlink" Target="https://doi.org/10.1016/j.actaastro.2019.09.013" TargetMode="External"/><Relationship Id="rId141" Type="http://schemas.openxmlformats.org/officeDocument/2006/relationships/hyperlink" Target="https://doi.org/10.1016/j.actaastro.2020.06.026" TargetMode="External"/><Relationship Id="rId184" Type="http://schemas.openxmlformats.org/officeDocument/2006/relationships/hyperlink" Target="https://doi.org/10.1016/j.actaastro.2020.12.020" TargetMode="External"/><Relationship Id="rId161" Type="http://schemas.openxmlformats.org/officeDocument/2006/relationships/hyperlink" Target="https://doi.org/10.1016/j.actaastro.2021.11.016" TargetMode="External"/><Relationship Id="rId151" Type="http://schemas.openxmlformats.org/officeDocument/2006/relationships/hyperlink" Target="https://doi.org/10.1016/j.actaastro.2022.02.007" TargetMode="External"/><Relationship Id="rId186" Type="http://schemas.openxmlformats.org/officeDocument/2006/relationships/hyperlink" Target="https://doi.org/10.1016/j.actaastro.2023.07.026" TargetMode="External"/><Relationship Id="rId159" Type="http://schemas.openxmlformats.org/officeDocument/2006/relationships/hyperlink" Target="https://doi.org/10.1016/j.actaastro.2025.04.008" TargetMode="External"/><Relationship Id="rId139" Type="http://schemas.openxmlformats.org/officeDocument/2006/relationships/hyperlink" Target="https://doi.org/10.1016/j.actaastro.2026.02.006" TargetMode="External"/><Relationship Id="rId166" Type="http://schemas.openxmlformats.org/officeDocument/2006/relationships/hyperlink" Target="https://doi.org/10.2514/1.25116" TargetMode="External"/><Relationship Id="rId172" Type="http://schemas.openxmlformats.org/officeDocument/2006/relationships/hyperlink" Target="https://doi.org/10.64861/EFEE3835" TargetMode="External"/><Relationship Id="rId175" Type="http://schemas.openxmlformats.org/officeDocument/2006/relationships/hyperlink" Target="https://doi.org/10.64861/GVYB8737" TargetMode="External"/></Relationships>
</file>

<file path=word/_rels/footnotes.xml.rels><?xml version='1.0' encoding='UTF-8' standalone='yes'?>
<Relationships xmlns="http://schemas.openxmlformats.org/package/2006/relationships"><Relationship Id="rId155" Type="http://schemas.openxmlformats.org/officeDocument/2006/relationships/hyperlink" Target="https://doi.org/10.1016/j.actaastro.2016.01.018" TargetMode="External"/><Relationship Id="rId147" Type="http://schemas.openxmlformats.org/officeDocument/2006/relationships/hyperlink" Target="https://doi.org/10.1016/j.actaastro.2016.10.035" TargetMode="External"/><Relationship Id="rId180" Type="http://schemas.openxmlformats.org/officeDocument/2006/relationships/hyperlink" Target="https://doi.org/10.1016/j.actaastro.2016.10.040" TargetMode="External"/><Relationship Id="rId145" Type="http://schemas.openxmlformats.org/officeDocument/2006/relationships/hyperlink" Target="https://doi.org/10.1016/j.actaastro.2016.12.013" TargetMode="External"/><Relationship Id="rId157" Type="http://schemas.openxmlformats.org/officeDocument/2006/relationships/hyperlink" Target="https://doi.org/10.1016/j.actaastro.2017.11.024" TargetMode="External"/><Relationship Id="rId137" Type="http://schemas.openxmlformats.org/officeDocument/2006/relationships/hyperlink" Target="https://doi.org/10.1016/j.actaastro.2018.05.029" TargetMode="External"/><Relationship Id="rId149" Type="http://schemas.openxmlformats.org/officeDocument/2006/relationships/hyperlink" Target="https://doi.org/10.1016/j.actaastro.2018.12.033" TargetMode="External"/><Relationship Id="rId153" Type="http://schemas.openxmlformats.org/officeDocument/2006/relationships/hyperlink" Target="https://doi.org/10.1016/j.actaastro.2019.01.046" TargetMode="External"/><Relationship Id="rId190" Type="http://schemas.openxmlformats.org/officeDocument/2006/relationships/hyperlink" Target="https://doi.org/10.1016/j.actaastro.2019.09.013" TargetMode="External"/><Relationship Id="rId141" Type="http://schemas.openxmlformats.org/officeDocument/2006/relationships/hyperlink" Target="https://doi.org/10.1016/j.actaastro.2020.06.026" TargetMode="External"/><Relationship Id="rId184" Type="http://schemas.openxmlformats.org/officeDocument/2006/relationships/hyperlink" Target="https://doi.org/10.1016/j.actaastro.2020.12.020" TargetMode="External"/><Relationship Id="rId161" Type="http://schemas.openxmlformats.org/officeDocument/2006/relationships/hyperlink" Target="https://doi.org/10.1016/j.actaastro.2021.11.016" TargetMode="External"/><Relationship Id="rId151" Type="http://schemas.openxmlformats.org/officeDocument/2006/relationships/hyperlink" Target="https://doi.org/10.1016/j.actaastro.2022.02.007" TargetMode="External"/><Relationship Id="rId186" Type="http://schemas.openxmlformats.org/officeDocument/2006/relationships/hyperlink" Target="https://doi.org/10.1016/j.actaastro.2023.07.026" TargetMode="External"/><Relationship Id="rId159" Type="http://schemas.openxmlformats.org/officeDocument/2006/relationships/hyperlink" Target="https://doi.org/10.1016/j.actaastro.2025.04.008" TargetMode="External"/><Relationship Id="rId139" Type="http://schemas.openxmlformats.org/officeDocument/2006/relationships/hyperlink" Target="https://doi.org/10.1016/j.actaastro.2026.02.006" TargetMode="External"/><Relationship Id="rId166" Type="http://schemas.openxmlformats.org/officeDocument/2006/relationships/hyperlink" Target="https://doi.org/10.2514/1.25116" TargetMode="External"/><Relationship Id="rId172" Type="http://schemas.openxmlformats.org/officeDocument/2006/relationships/hyperlink" Target="https://doi.org/10.64861/EFEE3835" TargetMode="External"/><Relationship Id="rId175" Type="http://schemas.openxmlformats.org/officeDocument/2006/relationships/hyperlink" Target="https://doi.org/10.64861/GVYB87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Descent, and Landing Reliability as a Function of Heritage: A Hazard Model</dc:title>
  <dc:creator>Leila Ortiz (1B-MAR-042)</dc:creator>
  <cp:keywords/>
  <dcterms:created xsi:type="dcterms:W3CDTF">2026-07-02T09:30:53Z</dcterms:created>
  <dcterms:modified xsi:type="dcterms:W3CDTF">2026-07-02T09:30:53Z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