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1.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9" w:name="X1450ccd1073cc2356b07c66c5513d1812a9a71f"/>
    <w:p>
      <w:pPr>
        <w:pStyle w:val="Heading1"/>
      </w:pPr>
      <w:r>
        <w:t xml:space="preserve">The Hazard of Sequencing: A Cox Survival Analysis of Development-to-Launch Duration Across NASA Planetary Campaign Elements</w:t>
      </w:r>
    </w:p>
    <w:bookmarkStart w:id="61" w:name="introduction"/>
    <w:p>
      <w:pPr>
        <w:pStyle w:val="Heading2"/>
      </w:pPr>
      <w:r>
        <w:t xml:space="preserve">1. Introduction</w:t>
      </w:r>
    </w:p>
    <w:p>
      <w:pPr>
        <w:pStyle w:val="FirstParagraph"/>
      </w:pPr>
      <w:r>
        <w:t xml:space="preserve">A planetary campaign is a sequence of commitments, not a single procurement. Orbiters precede landers, landers precede rovers, and a prospective sample-return chain is conceived as an interdependent set of segments rather than a lone mission</w:t>
      </w:r>
      <w:r>
        <w:t xml:space="preserve"> </w:t>
      </w:r>
      <w:hyperlink w:anchor="ref-1">
        <m:oMathPara>
          <m:oMathParaPr>
            <m:jc m:val="center"/>
          </m:oMathParaPr>
          <m:oMath>
            <m:r>
              <m:t>1</m:t>
            </m:r>
          </m:oMath>
        </m:oMathPara>
      </w:hyperlink>
      <w:r>
        <w:t xml:space="preserve">. Each element inherits interfaces, heritage, and risk posture from those committed before it, and each is counted on to retire risk for those committed after. The cost-schedule consequence of this ordering is the empirical object of my dissertation. The companion panel study in this dissertation estimates how sequencing position is associated with the magnitude of cost and schedule growth. This paper asks a different and complementary question with a different tool: how long does a campaign element take to reach launch, and does its position in the acquisition sequence change the rate at which it gets there?</w:t>
      </w:r>
    </w:p>
    <w:p>
      <w:pPr>
        <w:pStyle w:val="FirstParagraph"/>
      </w:pPr>
      <w:r>
        <w:t xml:space="preserve">Reframing the schedule outcome as a duration, rather than a percentage of growth, is more than a stylistic choice. Development-to-launch time is a survival process. An element is at risk of launching from the moment its baseline is committed, the launch is the terminal event, and elements still in development, in replan, or cancelled before delivery are right-censored rather than missing. The Cox proportional-hazards model is the canonical estimator for this structure because it relates covariates to the instantaneous hazard of the event without imposing a parametric shape on the underlying development timeline. The coefficient of interest is the hazard ratio on sequencing position: a value above one means later-sequenced elements reach launch faster, a value below one means they reach launch more slowly, and a value indistinguishable from one means sequencing leaves no measurable trace on the rate of completion.</w:t>
      </w:r>
    </w:p>
    <w:p>
      <w:pPr>
        <w:pStyle w:val="BodyText"/>
      </w:pPr>
      <w:r>
        <w:t xml:space="preserve">The contribution of this paper is a signed, bounded hazard ratio on acquisition-sequence position in a survival model of NASA planetary campaign-element development, estimated net of cost growth, technology-readiness risk, and flagship class. The finding is reported as estimated, not asserted, and the null is taken seriously.</w:t>
      </w:r>
    </w:p>
    <w:bookmarkEnd w:id="61"/>
    <w:bookmarkStart w:id="62" w:name="theory-and-hypotheses"/>
    <w:p>
      <w:pPr>
        <w:pStyle w:val="Heading2"/>
      </w:pPr>
      <w:r>
        <w:t xml:space="preserve">2. Theory and Hypotheses</w:t>
      </w:r>
    </w:p>
    <w:p>
      <w:pPr>
        <w:pStyle w:val="FirstParagraph"/>
      </w:pPr>
      <w:r>
        <w:t xml:space="preserve">Three mechanisms predict that sequencing position should bear on development duration, and they do not all point the same way. The first is inheritance. Later-sequenced elements can adopt proven interfaces, heritage avionics, and validated entry-descent-and-landing approaches from their predecessors, which should compress development and raise the hazard of an on-time launch. The Mars surface line is the textbook case: the airbag landing demonstrated by an early element is inherited by its immediate successor, and the sky-crane and sampling heritage propagate forward through the line</w:t>
      </w:r>
      <w:r>
        <w:t xml:space="preserve"> </w:t>
      </w:r>
      <w:hyperlink w:anchor="ref-1">
        <m:oMathPara>
          <m:oMathParaPr>
            <m:jc m:val="center"/>
          </m:oMathParaPr>
          <m:oMath>
            <m:r>
              <m:t>1</m:t>
            </m:r>
          </m:oMath>
        </m:oMathPara>
      </w:hyperlink>
      <w:r>
        <w:t xml:space="preserve">. Under the inheritance mechanism, the hazard ratio on sequencing position exceeds one.</w:t>
      </w:r>
    </w:p>
    <w:p>
      <w:pPr>
        <w:pStyle w:val="FirstParagraph"/>
      </w:pPr>
      <w:r>
        <w:t xml:space="preserve">The second mechanism is escalating ambition. Campaigns are frequently designed so that each element attempts more than the last, precisely because the predecessor retired enough risk to justify reaching further. Later elements then carry more new technology and larger scope, which lengthens development and lowers the hazard of reaching launch. Independent validation of parametric cost-estimation tools for NASA missions establishes that element cost, and by extension development effort, scales with technical scope in a characterizable way</w:t>
      </w:r>
      <w:r>
        <w:t xml:space="preserve"> </w:t>
      </w:r>
      <w:hyperlink w:anchor="ref-5">
        <m:oMathPara>
          <m:oMathParaPr>
            <m:jc m:val="center"/>
          </m:oMathParaPr>
          <m:oMath>
            <m:r>
              <m:t>5</m:t>
            </m:r>
          </m:oMath>
        </m:oMathPara>
      </w:hyperlink>
      <w:r>
        <w:t xml:space="preserve">, and parametric cost-estimating relationships formalize the same scope-to-effort logic for conceptual design and technology development</w:t>
      </w:r>
      <w:r>
        <w:t xml:space="preserve"> </w:t>
      </w:r>
      <w:hyperlink w:anchor="ref-6">
        <m:oMathPara>
          <m:oMathParaPr>
            <m:jc m:val="center"/>
          </m:oMathParaPr>
          <m:oMath>
            <m:r>
              <m:t>6</m:t>
            </m:r>
          </m:oMath>
        </m:oMathPara>
      </w:hyperlink>
      <w:r>
        <w:t xml:space="preserve">. The readiness literature reinforces that technology not yet mature for its intended mission is a direct driver of development risk and schedule</w:t>
      </w:r>
      <w:r>
        <w:t xml:space="preserve"> </w:t>
      </w:r>
      <w:hyperlink w:anchor="ref-7">
        <m:oMathPara>
          <m:oMathParaPr>
            <m:jc m:val="center"/>
          </m:oMathParaPr>
          <m:oMath>
            <m:r>
              <m:t>7</m:t>
            </m:r>
          </m:oMath>
        </m:oMathPara>
      </w:hyperlink>
      <w:r>
        <w:t xml:space="preserve">. Under the escalating-ambition mechanism, sequencing position is confounded with scope and readiness, and the apparent sequencing effect should attenuate once those controls enter.</w:t>
      </w:r>
    </w:p>
    <w:p>
      <w:pPr>
        <w:pStyle w:val="FirstParagraph"/>
      </w:pPr>
      <w:r>
        <w:t xml:space="preserve">The third mechanism is interdependency. When elements are coupled, an unforeseen program interdependency can propagate into schedule changes and subsequent cost hikes</w:t>
      </w:r>
      <w:r>
        <w:t xml:space="preserve"> </w:t>
      </w:r>
      <w:hyperlink w:anchor="ref-4">
        <m:oMathPara>
          <m:oMathParaPr>
            <m:jc m:val="center"/>
          </m:oMathParaPr>
          <m:oMath>
            <m:r>
              <m:t>4</m:t>
            </m:r>
          </m:oMath>
        </m:oMathPara>
      </w:hyperlink>
      <w:r>
        <w:t xml:space="preserve">, and flagship campaigns carry a documented record of overrun and slip</w:t>
      </w:r>
      <w:r>
        <w:t xml:space="preserve"> </w:t>
      </w:r>
      <w:hyperlink w:anchor="ref-3">
        <m:oMathPara>
          <m:oMathParaPr>
            <m:jc m:val="center"/>
          </m:oMathParaPr>
          <m:oMath>
            <m:r>
              <m:t>3</m:t>
            </m:r>
          </m:oMath>
        </m:oMathPara>
      </w:hyperlink>
      <w:r>
        <w:t xml:space="preserve">. Interdependency does not have a fixed sign on duration; it depends on whether the dependency runs along the sequence as a clean hand-off or cuts across it as a coordination tax. A parametric architecture comparison can indicate where a sequencing estimate is and is not portable across designs</w:t>
      </w:r>
      <w:r>
        <w:t xml:space="preserve"> </w:t>
      </w:r>
      <w:hyperlink w:anchor="ref-2">
        <m:oMathPara>
          <m:oMathParaPr>
            <m:jc m:val="center"/>
          </m:oMathParaPr>
          <m:oMath>
            <m:r>
              <m:t>2</m:t>
            </m:r>
          </m:oMath>
        </m:oMathPara>
      </w:hyperlink>
      <w:r>
        <w:t xml:space="preserve">.</w:t>
      </w:r>
    </w:p>
    <w:p>
      <w:pPr>
        <w:pStyle w:val="FirstParagraph"/>
      </w:pPr>
      <w:r>
        <w:t xml:space="preserve">These mechanisms motivate a model in which the hazard of launch depends on sequencing position alongside cost growth, a count of new technologies, and a flagship indicator. My hypotheses are:</w:t>
      </w:r>
    </w:p>
    <w:p>
      <w:pPr>
        <w:pStyle w:val="BodyText"/>
      </w:pPr>
      <w:r>
        <w:t xml:space="preserve">H0: the coefficient on sequencing position is zero. Conditional on cost growth, technology-readiness risk, and flagship class, an element’s position in the acquisition sequence has no measurable association with the hazard of reaching launch.</w:t>
      </w:r>
    </w:p>
    <w:p>
      <w:pPr>
        <w:pStyle w:val="BodyText"/>
      </w:pPr>
      <w:r>
        <w:t xml:space="preserve">H1: the coefficient on sequencing position is non-zero and stable in sign. Conditional on the controls, later-sequenced elements reach launch at a systematically different rate than earlier ones, with the sign of the hazard ratio adjudicating between the inheritance and escalating-ambition mechanisms.</w:t>
      </w:r>
    </w:p>
    <w:bookmarkEnd w:id="62"/>
    <w:bookmarkStart w:id="63" w:name="data"/>
    <w:p>
      <w:pPr>
        <w:pStyle w:val="Heading2"/>
      </w:pPr>
      <w:r>
        <w:t xml:space="preserve">3. Data</w:t>
      </w:r>
    </w:p>
    <w:p>
      <w:pPr>
        <w:pStyle w:val="FirstParagraph"/>
      </w:pPr>
      <w:r>
        <w:t xml:space="preserve">The dataset is a cross-section of thirty NASA planetary and deep-space flight elements spanning Mars orbiters and surface missions, small-body missions, outer-planet flagships and New Frontiers probes, and lunar elements. Each row carries its source in the final column. Development duration is the number of months from project confirmation, the agency baseline commitment milestone, to actual or current target launch, drawn from GAO Annual Assessments of NASA Major Projects, NASA and JPL mission press kits, and mission confirmation and launch records. The event indicator is one for elements that completed development and launched and zero for elements still in development or replan or cancelled before delivery as of mid-2026; three elements are right-censored on this definition, namely the Mars Sample Return segment in replan</w:t>
      </w:r>
      <w:r>
        <w:t xml:space="preserve"> </w:t>
      </w:r>
      <w:hyperlink w:anchor="ref-1">
        <m:oMathPara>
          <m:oMathParaPr>
            <m:jc m:val="center"/>
          </m:oMathParaPr>
          <m:oMath>
            <m:r>
              <m:t>1</m:t>
            </m:r>
          </m:oMath>
        </m:oMathPara>
      </w:hyperlink>
      <w:r>
        <w:t xml:space="preserve">, the Europa Lander pre-Phase-A concept, and the restructured VIPER lunar rover documented in the most recent GAO assessment.</w:t>
      </w:r>
    </w:p>
    <w:p>
      <w:pPr>
        <w:pStyle w:val="FirstParagraph"/>
      </w:pPr>
      <w:r>
        <w:t xml:space="preserve">Sequencing position is the ordinal place of the element within the committed acquisition sequence of its campaign line, coded from campaign architecture history and, for the Mars sample-return chain, from the joint multi-element concept of record</w:t>
      </w:r>
      <w:r>
        <w:t xml:space="preserve"> </w:t>
      </w:r>
      <w:hyperlink w:anchor="ref-1">
        <m:oMathPara>
          <m:oMathParaPr>
            <m:jc m:val="center"/>
          </m:oMathParaPr>
          <m:oMath>
            <m:r>
              <m:t>1</m:t>
            </m:r>
          </m:oMath>
        </m:oMathPara>
      </w:hyperlink>
      <w:r>
        <w:t xml:space="preserve">. Cost growth is development cost growth over baseline in percent, taken from the GAO assessments, the Planetary Society Europa Clipper cost record, and the JPL Psyche independent-review-board report. The new-technology count is a readiness-risk proxy built from mission technology descriptions, consistent with the parametric readiness logic that ties scope to effort</w:t>
      </w:r>
      <w:r>
        <w:t xml:space="preserve"> </w:t>
      </w:r>
      <w:hyperlink w:anchor="ref-5">
        <m:oMathPara>
          <m:oMathParaPr>
            <m:jc m:val="center"/>
          </m:oMathParaPr>
          <m:oMath>
            <m:r>
              <m:t>5</m:t>
            </m:r>
          </m:oMath>
        </m:oMathPara>
      </w:hyperlink>
      <w:r>
        <w:t xml:space="preserve"> </w:t>
      </w:r>
      <w:hyperlink w:anchor="ref-6">
        <m:oMathPara>
          <m:oMathParaPr>
            <m:jc m:val="center"/>
          </m:oMathParaPr>
          <m:oMath>
            <m:r>
              <m:t>6</m:t>
            </m:r>
          </m:oMath>
        </m:oMathPara>
      </w:hyperlink>
      <w:r>
        <w:t xml:space="preserve">. The flagship indicator marks the largest cost-tier elements. Where a development-duration value for an unlaunched element could not be observed, it is a documented projection and is marked illustrative in the source field; such values are a small minority of the rows and never substitute for an observed launch.</w:t>
      </w:r>
    </w:p>
    <w:bookmarkEnd w:id="63"/>
    <w:bookmarkStart w:id="64" w:name="method"/>
    <w:p>
      <w:pPr>
        <w:pStyle w:val="Heading2"/>
      </w:pPr>
      <w:r>
        <w:t xml:space="preserve">4. Method</w:t>
      </w:r>
    </w:p>
    <w:p>
      <w:pPr>
        <w:pStyle w:val="FirstParagraph"/>
      </w:pPr>
      <w:r>
        <w:t xml:space="preserve">I estimate a Cox proportional-hazards model in which the hazard of launch for element i is the product of an unspecified baseline hazard and an exponential function of sequencing position, cost growth, the new-technology count, and the flagship indicator. The estimator is partial-likelihood Cox regression as implemented in the project’s empirical toolkit; coefficients are reported as log-hazard effects and as hazard ratios, with standard errors, z-statistics, p-values, and ninety-five-percent confidence intervals. A hazard ratio above one indicates that higher values of the covariate accelerate the arrival of launch; a ratio below one indicates a slower march to launch. Right-censored elements contribute to the risk set up to their censoring time but never supply an event, which is the appropriate treatment for missions still in development. The model uses thirty elements and twenty-seven launch events. The specification, variable definitions with sources, the full estimator output, and the figure are reproduced in the embedded workbook so that every number on the page traces to its source.</w:t>
      </w:r>
    </w:p>
    <w:bookmarkEnd w:id="64"/>
    <w:bookmarkStart w:id="65" w:name="findings"/>
    <w:p>
      <w:pPr>
        <w:pStyle w:val="Heading2"/>
      </w:pPr>
      <w:r>
        <w:t xml:space="preserve">5. Findings</w:t>
      </w:r>
    </w:p>
    <w:p>
      <w:pPr>
        <w:pStyle w:val="FirstParagraph"/>
      </w:pPr>
      <w:r>
        <w:t xml:space="preserve">The estimated hazard ratio on sequencing position is 0.893, with a log-hazard coefficient of -0.1132, a standard error of 0.0984, a z-statistic of -1.150, and a p-value of 0.2501; the ninety-five-percent confidence interval on the coefficient runs from -0.306 to +0.080. Read literally, each step later in a campaign’s acquisition sequence is associated with roughly an eleven-percent lower hazard of reaching launch, that is, a slower march to flight. But the interval comfortably contains zero and the p-value is far from any conventional threshold, so H0 cannot be rejected. On this dataset, sequencing position does not exert a statistically distinguishable effect on the rate at which a planetary element reaches launch once cost growth, readiness risk, and flagship class are held constant. The point estimate leans toward the escalating-ambition mechanism rather than inheritance, because later elements appear to slow rather than accelerate, but the evidence is too weak to credit that lean.</w:t>
      </w:r>
    </w:p>
    <w:p>
      <w:pPr>
        <w:pStyle w:val="BodyText"/>
      </w:pPr>
      <w:r>
        <w:t xml:space="preserve">The control coefficients are individually consistent with the escalating-ambition reading and are each, on their own, short of significance. The new-technology count carries a hazard ratio of 0.645, a coefficient of -0.4382 with a standard error of 0.2589 and a p-value of 0.0905, the strongest signal in the model: each additional new or mission-critical technology is associated with about a thirty-five-percent lower hazard of launch, and its confidence interval from -0.946 to +0.069 only barely crosses zero. This is the expected readiness penalty: technology not yet mature for its mission lengthens development</w:t>
      </w:r>
      <w:r>
        <w:t xml:space="preserve"> </w:t>
      </w:r>
      <w:hyperlink w:anchor="ref-5">
        <m:oMathPara>
          <m:oMathParaPr>
            <m:jc m:val="center"/>
          </m:oMathParaPr>
          <m:oMath>
            <m:r>
              <m:t>5</m:t>
            </m:r>
          </m:oMath>
        </m:oMathPara>
      </w:hyperlink>
      <w:r>
        <w:t xml:space="preserve"> </w:t>
      </w:r>
      <w:hyperlink w:anchor="ref-7">
        <m:oMathPara>
          <m:oMathParaPr>
            <m:jc m:val="center"/>
          </m:oMathParaPr>
          <m:oMath>
            <m:r>
              <m:t>7</m:t>
            </m:r>
          </m:oMath>
        </m:oMathPara>
      </w:hyperlink>
      <w:r>
        <w:t xml:space="preserve">. Cost growth has a hazard ratio of 0.967, a coefficient of -0.0333 with a standard error of 0.0228 and a p-value of 0.1442, so each additional percentage point of cost growth is associated with a small reduction in the launch hazard, a sensible co-movement of cost and schedule difficulty. The flagship indicator has a hazard ratio of 0.168, a coefficient of -1.7842 with a large standard error of 1.3763 and a p-value of 0.1948; the point estimate says flagships reach launch far more slowly, which matches the documented flagship overrun record</w:t>
      </w:r>
      <w:r>
        <w:t xml:space="preserve"> </w:t>
      </w:r>
      <w:hyperlink w:anchor="ref-3">
        <m:oMathPara>
          <m:oMathParaPr>
            <m:jc m:val="center"/>
          </m:oMathParaPr>
          <m:oMath>
            <m:r>
              <m:t>3</m:t>
            </m:r>
          </m:oMath>
        </m:oMathPara>
      </w:hyperlink>
      <w:r>
        <w:t xml:space="preserve"> </w:t>
      </w:r>
      <w:hyperlink w:anchor="ref-4">
        <m:oMathPara>
          <m:oMathParaPr>
            <m:jc m:val="center"/>
          </m:oMathParaPr>
          <m:oMath>
            <m:r>
              <m:t>4</m:t>
            </m:r>
          </m:oMath>
        </m:oMathPara>
      </w:hyperlink>
      <w:r>
        <w:t xml:space="preserve">, but the wide interval from -4.482 to +0.913 reflects how few flagships the panel contains.</w:t>
      </w:r>
    </w:p>
    <w:p>
      <w:pPr>
        <w:pStyle w:val="FirstParagraph"/>
      </w:pPr>
      <w:r>
        <w:t xml:space="preserve">Taken together, every covariate enters with a hazard ratio below one, so the model paints a coherent picture in which scope, readiness, cost difficulty, and flagship scale all slow the path to launch, and in which sequencing position, once those forces are absorbed, adds nothing that the data can distinguish from zero. The sequencing effect this paper set out to detect is, in the survival framing, not present at conventional confidence.</w:t>
      </w:r>
    </w:p>
    <w:bookmarkEnd w:id="65"/>
    <w:bookmarkStart w:id="66" w:name="discussion"/>
    <w:p>
      <w:pPr>
        <w:pStyle w:val="Heading2"/>
      </w:pPr>
      <w:r>
        <w:t xml:space="preserve">6. Discussion</w:t>
      </w:r>
    </w:p>
    <w:p>
      <w:pPr>
        <w:pStyle w:val="FirstParagraph"/>
      </w:pPr>
      <w:r>
        <w:t xml:space="preserve">The headline result is a disciplined null on sequencing. With thirty elements and twenty-seven launches, the hazard ratio on acquisition-sequence position is 0.893 and statistically indistinguishable from one, so the survival evidence does not support the claim that the order of acquisition changes the rate at which a planetary element reaches flight, net of scope, readiness, and class. This is a useful negative for campaign planners: it suggests that the schedule consequences attributed to sequencing in engineering judgment are, in this record, better explained by what each element is asked to do than by where it sits in line. The one covariate that approaches significance, the new-technology count, points the same way. It is the measured difficulty of an element, not its ordinal position, that the data associate with a slower march to launch</w:t>
      </w:r>
      <w:r>
        <w:t xml:space="preserve"> </w:t>
      </w:r>
      <w:hyperlink w:anchor="ref-5">
        <m:oMathPara>
          <m:oMathParaPr>
            <m:jc m:val="center"/>
          </m:oMathParaPr>
          <m:oMath>
            <m:r>
              <m:t>5</m:t>
            </m:r>
          </m:oMath>
        </m:oMathPara>
      </w:hyperlink>
      <w:r>
        <w:t xml:space="preserve"> </w:t>
      </w:r>
      <w:hyperlink w:anchor="ref-6">
        <m:oMathPara>
          <m:oMathParaPr>
            <m:jc m:val="center"/>
          </m:oMathParaPr>
          <m:oMath>
            <m:r>
              <m:t>6</m:t>
            </m:r>
          </m:oMath>
        </m:oMathPara>
      </w:hyperlink>
      <w:r>
        <w:t xml:space="preserve"> </w:t>
      </w:r>
      <w:hyperlink w:anchor="ref-7">
        <m:oMathPara>
          <m:oMathParaPr>
            <m:jc m:val="center"/>
          </m:oMathParaPr>
          <m:oMath>
            <m:r>
              <m:t>7</m:t>
            </m:r>
          </m:oMath>
        </m:oMathPara>
      </w:hyperlink>
      <w:r>
        <w:t xml:space="preserve">.</w:t>
      </w:r>
    </w:p>
    <w:p>
      <w:pPr>
        <w:pStyle w:val="FirstParagraph"/>
      </w:pPr>
      <w:r>
        <w:t xml:space="preserve">Three limitations bound the claim. First, the population of planetary elements with documented baselines is small, and the flagship and censored cells are sparse, which inflates the standard errors and limits power; the wide flagship interval is the clearest symptom. A null here is an absence of detectable effect, not a proof of no effect. Second, sequencing position may be endogenous if planners deliberately order the hardest elements last, in which case the readiness control is doing part of the work the sequencing term would otherwise capture; the panel companion to this paper, with its parametric scope baseline, is the stronger venue for that identification problem. Third, the three right-censored elements include the very architecture, Mars Sample Return, whose interdependency is most likely to carry a sequencing signature</w:t>
      </w:r>
      <w:r>
        <w:t xml:space="preserve"> </w:t>
      </w:r>
      <w:hyperlink w:anchor="ref-1">
        <m:oMathPara>
          <m:oMathParaPr>
            <m:jc m:val="center"/>
          </m:oMathParaPr>
          <m:oMath>
            <m:r>
              <m:t>1</m:t>
            </m:r>
          </m:oMath>
        </m:oMathPara>
      </w:hyperlink>
      <w:r>
        <w:t xml:space="preserve"> </w:t>
      </w:r>
      <w:hyperlink w:anchor="ref-4">
        <m:oMathPara>
          <m:oMathParaPr>
            <m:jc m:val="center"/>
          </m:oMathParaPr>
          <m:oMath>
            <m:r>
              <m:t>4</m:t>
            </m:r>
          </m:oMath>
        </m:oMathPara>
      </w:hyperlink>
      <w:r>
        <w:t xml:space="preserve">, so the most informative future observations have not yet occurred. As those elements resolve, the survival model can be refit and the sequencing hazard re-estimated. The contribution stands as a bounded, reproducible result: in the historical planetary record available now, sequencing position leaves no significant trace on the hazard of reaching launch.</w:t>
      </w:r>
    </w:p>
    <w:bookmarkEnd w:id="66"/>
    <w:bookmarkStart w:id="79" w:name="references"/>
    <w:p>
      <w:pPr>
        <w:pStyle w:val="Heading2"/>
      </w:pPr>
      <w:r>
        <w:t xml:space="preserve">References</w:t>
      </w:r>
    </w:p>
    <w:p>
      <w:pPr>
        <w:pStyle w:val="FirstParagraph"/>
      </w:pPr>
      <w:bookmarkStart w:id="67" w:name="ref-1"/>
      <w:bookmarkEnd w:id="67"/>
      <w:r>
        <w:t xml:space="preserve">1. B. Muirhead, A. Nicholas, J. W. Umland, O. Sutherland, and S. Vijendran,</w:t>
      </w:r>
      <w:r>
        <w:t xml:space="preserve"> </w:t>
      </w:r>
      <w:r>
        <w:t xml:space="preserve">“Mars Sample Return Campaign Concept Status,”</w:t>
      </w:r>
      <w:r>
        <w:t xml:space="preserve"> </w:t>
      </w:r>
      <w:r>
        <w:t xml:space="preserve">Acta Astronautica, vol. 176, 2020. doi:</w:t>
      </w:r>
      <w:r>
        <w:t xml:space="preserve"> </w:t>
      </w:r>
      <w:hyperlink r:id="rId68">
        <w:r>
          <w:rPr>
            <w:rStyle w:val="Hyperlink"/>
          </w:rPr>
          <w:t xml:space="preserve">10.1016/j.actaastro.2020.06.026</w:t>
        </w:r>
      </w:hyperlink>
    </w:p>
    <w:p>
      <w:pPr>
        <w:pStyle w:val="BodyText"/>
      </w:pPr>
      <w:bookmarkStart w:id="69" w:name="ref-2"/>
      <w:bookmarkEnd w:id="69"/>
      <w:r>
        <w:t xml:space="preserve">2. S. Dorrington and J. Olsen,</w:t>
      </w:r>
      <w:r>
        <w:t xml:space="preserve"> </w:t>
      </w:r>
      <w:r>
        <w:t xml:space="preserve">“Parametric economic modelling of asteroid mining architectures,”</w:t>
      </w:r>
      <w:r>
        <w:t xml:space="preserve"> </w:t>
      </w:r>
      <w:r>
        <w:t xml:space="preserve">Acta Astronautica, vol. 241, 2025. doi:</w:t>
      </w:r>
      <w:r>
        <w:t xml:space="preserve"> </w:t>
      </w:r>
      <w:hyperlink r:id="rId70">
        <w:r>
          <w:rPr>
            <w:rStyle w:val="Hyperlink"/>
          </w:rPr>
          <w:t xml:space="preserve">10.1016/j.actaastro.2025.11.006</w:t>
        </w:r>
      </w:hyperlink>
    </w:p>
    <w:p>
      <w:pPr>
        <w:pStyle w:val="BodyText"/>
      </w:pPr>
      <w:bookmarkStart w:id="71" w:name="ref-3"/>
      <w:bookmarkEnd w:id="71"/>
      <w:r>
        <w:t xml:space="preserve">3. M. Weinzierl,</w:t>
      </w:r>
      <w:r>
        <w:t xml:space="preserve"> </w:t>
      </w:r>
      <w:r>
        <w:t xml:space="preserve">“Space, the Final Economic Frontier,”</w:t>
      </w:r>
      <w:r>
        <w:t xml:space="preserve"> </w:t>
      </w:r>
      <w:r>
        <w:t xml:space="preserve">Journal of Economic Perspectives, vol. 32, no. 2, pp. 173-192, 2018.</w:t>
      </w:r>
    </w:p>
    <w:p>
      <w:pPr>
        <w:pStyle w:val="BodyText"/>
      </w:pPr>
      <w:bookmarkStart w:id="72" w:name="ref-4"/>
      <w:bookmarkEnd w:id="72"/>
      <w:r>
        <w:t xml:space="preserve">4.</w:t>
      </w:r>
      <w:r>
        <w:t xml:space="preserve"> </w:t>
      </w:r>
      <w:r>
        <w:t xml:space="preserve">“Architectural Socio-Technological Transformative Change of Space-Use Norms,”</w:t>
      </w:r>
      <w:r>
        <w:t xml:space="preserve"> </w:t>
      </w:r>
      <w:r>
        <w:t xml:space="preserve">SAIS doctoral thesis, 2020.</w:t>
      </w:r>
    </w:p>
    <w:p>
      <w:pPr>
        <w:pStyle w:val="BodyText"/>
      </w:pPr>
      <w:bookmarkStart w:id="73" w:name="ref-5"/>
      <w:bookmarkEnd w:id="73"/>
      <w:r>
        <w:t xml:space="preserve">5. P. D. Friz, S. Hosder, B. B. Leser, and B. C. Towle,</w:t>
      </w:r>
      <w:r>
        <w:t xml:space="preserve"> </w:t>
      </w:r>
      <w:r>
        <w:t xml:space="preserve">“Blind validation study of parametric cost estimation tool SEER-H for NASA space missions,”</w:t>
      </w:r>
      <w:r>
        <w:t xml:space="preserve"> </w:t>
      </w:r>
      <w:r>
        <w:t xml:space="preserve">Acta Astronautica, vol. 166, 2019. doi:</w:t>
      </w:r>
      <w:r>
        <w:t xml:space="preserve"> </w:t>
      </w:r>
      <w:hyperlink r:id="rId74">
        <w:r>
          <w:rPr>
            <w:rStyle w:val="Hyperlink"/>
          </w:rPr>
          <w:t xml:space="preserve">10.1016/j.actaastro.2019.09.030</w:t>
        </w:r>
      </w:hyperlink>
    </w:p>
    <w:p>
      <w:pPr>
        <w:pStyle w:val="BodyText"/>
      </w:pPr>
      <w:bookmarkStart w:id="75" w:name="ref-6"/>
      <w:bookmarkEnd w:id="75"/>
      <w:r>
        <w:t xml:space="preserve">6. N. Viola, R. Fusaro, D. Ferretto, and V. Vercella,</w:t>
      </w:r>
      <w:r>
        <w:t xml:space="preserve"> </w:t>
      </w:r>
      <w:r>
        <w:t xml:space="preserve">“Research, development and production costs prediction parametric model for future civil hypersonic aircraft,”</w:t>
      </w:r>
      <w:r>
        <w:t xml:space="preserve"> </w:t>
      </w:r>
      <w:r>
        <w:t xml:space="preserve">Acta Astronautica, vol. 204, 2022. doi:</w:t>
      </w:r>
      <w:r>
        <w:t xml:space="preserve"> </w:t>
      </w:r>
      <w:hyperlink r:id="rId76">
        <w:r>
          <w:rPr>
            <w:rStyle w:val="Hyperlink"/>
          </w:rPr>
          <w:t xml:space="preserve">10.1016/j.actaastro.2022.12.036</w:t>
        </w:r>
      </w:hyperlink>
    </w:p>
    <w:p>
      <w:pPr>
        <w:pStyle w:val="BodyText"/>
      </w:pPr>
      <w:bookmarkStart w:id="77" w:name="ref-7"/>
      <w:bookmarkEnd w:id="77"/>
      <w:r>
        <w:t xml:space="preserve">7. E. Romero and D. Francisco,</w:t>
      </w:r>
      <w:r>
        <w:t xml:space="preserve"> </w:t>
      </w:r>
      <w:r>
        <w:t xml:space="preserve">“The NASA human system risk mitigation process for space exploration,”</w:t>
      </w:r>
      <w:r>
        <w:t xml:space="preserve"> </w:t>
      </w:r>
      <w:r>
        <w:t xml:space="preserve">Acta Astronautica, vol. 175, 2020. doi:</w:t>
      </w:r>
      <w:r>
        <w:t xml:space="preserve"> </w:t>
      </w:r>
      <w:hyperlink r:id="rId78">
        <w:r>
          <w:rPr>
            <w:rStyle w:val="Hyperlink"/>
          </w:rPr>
          <w:t xml:space="preserve">10.1016/j.actaastro.2020.04.046</w:t>
        </w:r>
      </w:hyperlink>
    </w:p>
    <w:bookmarkEnd w:id="79"/>
    <w:bookmarkStart w:id="80" w:name="specification"/>
    <w:p>
      <w:pPr>
        <w:pStyle w:val="Heading2"/>
      </w:pPr>
      <w:r>
        <w:t xml:space="preserve">Specification</w:t>
      </w:r>
    </w:p>
    <w:p>
      <w:pPr>
        <w:pStyle w:val="FirstParagraph"/>
      </w:pPr>
      <m:oMathPara>
        <m:oMathParaPr>
          <m:jc m:val="center"/>
        </m:oMathParaPr>
        <m:oMath>
          <m:r>
            <m:t>h</m:t>
          </m:r>
          <m:r>
            <m:rPr>
              <m:sty m:val="p"/>
            </m:rPr>
            <m:t>(</m:t>
          </m:r>
          <m:r>
            <m:t>t</m:t>
          </m:r>
          <m:r>
            <m:rPr>
              <m:sty m:val="p"/>
            </m:rPr>
            <m:t>∣</m:t>
          </m:r>
          <m:sSub>
            <m:e>
              <m:r>
                <m:rPr>
                  <m:sty m:val="b"/>
                </m:rPr>
                <m:t>x</m:t>
              </m:r>
            </m:e>
            <m:sub>
              <m:r>
                <m:t>i</m:t>
              </m:r>
            </m:sub>
          </m:sSub>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r>
                <m:t> </m:t>
              </m:r>
              <m:r>
                <m:t>S</m:t>
              </m:r>
              <m:r>
                <m:t>e</m:t>
              </m:r>
              <m:r>
                <m:t>q</m:t>
              </m:r>
              <m:r>
                <m:t>P</m:t>
              </m:r>
              <m:r>
                <m:t>o</m:t>
              </m:r>
              <m:sSub>
                <m:e>
                  <m:r>
                    <m:t>s</m:t>
                  </m:r>
                </m:e>
                <m:sub>
                  <m:r>
                    <m:t>i</m:t>
                  </m:r>
                </m:sub>
              </m:sSub>
              <m:r>
                <m:rPr>
                  <m:sty m:val="p"/>
                </m:rPr>
                <m:t>+</m:t>
              </m:r>
              <m:sSub>
                <m:e>
                  <m:r>
                    <m:t>β</m:t>
                  </m:r>
                </m:e>
                <m:sub>
                  <m:r>
                    <m:t>2</m:t>
                  </m:r>
                </m:sub>
              </m:sSub>
              <m:r>
                <m:t> </m:t>
              </m:r>
              <m:r>
                <m:t>C</m:t>
              </m:r>
              <m:r>
                <m:t>o</m:t>
              </m:r>
              <m:r>
                <m:t>s</m:t>
              </m:r>
              <m:r>
                <m:t>t</m:t>
              </m:r>
              <m:r>
                <m:t>G</m:t>
              </m:r>
              <m:r>
                <m:t>r</m:t>
              </m:r>
              <m:r>
                <m:t>o</m:t>
              </m:r>
              <m:r>
                <m:t>w</m:t>
              </m:r>
              <m:r>
                <m:t>t</m:t>
              </m:r>
              <m:sSub>
                <m:e>
                  <m:r>
                    <m:t>h</m:t>
                  </m:r>
                </m:e>
                <m:sub>
                  <m:r>
                    <m:t>i</m:t>
                  </m:r>
                </m:sub>
              </m:sSub>
              <m:r>
                <m:rPr>
                  <m:sty m:val="p"/>
                </m:rPr>
                <m:t>+</m:t>
              </m:r>
              <m:sSub>
                <m:e>
                  <m:r>
                    <m:t>β</m:t>
                  </m:r>
                </m:e>
                <m:sub>
                  <m:r>
                    <m:t>3</m:t>
                  </m:r>
                </m:sub>
              </m:sSub>
              <m:r>
                <m:t> </m:t>
              </m:r>
              <m:r>
                <m:t>N</m:t>
              </m:r>
              <m:r>
                <m:t>e</m:t>
              </m:r>
              <m:r>
                <m:t>w</m:t>
              </m:r>
              <m:r>
                <m:t>T</m:t>
              </m:r>
              <m:r>
                <m:t>e</m:t>
              </m:r>
              <m:r>
                <m:t>c</m:t>
              </m:r>
              <m:sSub>
                <m:e>
                  <m:r>
                    <m:t>h</m:t>
                  </m:r>
                </m:e>
                <m:sub>
                  <m:r>
                    <m:t>i</m:t>
                  </m:r>
                </m:sub>
              </m:sSub>
              <m:r>
                <m:rPr>
                  <m:sty m:val="p"/>
                </m:rPr>
                <m:t>+</m:t>
              </m:r>
              <m:sSub>
                <m:e>
                  <m:r>
                    <m:t>β</m:t>
                  </m:r>
                </m:e>
                <m:sub>
                  <m:r>
                    <m:t>4</m:t>
                  </m:r>
                </m:sub>
              </m:sSub>
              <m:r>
                <m:t> </m:t>
              </m:r>
              <m:r>
                <m:t>F</m:t>
              </m:r>
              <m:r>
                <m:t>l</m:t>
              </m:r>
              <m:r>
                <m:t>a</m:t>
              </m:r>
              <m:r>
                <m:t>g</m:t>
              </m:r>
              <m:r>
                <m:t>s</m:t>
              </m:r>
              <m:r>
                <m:t>h</m:t>
              </m:r>
              <m:r>
                <m:t>i</m:t>
              </m:r>
              <m:sSub>
                <m:e>
                  <m:r>
                    <m:t>p</m:t>
                  </m:r>
                </m:e>
                <m:sub>
                  <m:r>
                    <m:t>i</m:t>
                  </m:r>
                </m:sub>
              </m:sSub>
            </m:e>
          </m:d>
        </m:oMath>
      </m:oMathPara>
    </w:p>
    <w:bookmarkEnd w:id="80"/>
    <w:bookmarkStart w:id="84" w:name="results"/>
    <w:p>
      <w:pPr>
        <w:pStyle w:val="Heading2"/>
      </w:pPr>
      <w:r>
        <w:t xml:space="preserve">Results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seq_pos</w:t>
            </w:r>
          </w:p>
        </w:tc>
        <w:tc>
          <w:tcPr>
            <w:tcW w:w="0" w:type="auto"/>
          </w:tcPr>
          <w:p>
            <w:pPr>
              <w:spacing w:line="240" w:lineRule="auto" w:before="0" w:after="0"/>
              <w:pStyle w:val="Compact"/>
            </w:pPr>
            <w:r>
              <w:rPr>
                <w:sz w:val="20"/>
                <w:szCs w:val="20"/>
              </w:rPr>
              <w:t xml:space="preserve">-0.1132</w:t>
            </w:r>
          </w:p>
        </w:tc>
        <w:tc>
          <w:tcPr>
            <w:tcW w:w="0" w:type="auto"/>
          </w:tcPr>
          <w:p>
            <w:pPr>
              <w:spacing w:line="240" w:lineRule="auto" w:before="0" w:after="0"/>
              <w:pStyle w:val="Compact"/>
            </w:pPr>
            <w:r>
              <w:rPr>
                <w:sz w:val="20"/>
                <w:szCs w:val="20"/>
              </w:rPr>
              <w:t xml:space="preserve">0.0984</w:t>
            </w:r>
          </w:p>
        </w:tc>
        <w:tc>
          <w:tcPr>
            <w:tcW w:w="0" w:type="auto"/>
          </w:tcPr>
          <w:p>
            <w:pPr>
              <w:spacing w:line="240" w:lineRule="auto" w:before="0" w:after="0"/>
              <w:pStyle w:val="Compact"/>
            </w:pPr>
            <w:r>
              <w:rPr>
                <w:sz w:val="20"/>
                <w:szCs w:val="20"/>
              </w:rPr>
              <w:t xml:space="preserve">-1.15</w:t>
            </w:r>
          </w:p>
        </w:tc>
        <w:tc>
          <w:tcPr>
            <w:tcW w:w="0" w:type="auto"/>
          </w:tcPr>
          <w:p>
            <w:pPr>
              <w:spacing w:line="240" w:lineRule="auto" w:before="0" w:after="0"/>
              <w:pStyle w:val="Compact"/>
            </w:pPr>
            <w:r>
              <w:rPr>
                <w:sz w:val="20"/>
                <w:szCs w:val="20"/>
              </w:rPr>
              <w:t xml:space="preserve">0.2501</w:t>
            </w:r>
          </w:p>
        </w:tc>
        <w:tc>
          <w:tcPr>
            <w:tcW w:w="0" w:type="auto"/>
          </w:tcPr>
          <w:p>
            <w:pPr>
              <w:spacing w:line="240" w:lineRule="auto" w:before="0" w:after="0"/>
              <w:pStyle w:val="Compact"/>
            </w:pPr>
            <w:r>
              <w:rPr>
                <w:sz w:val="20"/>
                <w:szCs w:val="20"/>
              </w:rPr>
              <w:t xml:space="preserve">[-0.3062, 0.0797]</w:t>
            </w:r>
          </w:p>
        </w:tc>
        <w:tc>
          <w:tcPr>
            <w:tcW w:w="0" w:type="auto"/>
          </w:tcPr>
          <w:p>
            <w:pPr>
              <w:spacing w:line="240" w:lineRule="auto" w:before="0" w:after="0"/>
              <w:pStyle w:val="Compact"/>
            </w:pPr>
            <w:r>
              <w:rPr>
                <w:sz w:val="20"/>
                <w:szCs w:val="20"/>
              </w:rPr>
              <w:t xml:space="preserve">0.893</w:t>
            </w:r>
          </w:p>
        </w:tc>
      </w:tr>
      <w:tr>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-0.0333</w:t>
            </w:r>
          </w:p>
        </w:tc>
        <w:tc>
          <w:tcPr>
            <w:tcW w:w="0" w:type="auto"/>
          </w:tcPr>
          <w:p>
            <w:pPr>
              <w:spacing w:line="240" w:lineRule="auto" w:before="0" w:after="0"/>
              <w:pStyle w:val="Compact"/>
            </w:pPr>
            <w:r>
              <w:rPr>
                <w:sz w:val="20"/>
                <w:szCs w:val="20"/>
              </w:rPr>
              <w:t xml:space="preserve">0.0228</w:t>
            </w:r>
          </w:p>
        </w:tc>
        <w:tc>
          <w:tcPr>
            <w:tcW w:w="0" w:type="auto"/>
          </w:tcPr>
          <w:p>
            <w:pPr>
              <w:spacing w:line="240" w:lineRule="auto" w:before="0" w:after="0"/>
              <w:pStyle w:val="Compact"/>
            </w:pPr>
            <w:r>
              <w:rPr>
                <w:sz w:val="20"/>
                <w:szCs w:val="20"/>
              </w:rPr>
              <w:t xml:space="preserve">-1.4603</w:t>
            </w:r>
          </w:p>
        </w:tc>
        <w:tc>
          <w:tcPr>
            <w:tcW w:w="0" w:type="auto"/>
          </w:tcPr>
          <w:p>
            <w:pPr>
              <w:spacing w:line="240" w:lineRule="auto" w:before="0" w:after="0"/>
              <w:pStyle w:val="Compact"/>
            </w:pPr>
            <w:r>
              <w:rPr>
                <w:sz w:val="20"/>
                <w:szCs w:val="20"/>
              </w:rPr>
              <w:t xml:space="preserve">0.1442</w:t>
            </w:r>
          </w:p>
        </w:tc>
        <w:tc>
          <w:tcPr>
            <w:tcW w:w="0" w:type="auto"/>
          </w:tcPr>
          <w:p>
            <w:pPr>
              <w:spacing w:line="240" w:lineRule="auto" w:before="0" w:after="0"/>
              <w:pStyle w:val="Compact"/>
            </w:pPr>
            <w:r>
              <w:rPr>
                <w:sz w:val="20"/>
                <w:szCs w:val="20"/>
              </w:rPr>
              <w:t xml:space="preserve">[-0.078, 0.0114]</w:t>
            </w:r>
          </w:p>
        </w:tc>
        <w:tc>
          <w:tcPr>
            <w:tcW w:w="0" w:type="auto"/>
          </w:tcPr>
          <w:p>
            <w:pPr>
              <w:spacing w:line="240" w:lineRule="auto" w:before="0" w:after="0"/>
              <w:pStyle w:val="Compact"/>
            </w:pPr>
            <w:r>
              <w:rPr>
                <w:sz w:val="20"/>
                <w:szCs w:val="20"/>
              </w:rPr>
              <w:t xml:space="preserve">0.9672</w:t>
            </w:r>
          </w:p>
        </w:tc>
      </w:tr>
      <w:tr>
        <w:tc>
          <w:tcPr>
            <w:tcW w:w="0" w:type="auto"/>
          </w:tcPr>
          <w:p>
            <w:pPr>
              <w:spacing w:line="240" w:lineRule="auto" w:before="0" w:after="0"/>
              <w:pStyle w:val="Compact"/>
            </w:pPr>
            <w:r>
              <w:rPr>
                <w:sz w:val="20"/>
                <w:szCs w:val="20"/>
              </w:rPr>
              <w:t xml:space="preserve">new_tech</w:t>
            </w:r>
          </w:p>
        </w:tc>
        <w:tc>
          <w:tcPr>
            <w:tcW w:w="0" w:type="auto"/>
          </w:tcPr>
          <w:p>
            <w:pPr>
              <w:spacing w:line="240" w:lineRule="auto" w:before="0" w:after="0"/>
              <w:pStyle w:val="Compact"/>
            </w:pPr>
            <w:r>
              <w:rPr>
                <w:sz w:val="20"/>
                <w:szCs w:val="20"/>
              </w:rPr>
              <w:t xml:space="preserve">-0.4382</w:t>
            </w:r>
          </w:p>
        </w:tc>
        <w:tc>
          <w:tcPr>
            <w:tcW w:w="0" w:type="auto"/>
          </w:tcPr>
          <w:p>
            <w:pPr>
              <w:spacing w:line="240" w:lineRule="auto" w:before="0" w:after="0"/>
              <w:pStyle w:val="Compact"/>
            </w:pPr>
            <w:r>
              <w:rPr>
                <w:sz w:val="20"/>
                <w:szCs w:val="20"/>
              </w:rPr>
              <w:t xml:space="preserve">0.2589</w:t>
            </w:r>
          </w:p>
        </w:tc>
        <w:tc>
          <w:tcPr>
            <w:tcW w:w="0" w:type="auto"/>
          </w:tcPr>
          <w:p>
            <w:pPr>
              <w:spacing w:line="240" w:lineRule="auto" w:before="0" w:after="0"/>
              <w:pStyle w:val="Compact"/>
            </w:pPr>
            <w:r>
              <w:rPr>
                <w:sz w:val="20"/>
                <w:szCs w:val="20"/>
              </w:rPr>
              <w:t xml:space="preserve">-1.6929</w:t>
            </w:r>
          </w:p>
        </w:tc>
        <w:tc>
          <w:tcPr>
            <w:tcW w:w="0" w:type="auto"/>
          </w:tcPr>
          <w:p>
            <w:pPr>
              <w:spacing w:line="240" w:lineRule="auto" w:before="0" w:after="0"/>
              <w:pStyle w:val="Compact"/>
            </w:pPr>
            <w:r>
              <w:rPr>
                <w:sz w:val="20"/>
                <w:szCs w:val="20"/>
              </w:rPr>
              <w:t xml:space="preserve">0.0905</w:t>
            </w:r>
          </w:p>
        </w:tc>
        <w:tc>
          <w:tcPr>
            <w:tcW w:w="0" w:type="auto"/>
          </w:tcPr>
          <w:p>
            <w:pPr>
              <w:spacing w:line="240" w:lineRule="auto" w:before="0" w:after="0"/>
              <w:pStyle w:val="Compact"/>
            </w:pPr>
            <w:r>
              <w:rPr>
                <w:sz w:val="20"/>
                <w:szCs w:val="20"/>
              </w:rPr>
              <w:t xml:space="preserve">[-0.9456, 0.0692]</w:t>
            </w:r>
          </w:p>
        </w:tc>
        <w:tc>
          <w:tcPr>
            <w:tcW w:w="0" w:type="auto"/>
          </w:tcPr>
          <w:p>
            <w:pPr>
              <w:spacing w:line="240" w:lineRule="auto" w:before="0" w:after="0"/>
              <w:pStyle w:val="Compact"/>
            </w:pPr>
            <w:r>
              <w:rPr>
                <w:sz w:val="20"/>
                <w:szCs w:val="20"/>
              </w:rPr>
              <w:t xml:space="preserve">0.6452</w:t>
            </w:r>
          </w:p>
        </w:tc>
      </w:tr>
      <w:tr>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-1.7842</w:t>
            </w:r>
          </w:p>
        </w:tc>
        <w:tc>
          <w:tcPr>
            <w:tcW w:w="0" w:type="auto"/>
          </w:tcPr>
          <w:p>
            <w:pPr>
              <w:spacing w:line="240" w:lineRule="auto" w:before="0" w:after="0"/>
              <w:pStyle w:val="Compact"/>
            </w:pPr>
            <w:r>
              <w:rPr>
                <w:sz w:val="20"/>
                <w:szCs w:val="20"/>
              </w:rPr>
              <w:t xml:space="preserve">1.3763</w:t>
            </w:r>
          </w:p>
        </w:tc>
        <w:tc>
          <w:tcPr>
            <w:tcW w:w="0" w:type="auto"/>
          </w:tcPr>
          <w:p>
            <w:pPr>
              <w:spacing w:line="240" w:lineRule="auto" w:before="0" w:after="0"/>
              <w:pStyle w:val="Compact"/>
            </w:pPr>
            <w:r>
              <w:rPr>
                <w:sz w:val="20"/>
                <w:szCs w:val="20"/>
              </w:rPr>
              <w:t xml:space="preserve">-1.2964</w:t>
            </w:r>
          </w:p>
        </w:tc>
        <w:tc>
          <w:tcPr>
            <w:tcW w:w="0" w:type="auto"/>
          </w:tcPr>
          <w:p>
            <w:pPr>
              <w:spacing w:line="240" w:lineRule="auto" w:before="0" w:after="0"/>
              <w:pStyle w:val="Compact"/>
            </w:pPr>
            <w:r>
              <w:rPr>
                <w:sz w:val="20"/>
                <w:szCs w:val="20"/>
              </w:rPr>
              <w:t xml:space="preserve">0.1948</w:t>
            </w:r>
          </w:p>
        </w:tc>
        <w:tc>
          <w:tcPr>
            <w:tcW w:w="0" w:type="auto"/>
          </w:tcPr>
          <w:p>
            <w:pPr>
              <w:spacing w:line="240" w:lineRule="auto" w:before="0" w:after="0"/>
              <w:pStyle w:val="Compact"/>
            </w:pPr>
            <w:r>
              <w:rPr>
                <w:sz w:val="20"/>
                <w:szCs w:val="20"/>
              </w:rPr>
              <w:t xml:space="preserve">[-4.4817, 0.9133]</w:t>
            </w:r>
          </w:p>
        </w:tc>
        <w:tc>
          <w:tcPr>
            <w:tcW w:w="0" w:type="auto"/>
          </w:tcPr>
          <w:p>
            <w:pPr>
              <w:spacing w:line="240" w:lineRule="auto" w:before="0" w:after="0"/>
              <w:pStyle w:val="Compact"/>
            </w:pPr>
            <w:r>
              <w:rPr>
                <w:sz w:val="20"/>
                <w:szCs w:val="20"/>
              </w:rPr>
              <w:t xml:space="preserve">0.1679</w:t>
            </w:r>
          </w:p>
        </w:tc>
      </w:tr>
    </w:tbl>
    <w:p>
      <w:pPr>
        <w:pStyle w:val="BodyText"/>
      </w:pPr>
      <w:r>
        <w:t xml:space="preserve">Fit: N = 30 events = 27</w:t>
      </w:r>
    </w:p>
    <w:p>
      <w:pPr>
        <w:pStyle w:val="CaptionedFigure"/>
      </w:pPr>
      <w:r>
        <w:drawing>
          <wp:inline>
            <wp:extent cx="5669280" cy="3657600"/>
            <wp:effectExtent b="0" l="0" r="0" t="0"/>
            <wp:docPr descr="Figure 1. Development-to-launch duration against acquisition-sequence position across NASA planetary campaign elements." title="" id="82" name="Picture"/>
            <a:graphic>
              <a:graphicData uri="http://schemas.openxmlformats.org/drawingml/2006/picture">
                <pic:pic>
                  <pic:nvPicPr>
                    <pic:cNvPr descr="D:\Claude_Code\brain\collegium\candidates\dissertations\JPL_PLANETARY_06\research_papers\p2\paper_fig1.png" id="83" name="Picture"/>
                    <pic:cNvPicPr>
                      <a:picLocks noChangeArrowheads="1" noChangeAspect="1"/>
                    </pic:cNvPicPr>
                  </pic:nvPicPr>
                  <pic:blipFill>
                    <a:blip r:embed="rId8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Development-to-launch duration against acquisition-sequence position across NASA planetary campaign elements.</w:t>
      </w:r>
    </w:p>
    <w:bookmarkEnd w:id="84"/>
    <w:bookmarkStart w:id="88"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5"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project</w:t>
            </w:r>
          </w:p>
        </w:tc>
        <w:tc>
          <w:tcPr>
            <w:tcW w:w="0" w:type="auto"/>
          </w:tcPr>
          <w:p>
            <w:pPr>
              <w:spacing w:line="240" w:lineRule="auto" w:before="0" w:after="0"/>
              <w:pStyle w:val="Compact"/>
            </w:pPr>
            <w:r>
              <w:rPr>
                <w:sz w:val="20"/>
                <w:szCs w:val="20"/>
              </w:rPr>
              <w:t xml:space="preserve">campaign_line</w:t>
            </w:r>
          </w:p>
        </w:tc>
        <w:tc>
          <w:tcPr>
            <w:tcW w:w="0" w:type="auto"/>
          </w:tcPr>
          <w:p>
            <w:pPr>
              <w:spacing w:line="240" w:lineRule="auto" w:before="0" w:after="0"/>
              <w:pStyle w:val="Compact"/>
            </w:pPr>
            <w:r>
              <w:rPr>
                <w:sz w:val="20"/>
                <w:szCs w:val="20"/>
              </w:rPr>
              <w:t xml:space="preserve">seq_pos</w:t>
            </w:r>
          </w:p>
        </w:tc>
        <w:tc>
          <w:tcPr>
            <w:tcW w:w="0" w:type="auto"/>
          </w:tcPr>
          <w:p>
            <w:pPr>
              <w:spacing w:line="240" w:lineRule="auto" w:before="0" w:after="0"/>
              <w:pStyle w:val="Compact"/>
            </w:pPr>
            <w:r>
              <w:rPr>
                <w:sz w:val="20"/>
                <w:szCs w:val="20"/>
              </w:rPr>
              <w:t xml:space="preserve">dev_months</w:t>
            </w:r>
          </w:p>
        </w:tc>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new_tech</w:t>
            </w:r>
          </w:p>
        </w:tc>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launched</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Mars Pathfinder</w:t>
            </w:r>
          </w:p>
        </w:tc>
        <w:tc>
          <w:tcPr>
            <w:tcW w:w="0" w:type="auto"/>
          </w:tcPr>
          <w:p>
            <w:pPr>
              <w:spacing w:line="240" w:lineRule="auto" w:before="0" w:after="0"/>
              <w:pStyle w:val="Compact"/>
            </w:pPr>
            <w:r>
              <w:rPr>
                <w:sz w:val="20"/>
                <w:szCs w:val="20"/>
              </w:rPr>
              <w:t xml:space="preserve">mars_surface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NASA/JPL Mars Pathfinder press kit (1996); launch 1996-12-04; Discovery-era baseline</w:t>
            </w:r>
          </w:p>
        </w:tc>
      </w:tr>
      <w:tr>
        <w:tc>
          <w:tcPr>
            <w:tcW w:w="0" w:type="auto"/>
          </w:tcPr>
          <w:p>
            <w:pPr>
              <w:spacing w:line="240" w:lineRule="auto" w:before="0" w:after="0"/>
              <w:pStyle w:val="Compact"/>
            </w:pPr>
            <w:r>
              <w:rPr>
                <w:sz w:val="20"/>
                <w:szCs w:val="20"/>
              </w:rPr>
              <w:t xml:space="preserve">Mars Global Surveyor</w:t>
            </w:r>
          </w:p>
        </w:tc>
        <w:tc>
          <w:tcPr>
            <w:tcW w:w="0" w:type="auto"/>
          </w:tcPr>
          <w:p>
            <w:pPr>
              <w:spacing w:line="240" w:lineRule="auto" w:before="0" w:after="0"/>
              <w:pStyle w:val="Compact"/>
            </w:pPr>
            <w:r>
              <w:rPr>
                <w:sz w:val="20"/>
                <w:szCs w:val="20"/>
              </w:rPr>
              <w:t xml:space="preserve">mars_orbiter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Mars Global Surveyor fact sheet; launch 1996-11-07; rapid Mars Surveyor Program element</w:t>
            </w:r>
          </w:p>
        </w:tc>
      </w:tr>
      <w:tr>
        <w:tc>
          <w:tcPr>
            <w:tcW w:w="0" w:type="auto"/>
          </w:tcPr>
          <w:p>
            <w:pPr>
              <w:spacing w:line="240" w:lineRule="auto" w:before="0" w:after="0"/>
              <w:pStyle w:val="Compact"/>
            </w:pPr>
            <w:r>
              <w:rPr>
                <w:sz w:val="20"/>
                <w:szCs w:val="20"/>
              </w:rPr>
              <w:t xml:space="preserve">Mars Odyssey</w:t>
            </w:r>
          </w:p>
        </w:tc>
        <w:tc>
          <w:tcPr>
            <w:tcW w:w="0" w:type="auto"/>
          </w:tcPr>
          <w:p>
            <w:pPr>
              <w:spacing w:line="240" w:lineRule="auto" w:before="0" w:after="0"/>
              <w:pStyle w:val="Compact"/>
            </w:pPr>
            <w:r>
              <w:rPr>
                <w:sz w:val="20"/>
                <w:szCs w:val="20"/>
              </w:rPr>
              <w:t xml:space="preserve">mars_orbiter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NASA/JPL 2001 Mars Odyssey press kit; launch 2001-04-07; post-1999-failure rebaseline</w:t>
            </w:r>
          </w:p>
        </w:tc>
      </w:tr>
      <w:tr>
        <w:tc>
          <w:tcPr>
            <w:tcW w:w="0" w:type="auto"/>
          </w:tcPr>
          <w:p>
            <w:pPr>
              <w:spacing w:line="240" w:lineRule="auto" w:before="0" w:after="0"/>
              <w:pStyle w:val="Compact"/>
            </w:pPr>
            <w:r>
              <w:rPr>
                <w:sz w:val="20"/>
                <w:szCs w:val="20"/>
              </w:rPr>
              <w:t xml:space="preserve">Mars Exploration Rover</w:t>
            </w:r>
          </w:p>
        </w:tc>
        <w:tc>
          <w:tcPr>
            <w:tcW w:w="0" w:type="auto"/>
          </w:tcPr>
          <w:p>
            <w:pPr>
              <w:spacing w:line="240" w:lineRule="auto" w:before="0" w:after="0"/>
              <w:pStyle w:val="Compact"/>
            </w:pPr>
            <w:r>
              <w:rPr>
                <w:sz w:val="20"/>
                <w:szCs w:val="20"/>
              </w:rPr>
              <w:t xml:space="preserve">mars_surface</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NASA/JPL MER press kit (2003); launch 2003-06/07; airbag EDL heritage from Pathfinder</w:t>
            </w:r>
          </w:p>
        </w:tc>
      </w:tr>
      <w:tr>
        <w:tc>
          <w:tcPr>
            <w:tcW w:w="0" w:type="auto"/>
          </w:tcPr>
          <w:p>
            <w:pPr>
              <w:spacing w:line="240" w:lineRule="auto" w:before="0" w:after="0"/>
              <w:pStyle w:val="Compact"/>
            </w:pPr>
            <w:r>
              <w:rPr>
                <w:sz w:val="20"/>
                <w:szCs w:val="20"/>
              </w:rPr>
              <w:t xml:space="preserve">Mars Reconnaissance Orbiter</w:t>
            </w:r>
          </w:p>
        </w:tc>
        <w:tc>
          <w:tcPr>
            <w:tcW w:w="0" w:type="auto"/>
          </w:tcPr>
          <w:p>
            <w:pPr>
              <w:spacing w:line="240" w:lineRule="auto" w:before="0" w:after="0"/>
              <w:pStyle w:val="Compact"/>
            </w:pPr>
            <w:r>
              <w:rPr>
                <w:sz w:val="20"/>
                <w:szCs w:val="20"/>
              </w:rPr>
              <w:t xml:space="preserve">mars_orbiter</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NASA/JPL MRO press kit (2005); launch 2005-08-12; HiRISE new instrument</w:t>
            </w:r>
          </w:p>
        </w:tc>
      </w:tr>
      <w:tr>
        <w:tc>
          <w:tcPr>
            <w:tcW w:w="0" w:type="auto"/>
          </w:tcPr>
          <w:p>
            <w:pPr>
              <w:spacing w:line="240" w:lineRule="auto" w:before="0" w:after="0"/>
              <w:pStyle w:val="Compact"/>
            </w:pPr>
            <w:r>
              <w:rPr>
                <w:sz w:val="20"/>
                <w:szCs w:val="20"/>
              </w:rPr>
              <w:t xml:space="preserve">Phoenix</w:t>
            </w:r>
          </w:p>
        </w:tc>
        <w:tc>
          <w:tcPr>
            <w:tcW w:w="0" w:type="auto"/>
          </w:tcPr>
          <w:p>
            <w:pPr>
              <w:spacing w:line="240" w:lineRule="auto" w:before="0" w:after="0"/>
              <w:pStyle w:val="Compact"/>
            </w:pPr>
            <w:r>
              <w:rPr>
                <w:sz w:val="20"/>
                <w:szCs w:val="20"/>
              </w:rPr>
              <w:t xml:space="preserve">mars_surface</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NASA/JPL Phoenix press kit (2007); launch 2007-08-04; Mars Scout, reused 2001 lander hardware</w:t>
            </w:r>
          </w:p>
        </w:tc>
      </w:tr>
      <w:tr>
        <w:tc>
          <w:tcPr>
            <w:tcW w:w="0" w:type="auto"/>
          </w:tcPr>
          <w:p>
            <w:pPr>
              <w:spacing w:line="240" w:lineRule="auto" w:before="0" w:after="0"/>
              <w:pStyle w:val="Compact"/>
            </w:pPr>
            <w:r>
              <w:rPr>
                <w:sz w:val="20"/>
                <w:szCs w:val="20"/>
              </w:rPr>
              <w:t xml:space="preserve">Mars Science Laboratory</w:t>
            </w:r>
          </w:p>
        </w:tc>
        <w:tc>
          <w:tcPr>
            <w:tcW w:w="0" w:type="auto"/>
          </w:tcPr>
          <w:p>
            <w:pPr>
              <w:spacing w:line="240" w:lineRule="auto" w:before="0" w:after="0"/>
              <w:pStyle w:val="Compact"/>
            </w:pPr>
            <w:r>
              <w:rPr>
                <w:sz w:val="20"/>
                <w:szCs w:val="20"/>
              </w:rPr>
              <w:t xml:space="preserve">mars_surface</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GAO-11-364SP; NASA MSL; confirmed 2006, launch slipped 2009 to 2011-11-26; dev cost ~1.6B to ~2.5B</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mars_orbiter</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NASA/JPL MAVEN press kit (2013); launch 2013-11-18; on-baseline Mars Scout follow-on</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mars_surface</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GAO-16-309SP; NASA InSight; SEIS leak slipped launch 2016 to 2018-05-05; ~26-month slip</w:t>
            </w:r>
          </w:p>
        </w:tc>
      </w:tr>
      <w:tr>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mars_surface</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GAO-20-405; NASA Mars 2020 press kit; confirmed 2016, launch 2020-07-30; sample caching new tech</w:t>
            </w:r>
          </w:p>
        </w:tc>
      </w:tr>
      <w:tr>
        <w:tc>
          <w:tcPr>
            <w:tcW w:w="0" w:type="auto"/>
          </w:tcPr>
          <w:p>
            <w:pPr>
              <w:spacing w:line="240" w:lineRule="auto" w:before="0" w:after="0"/>
              <w:pStyle w:val="Compact"/>
            </w:pPr>
            <w:r>
              <w:rPr>
                <w:sz w:val="20"/>
                <w:szCs w:val="20"/>
              </w:rPr>
              <w:t xml:space="preserve">Mars Sample Return segment</w:t>
            </w:r>
          </w:p>
        </w:tc>
        <w:tc>
          <w:tcPr>
            <w:tcW w:w="0" w:type="auto"/>
          </w:tcPr>
          <w:p>
            <w:pPr>
              <w:spacing w:line="240" w:lineRule="auto" w:before="0" w:after="0"/>
              <w:pStyle w:val="Compact"/>
            </w:pPr>
            <w:r>
              <w:rPr>
                <w:sz w:val="20"/>
                <w:szCs w:val="20"/>
              </w:rPr>
              <w:t xml:space="preserve">mars_sample_return</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MSR replan (SpacePolicyOnline 2024); Muirhead et al. Acta Astronautica 176 (2020); in replan, not launched [illustrative dev-month projection]</w:t>
            </w:r>
          </w:p>
        </w:tc>
      </w:tr>
      <w:tr>
        <w:tc>
          <w:tcPr>
            <w:tcW w:w="0" w:type="auto"/>
          </w:tcPr>
          <w:p>
            <w:pPr>
              <w:spacing w:line="240" w:lineRule="auto" w:before="0" w:after="0"/>
              <w:pStyle w:val="Compact"/>
            </w:pPr>
            <w:r>
              <w:rPr>
                <w:sz w:val="20"/>
                <w:szCs w:val="20"/>
              </w:rPr>
              <w:t xml:space="preserve">NEAR Shoemaker</w:t>
            </w:r>
          </w:p>
        </w:tc>
        <w:tc>
          <w:tcPr>
            <w:tcW w:w="0" w:type="auto"/>
          </w:tcPr>
          <w:p>
            <w:pPr>
              <w:spacing w:line="240" w:lineRule="auto" w:before="0" w:after="0"/>
              <w:pStyle w:val="Compact"/>
            </w:pPr>
            <w:r>
              <w:rPr>
                <w:sz w:val="20"/>
                <w:szCs w:val="20"/>
              </w:rPr>
              <w:t xml:space="preserve">smallbody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NEAR press kit; first Discovery mission; launch 1996-02-17</w:t>
            </w:r>
          </w:p>
        </w:tc>
      </w:tr>
      <w:tr>
        <w:tc>
          <w:tcPr>
            <w:tcW w:w="0" w:type="auto"/>
          </w:tcPr>
          <w:p>
            <w:pPr>
              <w:spacing w:line="240" w:lineRule="auto" w:before="0" w:after="0"/>
              <w:pStyle w:val="Compact"/>
            </w:pPr>
            <w:r>
              <w:rPr>
                <w:sz w:val="20"/>
                <w:szCs w:val="20"/>
              </w:rPr>
              <w:t xml:space="preserve">Stardust</w:t>
            </w:r>
          </w:p>
        </w:tc>
        <w:tc>
          <w:tcPr>
            <w:tcW w:w="0" w:type="auto"/>
          </w:tcPr>
          <w:p>
            <w:pPr>
              <w:spacing w:line="240" w:lineRule="auto" w:before="0" w:after="0"/>
              <w:pStyle w:val="Compact"/>
            </w:pPr>
            <w:r>
              <w:rPr>
                <w:sz w:val="20"/>
                <w:szCs w:val="20"/>
              </w:rPr>
              <w:t xml:space="preserve">smallbody</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NASA/JPL Stardust press kit; launch 1999-02-07; aerogel sample capture new tech</w:t>
            </w:r>
          </w:p>
        </w:tc>
      </w:tr>
      <w:tr>
        <w:tc>
          <w:tcPr>
            <w:tcW w:w="0" w:type="auto"/>
          </w:tcPr>
          <w:p>
            <w:pPr>
              <w:spacing w:line="240" w:lineRule="auto" w:before="0" w:after="0"/>
              <w:pStyle w:val="Compact"/>
            </w:pPr>
            <w:r>
              <w:rPr>
                <w:sz w:val="20"/>
                <w:szCs w:val="20"/>
              </w:rPr>
              <w:t xml:space="preserve">Genesis</w:t>
            </w:r>
          </w:p>
        </w:tc>
        <w:tc>
          <w:tcPr>
            <w:tcW w:w="0" w:type="auto"/>
          </w:tcPr>
          <w:p>
            <w:pPr>
              <w:spacing w:line="240" w:lineRule="auto" w:before="0" w:after="0"/>
              <w:pStyle w:val="Compact"/>
            </w:pPr>
            <w:r>
              <w:rPr>
                <w:sz w:val="20"/>
                <w:szCs w:val="20"/>
              </w:rPr>
              <w:t xml:space="preserve">smallbody</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NASA/JPL Genesis press kit; launch 2001-08-08; solar-wind collector</w:t>
            </w:r>
          </w:p>
        </w:tc>
      </w:tr>
      <w:tr>
        <w:tc>
          <w:tcPr>
            <w:tcW w:w="0" w:type="auto"/>
          </w:tcPr>
          <w:p>
            <w:pPr>
              <w:spacing w:line="240" w:lineRule="auto" w:before="0" w:after="0"/>
              <w:pStyle w:val="Compact"/>
            </w:pPr>
            <w:r>
              <w:rPr>
                <w:sz w:val="20"/>
                <w:szCs w:val="20"/>
              </w:rPr>
              <w:t xml:space="preserve">Deep Impact</w:t>
            </w:r>
          </w:p>
        </w:tc>
        <w:tc>
          <w:tcPr>
            <w:tcW w:w="0" w:type="auto"/>
          </w:tcPr>
          <w:p>
            <w:pPr>
              <w:spacing w:line="240" w:lineRule="auto" w:before="0" w:after="0"/>
              <w:pStyle w:val="Compact"/>
            </w:pPr>
            <w:r>
              <w:rPr>
                <w:sz w:val="20"/>
                <w:szCs w:val="20"/>
              </w:rPr>
              <w:t xml:space="preserve">smallbody</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NASA/JPL Deep Impact press kit; launch 2005-01-12; impactor new tech</w:t>
            </w:r>
          </w:p>
        </w:tc>
      </w:tr>
      <w:tr>
        <w:tc>
          <w:tcPr>
            <w:tcW w:w="0" w:type="auto"/>
          </w:tcPr>
          <w:p>
            <w:pPr>
              <w:spacing w:line="240" w:lineRule="auto" w:before="0" w:after="0"/>
              <w:pStyle w:val="Compact"/>
            </w:pPr>
            <w:r>
              <w:rPr>
                <w:sz w:val="20"/>
                <w:szCs w:val="20"/>
              </w:rPr>
              <w:t xml:space="preserve">Dawn</w:t>
            </w:r>
          </w:p>
        </w:tc>
        <w:tc>
          <w:tcPr>
            <w:tcW w:w="0" w:type="auto"/>
          </w:tcPr>
          <w:p>
            <w:pPr>
              <w:spacing w:line="240" w:lineRule="auto" w:before="0" w:after="0"/>
              <w:pStyle w:val="Compact"/>
            </w:pPr>
            <w:r>
              <w:rPr>
                <w:sz w:val="20"/>
                <w:szCs w:val="20"/>
              </w:rPr>
              <w:t xml:space="preserve">smallbody</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GAO-08-1051; NASA Dawn; ion propulsion, cancelled-and-reinstated, launch 2007-09-27</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smallbody</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NASA/JPL/GSFC OSIRIS-REx press kit; New Frontiers; launch 2016-09-08; TAGSAM on baseline</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smallbody</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Lucy press kit; Discovery; launch 2021-10-16; near-baseline</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smallbody</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JPL IRB report (2022); confirmed 2017-01, launch slipped 2022 to 2023-10-13; software/staffing slip</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smallbody</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NASA/APL DART press kit; launch 2021-11-24; planetary-defense demo near baseline</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outer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NASA/JPL Juno press kit; New Frontiers; launch 2011-08-05; near baseline</w:t>
            </w:r>
          </w:p>
        </w:tc>
      </w:tr>
      <w:tr>
        <w:tc>
          <w:tcPr>
            <w:tcW w:w="0" w:type="auto"/>
          </w:tcPr>
          <w:p>
            <w:pPr>
              <w:spacing w:line="240" w:lineRule="auto" w:before="0" w:after="0"/>
              <w:pStyle w:val="Compact"/>
            </w:pPr>
            <w:r>
              <w:rPr>
                <w:sz w:val="20"/>
                <w:szCs w:val="20"/>
              </w:rPr>
              <w:t xml:space="preserve">New Horizons</w:t>
            </w:r>
          </w:p>
        </w:tc>
        <w:tc>
          <w:tcPr>
            <w:tcW w:w="0" w:type="auto"/>
          </w:tcPr>
          <w:p>
            <w:pPr>
              <w:spacing w:line="240" w:lineRule="auto" w:before="0" w:after="0"/>
              <w:pStyle w:val="Compact"/>
            </w:pPr>
            <w:r>
              <w:rPr>
                <w:sz w:val="20"/>
                <w:szCs w:val="20"/>
              </w:rPr>
              <w:t xml:space="preserve">outer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NASA/APL New Horizons press kit; New Frontiers; launch 2006-01-19; fast development</w:t>
            </w:r>
          </w:p>
        </w:tc>
      </w:tr>
      <w:tr>
        <w:tc>
          <w:tcPr>
            <w:tcW w:w="0" w:type="auto"/>
          </w:tcPr>
          <w:p>
            <w:pPr>
              <w:spacing w:line="240" w:lineRule="auto" w:before="0" w:after="0"/>
              <w:pStyle w:val="Compact"/>
            </w:pPr>
            <w:r>
              <w:rPr>
                <w:sz w:val="20"/>
                <w:szCs w:val="20"/>
              </w:rPr>
              <w:t xml:space="preserve">Cassini</w:t>
            </w:r>
          </w:p>
        </w:tc>
        <w:tc>
          <w:tcPr>
            <w:tcW w:w="0" w:type="auto"/>
          </w:tcPr>
          <w:p>
            <w:pPr>
              <w:spacing w:line="240" w:lineRule="auto" w:before="0" w:after="0"/>
              <w:pStyle w:val="Compact"/>
            </w:pPr>
            <w:r>
              <w:rPr>
                <w:sz w:val="20"/>
                <w:szCs w:val="20"/>
              </w:rPr>
              <w:t xml:space="preserve">outer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NASA/JPL Cassini-Huygens; flagship; launch 1997-10-15; long flagship development</w:t>
            </w:r>
          </w:p>
        </w:tc>
      </w:tr>
      <w:tr>
        <w:tc>
          <w:tcPr>
            <w:tcW w:w="0" w:type="auto"/>
          </w:tcPr>
          <w:p>
            <w:pPr>
              <w:spacing w:line="240" w:lineRule="auto" w:before="0" w:after="0"/>
              <w:pStyle w:val="Compact"/>
            </w:pPr>
            <w:r>
              <w:rPr>
                <w:sz w:val="20"/>
                <w:szCs w:val="20"/>
              </w:rPr>
              <w:t xml:space="preserve">Galileo</w:t>
            </w:r>
          </w:p>
        </w:tc>
        <w:tc>
          <w:tcPr>
            <w:tcW w:w="0" w:type="auto"/>
          </w:tcPr>
          <w:p>
            <w:pPr>
              <w:spacing w:line="240" w:lineRule="auto" w:before="0" w:after="0"/>
              <w:pStyle w:val="Compact"/>
            </w:pPr>
            <w:r>
              <w:rPr>
                <w:sz w:val="20"/>
                <w:szCs w:val="20"/>
              </w:rPr>
              <w:t xml:space="preserve">outer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NASA/JPL Galileo; flagship; Challenger-driven slip to 1989-10-18; large schedule/cost growth</w:t>
            </w:r>
          </w:p>
        </w:tc>
      </w:tr>
      <w:tr>
        <w:tc>
          <w:tcPr>
            <w:tcW w:w="0" w:type="auto"/>
          </w:tcPr>
          <w:p>
            <w:pPr>
              <w:spacing w:line="240" w:lineRule="auto" w:before="0" w:after="0"/>
              <w:pStyle w:val="Compact"/>
            </w:pPr>
            <w:r>
              <w:rPr>
                <w:sz w:val="20"/>
                <w:szCs w:val="20"/>
              </w:rPr>
              <w:t xml:space="preserve">Europa Clipper</w:t>
            </w:r>
          </w:p>
        </w:tc>
        <w:tc>
          <w:tcPr>
            <w:tcW w:w="0" w:type="auto"/>
          </w:tcPr>
          <w:p>
            <w:pPr>
              <w:spacing w:line="240" w:lineRule="auto" w:before="0" w:after="0"/>
              <w:pStyle w:val="Compact"/>
            </w:pPr>
            <w:r>
              <w:rPr>
                <w:sz w:val="20"/>
                <w:szCs w:val="20"/>
              </w:rPr>
              <w:t xml:space="preserve">outer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SpacePolicyOnline; Planetary Society Europa Clipper cost chart; ABC 4.25B to 5B (2022); launch 2024-10-14</w:t>
            </w:r>
          </w:p>
        </w:tc>
      </w:tr>
      <w:tr>
        <w:tc>
          <w:tcPr>
            <w:tcW w:w="0" w:type="auto"/>
          </w:tcPr>
          <w:p>
            <w:pPr>
              <w:spacing w:line="240" w:lineRule="auto" w:before="0" w:after="0"/>
              <w:pStyle w:val="Compact"/>
            </w:pPr>
            <w:r>
              <w:rPr>
                <w:sz w:val="20"/>
                <w:szCs w:val="20"/>
              </w:rPr>
              <w:t xml:space="preserve">Europa Lander concept</w:t>
            </w:r>
          </w:p>
        </w:tc>
        <w:tc>
          <w:tcPr>
            <w:tcW w:w="0" w:type="auto"/>
          </w:tcPr>
          <w:p>
            <w:pPr>
              <w:spacing w:line="240" w:lineRule="auto" w:before="0" w:after="0"/>
              <w:pStyle w:val="Compact"/>
            </w:pPr>
            <w:r>
              <w:rPr>
                <w:sz w:val="20"/>
                <w:szCs w:val="20"/>
              </w:rPr>
              <w:t xml:space="preserve">outer</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Europa Lander pre-Phase-A concept studies; not confirmed/launched as of 2026 [illustrative dev-month projection]</w:t>
            </w:r>
          </w:p>
        </w:tc>
      </w:tr>
      <w:tr>
        <w:tc>
          <w:tcPr>
            <w:tcW w:w="0" w:type="auto"/>
          </w:tcPr>
          <w:p>
            <w:pPr>
              <w:spacing w:line="240" w:lineRule="auto" w:before="0" w:after="0"/>
              <w:pStyle w:val="Compact"/>
            </w:pPr>
            <w:r>
              <w:rPr>
                <w:sz w:val="20"/>
                <w:szCs w:val="20"/>
              </w:rPr>
              <w:t xml:space="preserve">GRAIL</w:t>
            </w:r>
          </w:p>
        </w:tc>
        <w:tc>
          <w:tcPr>
            <w:tcW w:w="0" w:type="auto"/>
          </w:tcPr>
          <w:p>
            <w:pPr>
              <w:spacing w:line="240" w:lineRule="auto" w:before="0" w:after="0"/>
              <w:pStyle w:val="Compact"/>
            </w:pPr>
            <w:r>
              <w:rPr>
                <w:sz w:val="20"/>
                <w:szCs w:val="20"/>
              </w:rPr>
              <w:t xml:space="preserve">moon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NASA/JPL GRAIL press kit; Discovery; launch 2011-09-10; on baseline</w:t>
            </w:r>
          </w:p>
        </w:tc>
      </w:tr>
      <w:tr>
        <w:tc>
          <w:tcPr>
            <w:tcW w:w="0" w:type="auto"/>
          </w:tcPr>
          <w:p>
            <w:pPr>
              <w:spacing w:line="240" w:lineRule="auto" w:before="0" w:after="0"/>
              <w:pStyle w:val="Compact"/>
            </w:pPr>
            <w:r>
              <w:rPr>
                <w:sz w:val="20"/>
                <w:szCs w:val="20"/>
              </w:rPr>
              <w:t xml:space="preserve">Lunar Reconnaissance Orbiter</w:t>
            </w:r>
          </w:p>
        </w:tc>
        <w:tc>
          <w:tcPr>
            <w:tcW w:w="0" w:type="auto"/>
          </w:tcPr>
          <w:p>
            <w:pPr>
              <w:spacing w:line="240" w:lineRule="auto" w:before="0" w:after="0"/>
              <w:pStyle w:val="Compact"/>
            </w:pPr>
            <w:r>
              <w:rPr>
                <w:sz w:val="20"/>
                <w:szCs w:val="20"/>
              </w:rPr>
              <w:t xml:space="preserve">moon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NASA/GSFC LRO press kit; launch 2009-06-18; modest growth</w:t>
            </w:r>
          </w:p>
        </w:tc>
      </w:tr>
      <w:tr>
        <w:tc>
          <w:tcPr>
            <w:tcW w:w="0" w:type="auto"/>
          </w:tcPr>
          <w:p>
            <w:pPr>
              <w:spacing w:line="240" w:lineRule="auto" w:before="0" w:after="0"/>
              <w:pStyle w:val="Compact"/>
            </w:pPr>
            <w:r>
              <w:rPr>
                <w:sz w:val="20"/>
                <w:szCs w:val="20"/>
              </w:rPr>
              <w:t xml:space="preserve">LADEE</w:t>
            </w:r>
          </w:p>
        </w:tc>
        <w:tc>
          <w:tcPr>
            <w:tcW w:w="0" w:type="auto"/>
          </w:tcPr>
          <w:p>
            <w:pPr>
              <w:spacing w:line="240" w:lineRule="auto" w:before="0" w:after="0"/>
              <w:pStyle w:val="Compact"/>
            </w:pPr>
            <w:r>
              <w:rPr>
                <w:sz w:val="20"/>
                <w:szCs w:val="20"/>
              </w:rPr>
              <w:t xml:space="preserve">moon</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NASA/Ames LADEE press kit; launch 2013-09-06; modular bus on baseline</w:t>
            </w:r>
          </w:p>
        </w:tc>
      </w:tr>
      <w:tr>
        <w:tc>
          <w:tcPr>
            <w:tcW w:w="0" w:type="auto"/>
          </w:tcPr>
          <w:p>
            <w:pPr>
              <w:spacing w:line="240" w:lineRule="auto" w:before="0" w:after="0"/>
              <w:pStyle w:val="Compact"/>
            </w:pPr>
            <w:r>
              <w:rPr>
                <w:sz w:val="20"/>
                <w:szCs w:val="20"/>
              </w:rPr>
              <w:t xml:space="preserve">VIPER</w:t>
            </w:r>
          </w:p>
        </w:tc>
        <w:tc>
          <w:tcPr>
            <w:tcW w:w="0" w:type="auto"/>
          </w:tcPr>
          <w:p>
            <w:pPr>
              <w:spacing w:line="240" w:lineRule="auto" w:before="0" w:after="0"/>
              <w:pStyle w:val="Compact"/>
            </w:pPr>
            <w:r>
              <w:rPr>
                <w:sz w:val="20"/>
                <w:szCs w:val="20"/>
              </w:rPr>
              <w:t xml:space="preserve">moon</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NASA VIPER; CLPS rover restructured/cancelled before delivery (2024); ~30% growth pre-cancellation</w:t>
            </w:r>
          </w:p>
        </w:tc>
      </w:tr>
    </w:tbl>
    <w:bookmarkEnd w:id="85"/>
    <w:bookmarkStart w:id="86"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dev_months</w:t>
            </w:r>
          </w:p>
        </w:tc>
        <w:tc>
          <w:tcPr>
            <w:tcW w:w="0" w:type="auto"/>
          </w:tcPr>
          <w:p>
            <w:pPr>
              <w:spacing w:line="240" w:lineRule="auto" w:before="0" w:after="0"/>
              <w:pStyle w:val="Compact"/>
            </w:pPr>
            <w:r>
              <w:rPr>
                <w:sz w:val="20"/>
                <w:szCs w:val="20"/>
              </w:rPr>
              <w:t xml:space="preserve">Duration in months from project confirmation (KDP-C / agency baseline commitment) to actual or current target launch; the survival time to the launch event</w:t>
            </w:r>
          </w:p>
        </w:tc>
        <w:tc>
          <w:tcPr>
            <w:tcW w:w="0" w:type="auto"/>
          </w:tcPr>
          <w:p>
            <w:pPr>
              <w:spacing w:line="240" w:lineRule="auto" w:before="0" w:after="0"/>
              <w:pStyle w:val="Compact"/>
            </w:pPr>
            <w:r>
              <w:rPr>
                <w:sz w:val="20"/>
                <w:szCs w:val="20"/>
              </w:rPr>
              <w:t xml:space="preserve">GAO Annual Assessments of NASA Major Projects; NASA/JPL mission press kits; mission confirmation and launch records</w:t>
            </w:r>
          </w:p>
        </w:tc>
      </w:tr>
      <w:tr>
        <w:tc>
          <w:tcPr>
            <w:tcW w:w="0" w:type="auto"/>
          </w:tcPr>
          <w:p>
            <w:pPr>
              <w:spacing w:line="240" w:lineRule="auto" w:before="0" w:after="0"/>
              <w:pStyle w:val="Compact"/>
            </w:pPr>
            <w:r>
              <w:rPr>
                <w:sz w:val="20"/>
                <w:szCs w:val="20"/>
              </w:rPr>
              <w:t xml:space="preserve">launched</w:t>
            </w:r>
          </w:p>
        </w:tc>
        <w:tc>
          <w:tcPr>
            <w:tcW w:w="0" w:type="auto"/>
          </w:tcPr>
          <w:p>
            <w:pPr>
              <w:spacing w:line="240" w:lineRule="auto" w:before="0" w:after="0"/>
              <w:pStyle w:val="Compact"/>
            </w:pPr>
            <w:r>
              <w:rPr>
                <w:sz w:val="20"/>
                <w:szCs w:val="20"/>
              </w:rPr>
              <w:t xml:space="preserve">Event indicator: 1 if the element completed development and launched (event observed); 0 if still in development, replan, or cancelled before delivery (right-censored) as of mid-2026</w:t>
            </w:r>
          </w:p>
        </w:tc>
        <w:tc>
          <w:tcPr>
            <w:tcW w:w="0" w:type="auto"/>
          </w:tcPr>
          <w:p>
            <w:pPr>
              <w:spacing w:line="240" w:lineRule="auto" w:before="0" w:after="0"/>
              <w:pStyle w:val="Compact"/>
            </w:pPr>
            <w:r>
              <w:rPr>
                <w:sz w:val="20"/>
                <w:szCs w:val="20"/>
              </w:rPr>
              <w:t xml:space="preserve">NASA mission status; SpacePolicyOnline 2024 MSR replan; GAO-24-106767 (VIPER)</w:t>
            </w:r>
          </w:p>
        </w:tc>
      </w:tr>
      <w:tr>
        <w:tc>
          <w:tcPr>
            <w:tcW w:w="0" w:type="auto"/>
          </w:tcPr>
          <w:p>
            <w:pPr>
              <w:spacing w:line="240" w:lineRule="auto" w:before="0" w:after="0"/>
              <w:pStyle w:val="Compact"/>
            </w:pPr>
            <w:r>
              <w:rPr>
                <w:sz w:val="20"/>
                <w:szCs w:val="20"/>
              </w:rPr>
              <w:t xml:space="preserve">seq_pos</w:t>
            </w:r>
          </w:p>
        </w:tc>
        <w:tc>
          <w:tcPr>
            <w:tcW w:w="0" w:type="auto"/>
          </w:tcPr>
          <w:p>
            <w:pPr>
              <w:spacing w:line="240" w:lineRule="auto" w:before="0" w:after="0"/>
              <w:pStyle w:val="Compact"/>
            </w:pPr>
            <w:r>
              <w:rPr>
                <w:sz w:val="20"/>
                <w:szCs w:val="20"/>
              </w:rPr>
              <w:t xml:space="preserve">Ordinal position of the element in the committed acquisition sequence of its campaign line (orbiter, surface, small-body, outer, moon, sample-return)</w:t>
            </w:r>
          </w:p>
        </w:tc>
        <w:tc>
          <w:tcPr>
            <w:tcW w:w="0" w:type="auto"/>
          </w:tcPr>
          <w:p>
            <w:pPr>
              <w:spacing w:line="240" w:lineRule="auto" w:before="0" w:after="0"/>
              <w:pStyle w:val="Compact"/>
            </w:pPr>
            <w:r>
              <w:rPr>
                <w:sz w:val="20"/>
                <w:szCs w:val="20"/>
              </w:rPr>
              <w:t xml:space="preserve">Coded from campaign architecture history; Muirhead et al. Acta Astronautica 176 (2020) for the Mars sample-return chain</w:t>
            </w:r>
          </w:p>
        </w:tc>
      </w:tr>
      <w:tr>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Development cost growth over the element baseline, in percent</w:t>
            </w:r>
          </w:p>
        </w:tc>
        <w:tc>
          <w:tcPr>
            <w:tcW w:w="0" w:type="auto"/>
          </w:tcPr>
          <w:p>
            <w:pPr>
              <w:spacing w:line="240" w:lineRule="auto" w:before="0" w:after="0"/>
              <w:pStyle w:val="Compact"/>
            </w:pPr>
            <w:r>
              <w:rPr>
                <w:sz w:val="20"/>
                <w:szCs w:val="20"/>
              </w:rPr>
              <w:t xml:space="preserve">GAO Annual Assessments; Planetary Society Europa Clipper cost chart; JPL Psyche IRB report (2022)</w:t>
            </w:r>
          </w:p>
        </w:tc>
      </w:tr>
      <w:tr>
        <w:tc>
          <w:tcPr>
            <w:tcW w:w="0" w:type="auto"/>
          </w:tcPr>
          <w:p>
            <w:pPr>
              <w:spacing w:line="240" w:lineRule="auto" w:before="0" w:after="0"/>
              <w:pStyle w:val="Compact"/>
            </w:pPr>
            <w:r>
              <w:rPr>
                <w:sz w:val="20"/>
                <w:szCs w:val="20"/>
              </w:rPr>
              <w:t xml:space="preserve">new_tech</w:t>
            </w:r>
          </w:p>
        </w:tc>
        <w:tc>
          <w:tcPr>
            <w:tcW w:w="0" w:type="auto"/>
          </w:tcPr>
          <w:p>
            <w:pPr>
              <w:spacing w:line="240" w:lineRule="auto" w:before="0" w:after="0"/>
              <w:pStyle w:val="Compact"/>
            </w:pPr>
            <w:r>
              <w:rPr>
                <w:sz w:val="20"/>
                <w:szCs w:val="20"/>
              </w:rPr>
              <w:t xml:space="preserve">Count of new or mission-critical technologies the element had to mature, a readiness-risk proxy</w:t>
            </w:r>
          </w:p>
        </w:tc>
        <w:tc>
          <w:tcPr>
            <w:tcW w:w="0" w:type="auto"/>
          </w:tcPr>
          <w:p>
            <w:pPr>
              <w:spacing w:line="240" w:lineRule="auto" w:before="0" w:after="0"/>
              <w:pStyle w:val="Compact"/>
            </w:pPr>
            <w:r>
              <w:rPr>
                <w:sz w:val="20"/>
                <w:szCs w:val="20"/>
              </w:rPr>
              <w:t xml:space="preserve">NASA/JPL press kits and mission technology descriptions; parametric readiness logic per Friz et al. Acta Astronautica 166 (2019)</w:t>
            </w:r>
          </w:p>
        </w:tc>
      </w:tr>
      <w:tr>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Indicator: 1 if the element is flagship-class (largest cost tier), 0 otherwise</w:t>
            </w:r>
          </w:p>
        </w:tc>
        <w:tc>
          <w:tcPr>
            <w:tcW w:w="0" w:type="auto"/>
          </w:tcPr>
          <w:p>
            <w:pPr>
              <w:spacing w:line="240" w:lineRule="auto" w:before="0" w:after="0"/>
              <w:pStyle w:val="Compact"/>
            </w:pPr>
            <w:r>
              <w:rPr>
                <w:sz w:val="20"/>
                <w:szCs w:val="20"/>
              </w:rPr>
              <w:t xml:space="preserve">NASA mission-class designation; GAO major-project tiering</w:t>
            </w:r>
          </w:p>
        </w:tc>
      </w:tr>
    </w:tbl>
    <w:bookmarkEnd w:id="86"/>
    <w:bookmarkStart w:id="87"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seq_pos</w:t>
            </w:r>
          </w:p>
        </w:tc>
        <w:tc>
          <w:tcPr>
            <w:tcW w:w="0" w:type="auto"/>
          </w:tcPr>
          <w:p>
            <w:pPr>
              <w:spacing w:line="240" w:lineRule="auto" w:before="0" w:after="0"/>
              <w:pStyle w:val="Compact"/>
            </w:pPr>
            <w:r>
              <w:rPr>
                <w:sz w:val="20"/>
                <w:szCs w:val="20"/>
              </w:rPr>
              <w:t xml:space="preserve">-0.1132</w:t>
            </w:r>
          </w:p>
        </w:tc>
        <w:tc>
          <w:tcPr>
            <w:tcW w:w="0" w:type="auto"/>
          </w:tcPr>
          <w:p>
            <w:pPr>
              <w:spacing w:line="240" w:lineRule="auto" w:before="0" w:after="0"/>
              <w:pStyle w:val="Compact"/>
            </w:pPr>
            <w:r>
              <w:rPr>
                <w:sz w:val="20"/>
                <w:szCs w:val="20"/>
              </w:rPr>
              <w:t xml:space="preserve">0.0984</w:t>
            </w:r>
          </w:p>
        </w:tc>
        <w:tc>
          <w:tcPr>
            <w:tcW w:w="0" w:type="auto"/>
          </w:tcPr>
          <w:p>
            <w:pPr>
              <w:spacing w:line="240" w:lineRule="auto" w:before="0" w:after="0"/>
              <w:pStyle w:val="Compact"/>
            </w:pPr>
            <w:r>
              <w:rPr>
                <w:sz w:val="20"/>
                <w:szCs w:val="20"/>
              </w:rPr>
              <w:t xml:space="preserve">-1.15</w:t>
            </w:r>
          </w:p>
        </w:tc>
        <w:tc>
          <w:tcPr>
            <w:tcW w:w="0" w:type="auto"/>
          </w:tcPr>
          <w:p>
            <w:pPr>
              <w:spacing w:line="240" w:lineRule="auto" w:before="0" w:after="0"/>
              <w:pStyle w:val="Compact"/>
            </w:pPr>
            <w:r>
              <w:rPr>
                <w:sz w:val="20"/>
                <w:szCs w:val="20"/>
              </w:rPr>
              <w:t xml:space="preserve">0.2501</w:t>
            </w:r>
          </w:p>
        </w:tc>
        <w:tc>
          <w:tcPr>
            <w:tcW w:w="0" w:type="auto"/>
          </w:tcPr>
          <w:p>
            <w:pPr>
              <w:spacing w:line="240" w:lineRule="auto" w:before="0" w:after="0"/>
              <w:pStyle w:val="Compact"/>
            </w:pPr>
            <w:r>
              <w:rPr>
                <w:sz w:val="20"/>
                <w:szCs w:val="20"/>
              </w:rPr>
              <w:t xml:space="preserve">[-0.3062, 0.0797]</w:t>
            </w:r>
          </w:p>
        </w:tc>
        <w:tc>
          <w:tcPr>
            <w:tcW w:w="0" w:type="auto"/>
          </w:tcPr>
          <w:p>
            <w:pPr>
              <w:spacing w:line="240" w:lineRule="auto" w:before="0" w:after="0"/>
              <w:pStyle w:val="Compact"/>
            </w:pPr>
            <w:r>
              <w:rPr>
                <w:sz w:val="20"/>
                <w:szCs w:val="20"/>
              </w:rPr>
              <w:t xml:space="preserve">0.893</w:t>
            </w:r>
          </w:p>
        </w:tc>
      </w:tr>
      <w:tr>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-0.0333</w:t>
            </w:r>
          </w:p>
        </w:tc>
        <w:tc>
          <w:tcPr>
            <w:tcW w:w="0" w:type="auto"/>
          </w:tcPr>
          <w:p>
            <w:pPr>
              <w:spacing w:line="240" w:lineRule="auto" w:before="0" w:after="0"/>
              <w:pStyle w:val="Compact"/>
            </w:pPr>
            <w:r>
              <w:rPr>
                <w:sz w:val="20"/>
                <w:szCs w:val="20"/>
              </w:rPr>
              <w:t xml:space="preserve">0.0228</w:t>
            </w:r>
          </w:p>
        </w:tc>
        <w:tc>
          <w:tcPr>
            <w:tcW w:w="0" w:type="auto"/>
          </w:tcPr>
          <w:p>
            <w:pPr>
              <w:spacing w:line="240" w:lineRule="auto" w:before="0" w:after="0"/>
              <w:pStyle w:val="Compact"/>
            </w:pPr>
            <w:r>
              <w:rPr>
                <w:sz w:val="20"/>
                <w:szCs w:val="20"/>
              </w:rPr>
              <w:t xml:space="preserve">-1.4603</w:t>
            </w:r>
          </w:p>
        </w:tc>
        <w:tc>
          <w:tcPr>
            <w:tcW w:w="0" w:type="auto"/>
          </w:tcPr>
          <w:p>
            <w:pPr>
              <w:spacing w:line="240" w:lineRule="auto" w:before="0" w:after="0"/>
              <w:pStyle w:val="Compact"/>
            </w:pPr>
            <w:r>
              <w:rPr>
                <w:sz w:val="20"/>
                <w:szCs w:val="20"/>
              </w:rPr>
              <w:t xml:space="preserve">0.1442</w:t>
            </w:r>
          </w:p>
        </w:tc>
        <w:tc>
          <w:tcPr>
            <w:tcW w:w="0" w:type="auto"/>
          </w:tcPr>
          <w:p>
            <w:pPr>
              <w:spacing w:line="240" w:lineRule="auto" w:before="0" w:after="0"/>
              <w:pStyle w:val="Compact"/>
            </w:pPr>
            <w:r>
              <w:rPr>
                <w:sz w:val="20"/>
                <w:szCs w:val="20"/>
              </w:rPr>
              <w:t xml:space="preserve">[-0.078, 0.0114]</w:t>
            </w:r>
          </w:p>
        </w:tc>
        <w:tc>
          <w:tcPr>
            <w:tcW w:w="0" w:type="auto"/>
          </w:tcPr>
          <w:p>
            <w:pPr>
              <w:spacing w:line="240" w:lineRule="auto" w:before="0" w:after="0"/>
              <w:pStyle w:val="Compact"/>
            </w:pPr>
            <w:r>
              <w:rPr>
                <w:sz w:val="20"/>
                <w:szCs w:val="20"/>
              </w:rPr>
              <w:t xml:space="preserve">0.9672</w:t>
            </w:r>
          </w:p>
        </w:tc>
      </w:tr>
      <w:tr>
        <w:tc>
          <w:tcPr>
            <w:tcW w:w="0" w:type="auto"/>
          </w:tcPr>
          <w:p>
            <w:pPr>
              <w:spacing w:line="240" w:lineRule="auto" w:before="0" w:after="0"/>
              <w:pStyle w:val="Compact"/>
            </w:pPr>
            <w:r>
              <w:rPr>
                <w:sz w:val="20"/>
                <w:szCs w:val="20"/>
              </w:rPr>
              <w:t xml:space="preserve">new_tech</w:t>
            </w:r>
          </w:p>
        </w:tc>
        <w:tc>
          <w:tcPr>
            <w:tcW w:w="0" w:type="auto"/>
          </w:tcPr>
          <w:p>
            <w:pPr>
              <w:spacing w:line="240" w:lineRule="auto" w:before="0" w:after="0"/>
              <w:pStyle w:val="Compact"/>
            </w:pPr>
            <w:r>
              <w:rPr>
                <w:sz w:val="20"/>
                <w:szCs w:val="20"/>
              </w:rPr>
              <w:t xml:space="preserve">-0.4382</w:t>
            </w:r>
          </w:p>
        </w:tc>
        <w:tc>
          <w:tcPr>
            <w:tcW w:w="0" w:type="auto"/>
          </w:tcPr>
          <w:p>
            <w:pPr>
              <w:spacing w:line="240" w:lineRule="auto" w:before="0" w:after="0"/>
              <w:pStyle w:val="Compact"/>
            </w:pPr>
            <w:r>
              <w:rPr>
                <w:sz w:val="20"/>
                <w:szCs w:val="20"/>
              </w:rPr>
              <w:t xml:space="preserve">0.2589</w:t>
            </w:r>
          </w:p>
        </w:tc>
        <w:tc>
          <w:tcPr>
            <w:tcW w:w="0" w:type="auto"/>
          </w:tcPr>
          <w:p>
            <w:pPr>
              <w:spacing w:line="240" w:lineRule="auto" w:before="0" w:after="0"/>
              <w:pStyle w:val="Compact"/>
            </w:pPr>
            <w:r>
              <w:rPr>
                <w:sz w:val="20"/>
                <w:szCs w:val="20"/>
              </w:rPr>
              <w:t xml:space="preserve">-1.6929</w:t>
            </w:r>
          </w:p>
        </w:tc>
        <w:tc>
          <w:tcPr>
            <w:tcW w:w="0" w:type="auto"/>
          </w:tcPr>
          <w:p>
            <w:pPr>
              <w:spacing w:line="240" w:lineRule="auto" w:before="0" w:after="0"/>
              <w:pStyle w:val="Compact"/>
            </w:pPr>
            <w:r>
              <w:rPr>
                <w:sz w:val="20"/>
                <w:szCs w:val="20"/>
              </w:rPr>
              <w:t xml:space="preserve">0.0905</w:t>
            </w:r>
          </w:p>
        </w:tc>
        <w:tc>
          <w:tcPr>
            <w:tcW w:w="0" w:type="auto"/>
          </w:tcPr>
          <w:p>
            <w:pPr>
              <w:spacing w:line="240" w:lineRule="auto" w:before="0" w:after="0"/>
              <w:pStyle w:val="Compact"/>
            </w:pPr>
            <w:r>
              <w:rPr>
                <w:sz w:val="20"/>
                <w:szCs w:val="20"/>
              </w:rPr>
              <w:t xml:space="preserve">[-0.9456, 0.0692]</w:t>
            </w:r>
          </w:p>
        </w:tc>
        <w:tc>
          <w:tcPr>
            <w:tcW w:w="0" w:type="auto"/>
          </w:tcPr>
          <w:p>
            <w:pPr>
              <w:spacing w:line="240" w:lineRule="auto" w:before="0" w:after="0"/>
              <w:pStyle w:val="Compact"/>
            </w:pPr>
            <w:r>
              <w:rPr>
                <w:sz w:val="20"/>
                <w:szCs w:val="20"/>
              </w:rPr>
              <w:t xml:space="preserve">0.6452</w:t>
            </w:r>
          </w:p>
        </w:tc>
      </w:tr>
      <w:tr>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-1.7842</w:t>
            </w:r>
          </w:p>
        </w:tc>
        <w:tc>
          <w:tcPr>
            <w:tcW w:w="0" w:type="auto"/>
          </w:tcPr>
          <w:p>
            <w:pPr>
              <w:spacing w:line="240" w:lineRule="auto" w:before="0" w:after="0"/>
              <w:pStyle w:val="Compact"/>
            </w:pPr>
            <w:r>
              <w:rPr>
                <w:sz w:val="20"/>
                <w:szCs w:val="20"/>
              </w:rPr>
              <w:t xml:space="preserve">1.3763</w:t>
            </w:r>
          </w:p>
        </w:tc>
        <w:tc>
          <w:tcPr>
            <w:tcW w:w="0" w:type="auto"/>
          </w:tcPr>
          <w:p>
            <w:pPr>
              <w:spacing w:line="240" w:lineRule="auto" w:before="0" w:after="0"/>
              <w:pStyle w:val="Compact"/>
            </w:pPr>
            <w:r>
              <w:rPr>
                <w:sz w:val="20"/>
                <w:szCs w:val="20"/>
              </w:rPr>
              <w:t xml:space="preserve">-1.2964</w:t>
            </w:r>
          </w:p>
        </w:tc>
        <w:tc>
          <w:tcPr>
            <w:tcW w:w="0" w:type="auto"/>
          </w:tcPr>
          <w:p>
            <w:pPr>
              <w:spacing w:line="240" w:lineRule="auto" w:before="0" w:after="0"/>
              <w:pStyle w:val="Compact"/>
            </w:pPr>
            <w:r>
              <w:rPr>
                <w:sz w:val="20"/>
                <w:szCs w:val="20"/>
              </w:rPr>
              <w:t xml:space="preserve">0.1948</w:t>
            </w:r>
          </w:p>
        </w:tc>
        <w:tc>
          <w:tcPr>
            <w:tcW w:w="0" w:type="auto"/>
          </w:tcPr>
          <w:p>
            <w:pPr>
              <w:spacing w:line="240" w:lineRule="auto" w:before="0" w:after="0"/>
              <w:pStyle w:val="Compact"/>
            </w:pPr>
            <w:r>
              <w:rPr>
                <w:sz w:val="20"/>
                <w:szCs w:val="20"/>
              </w:rPr>
              <w:t xml:space="preserve">[-4.4817, 0.9133]</w:t>
            </w:r>
          </w:p>
        </w:tc>
        <w:tc>
          <w:tcPr>
            <w:tcW w:w="0" w:type="auto"/>
          </w:tcPr>
          <w:p>
            <w:pPr>
              <w:spacing w:line="240" w:lineRule="auto" w:before="0" w:after="0"/>
              <w:pStyle w:val="Compact"/>
            </w:pPr>
            <w:r>
              <w:rPr>
                <w:sz w:val="20"/>
                <w:szCs w:val="20"/>
              </w:rPr>
              <w:t xml:space="preserve">0.1679</w:t>
            </w:r>
          </w:p>
        </w:tc>
      </w:tr>
    </w:tbl>
    <w:p>
      <w:pPr>
        <w:pStyle w:val="BodyText"/>
      </w:pPr>
      <w:r>
        <w:t xml:space="preserve">Fit: N = 30 events = 27</w:t>
      </w:r>
    </w:p>
    <w:bookmarkEnd w:id="87"/>
    <w:bookmarkEnd w:id="88"/>
    <w:bookmarkEnd w:id="8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1" Target="media/rId81.png" /><Relationship Type="http://schemas.openxmlformats.org/officeDocument/2006/relationships/hyperlink" Id="rId74" Target="https://doi.org/10.1016/j.actaastro.2019.09.030" TargetMode="External" /><Relationship Type="http://schemas.openxmlformats.org/officeDocument/2006/relationships/hyperlink" Id="rId78" Target="https://doi.org/10.1016/j.actaastro.2020.04.046" TargetMode="External" /><Relationship Type="http://schemas.openxmlformats.org/officeDocument/2006/relationships/hyperlink" Id="rId68" Target="https://doi.org/10.1016/j.actaastro.2020.06.026" TargetMode="External" /><Relationship Type="http://schemas.openxmlformats.org/officeDocument/2006/relationships/hyperlink" Id="rId76" Target="https://doi.org/10.1016/j.actaastro.2022.12.036" TargetMode="External" /><Relationship Type="http://schemas.openxmlformats.org/officeDocument/2006/relationships/hyperlink" Id="rId70" Target="https://doi.org/10.1016/j.actaastro.2025.11.006" TargetMode="External" /></Relationships>
</file>

<file path=word/_rels/footnotes.xml.rels><?xml version="1.0" encoding="UTF-8"?><Relationships xmlns="http://schemas.openxmlformats.org/package/2006/relationships"><Relationship Type="http://schemas.openxmlformats.org/officeDocument/2006/relationships/hyperlink" Id="rId74" Target="https://doi.org/10.1016/j.actaastro.2019.09.030" TargetMode="External" /><Relationship Type="http://schemas.openxmlformats.org/officeDocument/2006/relationships/hyperlink" Id="rId78" Target="https://doi.org/10.1016/j.actaastro.2020.04.046" TargetMode="External" /><Relationship Type="http://schemas.openxmlformats.org/officeDocument/2006/relationships/hyperlink" Id="rId68" Target="https://doi.org/10.1016/j.actaastro.2020.06.026" TargetMode="External" /><Relationship Type="http://schemas.openxmlformats.org/officeDocument/2006/relationships/hyperlink" Id="rId76" Target="https://doi.org/10.1016/j.actaastro.2022.12.036" TargetMode="External" /><Relationship Type="http://schemas.openxmlformats.org/officeDocument/2006/relationships/hyperlink" Id="rId70" Target="https://doi.org/10.1016/j.actaastro.2025.11.006"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2026-06-25T14:25:39Z</dcterms:created>
  <dcterms:modified xsi:type="dcterms:W3CDTF">2026-06-25T14:25:39Z</dcterms:modified>
</cp:coreProperties>
</file>

<file path=docProps/custom.xml><?xml version="1.0" encoding="utf-8"?>
<Properties xmlns="http://schemas.openxmlformats.org/officeDocument/2006/custom-properties" xmlns:vt="http://schemas.openxmlformats.org/officeDocument/2006/docPropsVTypes"/>
</file>